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03D89">
      <w:pPr>
        <w:pStyle w:val="20"/>
        <w:pageBreakBefore w:val="0"/>
        <w:shd w:val="clear"/>
        <w:overflowPunct/>
        <w:topLinePunct w:val="0"/>
        <w:bidi w:val="0"/>
        <w:spacing w:line="540" w:lineRule="exact"/>
        <w:jc w:val="center"/>
        <w:rPr>
          <w:rFonts w:hint="eastAsia" w:ascii="宋体" w:hAnsi="宋体" w:eastAsia="宋体" w:cs="宋体"/>
          <w:b/>
          <w:bCs/>
          <w:color w:val="auto"/>
          <w:sz w:val="44"/>
          <w:szCs w:val="44"/>
          <w:highlight w:val="none"/>
          <w:lang w:val="en-US" w:eastAsia="zh-CN"/>
        </w:rPr>
      </w:pPr>
    </w:p>
    <w:p w14:paraId="6CD31683">
      <w:pPr>
        <w:pageBreakBefore w:val="0"/>
        <w:shd w:val="clear"/>
        <w:overflowPunct/>
        <w:topLinePunct w:val="0"/>
        <w:bidi w:val="0"/>
        <w:spacing w:line="540" w:lineRule="exact"/>
        <w:jc w:val="center"/>
        <w:rPr>
          <w:rFonts w:hint="eastAsia" w:ascii="宋体" w:hAnsi="宋体" w:eastAsia="宋体" w:cs="宋体"/>
          <w:b/>
          <w:bCs/>
          <w:color w:val="auto"/>
          <w:sz w:val="44"/>
          <w:szCs w:val="44"/>
          <w:highlight w:val="none"/>
          <w:lang w:eastAsia="zh-CN"/>
        </w:rPr>
      </w:pPr>
      <w:r>
        <w:rPr>
          <w:rFonts w:hint="eastAsia" w:ascii="宋体" w:hAnsi="宋体" w:eastAsia="宋体" w:cs="宋体"/>
          <w:b/>
          <w:bCs/>
          <w:color w:val="auto"/>
          <w:sz w:val="44"/>
          <w:szCs w:val="44"/>
          <w:highlight w:val="none"/>
          <w:lang w:eastAsia="zh-CN"/>
        </w:rPr>
        <w:t>仪陇县2025年第一批中央和省级财政衔接推进乡村振兴补助资金项目（保平镇有机黄花苗采购）</w:t>
      </w:r>
    </w:p>
    <w:p w14:paraId="24070C75">
      <w:pPr>
        <w:pStyle w:val="8"/>
        <w:shd w:val="clear"/>
        <w:rPr>
          <w:rFonts w:hint="eastAsia" w:ascii="宋体" w:hAnsi="宋体" w:eastAsia="宋体" w:cs="宋体"/>
          <w:color w:val="auto"/>
          <w:highlight w:val="none"/>
        </w:rPr>
      </w:pPr>
    </w:p>
    <w:p w14:paraId="11AAEE1E">
      <w:pPr>
        <w:keepNext w:val="0"/>
        <w:keepLines w:val="0"/>
        <w:pageBreakBefore w:val="0"/>
        <w:widowControl w:val="0"/>
        <w:shd w:val="clear"/>
        <w:kinsoku/>
        <w:wordWrap/>
        <w:overflowPunct/>
        <w:topLinePunct w:val="0"/>
        <w:autoSpaceDE/>
        <w:autoSpaceDN/>
        <w:bidi w:val="0"/>
        <w:adjustRightInd/>
        <w:snapToGrid/>
        <w:spacing w:line="700" w:lineRule="exact"/>
        <w:jc w:val="center"/>
        <w:textAlignment w:val="auto"/>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采</w:t>
      </w:r>
      <w:r>
        <w:rPr>
          <w:rFonts w:hint="eastAsia" w:ascii="宋体" w:hAnsi="宋体" w:eastAsia="宋体" w:cs="宋体"/>
          <w:b/>
          <w:bCs/>
          <w:color w:val="auto"/>
          <w:sz w:val="44"/>
          <w:szCs w:val="44"/>
          <w:highlight w:val="none"/>
        </w:rPr>
        <w:br w:type="textWrapping"/>
      </w:r>
      <w:r>
        <w:rPr>
          <w:rFonts w:hint="eastAsia" w:ascii="宋体" w:hAnsi="宋体" w:eastAsia="宋体" w:cs="宋体"/>
          <w:b/>
          <w:bCs/>
          <w:color w:val="auto"/>
          <w:sz w:val="44"/>
          <w:szCs w:val="44"/>
          <w:highlight w:val="none"/>
        </w:rPr>
        <w:t>购</w:t>
      </w:r>
      <w:r>
        <w:rPr>
          <w:rFonts w:hint="eastAsia" w:ascii="宋体" w:hAnsi="宋体" w:eastAsia="宋体" w:cs="宋体"/>
          <w:b/>
          <w:bCs/>
          <w:color w:val="auto"/>
          <w:sz w:val="44"/>
          <w:szCs w:val="44"/>
          <w:highlight w:val="none"/>
        </w:rPr>
        <w:br w:type="textWrapping"/>
      </w:r>
      <w:r>
        <w:rPr>
          <w:rFonts w:hint="eastAsia" w:ascii="宋体" w:hAnsi="宋体" w:eastAsia="宋体" w:cs="宋体"/>
          <w:b/>
          <w:bCs/>
          <w:color w:val="auto"/>
          <w:sz w:val="44"/>
          <w:szCs w:val="44"/>
          <w:highlight w:val="none"/>
        </w:rPr>
        <w:t>需</w:t>
      </w:r>
      <w:r>
        <w:rPr>
          <w:rFonts w:hint="eastAsia" w:ascii="宋体" w:hAnsi="宋体" w:eastAsia="宋体" w:cs="宋体"/>
          <w:b/>
          <w:bCs/>
          <w:color w:val="auto"/>
          <w:sz w:val="44"/>
          <w:szCs w:val="44"/>
          <w:highlight w:val="none"/>
        </w:rPr>
        <w:br w:type="textWrapping"/>
      </w:r>
      <w:r>
        <w:rPr>
          <w:rFonts w:hint="eastAsia" w:ascii="宋体" w:hAnsi="宋体" w:eastAsia="宋体" w:cs="宋体"/>
          <w:b/>
          <w:bCs/>
          <w:color w:val="auto"/>
          <w:sz w:val="44"/>
          <w:szCs w:val="44"/>
          <w:highlight w:val="none"/>
        </w:rPr>
        <w:t>求</w:t>
      </w:r>
      <w:r>
        <w:rPr>
          <w:rFonts w:hint="eastAsia" w:ascii="宋体" w:hAnsi="宋体" w:eastAsia="宋体" w:cs="宋体"/>
          <w:b/>
          <w:bCs/>
          <w:color w:val="auto"/>
          <w:sz w:val="44"/>
          <w:szCs w:val="44"/>
          <w:highlight w:val="none"/>
        </w:rPr>
        <w:br w:type="textWrapping"/>
      </w:r>
      <w:r>
        <w:rPr>
          <w:rFonts w:hint="eastAsia" w:ascii="宋体" w:hAnsi="宋体" w:eastAsia="宋体" w:cs="宋体"/>
          <w:b/>
          <w:bCs/>
          <w:color w:val="auto"/>
          <w:sz w:val="44"/>
          <w:szCs w:val="44"/>
          <w:highlight w:val="none"/>
        </w:rPr>
        <w:t>和</w:t>
      </w:r>
      <w:r>
        <w:rPr>
          <w:rFonts w:hint="eastAsia" w:ascii="宋体" w:hAnsi="宋体" w:eastAsia="宋体" w:cs="宋体"/>
          <w:b/>
          <w:bCs/>
          <w:color w:val="auto"/>
          <w:sz w:val="44"/>
          <w:szCs w:val="44"/>
          <w:highlight w:val="none"/>
        </w:rPr>
        <w:br w:type="textWrapping"/>
      </w:r>
      <w:r>
        <w:rPr>
          <w:rFonts w:hint="eastAsia" w:ascii="宋体" w:hAnsi="宋体" w:eastAsia="宋体" w:cs="宋体"/>
          <w:b/>
          <w:bCs/>
          <w:color w:val="auto"/>
          <w:sz w:val="44"/>
          <w:szCs w:val="44"/>
          <w:highlight w:val="none"/>
        </w:rPr>
        <w:t>实</w:t>
      </w:r>
      <w:r>
        <w:rPr>
          <w:rFonts w:hint="eastAsia" w:ascii="宋体" w:hAnsi="宋体" w:eastAsia="宋体" w:cs="宋体"/>
          <w:b/>
          <w:bCs/>
          <w:color w:val="auto"/>
          <w:sz w:val="44"/>
          <w:szCs w:val="44"/>
          <w:highlight w:val="none"/>
        </w:rPr>
        <w:br w:type="textWrapping"/>
      </w:r>
      <w:r>
        <w:rPr>
          <w:rFonts w:hint="eastAsia" w:ascii="宋体" w:hAnsi="宋体" w:eastAsia="宋体" w:cs="宋体"/>
          <w:b/>
          <w:bCs/>
          <w:color w:val="auto"/>
          <w:sz w:val="44"/>
          <w:szCs w:val="44"/>
          <w:highlight w:val="none"/>
        </w:rPr>
        <w:t>施</w:t>
      </w:r>
    </w:p>
    <w:p w14:paraId="3DFD2219">
      <w:pPr>
        <w:keepNext w:val="0"/>
        <w:keepLines w:val="0"/>
        <w:pageBreakBefore w:val="0"/>
        <w:widowControl w:val="0"/>
        <w:shd w:val="clear"/>
        <w:kinsoku/>
        <w:wordWrap/>
        <w:overflowPunct/>
        <w:topLinePunct w:val="0"/>
        <w:autoSpaceDE/>
        <w:autoSpaceDN/>
        <w:bidi w:val="0"/>
        <w:adjustRightInd/>
        <w:snapToGrid/>
        <w:spacing w:line="700" w:lineRule="exact"/>
        <w:jc w:val="center"/>
        <w:textAlignment w:val="auto"/>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计</w:t>
      </w:r>
      <w:r>
        <w:rPr>
          <w:rFonts w:hint="eastAsia" w:ascii="宋体" w:hAnsi="宋体" w:eastAsia="宋体" w:cs="宋体"/>
          <w:b/>
          <w:bCs/>
          <w:color w:val="auto"/>
          <w:sz w:val="44"/>
          <w:szCs w:val="44"/>
          <w:highlight w:val="none"/>
        </w:rPr>
        <w:br w:type="textWrapping"/>
      </w:r>
      <w:r>
        <w:rPr>
          <w:rFonts w:hint="eastAsia" w:ascii="宋体" w:hAnsi="宋体" w:eastAsia="宋体" w:cs="宋体"/>
          <w:b/>
          <w:bCs/>
          <w:color w:val="auto"/>
          <w:sz w:val="44"/>
          <w:szCs w:val="44"/>
          <w:highlight w:val="none"/>
        </w:rPr>
        <w:t>划</w:t>
      </w:r>
    </w:p>
    <w:p w14:paraId="0439B8D8">
      <w:pPr>
        <w:keepNext w:val="0"/>
        <w:keepLines w:val="0"/>
        <w:pageBreakBefore w:val="0"/>
        <w:widowControl w:val="0"/>
        <w:shd w:val="clear"/>
        <w:kinsoku/>
        <w:wordWrap/>
        <w:overflowPunct/>
        <w:topLinePunct w:val="0"/>
        <w:autoSpaceDE/>
        <w:autoSpaceDN/>
        <w:bidi w:val="0"/>
        <w:adjustRightInd/>
        <w:snapToGrid/>
        <w:spacing w:line="700" w:lineRule="exact"/>
        <w:textAlignment w:val="auto"/>
        <w:rPr>
          <w:rFonts w:hint="eastAsia" w:ascii="宋体" w:hAnsi="宋体" w:eastAsia="宋体" w:cs="宋体"/>
          <w:b/>
          <w:bCs/>
          <w:color w:val="auto"/>
          <w:sz w:val="44"/>
          <w:szCs w:val="44"/>
          <w:highlight w:val="none"/>
          <w:shd w:val="clear" w:color="auto" w:fill="FFFFFF"/>
        </w:rPr>
      </w:pPr>
    </w:p>
    <w:p w14:paraId="44AC8D72">
      <w:pPr>
        <w:pageBreakBefore w:val="0"/>
        <w:shd w:val="clear"/>
        <w:overflowPunct/>
        <w:topLinePunct w:val="0"/>
        <w:bidi w:val="0"/>
        <w:spacing w:line="540" w:lineRule="exact"/>
        <w:rPr>
          <w:rFonts w:hint="eastAsia" w:ascii="宋体" w:hAnsi="宋体" w:eastAsia="宋体" w:cs="宋体"/>
          <w:b/>
          <w:bCs/>
          <w:color w:val="auto"/>
          <w:sz w:val="44"/>
          <w:szCs w:val="44"/>
          <w:highlight w:val="none"/>
          <w:shd w:val="clear" w:color="auto" w:fill="FFFFFF"/>
        </w:rPr>
      </w:pPr>
    </w:p>
    <w:p w14:paraId="17F9C727">
      <w:pPr>
        <w:keepNext w:val="0"/>
        <w:keepLines w:val="0"/>
        <w:pageBreakBefore w:val="0"/>
        <w:widowControl w:val="0"/>
        <w:shd w:val="clear"/>
        <w:kinsoku/>
        <w:wordWrap/>
        <w:overflowPunct/>
        <w:topLinePunct w:val="0"/>
        <w:autoSpaceDE/>
        <w:autoSpaceDN/>
        <w:bidi w:val="0"/>
        <w:adjustRightInd/>
        <w:snapToGrid/>
        <w:spacing w:line="540" w:lineRule="exact"/>
        <w:jc w:val="both"/>
        <w:textAlignment w:val="auto"/>
        <w:rPr>
          <w:rFonts w:hint="eastAsia" w:ascii="宋体" w:hAnsi="宋体" w:eastAsia="宋体" w:cs="宋体"/>
          <w:b/>
          <w:bCs/>
          <w:color w:val="auto"/>
          <w:sz w:val="36"/>
          <w:szCs w:val="36"/>
          <w:highlight w:val="none"/>
        </w:rPr>
      </w:pPr>
    </w:p>
    <w:p w14:paraId="2F449F1A">
      <w:pPr>
        <w:keepNext w:val="0"/>
        <w:keepLines w:val="0"/>
        <w:pageBreakBefore w:val="0"/>
        <w:widowControl w:val="0"/>
        <w:shd w:val="clear"/>
        <w:kinsoku/>
        <w:wordWrap/>
        <w:overflowPunct/>
        <w:topLinePunct w:val="0"/>
        <w:autoSpaceDE/>
        <w:autoSpaceDN/>
        <w:bidi w:val="0"/>
        <w:adjustRightInd/>
        <w:snapToGrid/>
        <w:spacing w:line="540" w:lineRule="exact"/>
        <w:ind w:firstLine="723" w:firstLineChars="200"/>
        <w:jc w:val="both"/>
        <w:textAlignment w:val="auto"/>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 xml:space="preserve">采购单位： </w:t>
      </w:r>
      <w:bookmarkStart w:id="0" w:name="OLE_LINK1"/>
      <w:r>
        <w:rPr>
          <w:rFonts w:hint="eastAsia" w:ascii="宋体" w:hAnsi="宋体" w:eastAsia="宋体" w:cs="宋体"/>
          <w:b/>
          <w:bCs/>
          <w:color w:val="auto"/>
          <w:sz w:val="36"/>
          <w:szCs w:val="36"/>
          <w:highlight w:val="none"/>
          <w:lang w:eastAsia="zh-CN"/>
        </w:rPr>
        <w:t>仪陇县保平镇人民政府</w:t>
      </w:r>
    </w:p>
    <w:bookmarkEnd w:id="0"/>
    <w:p w14:paraId="1C3D4B46">
      <w:pPr>
        <w:keepNext w:val="0"/>
        <w:keepLines w:val="0"/>
        <w:pageBreakBefore w:val="0"/>
        <w:widowControl w:val="0"/>
        <w:shd w:val="clear"/>
        <w:kinsoku/>
        <w:wordWrap/>
        <w:overflowPunct/>
        <w:topLinePunct w:val="0"/>
        <w:autoSpaceDE/>
        <w:autoSpaceDN/>
        <w:bidi w:val="0"/>
        <w:adjustRightInd/>
        <w:snapToGrid/>
        <w:spacing w:line="540" w:lineRule="exact"/>
        <w:ind w:firstLine="723" w:firstLineChars="200"/>
        <w:jc w:val="center"/>
        <w:textAlignment w:val="auto"/>
        <w:rPr>
          <w:rFonts w:hint="eastAsia" w:ascii="宋体" w:hAnsi="宋体" w:eastAsia="宋体" w:cs="宋体"/>
          <w:b/>
          <w:bCs/>
          <w:color w:val="auto"/>
          <w:sz w:val="36"/>
          <w:szCs w:val="36"/>
          <w:highlight w:val="none"/>
        </w:rPr>
      </w:pPr>
    </w:p>
    <w:p w14:paraId="1A9C9689">
      <w:pPr>
        <w:keepNext w:val="0"/>
        <w:keepLines w:val="0"/>
        <w:pageBreakBefore w:val="0"/>
        <w:widowControl w:val="0"/>
        <w:shd w:val="clear"/>
        <w:kinsoku/>
        <w:wordWrap/>
        <w:overflowPunct/>
        <w:topLinePunct w:val="0"/>
        <w:autoSpaceDE/>
        <w:autoSpaceDN/>
        <w:bidi w:val="0"/>
        <w:adjustRightInd/>
        <w:snapToGrid/>
        <w:spacing w:line="540" w:lineRule="exact"/>
        <w:ind w:firstLine="723" w:firstLineChars="200"/>
        <w:jc w:val="both"/>
        <w:textAlignment w:val="auto"/>
        <w:rPr>
          <w:rFonts w:hint="eastAsia" w:ascii="宋体" w:hAnsi="宋体" w:eastAsia="宋体" w:cs="宋体"/>
          <w:b/>
          <w:bCs/>
          <w:color w:val="auto"/>
          <w:sz w:val="24"/>
          <w:szCs w:val="24"/>
          <w:highlight w:val="none"/>
        </w:rPr>
        <w:sectPr>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宋体" w:cs="宋体"/>
          <w:b/>
          <w:bCs/>
          <w:color w:val="auto"/>
          <w:sz w:val="36"/>
          <w:szCs w:val="36"/>
          <w:highlight w:val="none"/>
        </w:rPr>
        <w:t>编制时间：  20</w:t>
      </w:r>
      <w:r>
        <w:rPr>
          <w:rFonts w:hint="eastAsia" w:ascii="宋体" w:hAnsi="宋体" w:eastAsia="宋体" w:cs="宋体"/>
          <w:b/>
          <w:bCs/>
          <w:color w:val="auto"/>
          <w:sz w:val="36"/>
          <w:szCs w:val="36"/>
          <w:highlight w:val="none"/>
          <w:lang w:val="en-US" w:eastAsia="zh-CN"/>
        </w:rPr>
        <w:t>26</w:t>
      </w:r>
      <w:r>
        <w:rPr>
          <w:rFonts w:hint="eastAsia" w:ascii="宋体" w:hAnsi="宋体" w:eastAsia="宋体" w:cs="宋体"/>
          <w:b/>
          <w:bCs/>
          <w:color w:val="auto"/>
          <w:sz w:val="36"/>
          <w:szCs w:val="36"/>
          <w:highlight w:val="none"/>
        </w:rPr>
        <w:t>年</w:t>
      </w:r>
      <w:r>
        <w:rPr>
          <w:rFonts w:hint="eastAsia" w:ascii="宋体" w:hAnsi="宋体" w:eastAsia="宋体" w:cs="宋体"/>
          <w:b/>
          <w:bCs/>
          <w:color w:val="auto"/>
          <w:sz w:val="36"/>
          <w:szCs w:val="36"/>
          <w:highlight w:val="none"/>
          <w:lang w:val="en-US" w:eastAsia="zh-CN"/>
        </w:rPr>
        <w:t>2</w:t>
      </w:r>
      <w:r>
        <w:rPr>
          <w:rFonts w:hint="eastAsia" w:ascii="宋体" w:hAnsi="宋体" w:eastAsia="宋体" w:cs="宋体"/>
          <w:b/>
          <w:bCs/>
          <w:color w:val="auto"/>
          <w:sz w:val="36"/>
          <w:szCs w:val="36"/>
          <w:highlight w:val="none"/>
        </w:rPr>
        <w:t>月</w:t>
      </w:r>
      <w:r>
        <w:rPr>
          <w:rFonts w:hint="eastAsia" w:ascii="宋体" w:hAnsi="宋体" w:eastAsia="宋体" w:cs="宋体"/>
          <w:b/>
          <w:bCs/>
          <w:color w:val="auto"/>
          <w:sz w:val="36"/>
          <w:szCs w:val="36"/>
          <w:highlight w:val="none"/>
          <w:lang w:val="en-US" w:eastAsia="zh-CN"/>
        </w:rPr>
        <w:t>9</w:t>
      </w:r>
      <w:r>
        <w:rPr>
          <w:rFonts w:hint="eastAsia" w:ascii="宋体" w:hAnsi="宋体" w:eastAsia="宋体" w:cs="宋体"/>
          <w:b/>
          <w:bCs/>
          <w:color w:val="auto"/>
          <w:sz w:val="36"/>
          <w:szCs w:val="36"/>
          <w:highlight w:val="none"/>
        </w:rPr>
        <w:t>日</w:t>
      </w:r>
    </w:p>
    <w:p w14:paraId="646551A2">
      <w:pPr>
        <w:pageBreakBefore w:val="0"/>
        <w:shd w:val="clear"/>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一、项目总体情况</w:t>
      </w:r>
    </w:p>
    <w:p w14:paraId="3245FF99">
      <w:pPr>
        <w:pStyle w:val="20"/>
        <w:pageBreakBefore w:val="0"/>
        <w:shd w:val="clear"/>
        <w:overflowPunct/>
        <w:topLinePunct w:val="0"/>
        <w:bidi w:val="0"/>
        <w:spacing w:line="540" w:lineRule="exact"/>
        <w:jc w:val="both"/>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rPr>
        <w:t>（一）项目名称：</w:t>
      </w:r>
      <w:bookmarkStart w:id="1" w:name="OLE_LINK8"/>
      <w:r>
        <w:rPr>
          <w:rFonts w:hint="eastAsia" w:hAnsi="宋体" w:eastAsia="宋体" w:cs="宋体"/>
          <w:b/>
          <w:bCs/>
          <w:color w:val="auto"/>
          <w:sz w:val="24"/>
          <w:szCs w:val="24"/>
          <w:highlight w:val="none"/>
          <w:lang w:eastAsia="zh-CN"/>
        </w:rPr>
        <w:t>仪陇县2025年第一批中央和省级财政衔接推进乡村振兴补助资金项目（保平镇有机黄花苗采购）</w:t>
      </w:r>
    </w:p>
    <w:bookmarkEnd w:id="1"/>
    <w:p w14:paraId="5CBB0AE1">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（二）项目所属年度：</w:t>
      </w:r>
      <w:r>
        <w:rPr>
          <w:rFonts w:hint="eastAsia" w:ascii="宋体" w:hAnsi="宋体" w:eastAsia="宋体" w:cs="宋体"/>
          <w:b/>
          <w:bCs/>
          <w:color w:val="auto"/>
          <w:kern w:val="0"/>
          <w:sz w:val="24"/>
          <w:szCs w:val="24"/>
          <w:highlight w:val="none"/>
          <w:u w:val="single"/>
          <w:lang w:val="en-US" w:eastAsia="zh-CN"/>
        </w:rPr>
        <w:t>2026年</w:t>
      </w:r>
      <w:r>
        <w:rPr>
          <w:rFonts w:hint="eastAsia" w:ascii="宋体" w:hAnsi="宋体" w:eastAsia="宋体" w:cs="宋体"/>
          <w:b/>
          <w:bCs/>
          <w:color w:val="auto"/>
          <w:kern w:val="0"/>
          <w:sz w:val="24"/>
          <w:szCs w:val="24"/>
          <w:highlight w:val="none"/>
        </w:rPr>
        <w:t> </w:t>
      </w:r>
    </w:p>
    <w:p w14:paraId="0E410836">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（三）项目所属分类： </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0"/>
          <w:sz w:val="24"/>
          <w:szCs w:val="24"/>
          <w:highlight w:val="none"/>
        </w:rPr>
        <w:t>货物</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服务</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工程</w:t>
      </w:r>
    </w:p>
    <w:p w14:paraId="36AF4B86">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u w:val="single"/>
          <w:lang w:val="en-US" w:eastAsia="zh-CN"/>
        </w:rPr>
      </w:pPr>
      <w:r>
        <w:rPr>
          <w:rFonts w:hint="eastAsia" w:ascii="宋体" w:hAnsi="宋体" w:eastAsia="宋体" w:cs="宋体"/>
          <w:b/>
          <w:bCs/>
          <w:color w:val="auto"/>
          <w:kern w:val="0"/>
          <w:sz w:val="24"/>
          <w:szCs w:val="24"/>
          <w:highlight w:val="none"/>
        </w:rPr>
        <w:t>（四）</w:t>
      </w:r>
      <w:bookmarkStart w:id="2" w:name="OLE_LINK18"/>
      <w:r>
        <w:rPr>
          <w:rFonts w:hint="eastAsia" w:ascii="宋体" w:hAnsi="宋体" w:eastAsia="宋体" w:cs="宋体"/>
          <w:b/>
          <w:bCs/>
          <w:color w:val="auto"/>
          <w:kern w:val="0"/>
          <w:sz w:val="24"/>
          <w:szCs w:val="24"/>
          <w:highlight w:val="none"/>
        </w:rPr>
        <w:t>预算金额（元）：</w:t>
      </w:r>
      <w:bookmarkStart w:id="3" w:name="OLE_LINK5"/>
      <w:bookmarkStart w:id="4" w:name="OLE_LINK6"/>
      <w:r>
        <w:rPr>
          <w:rFonts w:hint="eastAsia" w:ascii="宋体" w:hAnsi="宋体" w:eastAsia="宋体" w:cs="宋体"/>
          <w:b/>
          <w:bCs/>
          <w:color w:val="auto"/>
          <w:kern w:val="0"/>
          <w:sz w:val="24"/>
          <w:szCs w:val="24"/>
          <w:highlight w:val="none"/>
          <w:lang w:val="en-US" w:eastAsia="zh-CN"/>
        </w:rPr>
        <w:t>315000.00</w:t>
      </w:r>
      <w:r>
        <w:rPr>
          <w:rFonts w:hint="eastAsia" w:ascii="宋体" w:hAnsi="宋体" w:eastAsia="宋体" w:cs="宋体"/>
          <w:b/>
          <w:bCs/>
          <w:color w:val="auto"/>
          <w:kern w:val="0"/>
          <w:sz w:val="24"/>
          <w:szCs w:val="24"/>
          <w:highlight w:val="none"/>
        </w:rPr>
        <w:t>元 ，大写（人民币）：</w:t>
      </w:r>
      <w:r>
        <w:rPr>
          <w:rFonts w:hint="eastAsia" w:ascii="宋体" w:hAnsi="宋体" w:eastAsia="宋体" w:cs="宋体"/>
          <w:b/>
          <w:bCs/>
          <w:color w:val="auto"/>
          <w:kern w:val="0"/>
          <w:sz w:val="24"/>
          <w:szCs w:val="24"/>
          <w:highlight w:val="none"/>
          <w:lang w:val="en-US" w:eastAsia="zh-CN"/>
        </w:rPr>
        <w:t>叁拾壹万伍仟</w:t>
      </w:r>
      <w:r>
        <w:rPr>
          <w:rFonts w:hint="eastAsia" w:ascii="宋体" w:hAnsi="宋体" w:eastAsia="宋体" w:cs="宋体"/>
          <w:b/>
          <w:bCs/>
          <w:color w:val="auto"/>
          <w:kern w:val="0"/>
          <w:sz w:val="24"/>
          <w:szCs w:val="24"/>
          <w:highlight w:val="none"/>
          <w:u w:val="single"/>
          <w:lang w:val="en-US" w:eastAsia="zh-CN"/>
        </w:rPr>
        <w:t>元整；</w:t>
      </w:r>
    </w:p>
    <w:bookmarkEnd w:id="3"/>
    <w:bookmarkEnd w:id="4"/>
    <w:p w14:paraId="16291E18">
      <w:pPr>
        <w:pageBreakBefore w:val="0"/>
        <w:widowControl/>
        <w:shd w:val="clear" w:color="auto"/>
        <w:overflowPunct/>
        <w:topLinePunct w:val="0"/>
        <w:bidi w:val="0"/>
        <w:spacing w:line="540" w:lineRule="exact"/>
        <w:ind w:firstLine="723" w:firstLineChars="300"/>
        <w:rPr>
          <w:rFonts w:hint="eastAsia" w:ascii="宋体" w:hAnsi="宋体" w:eastAsia="宋体" w:cs="宋体"/>
          <w:b/>
          <w:bCs/>
          <w:color w:val="auto"/>
          <w:kern w:val="0"/>
          <w:sz w:val="24"/>
          <w:szCs w:val="24"/>
          <w:highlight w:val="none"/>
          <w:u w:val="single"/>
        </w:rPr>
      </w:pPr>
      <w:r>
        <w:rPr>
          <w:rFonts w:hint="eastAsia" w:ascii="宋体" w:hAnsi="宋体" w:eastAsia="宋体" w:cs="宋体"/>
          <w:b/>
          <w:bCs/>
          <w:color w:val="auto"/>
          <w:kern w:val="0"/>
          <w:sz w:val="24"/>
          <w:szCs w:val="24"/>
          <w:highlight w:val="none"/>
        </w:rPr>
        <w:t>最高限价（元）：</w:t>
      </w:r>
      <w:r>
        <w:rPr>
          <w:rFonts w:hint="eastAsia" w:ascii="宋体" w:hAnsi="宋体" w:eastAsia="宋体" w:cs="宋体"/>
          <w:b/>
          <w:bCs/>
          <w:color w:val="auto"/>
          <w:kern w:val="0"/>
          <w:sz w:val="24"/>
          <w:szCs w:val="24"/>
          <w:highlight w:val="none"/>
          <w:lang w:val="en-US" w:eastAsia="zh-CN"/>
        </w:rPr>
        <w:t>315000.00</w:t>
      </w:r>
      <w:r>
        <w:rPr>
          <w:rFonts w:hint="eastAsia" w:ascii="宋体" w:hAnsi="宋体" w:eastAsia="宋体" w:cs="宋体"/>
          <w:b/>
          <w:bCs/>
          <w:color w:val="auto"/>
          <w:kern w:val="0"/>
          <w:sz w:val="24"/>
          <w:szCs w:val="24"/>
          <w:highlight w:val="none"/>
        </w:rPr>
        <w:t>元 ，大写（人民币）：</w:t>
      </w:r>
      <w:r>
        <w:rPr>
          <w:rFonts w:hint="eastAsia" w:ascii="宋体" w:hAnsi="宋体" w:eastAsia="宋体" w:cs="宋体"/>
          <w:b/>
          <w:bCs/>
          <w:color w:val="auto"/>
          <w:kern w:val="0"/>
          <w:sz w:val="24"/>
          <w:szCs w:val="24"/>
          <w:highlight w:val="none"/>
          <w:lang w:val="en-US" w:eastAsia="zh-CN"/>
        </w:rPr>
        <w:t>叁拾壹万伍仟</w:t>
      </w:r>
      <w:r>
        <w:rPr>
          <w:rFonts w:hint="eastAsia" w:ascii="宋体" w:hAnsi="宋体" w:eastAsia="宋体" w:cs="宋体"/>
          <w:b/>
          <w:bCs/>
          <w:color w:val="auto"/>
          <w:kern w:val="0"/>
          <w:sz w:val="24"/>
          <w:szCs w:val="24"/>
          <w:highlight w:val="none"/>
          <w:u w:val="single"/>
          <w:lang w:val="en-US" w:eastAsia="zh-CN"/>
        </w:rPr>
        <w:t>元整；</w:t>
      </w:r>
    </w:p>
    <w:bookmarkEnd w:id="2"/>
    <w:p w14:paraId="326D1CA8">
      <w:pPr>
        <w:pStyle w:val="8"/>
        <w:spacing w:before="262" w:line="321" w:lineRule="auto"/>
        <w:ind w:right="30"/>
        <w:jc w:val="both"/>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rPr>
        <w:t>（五）项目概况：</w:t>
      </w:r>
      <w:bookmarkStart w:id="5" w:name="OLE_LINK4"/>
      <w:r>
        <w:rPr>
          <w:rFonts w:hint="eastAsia" w:ascii="宋体" w:hAnsi="宋体" w:eastAsia="宋体" w:cs="宋体"/>
          <w:b w:val="0"/>
          <w:bCs w:val="0"/>
          <w:color w:val="auto"/>
          <w:kern w:val="0"/>
          <w:sz w:val="24"/>
          <w:szCs w:val="24"/>
          <w:highlight w:val="none"/>
          <w:lang w:val="en-US" w:eastAsia="zh-CN" w:bidi="ar-SA"/>
        </w:rPr>
        <w:t>本项目为仪陇县2025年第一批中央和省级财政衔接推进乡村振兴补助资金项目(保平镇有机黄花苗采购),项目位于仪陇县保平镇板桥沟村，主要建设内容为：计划采购50万株有机黄花苗。</w:t>
      </w:r>
    </w:p>
    <w:bookmarkEnd w:id="5"/>
    <w:p w14:paraId="6C327BFE">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（六）本项目是否有为采购项目提供整体设计、规范编制或者项目管理、监理、检测等服务的供应商：</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0"/>
          <w:sz w:val="24"/>
          <w:szCs w:val="24"/>
          <w:highlight w:val="none"/>
        </w:rPr>
        <w:t>是</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0"/>
          <w:sz w:val="24"/>
          <w:szCs w:val="24"/>
          <w:highlight w:val="none"/>
        </w:rPr>
        <w:t>否</w:t>
      </w:r>
    </w:p>
    <w:p w14:paraId="19807DC8">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（若选是，请</w:t>
      </w:r>
      <w:r>
        <w:rPr>
          <w:rFonts w:hint="eastAsia" w:ascii="宋体" w:hAnsi="宋体" w:eastAsia="宋体" w:cs="宋体"/>
          <w:b/>
          <w:bCs/>
          <w:color w:val="auto"/>
          <w:kern w:val="0"/>
          <w:sz w:val="24"/>
          <w:szCs w:val="24"/>
          <w:highlight w:val="none"/>
          <w:lang w:val="en-US" w:eastAsia="zh-CN"/>
        </w:rPr>
        <w:t>填写被调查</w:t>
      </w:r>
      <w:r>
        <w:rPr>
          <w:rFonts w:hint="eastAsia" w:ascii="宋体" w:hAnsi="宋体" w:eastAsia="宋体" w:cs="宋体"/>
          <w:b/>
          <w:bCs/>
          <w:color w:val="auto"/>
          <w:kern w:val="0"/>
          <w:sz w:val="24"/>
          <w:szCs w:val="24"/>
          <w:highlight w:val="none"/>
        </w:rPr>
        <w:t>供应商信息）</w:t>
      </w:r>
    </w:p>
    <w:p w14:paraId="42B35DAF">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u w:val="single"/>
          <w:lang w:val="en-US" w:eastAsia="zh-CN"/>
        </w:rPr>
      </w:pPr>
      <w:r>
        <w:rPr>
          <w:rFonts w:hint="eastAsia" w:ascii="宋体" w:hAnsi="宋体" w:eastAsia="宋体" w:cs="宋体"/>
          <w:b/>
          <w:bCs/>
          <w:color w:val="auto"/>
          <w:kern w:val="0"/>
          <w:sz w:val="24"/>
          <w:szCs w:val="24"/>
          <w:highlight w:val="none"/>
        </w:rPr>
        <w:t>供应商名称：</w:t>
      </w:r>
      <w:r>
        <w:rPr>
          <w:rFonts w:hint="eastAsia" w:ascii="宋体" w:hAnsi="宋体" w:eastAsia="宋体" w:cs="宋体"/>
          <w:b/>
          <w:bCs/>
          <w:color w:val="auto"/>
          <w:kern w:val="0"/>
          <w:sz w:val="24"/>
          <w:szCs w:val="24"/>
          <w:highlight w:val="none"/>
          <w:lang w:val="en-US" w:eastAsia="zh-CN"/>
        </w:rPr>
        <w:t>/</w:t>
      </w:r>
    </w:p>
    <w:p w14:paraId="288AD047">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u w:val="single"/>
          <w:lang w:val="en-US" w:eastAsia="zh-CN"/>
        </w:rPr>
      </w:pPr>
      <w:r>
        <w:rPr>
          <w:rFonts w:hint="eastAsia" w:ascii="宋体" w:hAnsi="宋体" w:eastAsia="宋体" w:cs="宋体"/>
          <w:b/>
          <w:bCs/>
          <w:color w:val="auto"/>
          <w:kern w:val="0"/>
          <w:sz w:val="24"/>
          <w:szCs w:val="24"/>
          <w:highlight w:val="none"/>
        </w:rPr>
        <w:t>供应商统一社会信用代码：</w:t>
      </w:r>
      <w:r>
        <w:rPr>
          <w:rFonts w:hint="eastAsia" w:ascii="宋体" w:hAnsi="宋体" w:eastAsia="宋体" w:cs="宋体"/>
          <w:b/>
          <w:bCs/>
          <w:color w:val="auto"/>
          <w:kern w:val="0"/>
          <w:sz w:val="24"/>
          <w:szCs w:val="24"/>
          <w:highlight w:val="none"/>
          <w:lang w:val="en-US" w:eastAsia="zh-CN"/>
        </w:rPr>
        <w:t>/</w:t>
      </w:r>
    </w:p>
    <w:p w14:paraId="02B407AE">
      <w:pPr>
        <w:pageBreakBefore w:val="0"/>
        <w:shd w:val="clear"/>
        <w:overflowPunct/>
        <w:topLinePunct w:val="0"/>
        <w:bidi w:val="0"/>
        <w:spacing w:line="54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二、项目需求调查情况</w:t>
      </w:r>
    </w:p>
    <w:p w14:paraId="3C7ED388">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val="0"/>
          <w:bCs w:val="0"/>
          <w:color w:val="auto"/>
          <w:kern w:val="0"/>
          <w:sz w:val="24"/>
          <w:szCs w:val="24"/>
          <w:highlight w:val="none"/>
        </w:rPr>
        <w:t>依据《政府采购需求管理办法》的规定，本项目</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0"/>
          <w:sz w:val="24"/>
          <w:szCs w:val="24"/>
          <w:highlight w:val="none"/>
        </w:rPr>
        <w:t>需要</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kern w:val="0"/>
          <w:sz w:val="24"/>
          <w:szCs w:val="24"/>
          <w:highlight w:val="none"/>
        </w:rPr>
        <w:t>不需要需求调查</w:t>
      </w:r>
      <w:r>
        <w:rPr>
          <w:rFonts w:hint="eastAsia" w:ascii="宋体" w:hAnsi="宋体" w:eastAsia="宋体" w:cs="宋体"/>
          <w:b w:val="0"/>
          <w:bCs w:val="0"/>
          <w:color w:val="auto"/>
          <w:kern w:val="0"/>
          <w:sz w:val="24"/>
          <w:szCs w:val="24"/>
          <w:highlight w:val="none"/>
          <w:lang w:eastAsia="zh-CN"/>
        </w:rPr>
        <w:t>。</w:t>
      </w:r>
    </w:p>
    <w:p w14:paraId="0690FCF3">
      <w:pPr>
        <w:pageBreakBefore w:val="0"/>
        <w:shd w:val="clear"/>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三、项目采购实施计划</w:t>
      </w:r>
    </w:p>
    <w:p w14:paraId="4CE1E4D9">
      <w:pPr>
        <w:pStyle w:val="12"/>
        <w:keepNext w:val="0"/>
        <w:keepLines w:val="0"/>
        <w:pageBreakBefore w:val="0"/>
        <w:shd w:val="clear"/>
        <w:kinsoku/>
        <w:wordWrap/>
        <w:overflowPunct/>
        <w:topLinePunct w:val="0"/>
        <w:bidi w:val="0"/>
        <w:adjustRightInd w:val="0"/>
        <w:snapToGrid w:val="0"/>
        <w:spacing w:line="540" w:lineRule="exact"/>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（一）组织形式和委托代理安排: 【</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集中采购（部门集采□、委托政府采购中心</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分散采购（自行采购□、委托政府采购中心□、委托社会代理机构</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w:t>
      </w:r>
    </w:p>
    <w:p w14:paraId="1A3185F5">
      <w:pPr>
        <w:pStyle w:val="12"/>
        <w:keepNext w:val="0"/>
        <w:keepLines w:val="0"/>
        <w:pageBreakBefore w:val="0"/>
        <w:shd w:val="clear"/>
        <w:kinsoku/>
        <w:wordWrap/>
        <w:overflowPunct/>
        <w:topLinePunct w:val="0"/>
        <w:bidi w:val="0"/>
        <w:adjustRightInd w:val="0"/>
        <w:snapToGrid w:val="0"/>
        <w:spacing w:line="54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0"/>
          <w:sz w:val="24"/>
          <w:szCs w:val="24"/>
          <w:highlight w:val="none"/>
        </w:rPr>
        <w:t>（二）采购方式：</w:t>
      </w:r>
      <w:r>
        <w:rPr>
          <w:rFonts w:hint="eastAsia" w:ascii="宋体" w:hAnsi="宋体" w:eastAsia="宋体" w:cs="宋体"/>
          <w:b w:val="0"/>
          <w:bCs w:val="0"/>
          <w:color w:val="auto"/>
          <w:sz w:val="24"/>
          <w:szCs w:val="24"/>
          <w:highlight w:val="none"/>
        </w:rPr>
        <w:t>□公</w:t>
      </w:r>
      <w:r>
        <w:rPr>
          <w:rFonts w:hint="eastAsia" w:ascii="宋体" w:hAnsi="宋体" w:eastAsia="宋体" w:cs="宋体"/>
          <w:b w:val="0"/>
          <w:bCs w:val="0"/>
          <w:color w:val="auto"/>
          <w:kern w:val="0"/>
          <w:sz w:val="24"/>
          <w:szCs w:val="24"/>
          <w:highlight w:val="none"/>
        </w:rPr>
        <w:t>开招标</w:t>
      </w:r>
      <w:r>
        <w:rPr>
          <w:rFonts w:hint="eastAsia" w:hAnsi="宋体" w:eastAsia="宋体" w:cs="宋体"/>
          <w:b w:val="0"/>
          <w:bCs w:val="0"/>
          <w:color w:val="auto"/>
          <w:sz w:val="24"/>
          <w:szCs w:val="24"/>
          <w:highlight w:val="none"/>
          <w:lang w:eastAsia="zh-CN"/>
        </w:rPr>
        <w:t>□</w:t>
      </w:r>
      <w:r>
        <w:rPr>
          <w:rFonts w:hint="eastAsia" w:ascii="宋体" w:hAnsi="宋体" w:eastAsia="宋体" w:cs="宋体"/>
          <w:b w:val="0"/>
          <w:bCs w:val="0"/>
          <w:color w:val="auto"/>
          <w:kern w:val="0"/>
          <w:sz w:val="24"/>
          <w:szCs w:val="24"/>
          <w:highlight w:val="none"/>
        </w:rPr>
        <w:t>竞争性谈判</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竞争性磋</w:t>
      </w:r>
      <w:r>
        <w:rPr>
          <w:rFonts w:hint="eastAsia" w:ascii="宋体" w:hAnsi="宋体" w:eastAsia="宋体" w:cs="宋体"/>
          <w:b w:val="0"/>
          <w:bCs w:val="0"/>
          <w:color w:val="auto"/>
          <w:kern w:val="0"/>
          <w:sz w:val="24"/>
          <w:szCs w:val="24"/>
          <w:highlight w:val="none"/>
        </w:rPr>
        <w:t>商</w:t>
      </w:r>
      <w:r>
        <w:rPr>
          <w:rFonts w:hint="eastAsia"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询价</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0"/>
          <w:sz w:val="24"/>
          <w:szCs w:val="24"/>
          <w:highlight w:val="none"/>
        </w:rPr>
        <w:t>单一来源采购</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邀请招标</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框架协议采购</w:t>
      </w:r>
    </w:p>
    <w:p w14:paraId="08DF1CEF">
      <w:pPr>
        <w:pStyle w:val="21"/>
        <w:pageBreakBefore w:val="0"/>
        <w:shd w:val="clear"/>
        <w:overflowPunct/>
        <w:topLinePunct w:val="0"/>
        <w:bidi w:val="0"/>
        <w:spacing w:line="540" w:lineRule="exact"/>
        <w:rPr>
          <w:rFonts w:hint="eastAsia" w:ascii="宋体" w:hAnsi="宋体" w:eastAsia="宋体" w:cs="宋体"/>
          <w:b w:val="0"/>
          <w:bCs w:val="0"/>
          <w:color w:val="auto"/>
          <w:kern w:val="0"/>
          <w:sz w:val="24"/>
          <w:szCs w:val="24"/>
          <w:highlight w:val="none"/>
          <w:u w:val="single"/>
          <w:lang w:val="en-US" w:eastAsia="zh-CN" w:bidi="ar-SA"/>
        </w:rPr>
      </w:pPr>
      <w:r>
        <w:rPr>
          <w:rFonts w:hint="eastAsia" w:ascii="宋体" w:hAnsi="宋体" w:eastAsia="宋体" w:cs="宋体"/>
          <w:b/>
          <w:bCs/>
          <w:color w:val="auto"/>
          <w:kern w:val="0"/>
          <w:sz w:val="24"/>
          <w:szCs w:val="24"/>
          <w:highlight w:val="none"/>
          <w:lang w:val="en-US" w:eastAsia="zh-CN" w:bidi="ar-SA"/>
        </w:rPr>
        <w:t>选择采购方式的理由：</w:t>
      </w:r>
      <w:r>
        <w:rPr>
          <w:rFonts w:hint="eastAsia" w:ascii="宋体" w:hAnsi="宋体" w:eastAsia="宋体" w:cs="宋体"/>
          <w:b w:val="0"/>
          <w:bCs w:val="0"/>
          <w:color w:val="auto"/>
          <w:kern w:val="0"/>
          <w:sz w:val="24"/>
          <w:szCs w:val="24"/>
          <w:highlight w:val="none"/>
          <w:u w:val="single"/>
          <w:lang w:val="en-US" w:eastAsia="zh-CN" w:bidi="ar-SA"/>
        </w:rPr>
        <w:t>未达到公招数额标准，符合法定适用情形和需求特点。</w:t>
      </w:r>
    </w:p>
    <w:p w14:paraId="724726FD">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（三）本项目是否单位自行组织采购：否</w:t>
      </w:r>
    </w:p>
    <w:p w14:paraId="79CDE279">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（四）采购包划分：</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不分包采购</w:t>
      </w:r>
      <w:r>
        <w:rPr>
          <w:rFonts w:hint="eastAsia" w:ascii="宋体" w:hAnsi="宋体" w:eastAsia="宋体" w:cs="宋体"/>
          <w:b w:val="0"/>
          <w:bCs w:val="0"/>
          <w:color w:val="auto"/>
          <w:sz w:val="24"/>
          <w:szCs w:val="24"/>
          <w:highlight w:val="none"/>
        </w:rPr>
        <w:sym w:font="Wingdings 2" w:char="00A3"/>
      </w:r>
      <w:r>
        <w:rPr>
          <w:rFonts w:hint="eastAsia" w:ascii="宋体" w:hAnsi="宋体" w:eastAsia="宋体" w:cs="宋体"/>
          <w:b w:val="0"/>
          <w:bCs w:val="0"/>
          <w:color w:val="auto"/>
          <w:kern w:val="0"/>
          <w:sz w:val="24"/>
          <w:szCs w:val="24"/>
          <w:highlight w:val="none"/>
        </w:rPr>
        <w:t>分包采购</w:t>
      </w:r>
    </w:p>
    <w:p w14:paraId="24966FED">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合同定价方式：</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 xml:space="preserve">固定总价  </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固定单价  □成本补偿 □绩效激励</w:t>
      </w:r>
    </w:p>
    <w:p w14:paraId="40A5F873">
      <w:pPr>
        <w:pageBreakBefore w:val="0"/>
        <w:widowControl/>
        <w:shd w:val="clear" w:color="auto"/>
        <w:overflowPunct/>
        <w:topLinePunct w:val="0"/>
        <w:bidi w:val="0"/>
        <w:spacing w:line="540" w:lineRule="exact"/>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 xml:space="preserve">选择该定价方式的理由： </w:t>
      </w:r>
      <w:r>
        <w:rPr>
          <w:rFonts w:hint="eastAsia" w:ascii="宋体" w:hAnsi="宋体" w:eastAsia="宋体" w:cs="宋体"/>
          <w:b w:val="0"/>
          <w:bCs w:val="0"/>
          <w:color w:val="auto"/>
          <w:kern w:val="0"/>
          <w:sz w:val="24"/>
          <w:szCs w:val="24"/>
          <w:highlight w:val="none"/>
        </w:rPr>
        <w:t>采购的货物规格、标准统一、现货货源充足且价格变化幅度小的政府采购项目</w:t>
      </w:r>
    </w:p>
    <w:p w14:paraId="174BD837">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采购品目：</w:t>
      </w:r>
    </w:p>
    <w:p w14:paraId="1A23057E">
      <w:pPr>
        <w:pageBreakBefore w:val="0"/>
        <w:widowControl/>
        <w:shd w:val="clear" w:color="auto"/>
        <w:overflowPunct/>
        <w:topLinePunct w:val="0"/>
        <w:bidi w:val="0"/>
        <w:spacing w:line="540" w:lineRule="exact"/>
        <w:outlineLvl w:val="9"/>
        <w:rPr>
          <w:rFonts w:hint="eastAsia" w:ascii="宋体" w:hAnsi="宋体" w:eastAsia="宋体" w:cs="宋体"/>
          <w:b w:val="0"/>
          <w:bCs w:val="0"/>
          <w:color w:val="auto"/>
          <w:kern w:val="0"/>
          <w:sz w:val="24"/>
          <w:szCs w:val="24"/>
          <w:highlight w:val="none"/>
          <w:u w:val="single"/>
          <w:lang w:val="en-US" w:eastAsia="zh-CN"/>
        </w:rPr>
      </w:pPr>
      <w:r>
        <w:rPr>
          <w:rFonts w:hint="eastAsia" w:ascii="宋体" w:hAnsi="宋体" w:eastAsia="宋体" w:cs="宋体"/>
          <w:b w:val="0"/>
          <w:bCs w:val="0"/>
          <w:color w:val="auto"/>
          <w:kern w:val="0"/>
          <w:sz w:val="24"/>
          <w:szCs w:val="24"/>
          <w:highlight w:val="none"/>
        </w:rPr>
        <w:t>1.是否节能：</w:t>
      </w:r>
      <w:r>
        <w:rPr>
          <w:rFonts w:hint="eastAsia" w:ascii="宋体" w:hAnsi="宋体" w:eastAsia="宋体" w:cs="宋体"/>
          <w:b w:val="0"/>
          <w:bCs w:val="0"/>
          <w:color w:val="auto"/>
          <w:sz w:val="24"/>
          <w:szCs w:val="24"/>
          <w:highlight w:val="none"/>
        </w:rPr>
        <w:sym w:font="Wingdings 2" w:char="00A3"/>
      </w:r>
      <w:r>
        <w:rPr>
          <w:rFonts w:hint="eastAsia" w:ascii="宋体" w:hAnsi="宋体" w:eastAsia="宋体" w:cs="宋体"/>
          <w:b w:val="0"/>
          <w:bCs w:val="0"/>
          <w:color w:val="auto"/>
          <w:kern w:val="0"/>
          <w:sz w:val="24"/>
          <w:szCs w:val="24"/>
          <w:highlight w:val="none"/>
        </w:rPr>
        <w:t>是</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否</w:t>
      </w:r>
    </w:p>
    <w:p w14:paraId="7D581DF7">
      <w:pPr>
        <w:pageBreakBefore w:val="0"/>
        <w:widowControl/>
        <w:shd w:val="clear" w:color="auto"/>
        <w:overflowPunct/>
        <w:topLinePunct w:val="0"/>
        <w:bidi w:val="0"/>
        <w:spacing w:line="540" w:lineRule="exact"/>
        <w:outlineLvl w:val="9"/>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2.是否环保：</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是</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否</w:t>
      </w:r>
    </w:p>
    <w:p w14:paraId="54E9A1D8">
      <w:pPr>
        <w:pageBreakBefore w:val="0"/>
        <w:widowControl/>
        <w:shd w:val="clear" w:color="auto"/>
        <w:overflowPunct/>
        <w:topLinePunct w:val="0"/>
        <w:bidi w:val="0"/>
        <w:spacing w:line="54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0"/>
          <w:sz w:val="24"/>
          <w:szCs w:val="24"/>
          <w:highlight w:val="none"/>
        </w:rPr>
        <w:t>3.是否允许进口：</w:t>
      </w:r>
      <w:r>
        <w:rPr>
          <w:rFonts w:hint="eastAsia" w:ascii="宋体" w:hAnsi="宋体" w:eastAsia="宋体" w:cs="宋体"/>
          <w:b w:val="0"/>
          <w:bCs w:val="0"/>
          <w:color w:val="auto"/>
          <w:sz w:val="24"/>
          <w:szCs w:val="24"/>
          <w:highlight w:val="none"/>
        </w:rPr>
        <w:t>□是</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否（若选是，请按照《政府采购进口产品管理办法》（财库（2007)119号）执行。）</w:t>
      </w:r>
      <w:r>
        <w:rPr>
          <w:rFonts w:hint="eastAsia" w:ascii="宋体" w:hAnsi="宋体" w:eastAsia="宋体" w:cs="宋体"/>
          <w:b w:val="0"/>
          <w:bCs w:val="0"/>
          <w:color w:val="auto"/>
          <w:sz w:val="24"/>
          <w:szCs w:val="24"/>
          <w:highlight w:val="none"/>
          <w:lang w:val="en-US" w:eastAsia="zh-CN"/>
        </w:rPr>
        <w:t>注</w:t>
      </w:r>
      <w:r>
        <w:rPr>
          <w:rFonts w:hint="eastAsia" w:ascii="宋体" w:hAnsi="宋体" w:eastAsia="宋体" w:cs="宋体"/>
          <w:b w:val="0"/>
          <w:bCs w:val="0"/>
          <w:color w:val="auto"/>
          <w:sz w:val="24"/>
          <w:szCs w:val="24"/>
          <w:highlight w:val="none"/>
          <w:lang w:eastAsia="zh-CN"/>
        </w:rPr>
        <w:t>：进口产品是指通过中国海关报关验放进入中国境内且产自关境外的产品。</w:t>
      </w:r>
    </w:p>
    <w:p w14:paraId="0D8CBEE4">
      <w:pPr>
        <w:pageBreakBefore w:val="0"/>
        <w:shd w:val="clear"/>
        <w:overflowPunct/>
        <w:topLinePunct w:val="0"/>
        <w:bidi w:val="0"/>
        <w:spacing w:line="540" w:lineRule="exact"/>
        <w:outlineLvl w:val="9"/>
        <w:rPr>
          <w:rFonts w:hint="eastAsia" w:ascii="宋体" w:hAnsi="宋体" w:eastAsia="宋体" w:cs="宋体"/>
          <w:b/>
          <w:bCs/>
          <w:color w:val="auto"/>
          <w:kern w:val="0"/>
          <w:sz w:val="24"/>
          <w:szCs w:val="24"/>
          <w:highlight w:val="none"/>
        </w:rPr>
      </w:pPr>
      <w:r>
        <w:rPr>
          <w:rFonts w:hint="eastAsia" w:ascii="宋体" w:hAnsi="宋体" w:eastAsia="宋体" w:cs="宋体"/>
          <w:b w:val="0"/>
          <w:bCs w:val="0"/>
          <w:color w:val="auto"/>
          <w:kern w:val="0"/>
          <w:sz w:val="24"/>
          <w:szCs w:val="24"/>
          <w:highlight w:val="none"/>
        </w:rPr>
        <w:t>4.所属行业</w:t>
      </w:r>
      <w:r>
        <w:rPr>
          <w:rFonts w:hint="eastAsia" w:ascii="宋体" w:hAnsi="宋体" w:eastAsia="宋体" w:cs="宋体"/>
          <w:b w:val="0"/>
          <w:bCs w:val="0"/>
          <w:color w:val="auto"/>
          <w:kern w:val="0"/>
          <w:sz w:val="24"/>
          <w:szCs w:val="24"/>
          <w:highlight w:val="none"/>
        </w:rPr>
        <w:t>：</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农、林、牧、渔业，</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工业，□建筑业，□批发业，□零售业，□交通运输业，□仓储业，□邮政业，□住宿业，□餐饮业，</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信息传输业，</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软件和信息技术服务业，□房地产开发经营，□物业管理，</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租赁和商业服务业，</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其他未列明行业。（涉及多个标的的，应逐一明确多个采购标的对应的中小企业划分标准所属行业）</w:t>
      </w:r>
    </w:p>
    <w:p w14:paraId="31B1A5C9">
      <w:pPr>
        <w:pageBreakBefore w:val="0"/>
        <w:shd w:val="clear"/>
        <w:overflowPunct/>
        <w:topLinePunct w:val="0"/>
        <w:bidi w:val="0"/>
        <w:spacing w:line="540" w:lineRule="exact"/>
        <w:ind w:firstLine="720" w:firstLineChars="3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注：1.可参照《财库〔2020〕46号关于印发《政府采购促进中小企业发展管理办法》的通知》《大中小微企业划分标准》《四川省政府采购面向中小企业采购品目指导目录》《工业和信息化部 国家统计局 国家发展和改革委员会 财政部关于印发中小企业划型标准规定的通知》工信部联企业[2011]300号</w:t>
      </w:r>
      <w:r>
        <w:rPr>
          <w:rFonts w:hint="eastAsia" w:ascii="宋体" w:hAnsi="宋体" w:eastAsia="宋体" w:cs="宋体"/>
          <w:b w:val="0"/>
          <w:bCs w:val="0"/>
          <w:color w:val="auto"/>
          <w:kern w:val="0"/>
          <w:sz w:val="24"/>
          <w:szCs w:val="24"/>
          <w:highlight w:val="none"/>
          <w:lang w:val="en-US" w:eastAsia="zh-CN"/>
        </w:rPr>
        <w:t>和</w:t>
      </w:r>
      <w:r>
        <w:rPr>
          <w:rFonts w:hint="eastAsia" w:ascii="宋体" w:hAnsi="宋体" w:eastAsia="宋体" w:cs="宋体"/>
          <w:b w:val="0"/>
          <w:bCs w:val="0"/>
          <w:color w:val="auto"/>
          <w:kern w:val="0"/>
          <w:sz w:val="24"/>
          <w:szCs w:val="24"/>
          <w:highlight w:val="none"/>
        </w:rPr>
        <w:t>《2017国民经济行业分类注释》</w:t>
      </w:r>
      <w:r>
        <w:rPr>
          <w:rFonts w:hint="eastAsia" w:ascii="宋体" w:hAnsi="宋体" w:eastAsia="宋体" w:cs="宋体"/>
          <w:b w:val="0"/>
          <w:bCs w:val="0"/>
          <w:color w:val="auto"/>
          <w:kern w:val="0"/>
          <w:sz w:val="24"/>
          <w:szCs w:val="24"/>
          <w:highlight w:val="none"/>
          <w:lang w:val="en-US" w:eastAsia="zh-CN"/>
        </w:rPr>
        <w:t>确定所属行业，不能随意或错误确定所属行业</w:t>
      </w:r>
      <w:r>
        <w:rPr>
          <w:rFonts w:hint="eastAsia" w:ascii="宋体" w:hAnsi="宋体" w:eastAsia="宋体" w:cs="宋体"/>
          <w:b w:val="0"/>
          <w:bCs w:val="0"/>
          <w:color w:val="auto"/>
          <w:kern w:val="0"/>
          <w:sz w:val="24"/>
          <w:szCs w:val="24"/>
          <w:highlight w:val="none"/>
        </w:rPr>
        <w:t>；3.在采购货物中，采购标的所属行业基本上都是制造业，也就是300号文里面的“工业”。</w:t>
      </w:r>
    </w:p>
    <w:p w14:paraId="6D4F20D7">
      <w:pPr>
        <w:pageBreakBefore w:val="0"/>
        <w:widowControl/>
        <w:shd w:val="clear" w:color="auto"/>
        <w:overflowPunct/>
        <w:topLinePunct w:val="0"/>
        <w:bidi w:val="0"/>
        <w:spacing w:line="540" w:lineRule="exact"/>
        <w:outlineLvl w:val="9"/>
        <w:rPr>
          <w:rFonts w:hint="eastAsia" w:ascii="宋体" w:hAnsi="宋体" w:eastAsia="宋体" w:cs="宋体"/>
          <w:b w:val="0"/>
          <w:bCs w:val="0"/>
          <w:color w:val="auto"/>
          <w:sz w:val="24"/>
          <w:szCs w:val="24"/>
          <w:highlight w:val="none"/>
        </w:rPr>
      </w:pPr>
      <w:r>
        <w:rPr>
          <w:rFonts w:hint="eastAsia" w:ascii="宋体" w:hAnsi="宋体" w:eastAsia="宋体" w:cs="宋体"/>
          <w:b/>
          <w:bCs/>
          <w:color w:val="auto"/>
          <w:kern w:val="0"/>
          <w:sz w:val="24"/>
          <w:szCs w:val="24"/>
          <w:highlight w:val="none"/>
          <w:lang w:val="en-US" w:eastAsia="zh-CN"/>
        </w:rPr>
        <w:t>5</w:t>
      </w:r>
      <w:r>
        <w:rPr>
          <w:rFonts w:hint="eastAsia" w:ascii="宋体" w:hAnsi="宋体" w:eastAsia="宋体" w:cs="宋体"/>
          <w:b/>
          <w:bCs/>
          <w:color w:val="auto"/>
          <w:kern w:val="0"/>
          <w:sz w:val="24"/>
          <w:szCs w:val="24"/>
          <w:highlight w:val="none"/>
        </w:rPr>
        <w:t>.是否属于核心产品：</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是</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否</w:t>
      </w:r>
    </w:p>
    <w:p w14:paraId="0D850FAD">
      <w:pPr>
        <w:pStyle w:val="44"/>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rPr>
        <w:t>若选是，请填写核心产品：</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rPr>
        <w:t>有机黄花苗</w:t>
      </w:r>
      <w:r>
        <w:rPr>
          <w:rFonts w:hint="eastAsia" w:ascii="宋体" w:hAnsi="宋体" w:eastAsia="宋体" w:cs="宋体"/>
          <w:b/>
          <w:bCs/>
          <w:color w:val="auto"/>
          <w:kern w:val="0"/>
          <w:sz w:val="24"/>
          <w:szCs w:val="24"/>
          <w:highlight w:val="none"/>
          <w:lang w:eastAsia="zh-CN"/>
        </w:rPr>
        <w:t>）</w:t>
      </w:r>
    </w:p>
    <w:p w14:paraId="3BA4BF34">
      <w:pPr>
        <w:pageBreakBefore w:val="0"/>
        <w:widowControl/>
        <w:shd w:val="clear" w:color="auto"/>
        <w:overflowPunct/>
        <w:topLinePunct w:val="0"/>
        <w:bidi w:val="0"/>
        <w:spacing w:line="540" w:lineRule="exact"/>
        <w:outlineLvl w:val="9"/>
        <w:rPr>
          <w:rFonts w:hint="eastAsia" w:ascii="宋体" w:hAnsi="宋体" w:eastAsia="宋体" w:cs="宋体"/>
          <w:b/>
          <w:bCs/>
          <w:color w:val="auto"/>
          <w:kern w:val="0"/>
          <w:sz w:val="24"/>
          <w:szCs w:val="24"/>
          <w:highlight w:val="none"/>
          <w:u w:val="single"/>
          <w:lang w:val="en-US" w:eastAsia="zh-CN"/>
        </w:rPr>
      </w:pPr>
      <w:r>
        <w:rPr>
          <w:rFonts w:hint="eastAsia" w:ascii="宋体" w:hAnsi="宋体" w:eastAsia="宋体" w:cs="宋体"/>
          <w:b/>
          <w:bCs/>
          <w:color w:val="auto"/>
          <w:kern w:val="0"/>
          <w:sz w:val="24"/>
          <w:szCs w:val="24"/>
          <w:highlight w:val="none"/>
          <w:lang w:val="en-US" w:eastAsia="zh-CN"/>
        </w:rPr>
        <w:t>6</w:t>
      </w:r>
      <w:r>
        <w:rPr>
          <w:rFonts w:hint="eastAsia" w:ascii="宋体" w:hAnsi="宋体" w:eastAsia="宋体" w:cs="宋体"/>
          <w:b/>
          <w:bCs/>
          <w:color w:val="auto"/>
          <w:kern w:val="0"/>
          <w:sz w:val="24"/>
          <w:szCs w:val="24"/>
          <w:highlight w:val="none"/>
        </w:rPr>
        <w:t>.功能和质量要求：</w:t>
      </w:r>
      <w:r>
        <w:rPr>
          <w:rFonts w:hint="eastAsia" w:ascii="宋体" w:hAnsi="宋体" w:eastAsia="宋体" w:cs="宋体"/>
          <w:b w:val="0"/>
          <w:bCs w:val="0"/>
          <w:color w:val="auto"/>
          <w:kern w:val="0"/>
          <w:sz w:val="24"/>
          <w:szCs w:val="24"/>
          <w:highlight w:val="none"/>
          <w:u w:val="none"/>
          <w:lang w:val="en-US" w:eastAsia="zh-CN"/>
        </w:rPr>
        <w:t>按相关要求和标准执行。</w:t>
      </w:r>
    </w:p>
    <w:p w14:paraId="5A2F4822">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（五）执行政府采购促进中小企业发展的相关政策</w:t>
      </w:r>
    </w:p>
    <w:p w14:paraId="01556B94">
      <w:pPr>
        <w:pageBreakBefore w:val="0"/>
        <w:widowControl/>
        <w:shd w:val="clear" w:color="auto"/>
        <w:overflowPunct/>
        <w:topLinePunct w:val="0"/>
        <w:bidi w:val="0"/>
        <w:spacing w:line="540" w:lineRule="exact"/>
        <w:ind w:firstLine="241" w:firstLineChars="100"/>
        <w:rPr>
          <w:rFonts w:hint="eastAsia" w:ascii="宋体" w:hAnsi="宋体" w:eastAsia="宋体" w:cs="宋体"/>
          <w:b w:val="0"/>
          <w:bCs w:val="0"/>
          <w:color w:val="auto"/>
          <w:kern w:val="0"/>
          <w:sz w:val="24"/>
          <w:szCs w:val="24"/>
          <w:highlight w:val="none"/>
          <w:u w:val="none"/>
        </w:rPr>
      </w:pPr>
      <w:r>
        <w:rPr>
          <w:rFonts w:hint="eastAsia" w:ascii="宋体" w:hAnsi="宋体" w:eastAsia="宋体" w:cs="宋体"/>
          <w:b/>
          <w:bCs/>
          <w:color w:val="auto"/>
          <w:kern w:val="0"/>
          <w:sz w:val="24"/>
          <w:szCs w:val="24"/>
          <w:highlight w:val="none"/>
          <w:u w:val="none"/>
        </w:rPr>
        <w:t>专门面向中小企业采购</w:t>
      </w:r>
    </w:p>
    <w:p w14:paraId="07771976">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rPr>
        <w:t>（六）是否采购环境标识产品：</w:t>
      </w:r>
      <w:r>
        <w:rPr>
          <w:rFonts w:hint="eastAsia" w:ascii="宋体" w:hAnsi="宋体" w:eastAsia="宋体" w:cs="宋体"/>
          <w:b/>
          <w:bCs/>
          <w:color w:val="auto"/>
          <w:kern w:val="0"/>
          <w:sz w:val="24"/>
          <w:szCs w:val="24"/>
          <w:highlight w:val="none"/>
          <w:lang w:val="en-US" w:eastAsia="zh-CN"/>
        </w:rPr>
        <w:t>否</w:t>
      </w:r>
    </w:p>
    <w:p w14:paraId="64E2F5DC">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rPr>
        <w:t>（七）是否采购节能产品：</w:t>
      </w:r>
      <w:r>
        <w:rPr>
          <w:rFonts w:hint="eastAsia" w:ascii="宋体" w:hAnsi="宋体" w:eastAsia="宋体" w:cs="宋体"/>
          <w:b/>
          <w:bCs/>
          <w:color w:val="auto"/>
          <w:kern w:val="0"/>
          <w:sz w:val="24"/>
          <w:szCs w:val="24"/>
          <w:highlight w:val="none"/>
          <w:lang w:val="en-US" w:eastAsia="zh-CN"/>
        </w:rPr>
        <w:t>否</w:t>
      </w:r>
    </w:p>
    <w:p w14:paraId="54301A1D">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rPr>
        <w:t>（八）项目的采购标的是否包含进口产品：</w:t>
      </w:r>
      <w:r>
        <w:rPr>
          <w:rFonts w:hint="eastAsia" w:ascii="宋体" w:hAnsi="宋体" w:eastAsia="宋体" w:cs="宋体"/>
          <w:b/>
          <w:bCs/>
          <w:color w:val="auto"/>
          <w:kern w:val="0"/>
          <w:sz w:val="24"/>
          <w:szCs w:val="24"/>
          <w:highlight w:val="none"/>
          <w:lang w:val="en-US" w:eastAsia="zh-CN"/>
        </w:rPr>
        <w:t>否</w:t>
      </w:r>
    </w:p>
    <w:p w14:paraId="47C3FD28">
      <w:pPr>
        <w:pageBreakBefore w:val="0"/>
        <w:widowControl/>
        <w:shd w:val="clear" w:color="auto"/>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（九）采购标的是否属于政府购买服务：</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是</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否</w:t>
      </w:r>
    </w:p>
    <w:p w14:paraId="3809D444">
      <w:pPr>
        <w:pageBreakBefore w:val="0"/>
        <w:widowControl/>
        <w:shd w:val="clear" w:color="auto"/>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（十）是否属于政务信息系统项目：</w:t>
      </w:r>
      <w:r>
        <w:rPr>
          <w:rFonts w:hint="eastAsia" w:ascii="宋体" w:hAnsi="宋体" w:eastAsia="宋体" w:cs="宋体"/>
          <w:b/>
          <w:bCs/>
          <w:color w:val="auto"/>
          <w:sz w:val="24"/>
          <w:szCs w:val="24"/>
          <w:highlight w:val="none"/>
        </w:rPr>
        <w:t>□是</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否</w:t>
      </w:r>
    </w:p>
    <w:p w14:paraId="7CEB5AC3">
      <w:pPr>
        <w:pageBreakBefore w:val="0"/>
        <w:widowControl/>
        <w:shd w:val="clear" w:color="auto"/>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（十一）是否属于高校、科研院所的科研仪器设备采购：</w:t>
      </w:r>
      <w:r>
        <w:rPr>
          <w:rFonts w:hint="eastAsia" w:ascii="宋体" w:hAnsi="宋体" w:eastAsia="宋体" w:cs="宋体"/>
          <w:b/>
          <w:bCs/>
          <w:color w:val="auto"/>
          <w:sz w:val="24"/>
          <w:szCs w:val="24"/>
          <w:highlight w:val="none"/>
        </w:rPr>
        <w:t>□是</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否</w:t>
      </w:r>
    </w:p>
    <w:p w14:paraId="5D1BE667">
      <w:pPr>
        <w:pageBreakBefore w:val="0"/>
        <w:widowControl/>
        <w:shd w:val="clear" w:color="auto"/>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（十二）是否属于PPP项目：</w:t>
      </w:r>
      <w:r>
        <w:rPr>
          <w:rFonts w:hint="eastAsia" w:ascii="宋体" w:hAnsi="宋体" w:eastAsia="宋体" w:cs="宋体"/>
          <w:b/>
          <w:bCs/>
          <w:color w:val="auto"/>
          <w:sz w:val="24"/>
          <w:szCs w:val="24"/>
          <w:highlight w:val="none"/>
        </w:rPr>
        <w:t>□是</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否</w:t>
      </w:r>
    </w:p>
    <w:p w14:paraId="61C7CAE5">
      <w:pPr>
        <w:pageBreakBefore w:val="0"/>
        <w:widowControl/>
        <w:shd w:val="clear" w:color="auto"/>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（十三）是否属于一签多年项目：</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是</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否</w:t>
      </w:r>
    </w:p>
    <w:p w14:paraId="0232C825">
      <w:pPr>
        <w:pageBreakBefore w:val="0"/>
        <w:shd w:val="clear"/>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四、项目需求及分包情况、采购标的</w:t>
      </w:r>
    </w:p>
    <w:p w14:paraId="10830312">
      <w:pPr>
        <w:pageBreakBefore w:val="0"/>
        <w:widowControl/>
        <w:shd w:val="clear" w:color="auto"/>
        <w:overflowPunct/>
        <w:topLinePunct w:val="0"/>
        <w:bidi w:val="0"/>
        <w:spacing w:line="540" w:lineRule="exact"/>
        <w:outlineLvl w:val="9"/>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（一）分包名称：合同包一</w:t>
      </w:r>
    </w:p>
    <w:p w14:paraId="2296F570">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1.执行政府采购促进中小企业发展的相关政策</w:t>
      </w:r>
    </w:p>
    <w:p w14:paraId="257B9181">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 </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专门面向中小企业采购</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kern w:val="0"/>
          <w:sz w:val="24"/>
          <w:szCs w:val="24"/>
          <w:highlight w:val="none"/>
        </w:rPr>
        <w:t>不专门面向中小企业采购</w:t>
      </w:r>
    </w:p>
    <w:p w14:paraId="2A3292E2">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2)面向的企业规模：</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中小企业</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小微企业</w:t>
      </w:r>
    </w:p>
    <w:p w14:paraId="073655F8">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3)预留形式：</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设置专门采购包预留</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0"/>
          <w:sz w:val="24"/>
          <w:szCs w:val="24"/>
          <w:highlight w:val="none"/>
        </w:rPr>
        <w:t>以联合体形式参加</w:t>
      </w:r>
      <w:r>
        <w:rPr>
          <w:rFonts w:hint="eastAsia" w:ascii="宋体" w:hAnsi="宋体" w:eastAsia="宋体" w:cs="宋体"/>
          <w:b w:val="0"/>
          <w:bCs w:val="0"/>
          <w:color w:val="auto"/>
          <w:sz w:val="24"/>
          <w:szCs w:val="24"/>
          <w:highlight w:val="none"/>
        </w:rPr>
        <w:t>□要求合同分包</w:t>
      </w:r>
    </w:p>
    <w:p w14:paraId="20E14E4D">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4)预留比例：</w:t>
      </w:r>
      <w:r>
        <w:rPr>
          <w:rFonts w:hint="eastAsia" w:ascii="宋体" w:hAnsi="宋体" w:eastAsia="宋体" w:cs="宋体"/>
          <w:b w:val="0"/>
          <w:bCs w:val="0"/>
          <w:color w:val="auto"/>
          <w:kern w:val="0"/>
          <w:sz w:val="24"/>
          <w:szCs w:val="24"/>
          <w:highlight w:val="none"/>
        </w:rPr>
        <w:t>预留比列为100%</w:t>
      </w:r>
    </w:p>
    <w:p w14:paraId="1D072145">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u w:val="single"/>
          <w:lang w:val="en-US" w:eastAsia="zh-CN"/>
        </w:rPr>
      </w:pPr>
      <w:r>
        <w:rPr>
          <w:rFonts w:hint="eastAsia" w:ascii="宋体" w:hAnsi="宋体" w:eastAsia="宋体" w:cs="宋体"/>
          <w:b/>
          <w:bCs/>
          <w:color w:val="auto"/>
          <w:kern w:val="0"/>
          <w:sz w:val="24"/>
          <w:szCs w:val="24"/>
          <w:highlight w:val="none"/>
        </w:rPr>
        <w:t>2.预算金额（元）：</w:t>
      </w:r>
      <w:r>
        <w:rPr>
          <w:rFonts w:hint="eastAsia" w:ascii="宋体" w:hAnsi="宋体" w:eastAsia="宋体" w:cs="宋体"/>
          <w:b/>
          <w:bCs/>
          <w:color w:val="auto"/>
          <w:kern w:val="0"/>
          <w:sz w:val="24"/>
          <w:szCs w:val="24"/>
          <w:highlight w:val="none"/>
          <w:lang w:val="en-US" w:eastAsia="zh-CN"/>
        </w:rPr>
        <w:t>315000.00</w:t>
      </w:r>
      <w:r>
        <w:rPr>
          <w:rFonts w:hint="eastAsia" w:ascii="宋体" w:hAnsi="宋体" w:eastAsia="宋体" w:cs="宋体"/>
          <w:b/>
          <w:bCs/>
          <w:color w:val="auto"/>
          <w:kern w:val="0"/>
          <w:sz w:val="24"/>
          <w:szCs w:val="24"/>
          <w:highlight w:val="none"/>
        </w:rPr>
        <w:t>元 ，大写（人民币）：</w:t>
      </w:r>
      <w:r>
        <w:rPr>
          <w:rFonts w:hint="eastAsia" w:ascii="宋体" w:hAnsi="宋体" w:eastAsia="宋体" w:cs="宋体"/>
          <w:b/>
          <w:bCs/>
          <w:color w:val="auto"/>
          <w:kern w:val="0"/>
          <w:sz w:val="24"/>
          <w:szCs w:val="24"/>
          <w:highlight w:val="none"/>
          <w:lang w:val="en-US" w:eastAsia="zh-CN"/>
        </w:rPr>
        <w:t>叁拾壹万伍仟</w:t>
      </w:r>
      <w:r>
        <w:rPr>
          <w:rFonts w:hint="eastAsia" w:ascii="宋体" w:hAnsi="宋体" w:eastAsia="宋体" w:cs="宋体"/>
          <w:b/>
          <w:bCs/>
          <w:color w:val="auto"/>
          <w:kern w:val="0"/>
          <w:sz w:val="24"/>
          <w:szCs w:val="24"/>
          <w:highlight w:val="none"/>
          <w:u w:val="single"/>
          <w:lang w:val="en-US" w:eastAsia="zh-CN"/>
        </w:rPr>
        <w:t>元整；</w:t>
      </w:r>
    </w:p>
    <w:p w14:paraId="3BAC3407">
      <w:pPr>
        <w:pageBreakBefore w:val="0"/>
        <w:widowControl/>
        <w:shd w:val="clear" w:color="auto"/>
        <w:overflowPunct/>
        <w:topLinePunct w:val="0"/>
        <w:bidi w:val="0"/>
        <w:spacing w:line="540" w:lineRule="exact"/>
        <w:ind w:firstLine="241" w:firstLineChars="100"/>
        <w:rPr>
          <w:rFonts w:hint="eastAsia" w:ascii="宋体" w:hAnsi="宋体" w:eastAsia="宋体" w:cs="宋体"/>
          <w:b w:val="0"/>
          <w:bCs w:val="0"/>
          <w:color w:val="auto"/>
          <w:kern w:val="0"/>
          <w:sz w:val="24"/>
          <w:szCs w:val="24"/>
          <w:highlight w:val="none"/>
          <w:u w:val="single"/>
          <w:lang w:val="en-US" w:eastAsia="zh-CN"/>
        </w:rPr>
      </w:pPr>
      <w:r>
        <w:rPr>
          <w:rFonts w:hint="eastAsia" w:ascii="宋体" w:hAnsi="宋体" w:eastAsia="宋体" w:cs="宋体"/>
          <w:b/>
          <w:bCs/>
          <w:color w:val="auto"/>
          <w:kern w:val="0"/>
          <w:sz w:val="24"/>
          <w:szCs w:val="24"/>
          <w:highlight w:val="none"/>
        </w:rPr>
        <w:t>最高限价（元）：</w:t>
      </w:r>
      <w:r>
        <w:rPr>
          <w:rFonts w:hint="eastAsia" w:ascii="宋体" w:hAnsi="宋体" w:eastAsia="宋体" w:cs="宋体"/>
          <w:b/>
          <w:bCs/>
          <w:color w:val="auto"/>
          <w:kern w:val="0"/>
          <w:sz w:val="24"/>
          <w:szCs w:val="24"/>
          <w:highlight w:val="none"/>
          <w:lang w:val="en-US" w:eastAsia="zh-CN"/>
        </w:rPr>
        <w:t>315000.00</w:t>
      </w:r>
      <w:r>
        <w:rPr>
          <w:rFonts w:hint="eastAsia" w:ascii="宋体" w:hAnsi="宋体" w:eastAsia="宋体" w:cs="宋体"/>
          <w:b/>
          <w:bCs/>
          <w:color w:val="auto"/>
          <w:kern w:val="0"/>
          <w:sz w:val="24"/>
          <w:szCs w:val="24"/>
          <w:highlight w:val="none"/>
        </w:rPr>
        <w:t>元 ，大写（人民币）：</w:t>
      </w:r>
      <w:r>
        <w:rPr>
          <w:rFonts w:hint="eastAsia" w:ascii="宋体" w:hAnsi="宋体" w:eastAsia="宋体" w:cs="宋体"/>
          <w:b/>
          <w:bCs/>
          <w:color w:val="auto"/>
          <w:kern w:val="0"/>
          <w:sz w:val="24"/>
          <w:szCs w:val="24"/>
          <w:highlight w:val="none"/>
          <w:lang w:val="en-US" w:eastAsia="zh-CN"/>
        </w:rPr>
        <w:t>叁拾壹万伍仟</w:t>
      </w:r>
      <w:r>
        <w:rPr>
          <w:rFonts w:hint="eastAsia" w:ascii="宋体" w:hAnsi="宋体" w:eastAsia="宋体" w:cs="宋体"/>
          <w:b/>
          <w:bCs/>
          <w:color w:val="auto"/>
          <w:kern w:val="0"/>
          <w:sz w:val="24"/>
          <w:szCs w:val="24"/>
          <w:highlight w:val="none"/>
          <w:u w:val="single"/>
          <w:lang w:val="en-US" w:eastAsia="zh-CN"/>
        </w:rPr>
        <w:t>元整；</w:t>
      </w:r>
    </w:p>
    <w:p w14:paraId="618FB89B">
      <w:pPr>
        <w:pageBreakBefore w:val="0"/>
        <w:widowControl/>
        <w:numPr>
          <w:ilvl w:val="0"/>
          <w:numId w:val="0"/>
        </w:numPr>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bidi="ar-SA"/>
        </w:rPr>
        <w:t>3.</w:t>
      </w:r>
      <w:r>
        <w:rPr>
          <w:rFonts w:hint="eastAsia" w:ascii="宋体" w:hAnsi="宋体" w:eastAsia="宋体" w:cs="宋体"/>
          <w:b/>
          <w:bCs/>
          <w:color w:val="auto"/>
          <w:kern w:val="0"/>
          <w:sz w:val="24"/>
          <w:szCs w:val="24"/>
          <w:highlight w:val="none"/>
        </w:rPr>
        <w:t>评审方法：</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kern w:val="0"/>
          <w:sz w:val="24"/>
          <w:szCs w:val="24"/>
          <w:highlight w:val="none"/>
        </w:rPr>
        <w:t>最低评标价法</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kern w:val="0"/>
          <w:sz w:val="24"/>
          <w:szCs w:val="24"/>
          <w:highlight w:val="none"/>
        </w:rPr>
        <w:t>综合评分法</w:t>
      </w:r>
    </w:p>
    <w:p w14:paraId="0929EDA4">
      <w:pPr>
        <w:pStyle w:val="8"/>
        <w:pageBreakBefore w:val="0"/>
        <w:numPr>
          <w:ilvl w:val="0"/>
          <w:numId w:val="0"/>
        </w:numPr>
        <w:shd w:val="clear"/>
        <w:overflowPunct/>
        <w:topLinePunct w:val="0"/>
        <w:bidi w:val="0"/>
        <w:spacing w:line="540" w:lineRule="exact"/>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0"/>
          <w:sz w:val="24"/>
          <w:szCs w:val="24"/>
          <w:highlight w:val="none"/>
          <w:lang w:val="en-US" w:eastAsia="zh-CN" w:bidi="ar-SA"/>
        </w:rPr>
        <w:t>选择该评审规则的理由：</w:t>
      </w:r>
      <w:r>
        <w:rPr>
          <w:rFonts w:hint="eastAsia" w:ascii="宋体" w:hAnsi="宋体" w:eastAsia="宋体" w:cs="宋体"/>
          <w:b/>
          <w:bCs/>
          <w:color w:val="auto"/>
          <w:kern w:val="2"/>
          <w:sz w:val="24"/>
          <w:szCs w:val="24"/>
          <w:highlight w:val="none"/>
          <w:u w:val="single"/>
          <w:lang w:val="en-US" w:eastAsia="zh-CN" w:bidi="ar-SA"/>
        </w:rPr>
        <w:t xml:space="preserve">属采购需求客观、明确; </w:t>
      </w:r>
    </w:p>
    <w:p w14:paraId="0ED55FEE">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4.定价方式：</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固定总价</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固定单价 □其他</w:t>
      </w:r>
      <w:r>
        <w:rPr>
          <w:rFonts w:hint="eastAsia" w:ascii="宋体" w:hAnsi="宋体" w:eastAsia="宋体" w:cs="宋体"/>
          <w:b w:val="0"/>
          <w:bCs w:val="0"/>
          <w:color w:val="auto"/>
          <w:sz w:val="24"/>
          <w:szCs w:val="24"/>
          <w:highlight w:val="none"/>
          <w:lang w:val="en-US" w:eastAsia="zh-CN"/>
        </w:rPr>
        <w:t>方式</w:t>
      </w:r>
    </w:p>
    <w:p w14:paraId="5C7B1A5F">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5.是否支持联合体投标：</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□是</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否</w:t>
      </w:r>
    </w:p>
    <w:p w14:paraId="1FA3C7C5">
      <w:pPr>
        <w:pageBreakBefore w:val="0"/>
        <w:widowControl/>
        <w:shd w:val="clear" w:color="auto"/>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6.是否允许合同分包选项：</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sym w:font="Wingdings 2" w:char="00A3"/>
      </w:r>
      <w:r>
        <w:rPr>
          <w:rFonts w:hint="eastAsia" w:ascii="宋体" w:hAnsi="宋体" w:eastAsia="宋体" w:cs="宋体"/>
          <w:b w:val="0"/>
          <w:bCs w:val="0"/>
          <w:color w:val="auto"/>
          <w:sz w:val="24"/>
          <w:szCs w:val="24"/>
          <w:highlight w:val="none"/>
        </w:rPr>
        <w:t>是</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eastAsia="zh-CN"/>
        </w:rPr>
        <w:sym w:font="Wingdings 2" w:char="0052"/>
      </w:r>
      <w:r>
        <w:rPr>
          <w:rFonts w:hint="eastAsia" w:ascii="宋体" w:hAnsi="宋体" w:eastAsia="宋体" w:cs="宋体"/>
          <w:b w:val="0"/>
          <w:bCs w:val="0"/>
          <w:color w:val="auto"/>
          <w:sz w:val="24"/>
          <w:szCs w:val="24"/>
          <w:highlight w:val="none"/>
        </w:rPr>
        <w:t>否</w:t>
      </w:r>
    </w:p>
    <w:p w14:paraId="1A5B85D7">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7.拟采购标的的技术要求</w:t>
      </w:r>
    </w:p>
    <w:tbl>
      <w:tblPr>
        <w:tblStyle w:val="15"/>
        <w:tblW w:w="5018" w:type="pct"/>
        <w:tblInd w:w="0" w:type="dxa"/>
        <w:tblLayout w:type="autofit"/>
        <w:tblCellMar>
          <w:top w:w="15" w:type="dxa"/>
          <w:left w:w="15" w:type="dxa"/>
          <w:bottom w:w="15" w:type="dxa"/>
          <w:right w:w="15" w:type="dxa"/>
        </w:tblCellMar>
      </w:tblPr>
      <w:tblGrid>
        <w:gridCol w:w="812"/>
        <w:gridCol w:w="1787"/>
        <w:gridCol w:w="2272"/>
        <w:gridCol w:w="1776"/>
        <w:gridCol w:w="2266"/>
      </w:tblGrid>
      <w:tr w14:paraId="4F2F51A8">
        <w:tblPrEx>
          <w:tblCellMar>
            <w:top w:w="15" w:type="dxa"/>
            <w:left w:w="15" w:type="dxa"/>
            <w:bottom w:w="15" w:type="dxa"/>
            <w:right w:w="15" w:type="dxa"/>
          </w:tblCellMar>
        </w:tblPrEx>
        <w:trPr>
          <w:trHeight w:val="565" w:hRule="atLeast"/>
        </w:trPr>
        <w:tc>
          <w:tcPr>
            <w:tcW w:w="455" w:type="pct"/>
            <w:vMerge w:val="restar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72933A5">
            <w:pPr>
              <w:pageBreakBefore w:val="0"/>
              <w:widowControl/>
              <w:shd w:val="clear"/>
              <w:wordWrap w:val="0"/>
              <w:overflowPunct/>
              <w:topLinePunct w:val="0"/>
              <w:bidi w:val="0"/>
              <w:spacing w:line="540" w:lineRule="exact"/>
              <w:jc w:val="center"/>
              <w:rPr>
                <w:rFonts w:hint="eastAsia" w:ascii="宋体" w:hAnsi="宋体" w:eastAsia="宋体" w:cs="宋体"/>
                <w:b/>
                <w:bCs/>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1</w:t>
            </w:r>
          </w:p>
        </w:tc>
        <w:tc>
          <w:tcPr>
            <w:tcW w:w="100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47A610C">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采购品目</w:t>
            </w:r>
          </w:p>
        </w:tc>
        <w:tc>
          <w:tcPr>
            <w:tcW w:w="1274"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C57BDFE">
            <w:pPr>
              <w:pStyle w:val="8"/>
              <w:shd w:val="clea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 其他特种用途植物</w:t>
            </w:r>
          </w:p>
        </w:tc>
        <w:tc>
          <w:tcPr>
            <w:tcW w:w="996"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46CF88CD">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标的名称</w:t>
            </w:r>
          </w:p>
        </w:tc>
        <w:tc>
          <w:tcPr>
            <w:tcW w:w="1270"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3DBB7EA">
            <w:pPr>
              <w:pageBreakBefore w:val="0"/>
              <w:widowControl/>
              <w:shd w:val="clear"/>
              <w:wordWrap w:val="0"/>
              <w:overflowPunct/>
              <w:topLinePunct w:val="0"/>
              <w:bidi w:val="0"/>
              <w:spacing w:line="540" w:lineRule="exact"/>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有机黄花苗</w:t>
            </w:r>
          </w:p>
        </w:tc>
      </w:tr>
      <w:tr w14:paraId="3DE34F30">
        <w:tblPrEx>
          <w:tblCellMar>
            <w:top w:w="15" w:type="dxa"/>
            <w:left w:w="15" w:type="dxa"/>
            <w:bottom w:w="15" w:type="dxa"/>
            <w:right w:w="15" w:type="dxa"/>
          </w:tblCellMar>
        </w:tblPrEx>
        <w:trPr>
          <w:trHeight w:val="565" w:hRule="atLeast"/>
        </w:trPr>
        <w:tc>
          <w:tcPr>
            <w:tcW w:w="455" w:type="pct"/>
            <w:vMerge w:val="continue"/>
            <w:tcBorders>
              <w:top w:val="single" w:color="333333" w:sz="6" w:space="0"/>
              <w:left w:val="single" w:color="333333" w:sz="6" w:space="0"/>
              <w:bottom w:val="single" w:color="333333" w:sz="6" w:space="0"/>
              <w:right w:val="single" w:color="333333" w:sz="6" w:space="0"/>
            </w:tcBorders>
            <w:noWrap w:val="0"/>
            <w:tcMar>
              <w:top w:w="0" w:type="dxa"/>
              <w:left w:w="0" w:type="dxa"/>
              <w:bottom w:w="0" w:type="dxa"/>
              <w:right w:w="0" w:type="dxa"/>
            </w:tcMar>
            <w:vAlign w:val="center"/>
          </w:tcPr>
          <w:p w14:paraId="1039734E">
            <w:pPr>
              <w:pageBreakBefore w:val="0"/>
              <w:widowControl/>
              <w:shd w:val="clear"/>
              <w:overflowPunct/>
              <w:topLinePunct w:val="0"/>
              <w:bidi w:val="0"/>
              <w:spacing w:line="540" w:lineRule="exact"/>
              <w:jc w:val="left"/>
              <w:rPr>
                <w:rFonts w:hint="eastAsia" w:ascii="宋体" w:hAnsi="宋体" w:eastAsia="宋体" w:cs="宋体"/>
                <w:b/>
                <w:bCs/>
                <w:color w:val="auto"/>
                <w:kern w:val="0"/>
                <w:sz w:val="24"/>
                <w:szCs w:val="24"/>
                <w:highlight w:val="none"/>
              </w:rPr>
            </w:pPr>
          </w:p>
        </w:tc>
        <w:tc>
          <w:tcPr>
            <w:tcW w:w="100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5C036171">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数量</w:t>
            </w:r>
          </w:p>
        </w:tc>
        <w:tc>
          <w:tcPr>
            <w:tcW w:w="1274"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22950531">
            <w:pPr>
              <w:pageBreakBefore w:val="0"/>
              <w:widowControl/>
              <w:shd w:val="clear"/>
              <w:wordWrap/>
              <w:overflowPunct/>
              <w:topLinePunct w:val="0"/>
              <w:bidi w:val="0"/>
              <w:spacing w:line="540" w:lineRule="exact"/>
              <w:jc w:val="center"/>
              <w:rPr>
                <w:rFonts w:hint="default"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500000</w:t>
            </w:r>
          </w:p>
        </w:tc>
        <w:tc>
          <w:tcPr>
            <w:tcW w:w="996"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7C9FAFFB">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单位</w:t>
            </w:r>
          </w:p>
        </w:tc>
        <w:tc>
          <w:tcPr>
            <w:tcW w:w="1270"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04053200">
            <w:pPr>
              <w:pageBreakBefore w:val="0"/>
              <w:widowControl/>
              <w:shd w:val="clear"/>
              <w:wordWrap w:val="0"/>
              <w:overflowPunct/>
              <w:topLinePunct w:val="0"/>
              <w:bidi w:val="0"/>
              <w:spacing w:line="540" w:lineRule="exact"/>
              <w:jc w:val="center"/>
              <w:rPr>
                <w:rFonts w:hint="default"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株</w:t>
            </w:r>
          </w:p>
        </w:tc>
      </w:tr>
      <w:tr w14:paraId="652E783D">
        <w:tblPrEx>
          <w:tblCellMar>
            <w:top w:w="15" w:type="dxa"/>
            <w:left w:w="15" w:type="dxa"/>
            <w:bottom w:w="15" w:type="dxa"/>
            <w:right w:w="15" w:type="dxa"/>
          </w:tblCellMar>
        </w:tblPrEx>
        <w:trPr>
          <w:trHeight w:val="565" w:hRule="atLeast"/>
        </w:trPr>
        <w:tc>
          <w:tcPr>
            <w:tcW w:w="455" w:type="pct"/>
            <w:vMerge w:val="continue"/>
            <w:tcBorders>
              <w:top w:val="single" w:color="333333" w:sz="6" w:space="0"/>
              <w:left w:val="single" w:color="333333" w:sz="6" w:space="0"/>
              <w:bottom w:val="single" w:color="333333" w:sz="6" w:space="0"/>
              <w:right w:val="single" w:color="333333" w:sz="6" w:space="0"/>
            </w:tcBorders>
            <w:noWrap w:val="0"/>
            <w:tcMar>
              <w:top w:w="0" w:type="dxa"/>
              <w:left w:w="0" w:type="dxa"/>
              <w:bottom w:w="0" w:type="dxa"/>
              <w:right w:w="0" w:type="dxa"/>
            </w:tcMar>
            <w:vAlign w:val="center"/>
          </w:tcPr>
          <w:p w14:paraId="2F199BB3">
            <w:pPr>
              <w:pageBreakBefore w:val="0"/>
              <w:widowControl/>
              <w:shd w:val="clear"/>
              <w:overflowPunct/>
              <w:topLinePunct w:val="0"/>
              <w:bidi w:val="0"/>
              <w:spacing w:line="540" w:lineRule="exact"/>
              <w:jc w:val="left"/>
              <w:rPr>
                <w:rFonts w:hint="eastAsia" w:ascii="宋体" w:hAnsi="宋体" w:eastAsia="宋体" w:cs="宋体"/>
                <w:b/>
                <w:bCs/>
                <w:color w:val="auto"/>
                <w:kern w:val="0"/>
                <w:sz w:val="24"/>
                <w:szCs w:val="24"/>
                <w:highlight w:val="none"/>
              </w:rPr>
            </w:pPr>
          </w:p>
        </w:tc>
        <w:tc>
          <w:tcPr>
            <w:tcW w:w="100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BA7368D">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合计金额（元）</w:t>
            </w:r>
          </w:p>
        </w:tc>
        <w:tc>
          <w:tcPr>
            <w:tcW w:w="1274"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5E0EDBD8">
            <w:pPr>
              <w:pageBreakBefore w:val="0"/>
              <w:widowControl/>
              <w:shd w:val="clear"/>
              <w:wordWrap/>
              <w:overflowPunct/>
              <w:topLinePunct w:val="0"/>
              <w:bidi w:val="0"/>
              <w:spacing w:line="540" w:lineRule="exact"/>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315000.00</w:t>
            </w:r>
          </w:p>
        </w:tc>
        <w:tc>
          <w:tcPr>
            <w:tcW w:w="996"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669D831F">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单价（元）</w:t>
            </w:r>
          </w:p>
        </w:tc>
        <w:tc>
          <w:tcPr>
            <w:tcW w:w="1270"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53938C63">
            <w:pPr>
              <w:pageBreakBefore w:val="0"/>
              <w:widowControl/>
              <w:shd w:val="clear"/>
              <w:wordWrap/>
              <w:overflowPunct/>
              <w:topLinePunct w:val="0"/>
              <w:bidi w:val="0"/>
              <w:spacing w:line="540" w:lineRule="exact"/>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315000.00</w:t>
            </w:r>
          </w:p>
        </w:tc>
      </w:tr>
      <w:tr w14:paraId="6220E4FE">
        <w:tblPrEx>
          <w:tblCellMar>
            <w:top w:w="15" w:type="dxa"/>
            <w:left w:w="15" w:type="dxa"/>
            <w:bottom w:w="15" w:type="dxa"/>
            <w:right w:w="15" w:type="dxa"/>
          </w:tblCellMar>
        </w:tblPrEx>
        <w:trPr>
          <w:trHeight w:val="565" w:hRule="atLeast"/>
        </w:trPr>
        <w:tc>
          <w:tcPr>
            <w:tcW w:w="455" w:type="pct"/>
            <w:vMerge w:val="continue"/>
            <w:tcBorders>
              <w:top w:val="single" w:color="333333" w:sz="6" w:space="0"/>
              <w:left w:val="single" w:color="333333" w:sz="6" w:space="0"/>
              <w:bottom w:val="single" w:color="333333" w:sz="6" w:space="0"/>
              <w:right w:val="single" w:color="333333" w:sz="6" w:space="0"/>
            </w:tcBorders>
            <w:noWrap w:val="0"/>
            <w:tcMar>
              <w:top w:w="0" w:type="dxa"/>
              <w:left w:w="0" w:type="dxa"/>
              <w:bottom w:w="0" w:type="dxa"/>
              <w:right w:w="0" w:type="dxa"/>
            </w:tcMar>
            <w:vAlign w:val="center"/>
          </w:tcPr>
          <w:p w14:paraId="35F8FBC4">
            <w:pPr>
              <w:pageBreakBefore w:val="0"/>
              <w:widowControl/>
              <w:shd w:val="clear"/>
              <w:overflowPunct/>
              <w:topLinePunct w:val="0"/>
              <w:bidi w:val="0"/>
              <w:spacing w:line="540" w:lineRule="exact"/>
              <w:jc w:val="left"/>
              <w:rPr>
                <w:rFonts w:hint="eastAsia" w:ascii="宋体" w:hAnsi="宋体" w:eastAsia="宋体" w:cs="宋体"/>
                <w:b/>
                <w:bCs/>
                <w:color w:val="auto"/>
                <w:kern w:val="0"/>
                <w:sz w:val="24"/>
                <w:szCs w:val="24"/>
                <w:highlight w:val="none"/>
              </w:rPr>
            </w:pPr>
          </w:p>
        </w:tc>
        <w:tc>
          <w:tcPr>
            <w:tcW w:w="100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C2A5F6A">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是否采购节能产品</w:t>
            </w:r>
          </w:p>
        </w:tc>
        <w:tc>
          <w:tcPr>
            <w:tcW w:w="1274"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767B5A5B">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否</w:t>
            </w:r>
          </w:p>
        </w:tc>
        <w:tc>
          <w:tcPr>
            <w:tcW w:w="996"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4EE5AA33">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未采购节能产品原因</w:t>
            </w:r>
          </w:p>
        </w:tc>
        <w:tc>
          <w:tcPr>
            <w:tcW w:w="1270"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2BE1A4AB">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不涉及</w:t>
            </w:r>
          </w:p>
        </w:tc>
      </w:tr>
      <w:tr w14:paraId="46C92D28">
        <w:tblPrEx>
          <w:tblCellMar>
            <w:top w:w="15" w:type="dxa"/>
            <w:left w:w="15" w:type="dxa"/>
            <w:bottom w:w="15" w:type="dxa"/>
            <w:right w:w="15" w:type="dxa"/>
          </w:tblCellMar>
        </w:tblPrEx>
        <w:trPr>
          <w:trHeight w:val="565" w:hRule="atLeast"/>
        </w:trPr>
        <w:tc>
          <w:tcPr>
            <w:tcW w:w="455" w:type="pct"/>
            <w:vMerge w:val="continue"/>
            <w:tcBorders>
              <w:top w:val="single" w:color="333333" w:sz="6" w:space="0"/>
              <w:left w:val="single" w:color="333333" w:sz="6" w:space="0"/>
              <w:bottom w:val="single" w:color="333333" w:sz="6" w:space="0"/>
              <w:right w:val="single" w:color="333333" w:sz="6" w:space="0"/>
            </w:tcBorders>
            <w:noWrap w:val="0"/>
            <w:tcMar>
              <w:top w:w="0" w:type="dxa"/>
              <w:left w:w="0" w:type="dxa"/>
              <w:bottom w:w="0" w:type="dxa"/>
              <w:right w:w="0" w:type="dxa"/>
            </w:tcMar>
            <w:vAlign w:val="center"/>
          </w:tcPr>
          <w:p w14:paraId="77C65844">
            <w:pPr>
              <w:pageBreakBefore w:val="0"/>
              <w:widowControl/>
              <w:shd w:val="clear"/>
              <w:overflowPunct/>
              <w:topLinePunct w:val="0"/>
              <w:bidi w:val="0"/>
              <w:spacing w:line="540" w:lineRule="exact"/>
              <w:jc w:val="left"/>
              <w:rPr>
                <w:rFonts w:hint="eastAsia" w:ascii="宋体" w:hAnsi="宋体" w:eastAsia="宋体" w:cs="宋体"/>
                <w:b/>
                <w:bCs/>
                <w:color w:val="auto"/>
                <w:kern w:val="0"/>
                <w:sz w:val="24"/>
                <w:szCs w:val="24"/>
                <w:highlight w:val="none"/>
              </w:rPr>
            </w:pPr>
          </w:p>
        </w:tc>
        <w:tc>
          <w:tcPr>
            <w:tcW w:w="100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44D61248">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是否采购环保产品</w:t>
            </w:r>
          </w:p>
        </w:tc>
        <w:tc>
          <w:tcPr>
            <w:tcW w:w="1274"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28A30DA1">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是</w:t>
            </w:r>
          </w:p>
        </w:tc>
        <w:tc>
          <w:tcPr>
            <w:tcW w:w="996"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7FDA8086">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未采购环保产品原因</w:t>
            </w:r>
          </w:p>
        </w:tc>
        <w:tc>
          <w:tcPr>
            <w:tcW w:w="1270"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5C1269BE">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不涉及</w:t>
            </w:r>
          </w:p>
        </w:tc>
      </w:tr>
      <w:tr w14:paraId="408E8267">
        <w:tblPrEx>
          <w:tblCellMar>
            <w:top w:w="15" w:type="dxa"/>
            <w:left w:w="15" w:type="dxa"/>
            <w:bottom w:w="15" w:type="dxa"/>
            <w:right w:w="15" w:type="dxa"/>
          </w:tblCellMar>
        </w:tblPrEx>
        <w:trPr>
          <w:trHeight w:val="565" w:hRule="atLeast"/>
        </w:trPr>
        <w:tc>
          <w:tcPr>
            <w:tcW w:w="455" w:type="pct"/>
            <w:vMerge w:val="continue"/>
            <w:tcBorders>
              <w:top w:val="single" w:color="333333" w:sz="6" w:space="0"/>
              <w:left w:val="single" w:color="333333" w:sz="6" w:space="0"/>
              <w:bottom w:val="single" w:color="333333" w:sz="6" w:space="0"/>
              <w:right w:val="single" w:color="333333" w:sz="6" w:space="0"/>
            </w:tcBorders>
            <w:noWrap w:val="0"/>
            <w:tcMar>
              <w:top w:w="0" w:type="dxa"/>
              <w:left w:w="0" w:type="dxa"/>
              <w:bottom w:w="0" w:type="dxa"/>
              <w:right w:w="0" w:type="dxa"/>
            </w:tcMar>
            <w:vAlign w:val="center"/>
          </w:tcPr>
          <w:p w14:paraId="007145E0">
            <w:pPr>
              <w:pageBreakBefore w:val="0"/>
              <w:widowControl/>
              <w:shd w:val="clear"/>
              <w:overflowPunct/>
              <w:topLinePunct w:val="0"/>
              <w:bidi w:val="0"/>
              <w:spacing w:line="540" w:lineRule="exact"/>
              <w:jc w:val="left"/>
              <w:rPr>
                <w:rFonts w:hint="eastAsia" w:ascii="宋体" w:hAnsi="宋体" w:eastAsia="宋体" w:cs="宋体"/>
                <w:b/>
                <w:bCs/>
                <w:color w:val="auto"/>
                <w:kern w:val="0"/>
                <w:sz w:val="24"/>
                <w:szCs w:val="24"/>
                <w:highlight w:val="none"/>
              </w:rPr>
            </w:pPr>
          </w:p>
        </w:tc>
        <w:tc>
          <w:tcPr>
            <w:tcW w:w="100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DFE6FEC">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是否采购进口产品</w:t>
            </w:r>
          </w:p>
        </w:tc>
        <w:tc>
          <w:tcPr>
            <w:tcW w:w="1274"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7C3A6E99">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否</w:t>
            </w:r>
          </w:p>
        </w:tc>
        <w:tc>
          <w:tcPr>
            <w:tcW w:w="996"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1059A92A">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标的物所属行业</w:t>
            </w:r>
          </w:p>
        </w:tc>
        <w:tc>
          <w:tcPr>
            <w:tcW w:w="1270" w:type="pct"/>
            <w:tcBorders>
              <w:top w:val="single" w:color="333333" w:sz="6" w:space="0"/>
              <w:left w:val="single" w:color="333333" w:sz="6" w:space="0"/>
              <w:bottom w:val="single" w:color="333333" w:sz="6" w:space="0"/>
              <w:right w:val="single" w:color="333333" w:sz="6" w:space="0"/>
            </w:tcBorders>
            <w:noWrap w:val="0"/>
            <w:tcMar>
              <w:top w:w="75" w:type="dxa"/>
              <w:left w:w="0" w:type="dxa"/>
              <w:bottom w:w="75" w:type="dxa"/>
              <w:right w:w="0" w:type="dxa"/>
            </w:tcMar>
            <w:vAlign w:val="center"/>
          </w:tcPr>
          <w:p w14:paraId="337B71DA">
            <w:pPr>
              <w:pageBreakBefore w:val="0"/>
              <w:widowControl/>
              <w:shd w:val="clear"/>
              <w:wordWrap w:val="0"/>
              <w:overflowPunct/>
              <w:topLinePunct w:val="0"/>
              <w:bidi w:val="0"/>
              <w:spacing w:line="540" w:lineRule="exact"/>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sz w:val="24"/>
                <w:szCs w:val="24"/>
                <w:highlight w:val="none"/>
              </w:rPr>
              <w:t>农、林、牧、渔业</w:t>
            </w:r>
          </w:p>
        </w:tc>
      </w:tr>
    </w:tbl>
    <w:p w14:paraId="51457C26">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8.供应商一般资格要求</w:t>
      </w:r>
    </w:p>
    <w:tbl>
      <w:tblPr>
        <w:tblStyle w:val="15"/>
        <w:tblW w:w="5000" w:type="pct"/>
        <w:tblInd w:w="0" w:type="dxa"/>
        <w:tblLayout w:type="autofit"/>
        <w:tblCellMar>
          <w:top w:w="0" w:type="dxa"/>
          <w:left w:w="0" w:type="dxa"/>
          <w:bottom w:w="0" w:type="dxa"/>
          <w:right w:w="0" w:type="dxa"/>
        </w:tblCellMar>
      </w:tblPr>
      <w:tblGrid>
        <w:gridCol w:w="483"/>
        <w:gridCol w:w="3257"/>
        <w:gridCol w:w="5141"/>
      </w:tblGrid>
      <w:tr w14:paraId="3C5DE82C">
        <w:tblPrEx>
          <w:tblCellMar>
            <w:top w:w="0" w:type="dxa"/>
            <w:left w:w="0" w:type="dxa"/>
            <w:bottom w:w="0" w:type="dxa"/>
            <w:right w:w="0" w:type="dxa"/>
          </w:tblCellMar>
        </w:tblPrEx>
        <w:trPr>
          <w:trHeight w:val="480" w:hRule="atLeast"/>
          <w:tblHeader/>
        </w:trPr>
        <w:tc>
          <w:tcPr>
            <w:tcW w:w="272"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16EF77F2">
            <w:pPr>
              <w:widowControl/>
              <w:shd w:val="clear"/>
              <w:spacing w:line="360" w:lineRule="atLeast"/>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序号</w:t>
            </w:r>
          </w:p>
        </w:tc>
        <w:tc>
          <w:tcPr>
            <w:tcW w:w="1833"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31A677EE">
            <w:pPr>
              <w:widowControl/>
              <w:shd w:val="clear"/>
              <w:spacing w:line="360" w:lineRule="atLeast"/>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资格要求名称</w:t>
            </w:r>
          </w:p>
        </w:tc>
        <w:tc>
          <w:tcPr>
            <w:tcW w:w="2894"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572DC0E7">
            <w:pPr>
              <w:widowControl/>
              <w:shd w:val="clear"/>
              <w:spacing w:line="360" w:lineRule="atLeast"/>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资格要求详细说明</w:t>
            </w:r>
          </w:p>
        </w:tc>
      </w:tr>
      <w:tr w14:paraId="2F4250F9">
        <w:tblPrEx>
          <w:tblCellMar>
            <w:top w:w="0" w:type="dxa"/>
            <w:left w:w="0" w:type="dxa"/>
            <w:bottom w:w="0" w:type="dxa"/>
            <w:right w:w="0" w:type="dxa"/>
          </w:tblCellMar>
        </w:tblPrEx>
        <w:trPr>
          <w:trHeight w:val="480" w:hRule="atLeast"/>
        </w:trPr>
        <w:tc>
          <w:tcPr>
            <w:tcW w:w="27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443F9B96">
            <w:pPr>
              <w:widowControl/>
              <w:shd w:val="clear"/>
              <w:wordWrap w:val="0"/>
              <w:spacing w:line="360" w:lineRule="atLeas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1833"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1BD56397">
            <w:pPr>
              <w:pStyle w:val="22"/>
              <w:shd w:val="clear"/>
              <w:rPr>
                <w:rFonts w:hint="eastAsia" w:ascii="宋体" w:hAnsi="宋体" w:eastAsia="宋体" w:cs="宋体"/>
                <w:color w:val="auto"/>
                <w:sz w:val="21"/>
                <w:szCs w:val="21"/>
                <w:highlight w:val="none"/>
              </w:rPr>
            </w:pPr>
            <w:r>
              <w:rPr>
                <w:rFonts w:hint="eastAsia" w:ascii="宋体" w:hAnsi="宋体" w:eastAsia="宋体" w:cs="宋体"/>
                <w:color w:val="auto"/>
                <w:highlight w:val="none"/>
              </w:rPr>
              <w:t>具有独立承担民事责任的能力。</w:t>
            </w:r>
          </w:p>
        </w:tc>
        <w:tc>
          <w:tcPr>
            <w:tcW w:w="2894"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22FC542B">
            <w:pPr>
              <w:pStyle w:val="22"/>
              <w:shd w:val="clear"/>
              <w:rPr>
                <w:rFonts w:hint="eastAsia" w:ascii="宋体" w:hAnsi="宋体" w:eastAsia="宋体" w:cs="宋体"/>
                <w:color w:val="auto"/>
                <w:sz w:val="21"/>
                <w:szCs w:val="21"/>
                <w:highlight w:val="none"/>
              </w:rPr>
            </w:pPr>
            <w:bookmarkStart w:id="6" w:name="OLE_LINK40"/>
            <w:r>
              <w:rPr>
                <w:rFonts w:hint="eastAsia" w:ascii="宋体" w:hAnsi="宋体" w:eastAsia="宋体" w:cs="宋体"/>
                <w:color w:val="auto"/>
                <w:highlight w:val="none"/>
              </w:rPr>
              <w:t>①供应商若为企业法人：提供“统一社会信用代码营业执照”；未换证的提供“营业执照、税务登记证、组 织机构代码证或三证合一的营业执照”；②若为事业法人：提供“统一社 会信用代码法人登记证书”；未换证的提交“事业法人登记证书、组织机 构代码证”；③若为其他组织：提供“对应主管部门颁发的准许执业证明 文件或营业执照”；④若为个体工商户：提供“统一社会信用代码营业执照”或“营业执照、税务登记证”⑤若为自然人：提供“身份证明材料”。</w:t>
            </w:r>
            <w:bookmarkEnd w:id="6"/>
          </w:p>
        </w:tc>
      </w:tr>
      <w:tr w14:paraId="466EE438">
        <w:tblPrEx>
          <w:tblCellMar>
            <w:top w:w="0" w:type="dxa"/>
            <w:left w:w="0" w:type="dxa"/>
            <w:bottom w:w="0" w:type="dxa"/>
            <w:right w:w="0" w:type="dxa"/>
          </w:tblCellMar>
        </w:tblPrEx>
        <w:trPr>
          <w:trHeight w:val="480" w:hRule="atLeast"/>
        </w:trPr>
        <w:tc>
          <w:tcPr>
            <w:tcW w:w="27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092FD1CC">
            <w:pPr>
              <w:widowControl/>
              <w:shd w:val="clear"/>
              <w:wordWrap w:val="0"/>
              <w:spacing w:line="360" w:lineRule="atLeas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1833"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31A29612">
            <w:pPr>
              <w:pStyle w:val="22"/>
              <w:shd w:val="clear"/>
              <w:rPr>
                <w:rFonts w:hint="eastAsia" w:ascii="宋体" w:hAnsi="宋体" w:eastAsia="宋体" w:cs="宋体"/>
                <w:color w:val="auto"/>
                <w:sz w:val="21"/>
                <w:szCs w:val="21"/>
                <w:highlight w:val="none"/>
              </w:rPr>
            </w:pPr>
            <w:r>
              <w:rPr>
                <w:rFonts w:hint="eastAsia" w:ascii="宋体" w:hAnsi="宋体" w:eastAsia="宋体" w:cs="宋体"/>
                <w:color w:val="auto"/>
                <w:highlight w:val="none"/>
              </w:rPr>
              <w:t>具有良好的商业信誉</w:t>
            </w:r>
          </w:p>
        </w:tc>
        <w:tc>
          <w:tcPr>
            <w:tcW w:w="2894"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1C7EA48B">
            <w:pPr>
              <w:pStyle w:val="22"/>
              <w:shd w:val="clear"/>
              <w:rPr>
                <w:rFonts w:hint="eastAsia" w:ascii="宋体" w:hAnsi="宋体" w:eastAsia="宋体" w:cs="宋体"/>
                <w:color w:val="auto"/>
                <w:sz w:val="21"/>
                <w:szCs w:val="21"/>
                <w:highlight w:val="none"/>
              </w:rPr>
            </w:pPr>
            <w:r>
              <w:rPr>
                <w:rFonts w:hint="eastAsia" w:ascii="宋体" w:hAnsi="宋体" w:eastAsia="宋体" w:cs="宋体"/>
                <w:color w:val="auto"/>
                <w:highlight w:val="none"/>
              </w:rPr>
              <w:t>供应商需在项目电子化交易系统中按要求填写《投标（响应）函》完成承诺并进行电子签章。</w:t>
            </w:r>
          </w:p>
        </w:tc>
      </w:tr>
      <w:tr w14:paraId="7E7119F5">
        <w:tblPrEx>
          <w:tblCellMar>
            <w:top w:w="0" w:type="dxa"/>
            <w:left w:w="0" w:type="dxa"/>
            <w:bottom w:w="0" w:type="dxa"/>
            <w:right w:w="0" w:type="dxa"/>
          </w:tblCellMar>
        </w:tblPrEx>
        <w:trPr>
          <w:trHeight w:val="480" w:hRule="atLeast"/>
        </w:trPr>
        <w:tc>
          <w:tcPr>
            <w:tcW w:w="27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F7C4762">
            <w:pPr>
              <w:widowControl/>
              <w:shd w:val="clear"/>
              <w:wordWrap w:val="0"/>
              <w:spacing w:line="360" w:lineRule="atLeas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1833"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22BC3CD1">
            <w:pPr>
              <w:pStyle w:val="22"/>
              <w:shd w:val="clear"/>
              <w:rPr>
                <w:rFonts w:hint="eastAsia" w:ascii="宋体" w:hAnsi="宋体" w:eastAsia="宋体" w:cs="宋体"/>
                <w:color w:val="auto"/>
                <w:sz w:val="21"/>
                <w:szCs w:val="21"/>
                <w:highlight w:val="none"/>
              </w:rPr>
            </w:pPr>
            <w:r>
              <w:rPr>
                <w:rFonts w:hint="eastAsia" w:ascii="宋体" w:hAnsi="宋体" w:eastAsia="宋体" w:cs="宋体"/>
                <w:color w:val="auto"/>
                <w:highlight w:val="none"/>
              </w:rPr>
              <w:t>具有健全的财务会计制度。</w:t>
            </w:r>
          </w:p>
        </w:tc>
        <w:tc>
          <w:tcPr>
            <w:tcW w:w="2894"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79C1A760">
            <w:pPr>
              <w:pStyle w:val="22"/>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具有健全的财务会计制度的证明材料： A、可提供202</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年度（含）至今（任意一年度）经审计的财务报告 （包含审计报告和审计报告中所涉及的财务报表和报表附注）；B、也可提供202</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年度（含）至今（任意一年度）供应商内部的财务报表（财务报表内容至少包含并体现资产负债表、利润表、现金流量表）；C、也可提供截止响应文件递交截止日一年内其基本开户银行出具的资信证明；D、供应商注册时间截止响应文件递交截止日不足一年的，也可提供经备案的公司章程。</w:t>
            </w:r>
          </w:p>
        </w:tc>
      </w:tr>
      <w:tr w14:paraId="2EB80CAE">
        <w:tblPrEx>
          <w:tblCellMar>
            <w:top w:w="0" w:type="dxa"/>
            <w:left w:w="0" w:type="dxa"/>
            <w:bottom w:w="0" w:type="dxa"/>
            <w:right w:w="0" w:type="dxa"/>
          </w:tblCellMar>
        </w:tblPrEx>
        <w:trPr>
          <w:trHeight w:val="480" w:hRule="atLeast"/>
        </w:trPr>
        <w:tc>
          <w:tcPr>
            <w:tcW w:w="27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026EA83">
            <w:pPr>
              <w:widowControl/>
              <w:shd w:val="clear"/>
              <w:wordWrap w:val="0"/>
              <w:spacing w:line="360" w:lineRule="atLeas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1833"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22001A7C">
            <w:pPr>
              <w:pStyle w:val="22"/>
              <w:shd w:val="clear"/>
              <w:rPr>
                <w:rFonts w:hint="eastAsia" w:ascii="宋体" w:hAnsi="宋体" w:eastAsia="宋体" w:cs="宋体"/>
                <w:color w:val="auto"/>
                <w:highlight w:val="none"/>
              </w:rPr>
            </w:pPr>
            <w:r>
              <w:rPr>
                <w:rFonts w:hint="eastAsia" w:ascii="宋体" w:hAnsi="宋体" w:eastAsia="宋体" w:cs="宋体"/>
                <w:color w:val="auto"/>
                <w:highlight w:val="none"/>
              </w:rPr>
              <w:t>具有履行合同所必需的设备和专业技术能力。</w:t>
            </w:r>
          </w:p>
        </w:tc>
        <w:tc>
          <w:tcPr>
            <w:tcW w:w="2894"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05B0458D">
            <w:pPr>
              <w:pStyle w:val="22"/>
              <w:shd w:val="clear"/>
              <w:rPr>
                <w:rFonts w:hint="eastAsia" w:ascii="宋体" w:hAnsi="宋体" w:eastAsia="宋体" w:cs="宋体"/>
                <w:color w:val="auto"/>
                <w:highlight w:val="none"/>
              </w:rPr>
            </w:pPr>
            <w:r>
              <w:rPr>
                <w:rFonts w:hint="eastAsia" w:ascii="宋体" w:hAnsi="宋体" w:eastAsia="宋体" w:cs="宋体"/>
                <w:color w:val="auto"/>
                <w:highlight w:val="none"/>
              </w:rPr>
              <w:t>供应商需在项目电子化交易系统中按要求填写《投标（响应）函》完成承诺并进行电子签章。</w:t>
            </w:r>
          </w:p>
        </w:tc>
      </w:tr>
      <w:tr w14:paraId="3EC0E83B">
        <w:tblPrEx>
          <w:tblCellMar>
            <w:top w:w="0" w:type="dxa"/>
            <w:left w:w="0" w:type="dxa"/>
            <w:bottom w:w="0" w:type="dxa"/>
            <w:right w:w="0" w:type="dxa"/>
          </w:tblCellMar>
        </w:tblPrEx>
        <w:trPr>
          <w:trHeight w:val="480" w:hRule="atLeast"/>
        </w:trPr>
        <w:tc>
          <w:tcPr>
            <w:tcW w:w="27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04FD1D8A">
            <w:pPr>
              <w:widowControl/>
              <w:shd w:val="clear"/>
              <w:wordWrap w:val="0"/>
              <w:spacing w:line="360" w:lineRule="atLeas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1833"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262CAFD7">
            <w:pPr>
              <w:pStyle w:val="22"/>
              <w:shd w:val="clear"/>
              <w:rPr>
                <w:rFonts w:hint="eastAsia" w:ascii="宋体" w:hAnsi="宋体" w:eastAsia="宋体" w:cs="宋体"/>
                <w:color w:val="auto"/>
                <w:highlight w:val="none"/>
              </w:rPr>
            </w:pPr>
            <w:r>
              <w:rPr>
                <w:rFonts w:hint="eastAsia" w:ascii="宋体" w:hAnsi="宋体" w:eastAsia="宋体" w:cs="宋体"/>
                <w:color w:val="auto"/>
                <w:highlight w:val="none"/>
              </w:rPr>
              <w:t>有依法缴纳税收和社会保障资金的良好记录。</w:t>
            </w:r>
          </w:p>
        </w:tc>
        <w:tc>
          <w:tcPr>
            <w:tcW w:w="2894"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5E88E76E">
            <w:pPr>
              <w:pStyle w:val="22"/>
              <w:shd w:val="clear"/>
              <w:rPr>
                <w:rFonts w:hint="eastAsia" w:ascii="宋体" w:hAnsi="宋体" w:eastAsia="宋体" w:cs="宋体"/>
                <w:color w:val="auto"/>
                <w:highlight w:val="none"/>
              </w:rPr>
            </w:pPr>
            <w:r>
              <w:rPr>
                <w:rFonts w:hint="eastAsia" w:ascii="宋体" w:hAnsi="宋体" w:eastAsia="宋体" w:cs="宋体"/>
                <w:color w:val="auto"/>
                <w:highlight w:val="none"/>
              </w:rPr>
              <w:t>供应商需在项目电子化交易系统中按要求填写《投标（响应）函》完成承诺并进行电子签章。</w:t>
            </w:r>
          </w:p>
        </w:tc>
      </w:tr>
      <w:tr w14:paraId="65C486B5">
        <w:tblPrEx>
          <w:tblCellMar>
            <w:top w:w="0" w:type="dxa"/>
            <w:left w:w="0" w:type="dxa"/>
            <w:bottom w:w="0" w:type="dxa"/>
            <w:right w:w="0" w:type="dxa"/>
          </w:tblCellMar>
        </w:tblPrEx>
        <w:trPr>
          <w:trHeight w:val="480" w:hRule="atLeast"/>
        </w:trPr>
        <w:tc>
          <w:tcPr>
            <w:tcW w:w="27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76D18A5">
            <w:pPr>
              <w:widowControl/>
              <w:shd w:val="clear"/>
              <w:wordWrap w:val="0"/>
              <w:spacing w:line="360" w:lineRule="atLeas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1833"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66D9F7C2">
            <w:pPr>
              <w:pStyle w:val="22"/>
              <w:shd w:val="clear"/>
              <w:rPr>
                <w:rFonts w:hint="eastAsia" w:ascii="宋体" w:hAnsi="宋体" w:eastAsia="宋体" w:cs="宋体"/>
                <w:color w:val="auto"/>
                <w:highlight w:val="none"/>
              </w:rPr>
            </w:pPr>
            <w:r>
              <w:rPr>
                <w:rFonts w:hint="eastAsia" w:ascii="宋体" w:hAnsi="宋体" w:eastAsia="宋体" w:cs="宋体"/>
                <w:color w:val="auto"/>
                <w:highlight w:val="none"/>
              </w:rPr>
              <w:t>参加政府采购活动前三年内，在经营活动中没有重大违法记录。</w:t>
            </w:r>
          </w:p>
        </w:tc>
        <w:tc>
          <w:tcPr>
            <w:tcW w:w="2894"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32EB7B37">
            <w:pPr>
              <w:pStyle w:val="22"/>
              <w:shd w:val="clear"/>
              <w:rPr>
                <w:rFonts w:hint="eastAsia" w:ascii="宋体" w:hAnsi="宋体" w:eastAsia="宋体" w:cs="宋体"/>
                <w:color w:val="auto"/>
                <w:highlight w:val="none"/>
              </w:rPr>
            </w:pPr>
            <w:r>
              <w:rPr>
                <w:rFonts w:hint="eastAsia" w:ascii="宋体" w:hAnsi="宋体" w:eastAsia="宋体" w:cs="宋体"/>
                <w:color w:val="auto"/>
                <w:highlight w:val="none"/>
              </w:rPr>
              <w:t>供应商需在项目电子化交易系统中按要求填写《投标（响应）函》完成承诺并进行电子签章。</w:t>
            </w:r>
          </w:p>
        </w:tc>
      </w:tr>
      <w:tr w14:paraId="5AE3BE8C">
        <w:tblPrEx>
          <w:tblCellMar>
            <w:top w:w="0" w:type="dxa"/>
            <w:left w:w="0" w:type="dxa"/>
            <w:bottom w:w="0" w:type="dxa"/>
            <w:right w:w="0" w:type="dxa"/>
          </w:tblCellMar>
        </w:tblPrEx>
        <w:trPr>
          <w:trHeight w:val="480" w:hRule="atLeast"/>
        </w:trPr>
        <w:tc>
          <w:tcPr>
            <w:tcW w:w="27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EC9E501">
            <w:pPr>
              <w:widowControl/>
              <w:shd w:val="clear"/>
              <w:wordWrap w:val="0"/>
              <w:spacing w:line="360" w:lineRule="atLeas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1833"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2832A742">
            <w:pPr>
              <w:pStyle w:val="22"/>
              <w:shd w:val="clear"/>
              <w:rPr>
                <w:rFonts w:hint="eastAsia" w:ascii="宋体" w:hAnsi="宋体" w:eastAsia="宋体" w:cs="宋体"/>
                <w:color w:val="auto"/>
                <w:highlight w:val="none"/>
              </w:rPr>
            </w:pPr>
            <w:r>
              <w:rPr>
                <w:rFonts w:hint="eastAsia" w:ascii="宋体" w:hAnsi="宋体" w:eastAsia="宋体" w:cs="宋体"/>
                <w:color w:val="auto"/>
                <w:highlight w:val="none"/>
              </w:rPr>
              <w:t>符合《中华人民共和国政府采购法实施条例》第十八条第一款规定。</w:t>
            </w:r>
          </w:p>
        </w:tc>
        <w:tc>
          <w:tcPr>
            <w:tcW w:w="2894"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71ABE700">
            <w:pPr>
              <w:pStyle w:val="22"/>
              <w:shd w:val="clear"/>
              <w:rPr>
                <w:rFonts w:hint="eastAsia" w:ascii="宋体" w:hAnsi="宋体" w:eastAsia="宋体" w:cs="宋体"/>
                <w:color w:val="auto"/>
                <w:highlight w:val="none"/>
              </w:rPr>
            </w:pPr>
            <w:r>
              <w:rPr>
                <w:rFonts w:hint="eastAsia" w:ascii="宋体" w:hAnsi="宋体" w:eastAsia="宋体" w:cs="宋体"/>
                <w:color w:val="auto"/>
                <w:highlight w:val="none"/>
              </w:rPr>
              <w:t>供应商需在项目电子化交易系统中按要求填写《投标（响应）函》完成承诺并进行电子签章。</w:t>
            </w:r>
          </w:p>
        </w:tc>
      </w:tr>
      <w:tr w14:paraId="30A6E1A8">
        <w:tblPrEx>
          <w:tblCellMar>
            <w:top w:w="0" w:type="dxa"/>
            <w:left w:w="0" w:type="dxa"/>
            <w:bottom w:w="0" w:type="dxa"/>
            <w:right w:w="0" w:type="dxa"/>
          </w:tblCellMar>
        </w:tblPrEx>
        <w:trPr>
          <w:trHeight w:val="480" w:hRule="atLeast"/>
        </w:trPr>
        <w:tc>
          <w:tcPr>
            <w:tcW w:w="27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086395AC">
            <w:pPr>
              <w:widowControl/>
              <w:shd w:val="clear"/>
              <w:wordWrap w:val="0"/>
              <w:spacing w:line="360" w:lineRule="atLeas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1833"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3D1ECDA4">
            <w:pPr>
              <w:pStyle w:val="22"/>
              <w:shd w:val="clear"/>
              <w:rPr>
                <w:rFonts w:hint="eastAsia" w:ascii="宋体" w:hAnsi="宋体" w:eastAsia="宋体" w:cs="宋体"/>
                <w:color w:val="auto"/>
                <w:highlight w:val="none"/>
              </w:rPr>
            </w:pPr>
            <w:r>
              <w:rPr>
                <w:rFonts w:hint="eastAsia" w:ascii="宋体" w:hAnsi="宋体" w:eastAsia="宋体" w:cs="宋体"/>
                <w:color w:val="auto"/>
                <w:highlight w:val="none"/>
              </w:rPr>
              <w:t>符合《中华人民共和国政府采购法实施条例》第十八条第二款规定。</w:t>
            </w:r>
          </w:p>
        </w:tc>
        <w:tc>
          <w:tcPr>
            <w:tcW w:w="2894"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top"/>
          </w:tcPr>
          <w:p w14:paraId="676B8430">
            <w:pPr>
              <w:pStyle w:val="22"/>
              <w:shd w:val="clear"/>
              <w:rPr>
                <w:rFonts w:hint="eastAsia" w:ascii="宋体" w:hAnsi="宋体" w:eastAsia="宋体" w:cs="宋体"/>
                <w:color w:val="auto"/>
                <w:highlight w:val="none"/>
              </w:rPr>
            </w:pPr>
            <w:r>
              <w:rPr>
                <w:rFonts w:hint="eastAsia" w:ascii="宋体" w:hAnsi="宋体" w:eastAsia="宋体" w:cs="宋体"/>
                <w:color w:val="auto"/>
                <w:highlight w:val="none"/>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r>
    </w:tbl>
    <w:p w14:paraId="695F6CA5">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落实政府采购政策资格审查</w:t>
      </w:r>
    </w:p>
    <w:tbl>
      <w:tblPr>
        <w:tblStyle w:val="15"/>
        <w:tblW w:w="5236" w:type="pct"/>
        <w:tblInd w:w="0" w:type="dxa"/>
        <w:tblLayout w:type="autofit"/>
        <w:tblCellMar>
          <w:top w:w="0" w:type="dxa"/>
          <w:left w:w="0" w:type="dxa"/>
          <w:bottom w:w="0" w:type="dxa"/>
          <w:right w:w="0" w:type="dxa"/>
        </w:tblCellMar>
      </w:tblPr>
      <w:tblGrid>
        <w:gridCol w:w="867"/>
        <w:gridCol w:w="2954"/>
        <w:gridCol w:w="5479"/>
      </w:tblGrid>
      <w:tr w14:paraId="15618CA0">
        <w:tblPrEx>
          <w:tblCellMar>
            <w:top w:w="0" w:type="dxa"/>
            <w:left w:w="0" w:type="dxa"/>
            <w:bottom w:w="0" w:type="dxa"/>
            <w:right w:w="0" w:type="dxa"/>
          </w:tblCellMar>
        </w:tblPrEx>
        <w:trPr>
          <w:trHeight w:val="482" w:hRule="atLeast"/>
          <w:tblHeader/>
        </w:trPr>
        <w:tc>
          <w:tcPr>
            <w:tcW w:w="466"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42BA26EB">
            <w:pPr>
              <w:pageBreakBefore w:val="0"/>
              <w:widowControl/>
              <w:shd w:val="clear"/>
              <w:overflowPunct/>
              <w:topLinePunct w:val="0"/>
              <w:bidi w:val="0"/>
              <w:spacing w:line="540" w:lineRule="exact"/>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588"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4A7BEBCD">
            <w:pPr>
              <w:pageBreakBefore w:val="0"/>
              <w:widowControl/>
              <w:shd w:val="clear"/>
              <w:overflowPunct/>
              <w:topLinePunct w:val="0"/>
              <w:bidi w:val="0"/>
              <w:spacing w:line="540" w:lineRule="exact"/>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资格审查要求概况</w:t>
            </w:r>
          </w:p>
        </w:tc>
        <w:tc>
          <w:tcPr>
            <w:tcW w:w="2945"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295C730A">
            <w:pPr>
              <w:pageBreakBefore w:val="0"/>
              <w:widowControl/>
              <w:shd w:val="clear"/>
              <w:overflowPunct/>
              <w:topLinePunct w:val="0"/>
              <w:bidi w:val="0"/>
              <w:spacing w:line="540" w:lineRule="exact"/>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资格要求详细说明</w:t>
            </w:r>
          </w:p>
        </w:tc>
      </w:tr>
      <w:tr w14:paraId="40604CA1">
        <w:tblPrEx>
          <w:tblCellMar>
            <w:top w:w="0" w:type="dxa"/>
            <w:left w:w="0" w:type="dxa"/>
            <w:bottom w:w="0" w:type="dxa"/>
            <w:right w:w="0" w:type="dxa"/>
          </w:tblCellMar>
        </w:tblPrEx>
        <w:trPr>
          <w:trHeight w:val="481" w:hRule="atLeast"/>
        </w:trPr>
        <w:tc>
          <w:tcPr>
            <w:tcW w:w="466"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F393FCF">
            <w:pPr>
              <w:pageBreakBefore w:val="0"/>
              <w:widowControl/>
              <w:shd w:val="clear"/>
              <w:wordWrap w:val="0"/>
              <w:overflowPunct/>
              <w:topLinePunct w:val="0"/>
              <w:bidi w:val="0"/>
              <w:spacing w:line="540" w:lineRule="exact"/>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w:t>
            </w:r>
          </w:p>
        </w:tc>
        <w:tc>
          <w:tcPr>
            <w:tcW w:w="158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5B07C82">
            <w:pPr>
              <w:pageBreakBefore w:val="0"/>
              <w:widowControl/>
              <w:shd w:val="clear"/>
              <w:wordWrap w:val="0"/>
              <w:overflowPunct/>
              <w:topLinePunct w:val="0"/>
              <w:bidi w:val="0"/>
              <w:spacing w:line="540" w:lineRule="exact"/>
              <w:jc w:val="left"/>
              <w:rPr>
                <w:rFonts w:hint="eastAsia" w:ascii="宋体" w:hAnsi="宋体" w:eastAsia="宋体" w:cs="宋体"/>
                <w:b w:val="0"/>
                <w:bCs w:val="0"/>
                <w:color w:val="auto"/>
                <w:kern w:val="0"/>
                <w:sz w:val="24"/>
                <w:szCs w:val="24"/>
                <w:highlight w:val="none"/>
              </w:rPr>
            </w:pPr>
          </w:p>
        </w:tc>
        <w:tc>
          <w:tcPr>
            <w:tcW w:w="2945"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E794C8B">
            <w:pPr>
              <w:pageBreakBefore w:val="0"/>
              <w:widowControl/>
              <w:shd w:val="clear"/>
              <w:overflowPunct/>
              <w:topLinePunct w:val="0"/>
              <w:bidi w:val="0"/>
              <w:spacing w:line="540" w:lineRule="exact"/>
              <w:rPr>
                <w:rFonts w:hint="eastAsia" w:ascii="宋体" w:hAnsi="宋体" w:eastAsia="宋体" w:cs="宋体"/>
                <w:b w:val="0"/>
                <w:bCs w:val="0"/>
                <w:color w:val="auto"/>
                <w:kern w:val="0"/>
                <w:sz w:val="24"/>
                <w:szCs w:val="24"/>
                <w:highlight w:val="none"/>
              </w:rPr>
            </w:pPr>
          </w:p>
        </w:tc>
      </w:tr>
    </w:tbl>
    <w:p w14:paraId="37FDA211">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9.供应商特殊资格要求</w:t>
      </w:r>
    </w:p>
    <w:tbl>
      <w:tblPr>
        <w:tblStyle w:val="15"/>
        <w:tblW w:w="5246" w:type="pct"/>
        <w:tblInd w:w="0" w:type="dxa"/>
        <w:tblLayout w:type="autofit"/>
        <w:tblCellMar>
          <w:top w:w="0" w:type="dxa"/>
          <w:left w:w="0" w:type="dxa"/>
          <w:bottom w:w="0" w:type="dxa"/>
          <w:right w:w="0" w:type="dxa"/>
        </w:tblCellMar>
      </w:tblPr>
      <w:tblGrid>
        <w:gridCol w:w="514"/>
        <w:gridCol w:w="4581"/>
        <w:gridCol w:w="4223"/>
      </w:tblGrid>
      <w:tr w14:paraId="5050C7A3">
        <w:tblPrEx>
          <w:tblCellMar>
            <w:top w:w="0" w:type="dxa"/>
            <w:left w:w="0" w:type="dxa"/>
            <w:bottom w:w="0" w:type="dxa"/>
            <w:right w:w="0" w:type="dxa"/>
          </w:tblCellMar>
        </w:tblPrEx>
        <w:trPr>
          <w:trHeight w:val="480" w:hRule="atLeast"/>
          <w:tblHeader/>
        </w:trPr>
        <w:tc>
          <w:tcPr>
            <w:tcW w:w="276"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79672FE5">
            <w:pPr>
              <w:pageBreakBefore w:val="0"/>
              <w:widowControl/>
              <w:shd w:val="clear"/>
              <w:overflowPunct/>
              <w:topLinePunct w:val="0"/>
              <w:bidi w:val="0"/>
              <w:spacing w:line="540" w:lineRule="exact"/>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2457"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5943B437">
            <w:pPr>
              <w:pageBreakBefore w:val="0"/>
              <w:widowControl/>
              <w:shd w:val="clear"/>
              <w:overflowPunct/>
              <w:topLinePunct w:val="0"/>
              <w:bidi w:val="0"/>
              <w:spacing w:line="540" w:lineRule="exact"/>
              <w:jc w:val="both"/>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资格要求名称</w:t>
            </w:r>
          </w:p>
        </w:tc>
        <w:tc>
          <w:tcPr>
            <w:tcW w:w="2265"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2BB9F725">
            <w:pPr>
              <w:pageBreakBefore w:val="0"/>
              <w:widowControl/>
              <w:shd w:val="clear"/>
              <w:overflowPunct/>
              <w:topLinePunct w:val="0"/>
              <w:bidi w:val="0"/>
              <w:spacing w:line="540" w:lineRule="exact"/>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资格要求详细说明</w:t>
            </w:r>
          </w:p>
        </w:tc>
      </w:tr>
      <w:tr w14:paraId="42EAD550">
        <w:tblPrEx>
          <w:tblCellMar>
            <w:top w:w="0" w:type="dxa"/>
            <w:left w:w="0" w:type="dxa"/>
            <w:bottom w:w="0" w:type="dxa"/>
            <w:right w:w="0" w:type="dxa"/>
          </w:tblCellMar>
        </w:tblPrEx>
        <w:trPr>
          <w:trHeight w:val="804" w:hRule="atLeast"/>
          <w:tblHeader/>
        </w:trPr>
        <w:tc>
          <w:tcPr>
            <w:tcW w:w="276"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1D6FE30F">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1</w:t>
            </w:r>
          </w:p>
        </w:tc>
        <w:tc>
          <w:tcPr>
            <w:tcW w:w="2457"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453E8A72">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w:t>
            </w:r>
          </w:p>
        </w:tc>
        <w:tc>
          <w:tcPr>
            <w:tcW w:w="2265" w:type="pct"/>
            <w:tcBorders>
              <w:top w:val="single" w:color="333333" w:sz="6" w:space="0"/>
              <w:left w:val="single" w:color="333333" w:sz="6" w:space="0"/>
              <w:bottom w:val="single" w:color="333333" w:sz="6" w:space="0"/>
              <w:right w:val="single" w:color="333333" w:sz="6" w:space="0"/>
            </w:tcBorders>
            <w:shd w:val="clear" w:color="auto" w:fill="E2E2E2"/>
            <w:noWrap w:val="0"/>
            <w:tcMar>
              <w:top w:w="75" w:type="dxa"/>
              <w:left w:w="120" w:type="dxa"/>
              <w:bottom w:w="75" w:type="dxa"/>
              <w:right w:w="120" w:type="dxa"/>
            </w:tcMar>
            <w:vAlign w:val="center"/>
          </w:tcPr>
          <w:p w14:paraId="43C0D26A">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w:t>
            </w:r>
          </w:p>
        </w:tc>
      </w:tr>
    </w:tbl>
    <w:p w14:paraId="45353E27">
      <w:pPr>
        <w:pageBreakBefore w:val="0"/>
        <w:widowControl/>
        <w:numPr>
          <w:ilvl w:val="0"/>
          <w:numId w:val="1"/>
        </w:numPr>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评标方法及标准，技术要求与标准</w:t>
      </w:r>
    </w:p>
    <w:p w14:paraId="798842A0">
      <w:pPr>
        <w:pStyle w:val="8"/>
        <w:spacing w:before="262" w:line="321" w:lineRule="auto"/>
        <w:ind w:right="30"/>
        <w:jc w:val="both"/>
        <w:rPr>
          <w:rFonts w:hint="eastAsia" w:ascii="宋体" w:hAnsi="宋体" w:eastAsia="宋体" w:cs="宋体"/>
          <w:b/>
          <w:bCs/>
          <w:color w:val="auto"/>
          <w:kern w:val="0"/>
          <w:sz w:val="24"/>
          <w:szCs w:val="24"/>
          <w:highlight w:val="none"/>
        </w:rPr>
      </w:pPr>
      <w:r>
        <w:rPr>
          <w:rFonts w:hint="eastAsia" w:ascii="宋体" w:hAnsi="宋体" w:eastAsia="宋体" w:cs="宋体"/>
          <w:b/>
          <w:bCs/>
          <w:snapToGrid/>
          <w:color w:val="auto"/>
          <w:kern w:val="2"/>
          <w:sz w:val="24"/>
          <w:szCs w:val="24"/>
          <w:highlight w:val="none"/>
          <w:u w:val="none"/>
          <w:shd w:val="clear"/>
          <w:lang w:val="en-US" w:eastAsia="zh-CN" w:bidi="ar-SA"/>
        </w:rPr>
        <w:t>一、项目基本情况：</w:t>
      </w:r>
      <w:r>
        <w:rPr>
          <w:rFonts w:hint="eastAsia" w:ascii="宋体" w:hAnsi="宋体" w:eastAsia="宋体" w:cs="宋体"/>
          <w:b w:val="0"/>
          <w:bCs w:val="0"/>
          <w:color w:val="auto"/>
          <w:kern w:val="0"/>
          <w:sz w:val="24"/>
          <w:szCs w:val="24"/>
          <w:highlight w:val="none"/>
          <w:lang w:val="en-US" w:eastAsia="zh-CN" w:bidi="ar-SA"/>
        </w:rPr>
        <w:t>本项目为仪陇县2025年第一批中央和省级财政衔接推进乡 村振兴补助资金项目(保平镇有机黄花苗采购),项目位于仪陇县保平镇板桥沟村，主要建设内容为：计划采购50万株有机黄花苗。</w:t>
      </w:r>
    </w:p>
    <w:p w14:paraId="4D6A9DE5">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1）评标方法及标准</w:t>
      </w:r>
    </w:p>
    <w:p w14:paraId="4C80EA9B">
      <w:pPr>
        <w:widowControl/>
        <w:spacing w:line="48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评审条款：</w:t>
      </w:r>
      <w:r>
        <w:rPr>
          <w:rFonts w:hint="eastAsia" w:ascii="宋体" w:hAnsi="宋体" w:cs="宋体"/>
          <w:color w:val="auto"/>
          <w:kern w:val="0"/>
          <w:szCs w:val="21"/>
          <w:highlight w:val="none"/>
          <w:lang w:val="en-US" w:eastAsia="zh-CN"/>
        </w:rPr>
        <w:t>最低评标价法</w:t>
      </w:r>
    </w:p>
    <w:p w14:paraId="086B75CF">
      <w:pPr>
        <w:pageBreakBefore w:val="0"/>
        <w:widowControl/>
        <w:numPr>
          <w:ilvl w:val="0"/>
          <w:numId w:val="2"/>
        </w:numPr>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技术要求与标准：</w:t>
      </w:r>
    </w:p>
    <w:p w14:paraId="0024AF07">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参数性质：</w:t>
      </w:r>
      <w:r>
        <w:rPr>
          <w:rFonts w:hint="eastAsia" w:ascii="宋体" w:hAnsi="宋体" w:eastAsia="宋体" w:cs="宋体"/>
          <w:b/>
          <w:bCs/>
          <w:color w:val="auto"/>
          <w:sz w:val="24"/>
          <w:szCs w:val="24"/>
          <w:highlight w:val="none"/>
        </w:rPr>
        <w:t>□</w:t>
      </w:r>
      <w:r>
        <w:rPr>
          <w:rFonts w:hint="eastAsia" w:ascii="宋体" w:hAnsi="宋体" w:eastAsia="宋体" w:cs="宋体"/>
          <w:b w:val="0"/>
          <w:bCs w:val="0"/>
          <w:color w:val="auto"/>
          <w:sz w:val="24"/>
          <w:szCs w:val="24"/>
          <w:highlight w:val="none"/>
        </w:rPr>
        <w:t>无标识</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rPr>
        <w:t>星号标识</w:t>
      </w:r>
      <w:r>
        <w:rPr>
          <w:rFonts w:hint="eastAsia" w:ascii="宋体" w:hAnsi="宋体" w:eastAsia="宋体" w:cs="宋体"/>
          <w:b/>
          <w:bCs/>
          <w:color w:val="auto"/>
          <w:sz w:val="24"/>
          <w:szCs w:val="24"/>
          <w:highlight w:val="none"/>
        </w:rPr>
        <w:t>□</w:t>
      </w:r>
      <w:r>
        <w:rPr>
          <w:rFonts w:hint="eastAsia" w:ascii="宋体" w:hAnsi="宋体" w:eastAsia="宋体" w:cs="宋体"/>
          <w:b w:val="0"/>
          <w:bCs w:val="0"/>
          <w:color w:val="auto"/>
          <w:sz w:val="24"/>
          <w:szCs w:val="24"/>
          <w:highlight w:val="none"/>
        </w:rPr>
        <w:t>三角识</w:t>
      </w:r>
    </w:p>
    <w:p w14:paraId="65B63A96">
      <w:pPr>
        <w:pStyle w:val="8"/>
        <w:numPr>
          <w:ilvl w:val="0"/>
          <w:numId w:val="0"/>
        </w:numPr>
        <w:spacing w:before="197" w:line="280" w:lineRule="auto"/>
        <w:ind w:right="77" w:rightChars="0"/>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★一、</w:t>
      </w:r>
      <w:r>
        <w:rPr>
          <w:rFonts w:hint="eastAsia" w:ascii="宋体" w:hAnsi="宋体" w:eastAsia="宋体" w:cs="宋体"/>
          <w:b/>
          <w:bCs/>
          <w:color w:val="auto"/>
          <w:kern w:val="0"/>
          <w:sz w:val="24"/>
          <w:szCs w:val="24"/>
          <w:highlight w:val="none"/>
          <w:lang w:val="en-US" w:eastAsia="zh-CN" w:bidi="ar-SA"/>
        </w:rPr>
        <w:t>规格参数：</w:t>
      </w:r>
    </w:p>
    <w:p w14:paraId="71C0D7A1">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(一)形态要求</w:t>
      </w:r>
    </w:p>
    <w:p w14:paraId="5A49E73A">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形态：植株粗壮饱满，整体呈块状或短圆柱形，无畸形、无徒长，株型规整；色泽呈自然淡黄色或黄褐色，色泽均匀一致，无明显色差、无发黑、无霉变，表面无灰尘、泥沙等杂质附着。</w:t>
      </w:r>
    </w:p>
    <w:p w14:paraId="2BAD50BC">
      <w:pPr>
        <w:keepNext w:val="0"/>
        <w:keepLines w:val="0"/>
        <w:widowControl/>
        <w:suppressLineNumbers w:val="0"/>
        <w:jc w:val="left"/>
        <w:rPr>
          <w:color w:val="auto"/>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二</w:t>
      </w:r>
      <w:r>
        <w:rPr>
          <w:rFonts w:hint="eastAsia" w:ascii="宋体" w:hAnsi="宋体" w:eastAsia="宋体" w:cs="宋体"/>
          <w:color w:val="auto"/>
          <w:kern w:val="0"/>
          <w:szCs w:val="21"/>
          <w:highlight w:val="none"/>
        </w:rPr>
        <w:t xml:space="preserve">) </w:t>
      </w:r>
      <w:r>
        <w:rPr>
          <w:rFonts w:ascii="宋体" w:hAnsi="宋体" w:eastAsia="宋体" w:cs="宋体"/>
          <w:color w:val="auto"/>
          <w:kern w:val="0"/>
          <w:sz w:val="24"/>
          <w:szCs w:val="24"/>
          <w:highlight w:val="none"/>
          <w:lang w:val="en-US" w:eastAsia="zh-CN" w:bidi="ar"/>
        </w:rPr>
        <w:t>根系要求</w:t>
      </w:r>
    </w:p>
    <w:p w14:paraId="4C3262EA">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根须完整性：须具备完整、发达的根须系统，无断根、少根、烂根现象，根须分布均匀，附着少量原生土壤（便于定植存活）。</w:t>
      </w:r>
    </w:p>
    <w:p w14:paraId="4C3D9865">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210" w:firstLineChars="1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2.根须数量与长度：单株根须数量严格不少于 8 根，且其中不少于 8 根根须长度均大于 8cm；根须鲜活有韧性，手触不易折断，断面呈乳白色、无褐变，无空心、腐烂迹象。根须长度测量允许误差 ±0.5cm。</w:t>
      </w:r>
    </w:p>
    <w:p w14:paraId="6E7CF959">
      <w:pPr>
        <w:keepNext w:val="0"/>
        <w:keepLines w:val="0"/>
        <w:widowControl/>
        <w:suppressLineNumbers w:val="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（三）芽体与植株健康要求</w:t>
      </w:r>
    </w:p>
    <w:p w14:paraId="1947A780">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分蘖芽：单株须具备2-3个饱满分蘖芽，芽体大小均匀，无破损、无枯萎、无冻伤，芽尖鲜活，未萌发或初萌发（萌发长度不超过1cm），具备良好的生长潜力。</w:t>
      </w:r>
    </w:p>
    <w:p w14:paraId="41725413">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主茎与根系：主茎粗壮、直立，无机械损伤、无折断、无缢缩，茎秆表面光滑，无病斑、无虫蛀痕迹、无流胶现象；根系无严重劈裂，劈裂长度不超过2cm（且未伤及主根），无病斑、无虫伤、无虫卵附着，无腐烂根系。</w:t>
      </w:r>
    </w:p>
    <w:p w14:paraId="0C076F6C">
      <w:pPr>
        <w:pStyle w:val="8"/>
        <w:keepNext w:val="0"/>
        <w:keepLines w:val="0"/>
        <w:pageBreakBefore w:val="0"/>
        <w:widowControl/>
        <w:kinsoku w:val="0"/>
        <w:wordWrap/>
        <w:overflowPunct/>
        <w:topLinePunct w:val="0"/>
        <w:autoSpaceDE w:val="0"/>
        <w:autoSpaceDN w:val="0"/>
        <w:bidi w:val="0"/>
        <w:adjustRightInd w:val="0"/>
        <w:snapToGrid w:val="0"/>
        <w:spacing w:line="520" w:lineRule="exact"/>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（四）生长周期要求</w:t>
      </w:r>
    </w:p>
    <w:p w14:paraId="70776E1F">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单株种苗生长周期严</w:t>
      </w:r>
      <w:r>
        <w:rPr>
          <w:rFonts w:hint="eastAsia" w:ascii="宋体" w:hAnsi="宋体" w:eastAsia="宋体" w:cs="宋体"/>
          <w:color w:val="auto"/>
          <w:kern w:val="0"/>
          <w:szCs w:val="21"/>
          <w:highlight w:val="none"/>
        </w:rPr>
        <w:t>格满足3年及以上</w:t>
      </w:r>
      <w:r>
        <w:rPr>
          <w:rFonts w:hint="eastAsia" w:ascii="宋体" w:hAnsi="宋体" w:eastAsia="宋体" w:cs="宋体"/>
          <w:color w:val="auto"/>
          <w:kern w:val="0"/>
          <w:szCs w:val="21"/>
          <w:highlight w:val="none"/>
        </w:rPr>
        <w:t>，确保种苗生长成熟、抗逆性强、定植成活率高。</w:t>
      </w:r>
    </w:p>
    <w:p w14:paraId="22314671">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lang w:val="en-US" w:eastAsia="zh-CN" w:bidi="ar-SA"/>
        </w:rPr>
        <w:t>（五）</w:t>
      </w:r>
      <w:r>
        <w:rPr>
          <w:rFonts w:hint="eastAsia" w:ascii="宋体" w:hAnsi="宋体" w:eastAsia="宋体" w:cs="宋体"/>
          <w:color w:val="auto"/>
          <w:kern w:val="0"/>
          <w:szCs w:val="21"/>
          <w:highlight w:val="none"/>
        </w:rPr>
        <w:t>纯度与检疫要求</w:t>
      </w:r>
    </w:p>
    <w:p w14:paraId="2880A0A9">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firstLine="630" w:firstLineChars="3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品种纯度</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品种纯度不低于98%，无其他黄花苗品种混杂，无杂草种苗、杂苗混入，纯度鉴定需符合相关行业标准。</w:t>
      </w:r>
    </w:p>
    <w:p w14:paraId="3B2BB914">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firstLine="630" w:firstLineChars="3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检疫要求</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不携带国家规定的植物检疫性有害生物（包括但不限于根瘤线虫、枯萎病病菌、蚜虫卵、红蜘蛛等），无恶性杂草根系混杂、无杂草种子附着；供应商需提供县级及以上植物检疫部门</w:t>
      </w:r>
      <w:r>
        <w:rPr>
          <w:rFonts w:hint="eastAsia" w:ascii="宋体" w:hAnsi="宋体" w:eastAsia="宋体" w:cs="宋体"/>
          <w:color w:val="auto"/>
          <w:kern w:val="0"/>
          <w:szCs w:val="21"/>
          <w:highlight w:val="none"/>
        </w:rPr>
        <w:t>出具的《植物检疫合格证》（原件备查，复印件加盖供应商公章），</w:t>
      </w:r>
      <w:r>
        <w:rPr>
          <w:rFonts w:hint="eastAsia" w:ascii="宋体" w:hAnsi="宋体" w:eastAsia="宋体" w:cs="宋体"/>
          <w:color w:val="auto"/>
          <w:kern w:val="0"/>
          <w:szCs w:val="21"/>
          <w:highlight w:val="none"/>
        </w:rPr>
        <w:t>检疫结果需明确符合本项目要求</w:t>
      </w:r>
    </w:p>
    <w:p w14:paraId="7ABA70B5">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（六）价格要求每株苗价格</w:t>
      </w:r>
      <w:r>
        <w:rPr>
          <w:rFonts w:hint="eastAsia" w:ascii="宋体" w:hAnsi="宋体" w:eastAsia="宋体" w:cs="宋体"/>
          <w:color w:val="auto"/>
          <w:kern w:val="0"/>
          <w:szCs w:val="21"/>
          <w:highlight w:val="none"/>
        </w:rPr>
        <w:t>不高于</w:t>
      </w:r>
      <w:r>
        <w:rPr>
          <w:rFonts w:hint="eastAsia" w:ascii="宋体" w:hAnsi="宋体" w:eastAsia="宋体" w:cs="宋体"/>
          <w:color w:val="auto"/>
          <w:kern w:val="0"/>
          <w:szCs w:val="21"/>
          <w:highlight w:val="none"/>
          <w:lang w:val="en-US" w:eastAsia="zh-CN"/>
        </w:rPr>
        <w:t>0.63</w:t>
      </w:r>
      <w:r>
        <w:rPr>
          <w:rFonts w:hint="eastAsia" w:ascii="宋体" w:hAnsi="宋体" w:eastAsia="宋体" w:cs="宋体"/>
          <w:color w:val="auto"/>
          <w:kern w:val="0"/>
          <w:szCs w:val="21"/>
          <w:highlight w:val="none"/>
        </w:rPr>
        <w:t>元</w:t>
      </w:r>
      <w:r>
        <w:rPr>
          <w:rFonts w:hint="eastAsia" w:ascii="宋体" w:hAnsi="宋体" w:eastAsia="宋体" w:cs="宋体"/>
          <w:color w:val="auto"/>
          <w:kern w:val="0"/>
          <w:szCs w:val="21"/>
          <w:highlight w:val="none"/>
        </w:rPr>
        <w:t>，此价格为全包价，包含种苗本身费用、有机认证相关费用、检疫费用、包装费用、运输费用（含长途运输、短途转运）、装卸费用、税费（增值税专用发票）及运输过程中的保湿、防护等所有相关费用，采购人无需额外支付任何费用；供应商需承诺，若实际采购数量增加，单株价格不高于此标准，且价格调整需经采购人书面确认。</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提供承诺函，格式自拟</w:t>
      </w:r>
      <w:r>
        <w:rPr>
          <w:rFonts w:hint="eastAsia" w:ascii="宋体" w:hAnsi="宋体" w:eastAsia="宋体" w:cs="宋体"/>
          <w:color w:val="auto"/>
          <w:kern w:val="0"/>
          <w:szCs w:val="21"/>
          <w:highlight w:val="none"/>
          <w:lang w:eastAsia="zh-CN"/>
        </w:rPr>
        <w:t>）</w:t>
      </w:r>
    </w:p>
    <w:p w14:paraId="6F80BC4C">
      <w:pPr>
        <w:pStyle w:val="8"/>
        <w:numPr>
          <w:ilvl w:val="0"/>
          <w:numId w:val="0"/>
        </w:numPr>
        <w:spacing w:before="197" w:line="280" w:lineRule="auto"/>
        <w:ind w:right="77" w:rightChars="0"/>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w:t>
      </w:r>
      <w:r>
        <w:rPr>
          <w:rFonts w:hint="eastAsia" w:ascii="宋体" w:hAnsi="宋体" w:eastAsia="宋体" w:cs="宋体"/>
          <w:b/>
          <w:bCs/>
          <w:color w:val="auto"/>
          <w:kern w:val="0"/>
          <w:sz w:val="24"/>
          <w:szCs w:val="24"/>
          <w:highlight w:val="none"/>
          <w:lang w:val="en-US" w:eastAsia="zh-CN" w:bidi="ar-SA"/>
        </w:rPr>
        <w:t>二、 基本要求</w:t>
      </w:r>
    </w:p>
    <w:p w14:paraId="77BD69E8">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（一）</w:t>
      </w:r>
      <w:r>
        <w:rPr>
          <w:rFonts w:hint="eastAsia" w:ascii="宋体" w:hAnsi="宋体" w:eastAsia="宋体" w:cs="宋体"/>
          <w:color w:val="auto"/>
          <w:kern w:val="0"/>
          <w:szCs w:val="21"/>
          <w:highlight w:val="none"/>
        </w:rPr>
        <w:t>品种纯度：≥98%</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严格按照本项目规格参数中品种要求执行，经抽样检验，纯度未达到标准的，采购人有权拒收全部种苗，且供应商需承担由此造成的一切损失。</w:t>
      </w:r>
    </w:p>
    <w:p w14:paraId="0A195D1A">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（二）</w:t>
      </w:r>
      <w:r>
        <w:rPr>
          <w:rFonts w:hint="eastAsia" w:ascii="宋体" w:hAnsi="宋体" w:eastAsia="宋体" w:cs="宋体"/>
          <w:color w:val="auto"/>
          <w:kern w:val="0"/>
          <w:szCs w:val="21"/>
          <w:highlight w:val="none"/>
        </w:rPr>
        <w:t>检疫对象：1.种苗不得携带国家规定的各类植物检疫性有害生物，重点排查根瘤线虫、枯萎病、根腐病等对黄花苗生长危害较大的病虫害，无病虫害症状、无虫卵、无病菌残</w:t>
      </w:r>
      <w:r>
        <w:rPr>
          <w:rFonts w:hint="eastAsia" w:ascii="宋体" w:hAnsi="宋体" w:eastAsia="宋体" w:cs="宋体"/>
          <w:color w:val="auto"/>
          <w:kern w:val="0"/>
          <w:szCs w:val="21"/>
          <w:highlight w:val="none"/>
          <w:lang w:val="en-US" w:eastAsia="zh-CN"/>
        </w:rPr>
        <w:t>留</w:t>
      </w:r>
      <w:r>
        <w:rPr>
          <w:rFonts w:hint="eastAsia" w:ascii="宋体" w:hAnsi="宋体" w:eastAsia="宋体" w:cs="宋体"/>
          <w:color w:val="auto"/>
          <w:kern w:val="0"/>
          <w:szCs w:val="21"/>
          <w:highlight w:val="none"/>
        </w:rPr>
        <w:t>。</w:t>
      </w:r>
    </w:p>
    <w:p w14:paraId="21925232">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2.供应商需承诺，若种苗经检疫部门复检发现携带检疫性有害生物，将无条件退换货，并承担采购人因此产生的全部损失（包括但不限于复检费用、种植延误损失等）</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提供承诺函，格式自拟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w:t>
      </w:r>
    </w:p>
    <w:p w14:paraId="0832A104">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（三）</w:t>
      </w:r>
      <w:r>
        <w:rPr>
          <w:rFonts w:hint="eastAsia" w:ascii="宋体" w:hAnsi="宋体" w:eastAsia="宋体" w:cs="宋体"/>
          <w:color w:val="auto"/>
          <w:kern w:val="0"/>
          <w:szCs w:val="21"/>
          <w:highlight w:val="none"/>
        </w:rPr>
        <w:t>健康状况：1.种苗整体健康，无腐烂、无霉变、无异味，根系、茎秆、芽体无坏死部位，无明显损伤痕迹。</w:t>
      </w:r>
    </w:p>
    <w:p w14:paraId="0E53148C">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2.无恶性杂草根系混杂、无杂草种子附着，无其他有害杂物（如石块、枯枝、垃圾等）混入，确保种苗纯度和种植安全性。</w:t>
      </w:r>
    </w:p>
    <w:p w14:paraId="045195F3">
      <w:pPr>
        <w:pStyle w:val="8"/>
        <w:numPr>
          <w:ilvl w:val="0"/>
          <w:numId w:val="0"/>
        </w:numPr>
        <w:spacing w:before="197" w:line="280" w:lineRule="auto"/>
        <w:ind w:right="77" w:rightChars="0"/>
        <w:rPr>
          <w:rFonts w:hint="eastAsia" w:ascii="宋体" w:hAnsi="宋体" w:eastAsia="宋体" w:cs="宋体"/>
          <w:color w:val="auto"/>
          <w:kern w:val="0"/>
          <w:szCs w:val="21"/>
          <w:highlight w:val="none"/>
        </w:rPr>
      </w:pPr>
      <w:r>
        <w:rPr>
          <w:rFonts w:hint="eastAsia" w:ascii="宋体" w:hAnsi="宋体" w:eastAsia="宋体" w:cs="宋体"/>
          <w:b/>
          <w:bCs/>
          <w:color w:val="auto"/>
          <w:kern w:val="0"/>
          <w:sz w:val="24"/>
          <w:szCs w:val="24"/>
          <w:highlight w:val="none"/>
          <w:lang w:val="en-US" w:eastAsia="zh-CN" w:bidi="ar-SA"/>
        </w:rPr>
        <w:t>★</w:t>
      </w:r>
      <w:r>
        <w:rPr>
          <w:rFonts w:hint="eastAsia" w:ascii="宋体" w:hAnsi="宋体" w:eastAsia="宋体" w:cs="宋体"/>
          <w:b/>
          <w:bCs/>
          <w:color w:val="auto"/>
          <w:kern w:val="0"/>
          <w:sz w:val="24"/>
          <w:szCs w:val="24"/>
          <w:highlight w:val="none"/>
          <w:lang w:val="en-US" w:eastAsia="zh-CN" w:bidi="ar-SA"/>
        </w:rPr>
        <w:t>三、 检验方法</w:t>
      </w:r>
    </w:p>
    <w:p w14:paraId="0AFE3392">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一</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 xml:space="preserve"> 抽样</w:t>
      </w:r>
    </w:p>
    <w:p w14:paraId="0498F0D0">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按同一品种、同一批次、同一等级进行抽样</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不同批次、不同等级的种苗分别抽样检验，不得混合抽样。采用随机抽样法，抽样比例不低于总量的5%。</w:t>
      </w:r>
    </w:p>
    <w:p w14:paraId="7754A23A">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（二）</w:t>
      </w:r>
      <w:r>
        <w:rPr>
          <w:rFonts w:hint="eastAsia" w:ascii="宋体" w:hAnsi="宋体" w:eastAsia="宋体" w:cs="宋体"/>
          <w:color w:val="auto"/>
          <w:kern w:val="0"/>
          <w:szCs w:val="21"/>
          <w:highlight w:val="none"/>
        </w:rPr>
        <w:t>检验</w:t>
      </w:r>
    </w:p>
    <w:p w14:paraId="73776E3D">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感官检验：在自然光、无遮挡、光线充足的环境下，由2名及以上检验人员共同通过目测、手触方式检验，重点检查种苗的形态、色泽、新鲜度、损伤情况及病虫害迹象；目测观察色泽是否均匀、有无畸形、腐烂、病斑，手触检查根须韧性、茎秆硬度、芽体饱满度，判断种苗鲜活程度。</w:t>
      </w:r>
    </w:p>
    <w:p w14:paraId="3C17E49D">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品种纯度检验：依据该品种的典型特征(如</w:t>
      </w:r>
      <w:r>
        <w:rPr>
          <w:rFonts w:hint="eastAsia" w:ascii="宋体" w:hAnsi="宋体" w:eastAsia="宋体" w:cs="宋体"/>
          <w:color w:val="auto"/>
          <w:kern w:val="0"/>
          <w:szCs w:val="21"/>
          <w:highlight w:val="none"/>
          <w:lang w:val="en-US" w:eastAsia="zh-CN"/>
        </w:rPr>
        <w:t>叶</w:t>
      </w:r>
      <w:r>
        <w:rPr>
          <w:rFonts w:hint="eastAsia" w:ascii="宋体" w:hAnsi="宋体" w:eastAsia="宋体" w:cs="宋体"/>
          <w:color w:val="auto"/>
          <w:kern w:val="0"/>
          <w:szCs w:val="21"/>
          <w:highlight w:val="none"/>
        </w:rPr>
        <w:t>片形状、株型等)进行鉴定。</w:t>
      </w:r>
    </w:p>
    <w:p w14:paraId="7D9A8D11">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3.测量：使用精度0.1g的天平秤量单茎重；使用直尺测量根系长度和分</w:t>
      </w:r>
      <w:r>
        <w:rPr>
          <w:rFonts w:hint="eastAsia" w:ascii="宋体" w:hAnsi="宋体" w:eastAsia="宋体" w:cs="宋体"/>
          <w:color w:val="auto"/>
          <w:kern w:val="0"/>
          <w:szCs w:val="21"/>
          <w:highlight w:val="none"/>
        </w:rPr>
        <w:t>蘖</w:t>
      </w:r>
      <w:r>
        <w:rPr>
          <w:rFonts w:hint="eastAsia" w:ascii="宋体" w:hAnsi="宋体" w:eastAsia="宋体" w:cs="宋体"/>
          <w:color w:val="auto"/>
          <w:kern w:val="0"/>
          <w:szCs w:val="21"/>
          <w:highlight w:val="none"/>
          <w:lang w:val="en-US" w:eastAsia="zh-CN"/>
        </w:rPr>
        <w:t>高度。</w:t>
      </w:r>
    </w:p>
    <w:p w14:paraId="0BAE645A">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检疫：由植物检疫部门按相关规定进行。</w:t>
      </w:r>
    </w:p>
    <w:p w14:paraId="0B91BE5C">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（三）</w:t>
      </w:r>
      <w:r>
        <w:rPr>
          <w:rFonts w:hint="eastAsia" w:ascii="宋体" w:hAnsi="宋体" w:eastAsia="宋体" w:cs="宋体"/>
          <w:color w:val="auto"/>
          <w:kern w:val="0"/>
          <w:szCs w:val="21"/>
          <w:highlight w:val="none"/>
        </w:rPr>
        <w:t>包装、标识与运输</w:t>
      </w:r>
    </w:p>
    <w:p w14:paraId="3D484FA4">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包装采用透气、保湿的包装材料、如网麻袋或有孔塑料</w:t>
      </w:r>
      <w:r>
        <w:rPr>
          <w:rFonts w:hint="eastAsia" w:ascii="宋体" w:hAnsi="宋体" w:eastAsia="宋体" w:cs="宋体"/>
          <w:color w:val="auto"/>
          <w:kern w:val="0"/>
          <w:szCs w:val="21"/>
          <w:highlight w:val="none"/>
          <w:lang w:val="en-US" w:eastAsia="zh-CN"/>
        </w:rPr>
        <w:t>箱，</w:t>
      </w:r>
      <w:r>
        <w:rPr>
          <w:rFonts w:hint="eastAsia" w:ascii="宋体" w:hAnsi="宋体" w:eastAsia="宋体" w:cs="宋体"/>
          <w:color w:val="auto"/>
          <w:kern w:val="0"/>
          <w:szCs w:val="21"/>
          <w:highlight w:val="none"/>
        </w:rPr>
        <w:t>每袋数量一致，通常以800株或1000株为一袋，捆扎松紧适度，避免损伤芽体</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 xml:space="preserve"> 长途运输时，可在根系部分添加少量保湿材料(如强润苔藓或锯末)。</w:t>
      </w:r>
    </w:p>
    <w:p w14:paraId="3E30110A">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标识</w:t>
      </w:r>
    </w:p>
    <w:p w14:paraId="01D15C7F">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每捆种苗或包装袋上应附有清晰、牢固的标签，内密包括</w:t>
      </w:r>
      <w:r>
        <w:rPr>
          <w:rFonts w:hint="eastAsia" w:ascii="宋体" w:hAnsi="宋体" w:eastAsia="宋体" w:cs="宋体"/>
          <w:color w:val="auto"/>
          <w:kern w:val="0"/>
          <w:szCs w:val="21"/>
          <w:highlight w:val="none"/>
          <w:lang w:eastAsia="zh-CN"/>
        </w:rPr>
        <w:t>：</w:t>
      </w:r>
    </w:p>
    <w:p w14:paraId="31867799">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①</w:t>
      </w:r>
      <w:r>
        <w:rPr>
          <w:rFonts w:hint="eastAsia" w:ascii="宋体" w:hAnsi="宋体" w:eastAsia="宋体" w:cs="宋体"/>
          <w:color w:val="auto"/>
          <w:kern w:val="0"/>
          <w:szCs w:val="21"/>
          <w:highlight w:val="none"/>
        </w:rPr>
        <w:t>品种名称</w:t>
      </w:r>
      <w:r>
        <w:rPr>
          <w:rFonts w:hint="eastAsia" w:ascii="宋体" w:hAnsi="宋体" w:eastAsia="宋体" w:cs="宋体"/>
          <w:color w:val="auto"/>
          <w:kern w:val="0"/>
          <w:szCs w:val="21"/>
          <w:highlight w:val="none"/>
          <w:lang w:val="en-US" w:eastAsia="zh-CN"/>
        </w:rPr>
        <w:t>②</w:t>
      </w:r>
      <w:r>
        <w:rPr>
          <w:rFonts w:hint="eastAsia" w:ascii="宋体" w:hAnsi="宋体" w:eastAsia="宋体" w:cs="宋体"/>
          <w:color w:val="auto"/>
          <w:kern w:val="0"/>
          <w:szCs w:val="21"/>
          <w:highlight w:val="none"/>
        </w:rPr>
        <w:t xml:space="preserve"> 种苗等级</w:t>
      </w:r>
      <w:r>
        <w:rPr>
          <w:rFonts w:hint="eastAsia" w:ascii="宋体" w:hAnsi="宋体" w:eastAsia="宋体" w:cs="宋体"/>
          <w:color w:val="auto"/>
          <w:kern w:val="0"/>
          <w:szCs w:val="21"/>
          <w:highlight w:val="none"/>
          <w:lang w:val="en-US" w:eastAsia="zh-CN"/>
        </w:rPr>
        <w:t>③</w:t>
      </w:r>
      <w:r>
        <w:rPr>
          <w:rFonts w:hint="eastAsia" w:ascii="宋体" w:hAnsi="宋体" w:eastAsia="宋体" w:cs="宋体"/>
          <w:color w:val="auto"/>
          <w:kern w:val="0"/>
          <w:szCs w:val="21"/>
          <w:highlight w:val="none"/>
        </w:rPr>
        <w:t xml:space="preserve"> 数 量 ( 株 )</w:t>
      </w:r>
      <w:r>
        <w:rPr>
          <w:rFonts w:hint="eastAsia" w:ascii="宋体" w:hAnsi="宋体" w:eastAsia="宋体" w:cs="宋体"/>
          <w:color w:val="auto"/>
          <w:kern w:val="0"/>
          <w:szCs w:val="21"/>
          <w:highlight w:val="none"/>
          <w:lang w:val="en-US" w:eastAsia="zh-CN"/>
        </w:rPr>
        <w:t>④</w:t>
      </w:r>
      <w:r>
        <w:rPr>
          <w:rFonts w:hint="eastAsia" w:ascii="宋体" w:hAnsi="宋体" w:eastAsia="宋体" w:cs="宋体"/>
          <w:color w:val="auto"/>
          <w:kern w:val="0"/>
          <w:szCs w:val="21"/>
          <w:highlight w:val="none"/>
        </w:rPr>
        <w:t xml:space="preserve"> 生产单位及联系方式</w:t>
      </w:r>
      <w:r>
        <w:rPr>
          <w:rFonts w:hint="eastAsia" w:ascii="宋体" w:hAnsi="宋体" w:eastAsia="宋体" w:cs="宋体"/>
          <w:color w:val="auto"/>
          <w:kern w:val="0"/>
          <w:szCs w:val="21"/>
          <w:highlight w:val="none"/>
          <w:lang w:val="en-US" w:eastAsia="zh-CN"/>
        </w:rPr>
        <w:t>⑤</w:t>
      </w:r>
      <w:r>
        <w:rPr>
          <w:rFonts w:hint="eastAsia" w:ascii="宋体" w:hAnsi="宋体" w:eastAsia="宋体" w:cs="宋体"/>
          <w:color w:val="auto"/>
          <w:kern w:val="0"/>
          <w:szCs w:val="21"/>
          <w:highlight w:val="none"/>
        </w:rPr>
        <w:t>生产日期或批号</w:t>
      </w:r>
      <w:r>
        <w:rPr>
          <w:rFonts w:hint="eastAsia" w:ascii="宋体" w:hAnsi="宋体" w:eastAsia="宋体" w:cs="宋体"/>
          <w:color w:val="auto"/>
          <w:kern w:val="0"/>
          <w:szCs w:val="21"/>
          <w:highlight w:val="none"/>
          <w:lang w:val="en-US" w:eastAsia="zh-CN"/>
        </w:rPr>
        <w:t>⑥</w:t>
      </w:r>
      <w:r>
        <w:rPr>
          <w:rFonts w:hint="eastAsia" w:ascii="宋体" w:hAnsi="宋体" w:eastAsia="宋体" w:cs="宋体"/>
          <w:color w:val="auto"/>
          <w:kern w:val="0"/>
          <w:szCs w:val="21"/>
          <w:highlight w:val="none"/>
        </w:rPr>
        <w:t>执行标准编号</w:t>
      </w:r>
    </w:p>
    <w:p w14:paraId="45D4344D">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运输</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运输过程中应防止日晒、雨淋、高温(&gt;30℃)和冻害</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装运时应轻拿轻放，</w:t>
      </w:r>
      <w:r>
        <w:rPr>
          <w:rFonts w:hint="eastAsia" w:ascii="宋体" w:hAnsi="宋体" w:eastAsia="宋体" w:cs="宋体"/>
          <w:color w:val="auto"/>
          <w:kern w:val="0"/>
          <w:szCs w:val="21"/>
          <w:highlight w:val="none"/>
          <w:lang w:val="en-US" w:eastAsia="zh-CN"/>
        </w:rPr>
        <w:t>避</w:t>
      </w:r>
      <w:r>
        <w:rPr>
          <w:rFonts w:hint="eastAsia" w:ascii="宋体" w:hAnsi="宋体" w:eastAsia="宋体" w:cs="宋体"/>
          <w:color w:val="auto"/>
          <w:kern w:val="0"/>
          <w:szCs w:val="21"/>
          <w:highlight w:val="none"/>
        </w:rPr>
        <w:t>免堆压过重造成机械</w:t>
      </w:r>
      <w:r>
        <w:rPr>
          <w:rFonts w:hint="eastAsia" w:ascii="宋体" w:hAnsi="宋体" w:eastAsia="宋体" w:cs="宋体"/>
          <w:color w:val="auto"/>
          <w:kern w:val="0"/>
          <w:szCs w:val="21"/>
          <w:highlight w:val="none"/>
          <w:lang w:val="en-US" w:eastAsia="zh-CN"/>
        </w:rPr>
        <w:t>损</w:t>
      </w:r>
      <w:r>
        <w:rPr>
          <w:rFonts w:hint="eastAsia" w:ascii="宋体" w:hAnsi="宋体" w:eastAsia="宋体" w:cs="宋体"/>
          <w:color w:val="auto"/>
          <w:kern w:val="0"/>
          <w:szCs w:val="21"/>
          <w:highlight w:val="none"/>
        </w:rPr>
        <w:t>伤。应快速运输，从起苗到定植原则上不超过7天，以确保种苗活力。</w:t>
      </w:r>
    </w:p>
    <w:p w14:paraId="587FEDF0">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储存</w:t>
      </w:r>
    </w:p>
    <w:p w14:paraId="7D9C980A">
      <w:pPr>
        <w:pStyle w:val="8"/>
        <w:keepNext w:val="0"/>
        <w:keepLines w:val="0"/>
        <w:pageBreakBefore w:val="0"/>
        <w:widowControl/>
        <w:kinsoku w:val="0"/>
        <w:wordWrap w:val="0"/>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kern w:val="0"/>
          <w:szCs w:val="21"/>
          <w:highlight w:val="none"/>
          <w:lang w:eastAsia="zh-CN"/>
        </w:rPr>
        <w:sectPr>
          <w:footerReference r:id="rId3" w:type="default"/>
          <w:pgSz w:w="11860" w:h="16840"/>
          <w:pgMar w:top="1431" w:right="1779" w:bottom="1196" w:left="1440" w:header="0" w:footer="791" w:gutter="0"/>
          <w:cols w:space="720" w:num="1"/>
        </w:sectPr>
      </w:pPr>
      <w:r>
        <w:rPr>
          <w:rFonts w:hint="eastAsia" w:ascii="宋体" w:hAnsi="宋体" w:eastAsia="宋体" w:cs="宋体"/>
          <w:color w:val="auto"/>
          <w:kern w:val="0"/>
          <w:szCs w:val="21"/>
          <w:highlight w:val="none"/>
        </w:rPr>
        <w:t>种苗运抵后若不立即种植，应摊放在阴凉、通风、湿润的室内，并定期喷水保湿，储存时间不宜超过3-5天</w:t>
      </w:r>
      <w:r>
        <w:rPr>
          <w:rFonts w:hint="eastAsia" w:ascii="宋体" w:hAnsi="宋体" w:eastAsia="宋体" w:cs="宋体"/>
          <w:color w:val="auto"/>
          <w:kern w:val="0"/>
          <w:szCs w:val="21"/>
          <w:highlight w:val="none"/>
          <w:lang w:eastAsia="zh-CN"/>
        </w:rPr>
        <w:t>。</w:t>
      </w:r>
    </w:p>
    <w:p w14:paraId="52513262">
      <w:pPr>
        <w:keepNext w:val="0"/>
        <w:keepLines w:val="0"/>
        <w:pageBreakBefore w:val="0"/>
        <w:shd w:val="clear"/>
        <w:wordWrap w:val="0"/>
        <w:overflowPunct/>
        <w:topLinePunct w:val="0"/>
        <w:bidi w:val="0"/>
        <w:spacing w:line="540" w:lineRule="exac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注：1.本项目核心产品为：有机黄花苗</w:t>
      </w:r>
    </w:p>
    <w:p w14:paraId="24BE549E">
      <w:pPr>
        <w:pStyle w:val="14"/>
        <w:keepNext w:val="0"/>
        <w:keepLines w:val="0"/>
        <w:pageBreakBefore w:val="0"/>
        <w:widowControl w:val="0"/>
        <w:shd w:val="clear"/>
        <w:kinsoku/>
        <w:wordWrap w:val="0"/>
        <w:overflowPunct/>
        <w:topLinePunct w:val="0"/>
        <w:autoSpaceDE/>
        <w:autoSpaceDN/>
        <w:bidi w:val="0"/>
        <w:adjustRightInd/>
        <w:snapToGrid/>
        <w:spacing w:line="500" w:lineRule="exact"/>
        <w:ind w:left="0" w:leftChars="0" w:firstLine="420" w:firstLineChars="200"/>
        <w:textAlignment w:val="auto"/>
        <w:rPr>
          <w:rFonts w:hint="eastAsia" w:ascii="宋体" w:hAnsi="宋体" w:eastAsia="宋体" w:cs="宋体"/>
          <w:color w:val="auto"/>
          <w:sz w:val="24"/>
          <w:szCs w:val="24"/>
          <w:highlight w:val="none"/>
        </w:rPr>
      </w:pPr>
      <w:bookmarkStart w:id="7" w:name="_Hlk90113866"/>
      <w:r>
        <w:rPr>
          <w:rFonts w:hint="eastAsia" w:ascii="宋体" w:hAnsi="宋体" w:eastAsia="宋体" w:cs="宋体"/>
          <w:color w:val="auto"/>
          <w:kern w:val="0"/>
          <w:sz w:val="21"/>
          <w:szCs w:val="21"/>
          <w:highlight w:val="none"/>
          <w:lang w:val="en-US" w:eastAsia="zh-CN" w:bidi="ar-SA"/>
        </w:rPr>
        <w:t>2、</w:t>
      </w:r>
      <w:bookmarkEnd w:id="7"/>
      <w:r>
        <w:rPr>
          <w:rFonts w:hint="eastAsia" w:ascii="宋体" w:hAnsi="宋体" w:eastAsia="宋体" w:cs="宋体"/>
          <w:color w:val="auto"/>
          <w:kern w:val="0"/>
          <w:sz w:val="21"/>
          <w:szCs w:val="21"/>
          <w:highlight w:val="none"/>
          <w:lang w:val="en-US" w:eastAsia="zh-CN" w:bidi="ar-SA"/>
        </w:rPr>
        <w:t>上述技术参数及要求涉及的相关标准若有更新或最新标准，按最新标准执行</w:t>
      </w:r>
      <w:r>
        <w:rPr>
          <w:rFonts w:hint="eastAsia" w:ascii="宋体" w:hAnsi="宋体" w:eastAsia="宋体" w:cs="宋体"/>
          <w:color w:val="auto"/>
          <w:sz w:val="24"/>
          <w:szCs w:val="24"/>
          <w:highlight w:val="none"/>
        </w:rPr>
        <w:t>；</w:t>
      </w:r>
    </w:p>
    <w:p w14:paraId="386B82F8">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11.合同管理安排</w:t>
      </w:r>
    </w:p>
    <w:p w14:paraId="4723BB66">
      <w:pPr>
        <w:pageBreakBefore w:val="0"/>
        <w:widowControl/>
        <w:shd w:val="clear" w:color="auto"/>
        <w:overflowPunct/>
        <w:topLinePunct w:val="0"/>
        <w:bidi w:val="0"/>
        <w:spacing w:line="540" w:lineRule="exact"/>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val="0"/>
          <w:bCs w:val="0"/>
          <w:color w:val="auto"/>
          <w:kern w:val="0"/>
          <w:sz w:val="24"/>
          <w:szCs w:val="24"/>
          <w:highlight w:val="none"/>
        </w:rPr>
        <w:t>）</w:t>
      </w:r>
      <w:r>
        <w:rPr>
          <w:rFonts w:hint="eastAsia" w:ascii="宋体" w:hAnsi="宋体" w:eastAsia="宋体" w:cs="宋体"/>
          <w:b/>
          <w:bCs/>
          <w:color w:val="auto"/>
          <w:kern w:val="0"/>
          <w:sz w:val="24"/>
          <w:szCs w:val="24"/>
          <w:highlight w:val="none"/>
        </w:rPr>
        <w:t>合同类型</w:t>
      </w:r>
      <w:r>
        <w:rPr>
          <w:rFonts w:hint="eastAsia" w:ascii="宋体" w:hAnsi="宋体" w:eastAsia="宋体" w:cs="宋体"/>
          <w:b w:val="0"/>
          <w:bCs w:val="0"/>
          <w:color w:val="auto"/>
          <w:kern w:val="0"/>
          <w:sz w:val="24"/>
          <w:szCs w:val="24"/>
          <w:highlight w:val="none"/>
        </w:rPr>
        <w:t>：</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kern w:val="0"/>
          <w:sz w:val="24"/>
          <w:szCs w:val="24"/>
          <w:highlight w:val="none"/>
        </w:rPr>
        <w:t>买卖合同</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0"/>
          <w:sz w:val="24"/>
          <w:szCs w:val="24"/>
          <w:highlight w:val="none"/>
        </w:rPr>
        <w:t>租赁合同</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0"/>
          <w:sz w:val="24"/>
          <w:szCs w:val="24"/>
          <w:highlight w:val="none"/>
        </w:rPr>
        <w:t>建设工程合同</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0"/>
          <w:sz w:val="24"/>
          <w:szCs w:val="24"/>
          <w:highlight w:val="none"/>
        </w:rPr>
        <w:t>技术合同</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kern w:val="0"/>
          <w:sz w:val="24"/>
          <w:szCs w:val="24"/>
          <w:highlight w:val="none"/>
        </w:rPr>
        <w:t>委托合同</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0"/>
          <w:sz w:val="24"/>
          <w:szCs w:val="24"/>
          <w:highlight w:val="none"/>
        </w:rPr>
        <w:t>物业管理合同</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0"/>
          <w:sz w:val="24"/>
          <w:szCs w:val="24"/>
          <w:highlight w:val="none"/>
        </w:rPr>
        <w:t>其它合同</w:t>
      </w:r>
    </w:p>
    <w:p w14:paraId="056F6BF8">
      <w:pPr>
        <w:pStyle w:val="8"/>
        <w:pageBreakBefore w:val="0"/>
        <w:shd w:val="clear"/>
        <w:overflowPunct/>
        <w:topLinePunct w:val="0"/>
        <w:bidi w:val="0"/>
        <w:spacing w:line="540" w:lineRule="exact"/>
        <w:rPr>
          <w:rFonts w:hint="eastAsia" w:ascii="宋体" w:hAnsi="宋体" w:eastAsia="宋体" w:cs="宋体"/>
          <w:b w:val="0"/>
          <w:bCs w:val="0"/>
          <w:color w:val="auto"/>
          <w:kern w:val="0"/>
          <w:sz w:val="24"/>
          <w:szCs w:val="24"/>
          <w:highlight w:val="none"/>
          <w:u w:val="single"/>
          <w:lang w:val="en-US" w:eastAsia="zh-CN" w:bidi="ar-SA"/>
        </w:rPr>
      </w:pPr>
      <w:r>
        <w:rPr>
          <w:rFonts w:hint="eastAsia" w:ascii="宋体" w:hAnsi="宋体" w:eastAsia="宋体" w:cs="宋体"/>
          <w:b w:val="0"/>
          <w:bCs w:val="0"/>
          <w:color w:val="auto"/>
          <w:kern w:val="0"/>
          <w:sz w:val="24"/>
          <w:szCs w:val="24"/>
          <w:highlight w:val="none"/>
          <w:lang w:val="en-US" w:eastAsia="zh-CN" w:bidi="ar-SA"/>
        </w:rPr>
        <w:t xml:space="preserve">选择合同类型的理由： </w:t>
      </w:r>
      <w:r>
        <w:rPr>
          <w:rFonts w:hint="eastAsia" w:ascii="宋体" w:hAnsi="宋体" w:eastAsia="宋体" w:cs="宋体"/>
          <w:b w:val="0"/>
          <w:bCs w:val="0"/>
          <w:color w:val="auto"/>
          <w:kern w:val="0"/>
          <w:sz w:val="24"/>
          <w:szCs w:val="24"/>
          <w:highlight w:val="none"/>
          <w:u w:val="single"/>
          <w:lang w:val="en-US" w:eastAsia="zh-CN" w:bidi="ar-SA"/>
        </w:rPr>
        <w:t>属于民法典规定的典型合同类别。</w:t>
      </w:r>
    </w:p>
    <w:p w14:paraId="43ADCA1F">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2）合同定价方式：</w:t>
      </w:r>
    </w:p>
    <w:p w14:paraId="7AF7BF08">
      <w:pPr>
        <w:pageBreakBefore w:val="0"/>
        <w:widowControl/>
        <w:shd w:val="clear" w:color="auto"/>
        <w:overflowPunct/>
        <w:topLinePunct w:val="0"/>
        <w:bidi w:val="0"/>
        <w:spacing w:line="540" w:lineRule="exact"/>
        <w:rPr>
          <w:rFonts w:hint="eastAsia" w:ascii="宋体" w:hAnsi="宋体" w:eastAsia="宋体" w:cs="宋体"/>
          <w:b w:val="0"/>
          <w:bCs w:val="0"/>
          <w:color w:val="auto"/>
          <w:kern w:val="0"/>
          <w:sz w:val="24"/>
          <w:szCs w:val="24"/>
          <w:highlight w:val="none"/>
          <w:u w:val="single"/>
          <w:lang w:val="en-US" w:eastAsia="zh-CN"/>
        </w:rPr>
      </w:pPr>
      <w:r>
        <w:rPr>
          <w:rFonts w:hint="eastAsia" w:ascii="宋体" w:hAnsi="宋体" w:eastAsia="宋体" w:cs="宋体"/>
          <w:b/>
          <w:bCs/>
          <w:color w:val="auto"/>
          <w:kern w:val="0"/>
          <w:sz w:val="24"/>
          <w:szCs w:val="24"/>
          <w:highlight w:val="none"/>
        </w:rPr>
        <w:t>3）</w:t>
      </w:r>
      <w:r>
        <w:rPr>
          <w:rFonts w:hint="eastAsia" w:ascii="宋体" w:hAnsi="宋体" w:eastAsia="宋体" w:cs="宋体"/>
          <w:b/>
          <w:bCs/>
          <w:color w:val="auto"/>
          <w:kern w:val="0"/>
          <w:sz w:val="24"/>
          <w:szCs w:val="24"/>
          <w:highlight w:val="none"/>
          <w:lang w:val="en-US" w:eastAsia="zh-CN"/>
        </w:rPr>
        <w:t>供货</w:t>
      </w:r>
      <w:r>
        <w:rPr>
          <w:rFonts w:hint="eastAsia" w:ascii="宋体" w:hAnsi="宋体" w:eastAsia="宋体" w:cs="宋体"/>
          <w:b/>
          <w:bCs/>
          <w:color w:val="auto"/>
          <w:kern w:val="0"/>
          <w:sz w:val="24"/>
          <w:szCs w:val="24"/>
          <w:highlight w:val="none"/>
        </w:rPr>
        <w:t>期限：</w:t>
      </w:r>
      <w:bookmarkStart w:id="8" w:name="OLE_LINK17"/>
      <w:r>
        <w:rPr>
          <w:rFonts w:hint="eastAsia" w:ascii="宋体" w:hAnsi="宋体" w:eastAsia="宋体" w:cs="宋体"/>
          <w:b w:val="0"/>
          <w:bCs w:val="0"/>
          <w:color w:val="auto"/>
          <w:kern w:val="0"/>
          <w:sz w:val="24"/>
          <w:szCs w:val="24"/>
          <w:highlight w:val="none"/>
        </w:rPr>
        <w:t>自合同签订之日起</w:t>
      </w:r>
      <w:r>
        <w:rPr>
          <w:rFonts w:hint="eastAsia" w:ascii="宋体" w:hAnsi="宋体" w:eastAsia="宋体" w:cs="宋体"/>
          <w:b w:val="0"/>
          <w:bCs w:val="0"/>
          <w:color w:val="auto"/>
          <w:kern w:val="0"/>
          <w:sz w:val="24"/>
          <w:szCs w:val="24"/>
          <w:highlight w:val="none"/>
          <w:lang w:val="en-US" w:eastAsia="zh-CN"/>
        </w:rPr>
        <w:t>30</w:t>
      </w:r>
      <w:r>
        <w:rPr>
          <w:rFonts w:hint="eastAsia" w:ascii="宋体" w:hAnsi="宋体" w:eastAsia="宋体" w:cs="宋体"/>
          <w:b w:val="0"/>
          <w:bCs w:val="0"/>
          <w:color w:val="auto"/>
          <w:kern w:val="0"/>
          <w:sz w:val="24"/>
          <w:szCs w:val="24"/>
          <w:highlight w:val="none"/>
          <w:u w:val="single"/>
          <w:lang w:val="en-US" w:eastAsia="zh-CN"/>
        </w:rPr>
        <w:t>日</w:t>
      </w:r>
    </w:p>
    <w:bookmarkEnd w:id="8"/>
    <w:p w14:paraId="66B32D87">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rPr>
        <w:t>4）合同履约地点：</w:t>
      </w:r>
      <w:r>
        <w:rPr>
          <w:rFonts w:hint="eastAsia" w:ascii="宋体" w:hAnsi="宋体" w:eastAsia="宋体" w:cs="宋体"/>
          <w:b/>
          <w:bCs/>
          <w:color w:val="auto"/>
          <w:kern w:val="0"/>
          <w:sz w:val="24"/>
          <w:szCs w:val="24"/>
          <w:highlight w:val="none"/>
          <w:lang w:val="en-US" w:eastAsia="zh-CN"/>
        </w:rPr>
        <w:t>仪陇县境内</w:t>
      </w:r>
    </w:p>
    <w:p w14:paraId="08464BE6">
      <w:pPr>
        <w:pageBreakBefore w:val="0"/>
        <w:widowControl/>
        <w:shd w:val="clear" w:color="auto"/>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5）支付方式：</w:t>
      </w:r>
      <w:r>
        <w:rPr>
          <w:rFonts w:hint="eastAsia" w:ascii="宋体" w:hAnsi="宋体" w:eastAsia="宋体" w:cs="宋体"/>
          <w:b w:val="0"/>
          <w:bCs w:val="0"/>
          <w:color w:val="auto"/>
          <w:sz w:val="24"/>
          <w:szCs w:val="24"/>
          <w:highlight w:val="none"/>
        </w:rPr>
        <w:t>□一次付清</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分期付款</w:t>
      </w:r>
    </w:p>
    <w:p w14:paraId="7F309827">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6）履约保证金及缴纳形式：</w:t>
      </w:r>
    </w:p>
    <w:p w14:paraId="2EA4212C">
      <w:pPr>
        <w:widowControl/>
        <w:shd w:val="clear"/>
        <w:spacing w:line="48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中标/成交供应商是否需要缴纳履约保证金：</w:t>
      </w:r>
      <w:r>
        <w:rPr>
          <w:rFonts w:hint="eastAsia" w:ascii="宋体" w:hAnsi="宋体" w:eastAsia="宋体" w:cs="宋体"/>
          <w:b w:val="0"/>
          <w:bCs w:val="0"/>
          <w:color w:val="auto"/>
          <w:kern w:val="0"/>
          <w:sz w:val="24"/>
          <w:szCs w:val="24"/>
          <w:highlight w:val="none"/>
          <w:lang w:val="en-US" w:eastAsia="zh-CN" w:bidi="ar-SA"/>
        </w:rPr>
        <w:sym w:font="Wingdings 2" w:char="0052"/>
      </w:r>
      <w:r>
        <w:rPr>
          <w:rFonts w:hint="eastAsia" w:ascii="宋体" w:hAnsi="宋体" w:eastAsia="宋体" w:cs="宋体"/>
          <w:b w:val="0"/>
          <w:bCs w:val="0"/>
          <w:color w:val="auto"/>
          <w:kern w:val="0"/>
          <w:sz w:val="24"/>
          <w:szCs w:val="24"/>
          <w:highlight w:val="none"/>
          <w:lang w:val="en-US" w:eastAsia="zh-CN" w:bidi="ar-SA"/>
        </w:rPr>
        <w:t>是 □否</w:t>
      </w:r>
    </w:p>
    <w:p w14:paraId="184557B5">
      <w:pPr>
        <w:widowControl/>
        <w:shd w:val="clear"/>
        <w:spacing w:line="48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履约保证金缴纳比例：5 %（履约保证金）</w:t>
      </w:r>
    </w:p>
    <w:p w14:paraId="0F0D5D8D">
      <w:pPr>
        <w:widowControl/>
        <w:shd w:val="clear"/>
        <w:spacing w:line="48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缴纳方式：</w:t>
      </w:r>
      <w:r>
        <w:rPr>
          <w:rFonts w:hint="eastAsia" w:ascii="宋体" w:hAnsi="宋体" w:eastAsia="宋体" w:cs="宋体"/>
          <w:b w:val="0"/>
          <w:bCs w:val="0"/>
          <w:color w:val="auto"/>
          <w:kern w:val="0"/>
          <w:sz w:val="24"/>
          <w:szCs w:val="24"/>
          <w:highlight w:val="none"/>
          <w:lang w:val="en-US" w:eastAsia="zh-CN" w:bidi="ar-SA"/>
        </w:rPr>
        <w:sym w:font="Wingdings 2" w:char="0052"/>
      </w:r>
      <w:r>
        <w:rPr>
          <w:rFonts w:hint="eastAsia" w:ascii="宋体" w:hAnsi="宋体" w:eastAsia="宋体" w:cs="宋体"/>
          <w:b w:val="0"/>
          <w:bCs w:val="0"/>
          <w:color w:val="auto"/>
          <w:kern w:val="0"/>
          <w:sz w:val="24"/>
          <w:szCs w:val="24"/>
          <w:highlight w:val="none"/>
          <w:lang w:val="en-US" w:eastAsia="zh-CN" w:bidi="ar-SA"/>
        </w:rPr>
        <w:t>银行转账</w:t>
      </w:r>
      <w:r>
        <w:rPr>
          <w:rFonts w:hint="eastAsia" w:ascii="宋体" w:hAnsi="宋体" w:eastAsia="宋体" w:cs="宋体"/>
          <w:b w:val="0"/>
          <w:bCs w:val="0"/>
          <w:color w:val="auto"/>
          <w:kern w:val="0"/>
          <w:sz w:val="24"/>
          <w:szCs w:val="24"/>
          <w:highlight w:val="none"/>
          <w:lang w:val="en-US" w:eastAsia="zh-CN" w:bidi="ar-SA"/>
        </w:rPr>
        <w:sym w:font="Wingdings 2" w:char="0052"/>
      </w:r>
      <w:r>
        <w:rPr>
          <w:rFonts w:hint="eastAsia" w:ascii="宋体" w:hAnsi="宋体" w:eastAsia="宋体" w:cs="宋体"/>
          <w:b w:val="0"/>
          <w:bCs w:val="0"/>
          <w:color w:val="auto"/>
          <w:kern w:val="0"/>
          <w:sz w:val="24"/>
          <w:szCs w:val="24"/>
          <w:highlight w:val="none"/>
          <w:lang w:val="en-US" w:eastAsia="zh-CN" w:bidi="ar-SA"/>
        </w:rPr>
        <w:t>支票/汇票/本票</w:t>
      </w:r>
      <w:r>
        <w:rPr>
          <w:rFonts w:hint="eastAsia" w:ascii="宋体" w:hAnsi="宋体" w:eastAsia="宋体" w:cs="宋体"/>
          <w:b w:val="0"/>
          <w:bCs w:val="0"/>
          <w:color w:val="auto"/>
          <w:kern w:val="0"/>
          <w:sz w:val="24"/>
          <w:szCs w:val="24"/>
          <w:highlight w:val="none"/>
          <w:lang w:val="en-US" w:eastAsia="zh-CN" w:bidi="ar-SA"/>
        </w:rPr>
        <w:sym w:font="Wingdings 2" w:char="0052"/>
      </w:r>
      <w:r>
        <w:rPr>
          <w:rFonts w:hint="eastAsia" w:ascii="宋体" w:hAnsi="宋体" w:eastAsia="宋体" w:cs="宋体"/>
          <w:b w:val="0"/>
          <w:bCs w:val="0"/>
          <w:color w:val="auto"/>
          <w:kern w:val="0"/>
          <w:sz w:val="24"/>
          <w:szCs w:val="24"/>
          <w:highlight w:val="none"/>
          <w:lang w:val="en-US" w:eastAsia="zh-CN" w:bidi="ar-SA"/>
        </w:rPr>
        <w:t>保函/保险</w:t>
      </w:r>
    </w:p>
    <w:p w14:paraId="770947CF">
      <w:pPr>
        <w:widowControl/>
        <w:shd w:val="clear"/>
        <w:spacing w:line="48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缴纳说明：</w:t>
      </w:r>
    </w:p>
    <w:tbl>
      <w:tblPr>
        <w:tblStyle w:val="16"/>
        <w:tblW w:w="9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3"/>
      </w:tblGrid>
      <w:tr w14:paraId="68F9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8" w:hRule="atLeast"/>
        </w:trPr>
        <w:tc>
          <w:tcPr>
            <w:tcW w:w="9153" w:type="dxa"/>
          </w:tcPr>
          <w:p w14:paraId="014D8522">
            <w:pPr>
              <w:widowControl/>
              <w:shd w:val="clear"/>
              <w:spacing w:line="48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开户银行：南充农村商业银行保平镇支行</w:t>
            </w:r>
          </w:p>
          <w:p w14:paraId="5167A55C">
            <w:pPr>
              <w:widowControl/>
              <w:shd w:val="clear"/>
              <w:spacing w:line="48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银行账号：88130120059488661</w:t>
            </w:r>
          </w:p>
          <w:p w14:paraId="37D7F592">
            <w:pPr>
              <w:widowControl/>
              <w:shd w:val="clear"/>
              <w:spacing w:line="480" w:lineRule="auto"/>
              <w:rPr>
                <w:rFonts w:hint="eastAsia" w:ascii="宋体" w:hAnsi="宋体" w:eastAsia="宋体" w:cs="宋体"/>
                <w:b/>
                <w:bCs/>
                <w:color w:val="auto"/>
                <w:kern w:val="0"/>
                <w:szCs w:val="21"/>
                <w:highlight w:val="none"/>
              </w:rPr>
            </w:pPr>
            <w:r>
              <w:rPr>
                <w:rFonts w:hint="eastAsia" w:ascii="宋体" w:hAnsi="宋体" w:eastAsia="宋体" w:cs="宋体"/>
                <w:b w:val="0"/>
                <w:bCs w:val="0"/>
                <w:color w:val="auto"/>
                <w:kern w:val="0"/>
                <w:sz w:val="24"/>
                <w:szCs w:val="24"/>
                <w:highlight w:val="none"/>
                <w:lang w:val="en-US" w:eastAsia="zh-CN" w:bidi="ar-SA"/>
              </w:rPr>
              <w:t>交款时间：成交通知书发放后。</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b w:val="0"/>
                <w:bCs w:val="0"/>
                <w:color w:val="auto"/>
                <w:kern w:val="0"/>
                <w:sz w:val="24"/>
                <w:szCs w:val="24"/>
                <w:highlight w:val="none"/>
                <w:lang w:val="en-US" w:eastAsia="zh-CN" w:bidi="ar-SA"/>
              </w:rPr>
              <w:t>履约保证金退还方式：原账号返回。</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b w:val="0"/>
                <w:bCs w:val="0"/>
                <w:color w:val="auto"/>
                <w:kern w:val="0"/>
                <w:sz w:val="24"/>
                <w:szCs w:val="24"/>
                <w:highlight w:val="none"/>
                <w:lang w:val="en-US" w:eastAsia="zh-CN" w:bidi="ar-SA"/>
              </w:rPr>
              <w:t>履约保证金退还时间：项目履约验收完成后。</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b w:val="0"/>
                <w:bCs w:val="0"/>
                <w:color w:val="auto"/>
                <w:kern w:val="0"/>
                <w:sz w:val="24"/>
                <w:szCs w:val="24"/>
                <w:highlight w:val="none"/>
                <w:lang w:val="en-US" w:eastAsia="zh-CN" w:bidi="ar-SA"/>
              </w:rPr>
              <w:t>履约保证金不予退还情形：成交供应商不履行与采购人订立的合同的，履约保证金不予退还。履约保证金不予退还的，将按照有关规定上缴国库。</w:t>
            </w:r>
          </w:p>
        </w:tc>
      </w:tr>
    </w:tbl>
    <w:p w14:paraId="4BADB714">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7）质量保证金及缴纳形式：</w:t>
      </w:r>
    </w:p>
    <w:p w14:paraId="71815478">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中标/成交供应商是否需要缴纳质量保证金：否</w:t>
      </w:r>
    </w:p>
    <w:p w14:paraId="7F423625">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8）合同支付约定</w:t>
      </w:r>
    </w:p>
    <w:p w14:paraId="19222C63">
      <w:pPr>
        <w:pStyle w:val="22"/>
        <w:keepNext w:val="0"/>
        <w:keepLines w:val="0"/>
        <w:pageBreakBefore w:val="0"/>
        <w:widowControl/>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bCs/>
          <w:color w:val="auto"/>
          <w:kern w:val="0"/>
          <w:sz w:val="24"/>
          <w:szCs w:val="24"/>
          <w:highlight w:val="none"/>
        </w:rPr>
        <w:t>付款条件说明：</w:t>
      </w:r>
      <w:bookmarkStart w:id="9" w:name="OLE_LINK7"/>
      <w:r>
        <w:rPr>
          <w:rFonts w:hint="eastAsia" w:ascii="宋体" w:hAnsi="宋体" w:eastAsia="宋体" w:cs="宋体"/>
          <w:color w:val="auto"/>
          <w:kern w:val="0"/>
          <w:sz w:val="21"/>
          <w:szCs w:val="21"/>
          <w:highlight w:val="none"/>
          <w:lang w:val="en-US" w:eastAsia="zh-CN" w:bidi="ar-SA"/>
        </w:rPr>
        <w:t>1、签订政府采购合同生效后，达到付款条件后7日内支付合同金额的40%作为预付款；2、供货完成验收合格后，达到付款条件后10日内，支付合同总金额的60%。</w:t>
      </w:r>
    </w:p>
    <w:bookmarkEnd w:id="9"/>
    <w:p w14:paraId="17D3F883">
      <w:pPr>
        <w:pStyle w:val="22"/>
        <w:numPr>
          <w:ilvl w:val="0"/>
          <w:numId w:val="0"/>
        </w:numPr>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bCs/>
          <w:color w:val="auto"/>
          <w:kern w:val="0"/>
          <w:sz w:val="24"/>
          <w:szCs w:val="24"/>
          <w:highlight w:val="none"/>
        </w:rPr>
        <w:t>9)验收交付标准和方法：</w:t>
      </w:r>
      <w:r>
        <w:rPr>
          <w:rFonts w:hint="eastAsia" w:ascii="宋体" w:hAnsi="宋体" w:eastAsia="宋体" w:cs="宋体"/>
          <w:color w:val="auto"/>
          <w:kern w:val="0"/>
          <w:sz w:val="21"/>
          <w:szCs w:val="21"/>
          <w:highlight w:val="none"/>
          <w:lang w:val="en-US" w:eastAsia="zh-CN" w:bidi="ar-SA"/>
        </w:rPr>
        <w:t>1. 交付时间：供应商需按照采购合同约定的时间，将合格种苗足额交付至采购人指定地点（具体地点、交付时限以采购合同为准），逾期交付的，每逾期1天，按合同总金额的0.5‰支付违约金，逾期超过7天，采购人有权解除合同并追究供应商违约责任。</w:t>
      </w:r>
    </w:p>
    <w:p w14:paraId="16F2840B">
      <w:pPr>
        <w:pageBreakBefore w:val="0"/>
        <w:widowControl/>
        <w:shd w:val="clear" w:color="auto"/>
        <w:overflowPunct/>
        <w:topLinePunct w:val="0"/>
        <w:bidi w:val="0"/>
        <w:spacing w:line="540" w:lineRule="exac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交付数量：交付种苗数量需与采购合同约定数量一致，允许±2%的合理误差，误差范围内按实际验收合格数量结算；若实际交付数量不足合同约定数量（扣除合理误差后），供应商需在3个工作日内无偿补足，逾期未补足的，按短缺数量对应的货款双倍赔偿。</w:t>
      </w:r>
    </w:p>
    <w:p w14:paraId="4447F4AB">
      <w:pPr>
        <w:numPr>
          <w:ilvl w:val="0"/>
          <w:numId w:val="0"/>
        </w:numPr>
        <w:spacing w:line="360" w:lineRule="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10）</w:t>
      </w:r>
      <w:r>
        <w:rPr>
          <w:rFonts w:hint="eastAsia" w:ascii="宋体" w:hAnsi="宋体" w:eastAsia="宋体" w:cs="宋体"/>
          <w:b/>
          <w:bCs/>
          <w:color w:val="auto"/>
          <w:kern w:val="0"/>
          <w:sz w:val="24"/>
          <w:szCs w:val="24"/>
          <w:highlight w:val="none"/>
        </w:rPr>
        <w:t>质量保修范围和保修期</w:t>
      </w:r>
      <w:r>
        <w:rPr>
          <w:rFonts w:hint="eastAsia" w:ascii="宋体" w:hAnsi="宋体" w:eastAsia="宋体" w:cs="宋体"/>
          <w:b/>
          <w:bCs/>
          <w:color w:val="auto"/>
          <w:kern w:val="0"/>
          <w:sz w:val="24"/>
          <w:szCs w:val="24"/>
          <w:highlight w:val="none"/>
        </w:rPr>
        <w:t>：</w:t>
      </w:r>
      <w:r>
        <w:rPr>
          <w:rFonts w:hint="eastAsia" w:ascii="宋体" w:hAnsi="宋体" w:eastAsia="宋体" w:cs="宋体"/>
          <w:color w:val="auto"/>
          <w:kern w:val="0"/>
          <w:szCs w:val="21"/>
          <w:highlight w:val="none"/>
          <w:lang w:val="en-US" w:eastAsia="zh-CN"/>
        </w:rPr>
        <w:t>质保期3年；</w:t>
      </w:r>
    </w:p>
    <w:p w14:paraId="25258038">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11）知识产权归属和处理方式：</w:t>
      </w:r>
      <w:r>
        <w:rPr>
          <w:rFonts w:hint="eastAsia" w:ascii="宋体" w:hAnsi="宋体" w:eastAsia="宋体" w:cs="宋体"/>
          <w:color w:val="auto"/>
          <w:kern w:val="0"/>
          <w:szCs w:val="21"/>
          <w:highlight w:val="none"/>
        </w:rPr>
        <w:t>乙方应保证所提供的</w:t>
      </w:r>
      <w:r>
        <w:rPr>
          <w:rFonts w:hint="eastAsia" w:ascii="宋体" w:hAnsi="宋体" w:eastAsia="宋体" w:cs="宋体"/>
          <w:color w:val="auto"/>
          <w:kern w:val="0"/>
          <w:szCs w:val="21"/>
          <w:highlight w:val="none"/>
          <w:lang w:val="en-US" w:eastAsia="zh-CN"/>
        </w:rPr>
        <w:t>货物</w:t>
      </w:r>
      <w:r>
        <w:rPr>
          <w:rFonts w:hint="eastAsia" w:ascii="宋体" w:hAnsi="宋体" w:eastAsia="宋体" w:cs="宋体"/>
          <w:color w:val="auto"/>
          <w:kern w:val="0"/>
          <w:szCs w:val="21"/>
          <w:highlight w:val="none"/>
        </w:rPr>
        <w:t>或其任何一部分均不会侵犯任何第三方的专利权、商标权或著作权；</w:t>
      </w:r>
    </w:p>
    <w:p w14:paraId="3C6CB123">
      <w:pPr>
        <w:pageBreakBefore w:val="0"/>
        <w:shd w:val="clear"/>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12）成本补偿和风险分担约定：</w:t>
      </w:r>
      <w:r>
        <w:rPr>
          <w:rFonts w:hint="eastAsia" w:ascii="宋体" w:hAnsi="宋体" w:eastAsia="宋体" w:cs="宋体"/>
          <w:b w:val="0"/>
          <w:bCs w:val="0"/>
          <w:color w:val="auto"/>
          <w:kern w:val="0"/>
          <w:sz w:val="24"/>
          <w:szCs w:val="24"/>
          <w:highlight w:val="none"/>
          <w:lang w:val="en-US" w:eastAsia="zh-CN"/>
        </w:rPr>
        <w:t>按相关的要求和标准执行；</w:t>
      </w:r>
    </w:p>
    <w:p w14:paraId="294E9100">
      <w:pPr>
        <w:pageBreakBefore w:val="0"/>
        <w:widowControl/>
        <w:shd w:val="clear" w:color="auto"/>
        <w:overflowPunct/>
        <w:topLinePunct w:val="0"/>
        <w:bidi w:val="0"/>
        <w:spacing w:line="540" w:lineRule="exact"/>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13）违约责任与解决争议的方法：</w:t>
      </w:r>
      <w:r>
        <w:rPr>
          <w:rFonts w:hint="eastAsia" w:ascii="宋体" w:hAnsi="宋体" w:eastAsia="宋体" w:cs="宋体"/>
          <w:b w:val="0"/>
          <w:bCs w:val="0"/>
          <w:color w:val="auto"/>
          <w:kern w:val="0"/>
          <w:sz w:val="24"/>
          <w:szCs w:val="24"/>
          <w:highlight w:val="none"/>
        </w:rPr>
        <w:t>1.乙方逾期交付的，每逾期1天，按合同总金额的0.5‰支付违约金，逾期超过7天，甲方有权解除合同，乙方承担全部损失。</w:t>
      </w:r>
    </w:p>
    <w:p w14:paraId="5FE4B619">
      <w:pPr>
        <w:pageBreakBefore w:val="0"/>
        <w:widowControl/>
        <w:shd w:val="clear" w:color="auto"/>
        <w:overflowPunct/>
        <w:topLinePunct w:val="0"/>
        <w:bidi w:val="0"/>
        <w:spacing w:line="540" w:lineRule="exac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 乙方所供种苗不符合采购文件要求，甲方有权拒收，乙方需无偿更换合格种苗，并承担由此造成的一切损失</w:t>
      </w:r>
      <w:r>
        <w:rPr>
          <w:rFonts w:hint="eastAsia" w:ascii="宋体" w:hAnsi="宋体" w:eastAsia="宋体" w:cs="宋体"/>
          <w:b w:val="0"/>
          <w:bCs w:val="0"/>
          <w:color w:val="auto"/>
          <w:kern w:val="0"/>
          <w:sz w:val="24"/>
          <w:szCs w:val="24"/>
          <w:highlight w:val="none"/>
          <w:lang w:eastAsia="zh-CN"/>
        </w:rPr>
        <w:t>。</w:t>
      </w:r>
    </w:p>
    <w:p w14:paraId="3B1C9163">
      <w:pPr>
        <w:pageBreakBefore w:val="0"/>
        <w:widowControl/>
        <w:shd w:val="clear" w:color="auto"/>
        <w:overflowPunct/>
        <w:topLinePunct w:val="0"/>
        <w:bidi w:val="0"/>
        <w:spacing w:line="540" w:lineRule="exact"/>
        <w:rPr>
          <w:rFonts w:hint="eastAsia" w:ascii="宋体" w:hAnsi="宋体" w:eastAsia="宋体" w:cs="宋体"/>
          <w:b w:val="0"/>
          <w:bCs w:val="0"/>
          <w:color w:val="auto"/>
          <w:kern w:val="0"/>
          <w:sz w:val="24"/>
          <w:szCs w:val="24"/>
          <w:highlight w:val="none"/>
        </w:rPr>
      </w:pPr>
    </w:p>
    <w:p w14:paraId="2333AA0E">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3.  乙方未按承诺提供售后服务或技术指导，甲方有权扣除相应的履约保证金，情节严重的，解除合同并追究乙方违约责任。</w:t>
      </w:r>
    </w:p>
    <w:p w14:paraId="60AEEEA0">
      <w:pPr>
        <w:pageBreakBefore w:val="0"/>
        <w:shd w:val="clear"/>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14）合同其他条款：</w:t>
      </w:r>
      <w:r>
        <w:rPr>
          <w:rFonts w:hint="eastAsia" w:ascii="宋体" w:hAnsi="宋体" w:eastAsia="宋体" w:cs="宋体"/>
          <w:b w:val="0"/>
          <w:bCs w:val="0"/>
          <w:color w:val="auto"/>
          <w:kern w:val="0"/>
          <w:sz w:val="24"/>
          <w:szCs w:val="24"/>
          <w:highlight w:val="none"/>
          <w:lang w:val="en-US" w:eastAsia="zh-CN"/>
        </w:rPr>
        <w:t>无；</w:t>
      </w:r>
    </w:p>
    <w:p w14:paraId="34B67D84">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12.履约验收方案</w:t>
      </w:r>
    </w:p>
    <w:p w14:paraId="0FB2D44E">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1）验收组织方式：</w:t>
      </w:r>
      <w:r>
        <w:rPr>
          <w:rFonts w:hint="eastAsia" w:ascii="宋体" w:hAnsi="宋体" w:eastAsia="宋体" w:cs="宋体"/>
          <w:b w:val="0"/>
          <w:bCs w:val="0"/>
          <w:color w:val="auto"/>
          <w:kern w:val="0"/>
          <w:sz w:val="24"/>
          <w:szCs w:val="24"/>
          <w:highlight w:val="none"/>
        </w:rPr>
        <w:t>自行验收</w:t>
      </w:r>
    </w:p>
    <w:p w14:paraId="133D93DF">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2）是否邀请本项目的其他供应商：</w:t>
      </w:r>
      <w:r>
        <w:rPr>
          <w:rFonts w:hint="eastAsia" w:ascii="宋体" w:hAnsi="宋体" w:eastAsia="宋体" w:cs="宋体"/>
          <w:b w:val="0"/>
          <w:bCs w:val="0"/>
          <w:color w:val="auto"/>
          <w:sz w:val="24"/>
          <w:szCs w:val="24"/>
          <w:highlight w:val="none"/>
        </w:rPr>
        <w:t>□是</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kern w:val="0"/>
          <w:sz w:val="24"/>
          <w:szCs w:val="24"/>
          <w:highlight w:val="none"/>
        </w:rPr>
        <w:t>否</w:t>
      </w:r>
    </w:p>
    <w:p w14:paraId="75A0E45B">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3）是否邀请专家：</w:t>
      </w:r>
      <w:r>
        <w:rPr>
          <w:rFonts w:hint="eastAsia" w:ascii="宋体" w:hAnsi="宋体" w:eastAsia="宋体" w:cs="宋体"/>
          <w:b w:val="0"/>
          <w:bCs w:val="0"/>
          <w:color w:val="auto"/>
          <w:sz w:val="24"/>
          <w:szCs w:val="24"/>
          <w:highlight w:val="none"/>
        </w:rPr>
        <w:t>□是</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kern w:val="0"/>
          <w:sz w:val="24"/>
          <w:szCs w:val="24"/>
          <w:highlight w:val="none"/>
        </w:rPr>
        <w:t>否</w:t>
      </w:r>
    </w:p>
    <w:p w14:paraId="48910E6D">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4）是否邀请服务对象：</w:t>
      </w:r>
      <w:r>
        <w:rPr>
          <w:rFonts w:hint="eastAsia" w:ascii="宋体" w:hAnsi="宋体" w:eastAsia="宋体" w:cs="宋体"/>
          <w:b w:val="0"/>
          <w:bCs w:val="0"/>
          <w:color w:val="auto"/>
          <w:sz w:val="24"/>
          <w:szCs w:val="24"/>
          <w:highlight w:val="none"/>
        </w:rPr>
        <w:t>□是</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kern w:val="0"/>
          <w:sz w:val="24"/>
          <w:szCs w:val="24"/>
          <w:highlight w:val="none"/>
        </w:rPr>
        <w:t>否</w:t>
      </w:r>
    </w:p>
    <w:p w14:paraId="39816726">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5）是否邀请第三方检测机构：</w:t>
      </w:r>
      <w:r>
        <w:rPr>
          <w:rFonts w:hint="eastAsia" w:ascii="宋体" w:hAnsi="宋体" w:eastAsia="宋体" w:cs="宋体"/>
          <w:b w:val="0"/>
          <w:bCs w:val="0"/>
          <w:color w:val="auto"/>
          <w:sz w:val="24"/>
          <w:szCs w:val="24"/>
          <w:highlight w:val="none"/>
        </w:rPr>
        <w:t>□是</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kern w:val="0"/>
          <w:sz w:val="24"/>
          <w:szCs w:val="24"/>
          <w:highlight w:val="none"/>
        </w:rPr>
        <w:t>否</w:t>
      </w:r>
    </w:p>
    <w:p w14:paraId="4151AF5B">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6）履约验收程序：</w:t>
      </w:r>
      <w:r>
        <w:rPr>
          <w:rFonts w:hint="eastAsia" w:ascii="宋体" w:hAnsi="宋体" w:eastAsia="宋体" w:cs="宋体"/>
          <w:b w:val="0"/>
          <w:bCs w:val="0"/>
          <w:color w:val="auto"/>
          <w:kern w:val="0"/>
          <w:sz w:val="24"/>
          <w:szCs w:val="24"/>
          <w:highlight w:val="none"/>
          <w:lang w:val="en-US" w:eastAsia="zh-CN"/>
        </w:rPr>
        <w:t>分期</w:t>
      </w:r>
      <w:r>
        <w:rPr>
          <w:rFonts w:hint="eastAsia" w:ascii="宋体" w:hAnsi="宋体" w:eastAsia="宋体" w:cs="宋体"/>
          <w:b w:val="0"/>
          <w:bCs w:val="0"/>
          <w:color w:val="auto"/>
          <w:kern w:val="0"/>
          <w:sz w:val="24"/>
          <w:szCs w:val="24"/>
          <w:highlight w:val="none"/>
        </w:rPr>
        <w:t>验收。</w:t>
      </w:r>
    </w:p>
    <w:p w14:paraId="59491DB0">
      <w:pPr>
        <w:pageBreakBefore w:val="0"/>
        <w:widowControl/>
        <w:shd w:val="clear" w:color="auto"/>
        <w:overflowPunct/>
        <w:topLinePunct w:val="0"/>
        <w:bidi w:val="0"/>
        <w:spacing w:line="540" w:lineRule="exact"/>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7）履约验收时间：</w:t>
      </w:r>
      <w:r>
        <w:rPr>
          <w:rFonts w:hint="eastAsia" w:ascii="宋体" w:hAnsi="宋体" w:eastAsia="宋体" w:cs="宋体"/>
          <w:b w:val="0"/>
          <w:bCs w:val="0"/>
          <w:color w:val="auto"/>
          <w:kern w:val="0"/>
          <w:sz w:val="24"/>
          <w:szCs w:val="24"/>
          <w:highlight w:val="none"/>
        </w:rPr>
        <w:t>供应商提出验收申请之日起 ，达到验收条件起</w:t>
      </w:r>
      <w:r>
        <w:rPr>
          <w:rFonts w:hint="eastAsia" w:ascii="宋体" w:hAnsi="宋体" w:eastAsia="宋体" w:cs="宋体"/>
          <w:b w:val="0"/>
          <w:bCs w:val="0"/>
          <w:color w:val="auto"/>
          <w:kern w:val="0"/>
          <w:sz w:val="24"/>
          <w:szCs w:val="24"/>
          <w:highlight w:val="none"/>
        </w:rPr>
        <w:t xml:space="preserve"> 15 </w:t>
      </w:r>
      <w:r>
        <w:rPr>
          <w:rFonts w:hint="eastAsia" w:ascii="宋体" w:hAnsi="宋体" w:eastAsia="宋体" w:cs="宋体"/>
          <w:b w:val="0"/>
          <w:bCs w:val="0"/>
          <w:color w:val="auto"/>
          <w:kern w:val="0"/>
          <w:sz w:val="24"/>
          <w:szCs w:val="24"/>
          <w:highlight w:val="none"/>
        </w:rPr>
        <w:t>日内，验收合同总金额的 100%；</w:t>
      </w:r>
    </w:p>
    <w:p w14:paraId="3CB4E034">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u w:val="single"/>
        </w:rPr>
      </w:pPr>
      <w:r>
        <w:rPr>
          <w:rFonts w:hint="eastAsia" w:ascii="宋体" w:hAnsi="宋体" w:eastAsia="宋体" w:cs="宋体"/>
          <w:b/>
          <w:bCs/>
          <w:color w:val="auto"/>
          <w:kern w:val="0"/>
          <w:sz w:val="24"/>
          <w:szCs w:val="24"/>
          <w:highlight w:val="none"/>
        </w:rPr>
        <w:t>8）验收组织的其他事项：</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无</w:t>
      </w:r>
      <w:r>
        <w:rPr>
          <w:rFonts w:hint="eastAsia" w:ascii="宋体" w:hAnsi="宋体" w:eastAsia="宋体" w:cs="宋体"/>
          <w:b w:val="0"/>
          <w:bCs w:val="0"/>
          <w:color w:val="auto"/>
          <w:kern w:val="0"/>
          <w:sz w:val="24"/>
          <w:szCs w:val="24"/>
          <w:highlight w:val="none"/>
          <w:u w:val="single"/>
        </w:rPr>
        <w:t xml:space="preserve">    。</w:t>
      </w:r>
    </w:p>
    <w:p w14:paraId="6B6A0BF0">
      <w:pPr>
        <w:pageBreakBefore w:val="0"/>
        <w:shd w:val="clear"/>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9）技术履约验收内容：</w:t>
      </w:r>
      <w:r>
        <w:rPr>
          <w:rFonts w:hint="eastAsia" w:ascii="宋体" w:hAnsi="宋体" w:eastAsia="宋体" w:cs="宋体"/>
          <w:b w:val="0"/>
          <w:bCs w:val="0"/>
          <w:color w:val="auto"/>
          <w:kern w:val="0"/>
          <w:sz w:val="24"/>
          <w:szCs w:val="24"/>
          <w:highlight w:val="none"/>
          <w:lang w:val="en-US" w:eastAsia="zh-CN"/>
        </w:rPr>
        <w:t>按相关的要求和标准执行；</w:t>
      </w:r>
    </w:p>
    <w:p w14:paraId="38F59E0F">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10）商务履约验收内容：</w:t>
      </w:r>
      <w:r>
        <w:rPr>
          <w:rFonts w:hint="eastAsia" w:ascii="宋体" w:hAnsi="宋体" w:eastAsia="宋体" w:cs="宋体"/>
          <w:b w:val="0"/>
          <w:bCs w:val="0"/>
          <w:color w:val="auto"/>
          <w:kern w:val="0"/>
          <w:sz w:val="24"/>
          <w:szCs w:val="24"/>
          <w:highlight w:val="none"/>
          <w:lang w:val="en-US" w:eastAsia="zh-CN"/>
        </w:rPr>
        <w:t>按相关的要求和标准执行；</w:t>
      </w:r>
    </w:p>
    <w:p w14:paraId="3EB4E6E0">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rPr>
        <w:t>11）履约验收标准</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rPr>
        <w:t>按相关的要求和标准执行；</w:t>
      </w:r>
    </w:p>
    <w:p w14:paraId="391C5C05">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u w:val="single"/>
        </w:rPr>
      </w:pPr>
      <w:r>
        <w:rPr>
          <w:rFonts w:hint="eastAsia" w:ascii="宋体" w:hAnsi="宋体" w:eastAsia="宋体" w:cs="宋体"/>
          <w:b/>
          <w:bCs/>
          <w:color w:val="auto"/>
          <w:kern w:val="0"/>
          <w:sz w:val="24"/>
          <w:szCs w:val="24"/>
          <w:highlight w:val="none"/>
        </w:rPr>
        <w:t>12）履约验收其他事项：</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无</w:t>
      </w:r>
      <w:r>
        <w:rPr>
          <w:rFonts w:hint="eastAsia" w:ascii="宋体" w:hAnsi="宋体" w:eastAsia="宋体" w:cs="宋体"/>
          <w:b w:val="0"/>
          <w:bCs w:val="0"/>
          <w:color w:val="auto"/>
          <w:kern w:val="0"/>
          <w:sz w:val="24"/>
          <w:szCs w:val="24"/>
          <w:highlight w:val="none"/>
          <w:u w:val="single"/>
        </w:rPr>
        <w:t xml:space="preserve">     。</w:t>
      </w:r>
    </w:p>
    <w:p w14:paraId="6B9854F2">
      <w:pPr>
        <w:pageBreakBefore w:val="0"/>
        <w:shd w:val="clear"/>
        <w:overflowPunct/>
        <w:topLinePunct w:val="0"/>
        <w:bidi w:val="0"/>
        <w:spacing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五、风险控制措施和替代方案</w:t>
      </w:r>
    </w:p>
    <w:p w14:paraId="1340682A">
      <w:pPr>
        <w:pageBreakBefore w:val="0"/>
        <w:widowControl/>
        <w:shd w:val="clear" w:color="auto"/>
        <w:overflowPunct/>
        <w:topLinePunct w:val="0"/>
        <w:bidi w:val="0"/>
        <w:spacing w:line="540" w:lineRule="exac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该采购项目按照《政府采购需求管理办法》第二十五条规定，本项目是否需要组织风险判断、提出处置措施和替代方案：</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0"/>
          <w:sz w:val="24"/>
          <w:szCs w:val="24"/>
          <w:highlight w:val="none"/>
        </w:rPr>
        <w:t>是</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0"/>
          <w:sz w:val="24"/>
          <w:szCs w:val="24"/>
          <w:highlight w:val="none"/>
        </w:rPr>
        <w:t>否</w:t>
      </w:r>
    </w:p>
    <w:p w14:paraId="42C11D63">
      <w:pPr>
        <w:pageBreakBefore w:val="0"/>
        <w:shd w:val="clear"/>
        <w:overflowPunct/>
        <w:topLinePunct w:val="0"/>
        <w:bidi w:val="0"/>
        <w:spacing w:line="540" w:lineRule="exact"/>
        <w:rPr>
          <w:rFonts w:hint="eastAsia" w:ascii="宋体" w:hAnsi="宋体" w:eastAsia="宋体" w:cs="宋体"/>
          <w:b/>
          <w:bCs/>
          <w:snapToGrid/>
          <w:color w:val="auto"/>
          <w:kern w:val="2"/>
          <w:sz w:val="24"/>
          <w:szCs w:val="24"/>
          <w:highlight w:val="none"/>
          <w:u w:val="none"/>
          <w:shd w:val="clear"/>
          <w:lang w:val="en-US" w:eastAsia="zh-CN" w:bidi="ar-SA"/>
        </w:rPr>
      </w:pPr>
      <w:r>
        <w:rPr>
          <w:rFonts w:hint="eastAsia" w:ascii="宋体" w:hAnsi="宋体" w:eastAsia="宋体" w:cs="宋体"/>
          <w:b/>
          <w:bCs/>
          <w:color w:val="auto"/>
          <w:sz w:val="24"/>
          <w:szCs w:val="24"/>
          <w:highlight w:val="none"/>
        </w:rPr>
        <w:t>六、</w:t>
      </w:r>
      <w:bookmarkStart w:id="10" w:name="_Toc4146"/>
      <w:r>
        <w:rPr>
          <w:rFonts w:hint="eastAsia" w:ascii="宋体" w:hAnsi="宋体" w:eastAsia="宋体" w:cs="宋体"/>
          <w:b/>
          <w:bCs/>
          <w:snapToGrid/>
          <w:color w:val="auto"/>
          <w:kern w:val="2"/>
          <w:sz w:val="24"/>
          <w:szCs w:val="24"/>
          <w:highlight w:val="none"/>
          <w:u w:val="none"/>
          <w:shd w:val="clear"/>
          <w:lang w:val="en-US" w:eastAsia="zh-CN" w:bidi="ar-SA"/>
        </w:rPr>
        <w:t>★商务要求</w:t>
      </w:r>
    </w:p>
    <w:tbl>
      <w:tblPr>
        <w:tblStyle w:val="1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6"/>
        <w:gridCol w:w="737"/>
        <w:gridCol w:w="1363"/>
        <w:gridCol w:w="5608"/>
      </w:tblGrid>
      <w:tr w14:paraId="3F8EF2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6" w:type="dxa"/>
          </w:tcPr>
          <w:p w14:paraId="5C962A63">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序号</w:t>
            </w:r>
          </w:p>
        </w:tc>
        <w:tc>
          <w:tcPr>
            <w:tcW w:w="737" w:type="dxa"/>
          </w:tcPr>
          <w:p w14:paraId="1515DBC7">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符号标识</w:t>
            </w:r>
          </w:p>
        </w:tc>
        <w:tc>
          <w:tcPr>
            <w:tcW w:w="1363" w:type="dxa"/>
          </w:tcPr>
          <w:p w14:paraId="65E318BB">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商务要求名称</w:t>
            </w:r>
          </w:p>
        </w:tc>
        <w:tc>
          <w:tcPr>
            <w:tcW w:w="5608" w:type="dxa"/>
          </w:tcPr>
          <w:p w14:paraId="3D504B0C">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商务要求内容</w:t>
            </w:r>
            <w:bookmarkStart w:id="17" w:name="_GoBack"/>
            <w:bookmarkEnd w:id="17"/>
          </w:p>
        </w:tc>
      </w:tr>
      <w:tr w14:paraId="5EAE0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6" w:type="dxa"/>
          </w:tcPr>
          <w:p w14:paraId="739C796D">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p>
        </w:tc>
        <w:tc>
          <w:tcPr>
            <w:tcW w:w="737" w:type="dxa"/>
          </w:tcPr>
          <w:p w14:paraId="4806FE03">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w:t>
            </w:r>
          </w:p>
        </w:tc>
        <w:tc>
          <w:tcPr>
            <w:tcW w:w="1363" w:type="dxa"/>
          </w:tcPr>
          <w:p w14:paraId="061C2D09">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交货时间</w:t>
            </w:r>
          </w:p>
        </w:tc>
        <w:tc>
          <w:tcPr>
            <w:tcW w:w="5608" w:type="dxa"/>
          </w:tcPr>
          <w:p w14:paraId="0E947970">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自合同签订之日起30日</w:t>
            </w:r>
          </w:p>
        </w:tc>
      </w:tr>
      <w:tr w14:paraId="357BEB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6" w:type="dxa"/>
          </w:tcPr>
          <w:p w14:paraId="5035D66A">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w:t>
            </w:r>
          </w:p>
        </w:tc>
        <w:tc>
          <w:tcPr>
            <w:tcW w:w="737" w:type="dxa"/>
          </w:tcPr>
          <w:p w14:paraId="79026CBA">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w:t>
            </w:r>
          </w:p>
        </w:tc>
        <w:tc>
          <w:tcPr>
            <w:tcW w:w="1363" w:type="dxa"/>
          </w:tcPr>
          <w:p w14:paraId="28FA5887">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交货地点</w:t>
            </w:r>
          </w:p>
        </w:tc>
        <w:tc>
          <w:tcPr>
            <w:tcW w:w="5608" w:type="dxa"/>
          </w:tcPr>
          <w:p w14:paraId="1988EEF3">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仪陇县境内</w:t>
            </w:r>
          </w:p>
        </w:tc>
      </w:tr>
      <w:tr w14:paraId="32DCAE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6" w:type="dxa"/>
          </w:tcPr>
          <w:p w14:paraId="2F28746C">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w:t>
            </w:r>
          </w:p>
        </w:tc>
        <w:tc>
          <w:tcPr>
            <w:tcW w:w="737" w:type="dxa"/>
          </w:tcPr>
          <w:p w14:paraId="3F6453E5">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w:t>
            </w:r>
          </w:p>
        </w:tc>
        <w:tc>
          <w:tcPr>
            <w:tcW w:w="1363" w:type="dxa"/>
          </w:tcPr>
          <w:p w14:paraId="26BF656D">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验收、交付标准和方法</w:t>
            </w:r>
          </w:p>
        </w:tc>
        <w:tc>
          <w:tcPr>
            <w:tcW w:w="5608" w:type="dxa"/>
          </w:tcPr>
          <w:p w14:paraId="3CA973A3">
            <w:pPr>
              <w:pStyle w:val="22"/>
              <w:numPr>
                <w:ilvl w:val="0"/>
                <w:numId w:val="0"/>
              </w:numPr>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 交付时间：供应商需按照采购合同约定的时间，将合格种苗足额交付至采购人指定地点（具体地点、交付时限以采购合同为准），逾期交付的，每逾期1天，按合同总金额的0.5‰支付违约金，逾期超过7天，采购人有权解除合同并追究供应商违约责任。</w:t>
            </w:r>
          </w:p>
          <w:p w14:paraId="283A8036">
            <w:pPr>
              <w:pStyle w:val="22"/>
              <w:numPr>
                <w:ilvl w:val="0"/>
                <w:numId w:val="0"/>
              </w:numPr>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交付数量：交付种苗数量需与采购合同约定数量一致，允许±2%的合理误差，误差范围内按实际验收合格数量结算；若实际交付数量不足合同约定数量（扣除合理误差后），供应商需在3个工作日内无偿补足，逾期未补足的，按短缺数量对应的货款双倍赔偿。</w:t>
            </w:r>
          </w:p>
        </w:tc>
      </w:tr>
      <w:tr w14:paraId="0914AE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6" w:type="dxa"/>
          </w:tcPr>
          <w:p w14:paraId="7ADF27C7">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4</w:t>
            </w:r>
          </w:p>
        </w:tc>
        <w:tc>
          <w:tcPr>
            <w:tcW w:w="737" w:type="dxa"/>
          </w:tcPr>
          <w:p w14:paraId="09B6775C">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w:t>
            </w:r>
          </w:p>
        </w:tc>
        <w:tc>
          <w:tcPr>
            <w:tcW w:w="1363" w:type="dxa"/>
          </w:tcPr>
          <w:p w14:paraId="77729C1C">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支付方式</w:t>
            </w:r>
          </w:p>
        </w:tc>
        <w:tc>
          <w:tcPr>
            <w:tcW w:w="5608" w:type="dxa"/>
          </w:tcPr>
          <w:p w14:paraId="0CF1DE50">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分期付款</w:t>
            </w:r>
          </w:p>
        </w:tc>
      </w:tr>
      <w:tr w14:paraId="1E25DA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6" w:type="dxa"/>
          </w:tcPr>
          <w:p w14:paraId="7DE1E42B">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5</w:t>
            </w:r>
          </w:p>
        </w:tc>
        <w:tc>
          <w:tcPr>
            <w:tcW w:w="737" w:type="dxa"/>
          </w:tcPr>
          <w:p w14:paraId="4C81E630">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w:t>
            </w:r>
          </w:p>
        </w:tc>
        <w:tc>
          <w:tcPr>
            <w:tcW w:w="1363" w:type="dxa"/>
          </w:tcPr>
          <w:p w14:paraId="011DB8B3">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支付约定</w:t>
            </w:r>
          </w:p>
        </w:tc>
        <w:tc>
          <w:tcPr>
            <w:tcW w:w="5608" w:type="dxa"/>
          </w:tcPr>
          <w:p w14:paraId="0A8A1F66">
            <w:pPr>
              <w:pStyle w:val="22"/>
              <w:numPr>
                <w:ilvl w:val="0"/>
                <w:numId w:val="3"/>
              </w:numPr>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付款进度安排，合同签订后，收到供应商有效票据凭证资料后，达到付款条件起7 日内，支付合同总金额的40.00%</w:t>
            </w:r>
          </w:p>
          <w:p w14:paraId="478C3A95">
            <w:pPr>
              <w:pStyle w:val="22"/>
              <w:numPr>
                <w:ilvl w:val="0"/>
                <w:numId w:val="0"/>
              </w:numPr>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2、付款进度安排，软件及货物到现场安装调试完毕并验收合格，收到供应商有效票据凭证资料后，达到付款条件起10日内，支付合同总金额的 60.00%。</w:t>
            </w:r>
          </w:p>
        </w:tc>
      </w:tr>
      <w:tr w14:paraId="3E05C7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6" w:type="dxa"/>
          </w:tcPr>
          <w:p w14:paraId="193F65BF">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6</w:t>
            </w:r>
          </w:p>
        </w:tc>
        <w:tc>
          <w:tcPr>
            <w:tcW w:w="737" w:type="dxa"/>
          </w:tcPr>
          <w:p w14:paraId="108B191B">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w:t>
            </w:r>
          </w:p>
        </w:tc>
        <w:tc>
          <w:tcPr>
            <w:tcW w:w="1363" w:type="dxa"/>
          </w:tcPr>
          <w:p w14:paraId="16E5A527">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违约责任与解决争议的方法</w:t>
            </w:r>
          </w:p>
        </w:tc>
        <w:tc>
          <w:tcPr>
            <w:tcW w:w="5608" w:type="dxa"/>
          </w:tcPr>
          <w:p w14:paraId="5B747DF4">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1.乙方逾期交付的，每逾期1天，按合同总金额的0.5‰支付违约金，逾期超过7天，甲方有权解除合同，乙方承担全部损失。</w:t>
            </w:r>
          </w:p>
          <w:p w14:paraId="4340E86F">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 乙方所供种苗不符合采购文件要求，甲方有权拒收，乙方需无偿更换合格种苗，并承担由此造成的一切损失。</w:t>
            </w:r>
          </w:p>
        </w:tc>
      </w:tr>
      <w:tr w14:paraId="7B9CF4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6" w:type="dxa"/>
          </w:tcPr>
          <w:p w14:paraId="0C7F58BD">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7</w:t>
            </w:r>
          </w:p>
        </w:tc>
        <w:tc>
          <w:tcPr>
            <w:tcW w:w="737" w:type="dxa"/>
          </w:tcPr>
          <w:p w14:paraId="769C17F5">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w:t>
            </w:r>
          </w:p>
        </w:tc>
        <w:tc>
          <w:tcPr>
            <w:tcW w:w="1363" w:type="dxa"/>
          </w:tcPr>
          <w:p w14:paraId="2FC947F6">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包装方式及运输</w:t>
            </w:r>
          </w:p>
        </w:tc>
        <w:tc>
          <w:tcPr>
            <w:tcW w:w="5608" w:type="dxa"/>
          </w:tcPr>
          <w:p w14:paraId="3A684DF3">
            <w:pPr>
              <w:pStyle w:val="22"/>
              <w:shd w:val="clear"/>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14:paraId="7FF1B146">
      <w:pPr>
        <w:widowControl/>
        <w:numPr>
          <w:ilvl w:val="0"/>
          <w:numId w:val="0"/>
        </w:numPr>
        <w:shd w:val="clear"/>
        <w:spacing w:line="560" w:lineRule="exact"/>
        <w:rPr>
          <w:rFonts w:hint="eastAsia" w:ascii="宋体" w:hAnsi="宋体" w:eastAsia="宋体" w:cs="宋体"/>
          <w:color w:val="auto"/>
          <w:sz w:val="24"/>
          <w:highlight w:val="none"/>
          <w:lang w:val="en-US" w:eastAsia="zh-CN"/>
        </w:rPr>
      </w:pPr>
      <w:r>
        <w:rPr>
          <w:rFonts w:hint="eastAsia" w:ascii="宋体" w:hAnsi="宋体" w:eastAsia="宋体" w:cs="宋体"/>
          <w:color w:val="auto"/>
          <w:kern w:val="0"/>
          <w:sz w:val="21"/>
          <w:szCs w:val="21"/>
          <w:highlight w:val="none"/>
          <w:lang w:val="en-US" w:eastAsia="zh-CN" w:bidi="ar-SA"/>
        </w:rPr>
        <w:t>七、其他要求：</w:t>
      </w:r>
    </w:p>
    <w:p w14:paraId="23574981">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sz w:val="21"/>
          <w:szCs w:val="21"/>
          <w:highlight w:val="none"/>
          <w:lang w:val="en-US" w:eastAsia="zh-CN"/>
        </w:rPr>
        <w:t>1.供应商需提供完整的售后服务方案，明确售后服务人员、联系方式、响应时间（24小时内响应）、补苗流程、质保期限等内容，确保种苗种植过程中出现的问题能及时解决。</w:t>
      </w:r>
    </w:p>
    <w:p w14:paraId="61835EC6">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sz w:val="21"/>
          <w:szCs w:val="21"/>
          <w:highlight w:val="none"/>
          <w:lang w:val="en-US" w:eastAsia="zh-CN"/>
        </w:rPr>
        <w:t>2.供应商需提供种苗培育技术说明、定植指导手册，安排专业技术人员提供免费技术指导，协助采购人完成种苗定植工作，确保定植成活率。</w:t>
      </w:r>
    </w:p>
    <w:p w14:paraId="67735465">
      <w:pPr>
        <w:pStyle w:val="8"/>
        <w:keepNext w:val="0"/>
        <w:keepLines w:val="0"/>
        <w:pageBreakBefore w:val="0"/>
        <w:widowControl/>
        <w:kinsoku w:val="0"/>
        <w:wordWrap/>
        <w:overflowPunct/>
        <w:topLinePunct w:val="0"/>
        <w:autoSpaceDE w:val="0"/>
        <w:autoSpaceDN w:val="0"/>
        <w:bidi w:val="0"/>
        <w:adjustRightInd w:val="0"/>
        <w:snapToGrid w:val="0"/>
        <w:spacing w:line="520" w:lineRule="exact"/>
        <w:ind w:firstLine="420" w:firstLineChars="200"/>
        <w:jc w:val="both"/>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sz w:val="21"/>
          <w:szCs w:val="21"/>
          <w:highlight w:val="none"/>
          <w:lang w:val="en-US" w:eastAsia="zh-CN"/>
        </w:rPr>
        <w:t>3、质保期：自验收合格之日起，质保期3年</w:t>
      </w:r>
      <w:r>
        <w:rPr>
          <w:rFonts w:hint="eastAsia" w:ascii="宋体" w:hAnsi="宋体" w:eastAsia="宋体" w:cs="宋体"/>
          <w:color w:val="auto"/>
          <w:sz w:val="21"/>
          <w:szCs w:val="21"/>
          <w:highlight w:val="none"/>
          <w:lang w:val="en-US" w:eastAsia="zh-CN"/>
        </w:rPr>
        <w:t>，质保期内若出现种苗腐烂、死亡等质量问题（非人为因素导致），供应商需在3个工作日内无偿补苗，并承担相应的技术指导责任。</w:t>
      </w:r>
    </w:p>
    <w:p w14:paraId="2C541193">
      <w:pPr>
        <w:pageBreakBefore w:val="0"/>
        <w:overflowPunct/>
        <w:topLinePunct w:val="0"/>
        <w:bidi w:val="0"/>
        <w:adjustRightInd/>
        <w:snapToGrid/>
        <w:spacing w:line="360" w:lineRule="auto"/>
        <w:ind w:left="0" w:right="0" w:rightChars="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本项目报价是履行合同的最终价格，应包括货款、包装、运输配送、税费、货到就位以及</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完成本项目所需的一切费用，采购人不再支付任何费用；报价估算错误等引起的风险由</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自行承担</w:t>
      </w:r>
      <w:r>
        <w:rPr>
          <w:rFonts w:hint="eastAsia" w:ascii="宋体" w:hAnsi="宋体" w:eastAsia="宋体" w:cs="宋体"/>
          <w:color w:val="auto"/>
          <w:sz w:val="21"/>
          <w:szCs w:val="21"/>
          <w:highlight w:val="none"/>
          <w:lang w:eastAsia="zh-CN"/>
        </w:rPr>
        <w:t>；</w:t>
      </w:r>
    </w:p>
    <w:p w14:paraId="649F508A">
      <w:pPr>
        <w:pageBreakBefore w:val="0"/>
        <w:overflowPunct/>
        <w:topLinePunct w:val="0"/>
        <w:bidi w:val="0"/>
        <w:adjustRightInd/>
        <w:snapToGrid/>
        <w:spacing w:line="360" w:lineRule="auto"/>
        <w:ind w:left="0" w:right="0" w:rightChars="0" w:firstLine="420" w:firstLineChars="200"/>
        <w:rPr>
          <w:rFonts w:ascii="宋体" w:hAnsi="宋体" w:eastAsia="宋体" w:cs="宋体"/>
          <w:color w:val="auto"/>
          <w:sz w:val="24"/>
          <w:szCs w:val="24"/>
          <w:highlight w:val="none"/>
        </w:rPr>
      </w:pP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sz w:val="21"/>
          <w:szCs w:val="21"/>
          <w:highlight w:val="none"/>
          <w:lang w:val="en-US" w:eastAsia="zh-CN"/>
        </w:rPr>
        <w:t>5、多家供应商响应同一品种货物的，按同一品牌产品认定。询价小组仅选取通过资格审查、符合性审查且报价最低的 1 家进入比价环节，其他响应文件按无效报价处理。最低报价出现并列时，以随机抽取方式确定有效响应供应商。</w:t>
      </w:r>
    </w:p>
    <w:p w14:paraId="444B9F83">
      <w:pPr>
        <w:pageBreakBefore w:val="0"/>
        <w:overflowPunct/>
        <w:topLinePunct w:val="0"/>
        <w:bidi w:val="0"/>
        <w:adjustRightInd/>
        <w:snapToGrid/>
        <w:spacing w:line="360" w:lineRule="auto"/>
        <w:ind w:left="0" w:right="0" w:rightChars="0"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其他未明确事宜以签订的合同时为准。</w:t>
      </w:r>
    </w:p>
    <w:p w14:paraId="3C52A962">
      <w:pPr>
        <w:pStyle w:val="22"/>
        <w:keepNext w:val="0"/>
        <w:keepLines w:val="0"/>
        <w:pageBreakBefore w:val="0"/>
        <w:widowControl/>
        <w:shd w:val="clear"/>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auto"/>
          <w:kern w:val="0"/>
          <w:sz w:val="20"/>
          <w:szCs w:val="20"/>
          <w:highlight w:val="none"/>
          <w:lang w:val="en-US" w:eastAsia="zh-CN" w:bidi="ar-SA"/>
        </w:rPr>
        <w:sectPr>
          <w:footerReference r:id="rId4" w:type="default"/>
          <w:pgSz w:w="11906" w:h="16838"/>
          <w:pgMar w:top="2041" w:right="1474" w:bottom="1701" w:left="1531" w:header="851" w:footer="1247" w:gutter="0"/>
          <w:pgNumType w:start="1"/>
          <w:cols w:space="720" w:num="1"/>
          <w:docGrid w:type="lines" w:linePitch="312" w:charSpace="0"/>
        </w:sectPr>
      </w:pPr>
    </w:p>
    <w:p w14:paraId="28CD1225">
      <w:pPr>
        <w:pStyle w:val="32"/>
        <w:shd w:val="clear"/>
        <w:ind w:firstLine="482" w:firstLineChars="0"/>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政府采购合同（草案）</w:t>
      </w:r>
    </w:p>
    <w:p w14:paraId="35FBDAE4">
      <w:pPr>
        <w:pStyle w:val="32"/>
        <w:shd w:val="clear"/>
        <w:ind w:firstLine="0" w:firstLineChars="0"/>
        <w:rPr>
          <w:rFonts w:hint="eastAsia" w:ascii="宋体" w:hAnsi="宋体" w:eastAsia="宋体" w:cs="宋体"/>
          <w:b/>
          <w:color w:val="auto"/>
          <w:highlight w:val="none"/>
        </w:rPr>
      </w:pPr>
      <w:r>
        <w:rPr>
          <w:rFonts w:hint="eastAsia" w:ascii="宋体" w:hAnsi="宋体" w:eastAsia="宋体" w:cs="宋体"/>
          <w:b/>
          <w:color w:val="auto"/>
          <w:spacing w:val="-4"/>
          <w:w w:val="90"/>
          <w:highlight w:val="none"/>
        </w:rPr>
        <w:t>合同格式及内容条款附下（以下为合同基本格式、签订具体合同时，双方可以结合实际情况进行调整）</w:t>
      </w:r>
    </w:p>
    <w:p w14:paraId="5D98C622">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合同编号：XXX                                         </w:t>
      </w:r>
    </w:p>
    <w:p w14:paraId="79A6606F">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签订地点：XXX                                         </w:t>
      </w:r>
    </w:p>
    <w:p w14:paraId="57421E05">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签订时间：XXX年XXX月XXX日                                         </w:t>
      </w:r>
    </w:p>
    <w:p w14:paraId="2525F946">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采购人（甲方）：XXX                                          </w:t>
      </w:r>
    </w:p>
    <w:p w14:paraId="5D491056">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供应商（乙方）：XXX                                          </w:t>
      </w:r>
    </w:p>
    <w:p w14:paraId="7363427C">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根据《中华人民共和国政府采购法》、《中华人民共和国</w:t>
      </w:r>
      <w:r>
        <w:rPr>
          <w:rFonts w:hint="eastAsia" w:ascii="宋体" w:hAnsi="宋体" w:eastAsia="宋体" w:cs="宋体"/>
          <w:color w:val="auto"/>
          <w:highlight w:val="none"/>
          <w:lang w:val="en-US" w:eastAsia="zh-CN"/>
        </w:rPr>
        <w:t>民法典</w:t>
      </w:r>
      <w:r>
        <w:rPr>
          <w:rFonts w:hint="eastAsia" w:ascii="宋体" w:hAnsi="宋体" w:eastAsia="宋体" w:cs="宋体"/>
          <w:color w:val="auto"/>
          <w:highlight w:val="none"/>
        </w:rPr>
        <w:t>》及XXX采购项目（项目编号：XXX）的《</w:t>
      </w:r>
      <w:r>
        <w:rPr>
          <w:rFonts w:hint="eastAsia" w:ascii="宋体" w:hAnsi="宋体" w:eastAsia="宋体" w:cs="宋体"/>
          <w:bCs/>
          <w:color w:val="auto"/>
          <w:highlight w:val="none"/>
        </w:rPr>
        <w:t>询价</w:t>
      </w:r>
      <w:r>
        <w:rPr>
          <w:rFonts w:hint="eastAsia" w:ascii="宋体" w:hAnsi="宋体" w:eastAsia="宋体" w:cs="宋体"/>
          <w:color w:val="auto"/>
          <w:highlight w:val="none"/>
        </w:rPr>
        <w:t>通知书》、乙方的《响应文件》及《成交通知书》，甲、乙双方同意签订本合同。详细技术说明及其他有关合同项目的特定信息由合同附件予以说明，合同附件及本项目的询价通知书、响应文件、《成交通知书》等均为本合同不可分割的部分。双方同意共同遵守如下条款：</w:t>
      </w:r>
    </w:p>
    <w:p w14:paraId="34D2134B">
      <w:pPr>
        <w:numPr>
          <w:ilvl w:val="0"/>
          <w:numId w:val="4"/>
        </w:numPr>
        <w:shd w:val="clea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合同货物</w:t>
      </w:r>
    </w:p>
    <w:tbl>
      <w:tblPr>
        <w:tblStyle w:val="15"/>
        <w:tblW w:w="918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85"/>
        <w:gridCol w:w="1027"/>
        <w:gridCol w:w="604"/>
        <w:gridCol w:w="531"/>
        <w:gridCol w:w="1064"/>
        <w:gridCol w:w="1021"/>
        <w:gridCol w:w="784"/>
        <w:gridCol w:w="932"/>
        <w:gridCol w:w="483"/>
        <w:gridCol w:w="483"/>
        <w:gridCol w:w="483"/>
        <w:gridCol w:w="483"/>
      </w:tblGrid>
      <w:tr w14:paraId="4FAEAA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285" w:type="dxa"/>
            <w:vMerge w:val="restart"/>
            <w:tcBorders>
              <w:top w:val="single" w:color="auto" w:sz="4" w:space="0"/>
              <w:left w:val="single" w:color="auto" w:sz="4" w:space="0"/>
              <w:right w:val="single" w:color="auto" w:sz="4" w:space="0"/>
            </w:tcBorders>
            <w:noWrap w:val="0"/>
            <w:vAlign w:val="center"/>
          </w:tcPr>
          <w:p w14:paraId="775ECAD5">
            <w:pPr>
              <w:shd w:val="clea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货物品名</w:t>
            </w:r>
          </w:p>
        </w:tc>
        <w:tc>
          <w:tcPr>
            <w:tcW w:w="1027" w:type="dxa"/>
            <w:vMerge w:val="restart"/>
            <w:tcBorders>
              <w:top w:val="single" w:color="auto" w:sz="4" w:space="0"/>
              <w:left w:val="single" w:color="auto" w:sz="4" w:space="0"/>
              <w:right w:val="single" w:color="auto" w:sz="4" w:space="0"/>
            </w:tcBorders>
            <w:noWrap w:val="0"/>
            <w:vAlign w:val="center"/>
          </w:tcPr>
          <w:p w14:paraId="6A679288">
            <w:pPr>
              <w:shd w:val="clea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39628882">
            <w:pPr>
              <w:shd w:val="clea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04" w:type="dxa"/>
            <w:vMerge w:val="restart"/>
            <w:tcBorders>
              <w:top w:val="single" w:color="auto" w:sz="4" w:space="0"/>
              <w:left w:val="single" w:color="auto" w:sz="4" w:space="0"/>
              <w:right w:val="single" w:color="auto" w:sz="4" w:space="0"/>
            </w:tcBorders>
            <w:noWrap w:val="0"/>
            <w:vAlign w:val="center"/>
          </w:tcPr>
          <w:p w14:paraId="1AE824A7">
            <w:pPr>
              <w:shd w:val="clea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531" w:type="dxa"/>
            <w:vMerge w:val="restart"/>
            <w:tcBorders>
              <w:top w:val="single" w:color="auto" w:sz="4" w:space="0"/>
              <w:left w:val="single" w:color="auto" w:sz="4" w:space="0"/>
              <w:right w:val="single" w:color="auto" w:sz="4" w:space="0"/>
            </w:tcBorders>
            <w:noWrap w:val="0"/>
            <w:vAlign w:val="center"/>
          </w:tcPr>
          <w:p w14:paraId="48CA8612">
            <w:pPr>
              <w:shd w:val="clea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064" w:type="dxa"/>
            <w:vMerge w:val="restart"/>
            <w:tcBorders>
              <w:top w:val="single" w:color="auto" w:sz="4" w:space="0"/>
              <w:left w:val="single" w:color="auto" w:sz="4" w:space="0"/>
              <w:right w:val="single" w:color="auto" w:sz="4" w:space="0"/>
            </w:tcBorders>
            <w:noWrap w:val="0"/>
            <w:vAlign w:val="center"/>
          </w:tcPr>
          <w:p w14:paraId="2D65C06C">
            <w:pPr>
              <w:shd w:val="clear"/>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p w14:paraId="311945FC">
            <w:pPr>
              <w:shd w:val="clea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（万元）</w:t>
            </w:r>
          </w:p>
        </w:tc>
        <w:tc>
          <w:tcPr>
            <w:tcW w:w="1021" w:type="dxa"/>
            <w:vMerge w:val="restart"/>
            <w:tcBorders>
              <w:top w:val="single" w:color="auto" w:sz="4" w:space="0"/>
              <w:left w:val="single" w:color="auto" w:sz="4" w:space="0"/>
              <w:right w:val="single" w:color="auto" w:sz="4" w:space="0"/>
            </w:tcBorders>
            <w:noWrap w:val="0"/>
            <w:vAlign w:val="center"/>
          </w:tcPr>
          <w:p w14:paraId="56A3893F">
            <w:pPr>
              <w:shd w:val="clear"/>
              <w:ind w:leftChars="-1" w:right="-88" w:rightChars="-42" w:hanging="2" w:hangingChars="1"/>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w:t>
            </w:r>
          </w:p>
          <w:p w14:paraId="5656504C">
            <w:pPr>
              <w:shd w:val="clear"/>
              <w:ind w:leftChars="-1" w:right="-88" w:rightChars="-42" w:hanging="2" w:hangingChars="1"/>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（万元）</w:t>
            </w:r>
          </w:p>
        </w:tc>
        <w:tc>
          <w:tcPr>
            <w:tcW w:w="784" w:type="dxa"/>
            <w:vMerge w:val="restart"/>
            <w:tcBorders>
              <w:top w:val="single" w:color="auto" w:sz="4" w:space="0"/>
              <w:left w:val="single" w:color="auto" w:sz="4" w:space="0"/>
              <w:right w:val="single" w:color="auto" w:sz="4" w:space="0"/>
            </w:tcBorders>
            <w:noWrap w:val="0"/>
            <w:vAlign w:val="center"/>
          </w:tcPr>
          <w:p w14:paraId="361F75C6">
            <w:pPr>
              <w:shd w:val="clea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随机</w:t>
            </w:r>
          </w:p>
          <w:p w14:paraId="446159C0">
            <w:pPr>
              <w:shd w:val="clea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配件</w:t>
            </w:r>
          </w:p>
        </w:tc>
        <w:tc>
          <w:tcPr>
            <w:tcW w:w="932" w:type="dxa"/>
            <w:vMerge w:val="restart"/>
            <w:tcBorders>
              <w:top w:val="single" w:color="auto" w:sz="4" w:space="0"/>
              <w:left w:val="single" w:color="auto" w:sz="4" w:space="0"/>
              <w:right w:val="single" w:color="auto" w:sz="4" w:space="0"/>
            </w:tcBorders>
            <w:noWrap w:val="0"/>
            <w:vAlign w:val="center"/>
          </w:tcPr>
          <w:p w14:paraId="00326F5A">
            <w:pPr>
              <w:shd w:val="clear"/>
              <w:spacing w:line="400" w:lineRule="exact"/>
              <w:ind w:leftChars="-22" w:hanging="52" w:hangingChars="2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交货期</w:t>
            </w:r>
          </w:p>
        </w:tc>
        <w:tc>
          <w:tcPr>
            <w:tcW w:w="1932" w:type="dxa"/>
            <w:gridSpan w:val="4"/>
            <w:tcBorders>
              <w:top w:val="single" w:color="auto" w:sz="4" w:space="0"/>
              <w:left w:val="single" w:color="auto" w:sz="4" w:space="0"/>
              <w:bottom w:val="single" w:color="auto" w:sz="4" w:space="0"/>
              <w:right w:val="single" w:color="auto" w:sz="4" w:space="0"/>
            </w:tcBorders>
            <w:noWrap w:val="0"/>
            <w:vAlign w:val="center"/>
          </w:tcPr>
          <w:p w14:paraId="554FDE32">
            <w:pPr>
              <w:shd w:val="clear"/>
              <w:autoSpaceDE w:val="0"/>
              <w:autoSpaceDN w:val="0"/>
              <w:adjustRightInd w:val="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资金来源（万元）</w:t>
            </w:r>
          </w:p>
        </w:tc>
      </w:tr>
      <w:tr w14:paraId="3CB5E0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285" w:type="dxa"/>
            <w:vMerge w:val="continue"/>
            <w:tcBorders>
              <w:left w:val="single" w:color="auto" w:sz="4" w:space="0"/>
              <w:bottom w:val="single" w:color="auto" w:sz="4" w:space="0"/>
              <w:right w:val="single" w:color="auto" w:sz="4" w:space="0"/>
            </w:tcBorders>
            <w:noWrap w:val="0"/>
            <w:vAlign w:val="center"/>
          </w:tcPr>
          <w:p w14:paraId="6F807C38">
            <w:pPr>
              <w:shd w:val="clear"/>
              <w:spacing w:line="400" w:lineRule="exact"/>
              <w:ind w:firstLine="240" w:firstLineChars="100"/>
              <w:rPr>
                <w:rFonts w:hint="eastAsia" w:ascii="宋体" w:hAnsi="宋体" w:eastAsia="宋体" w:cs="宋体"/>
                <w:color w:val="auto"/>
                <w:sz w:val="24"/>
                <w:szCs w:val="24"/>
                <w:highlight w:val="none"/>
              </w:rPr>
            </w:pPr>
          </w:p>
        </w:tc>
        <w:tc>
          <w:tcPr>
            <w:tcW w:w="1027" w:type="dxa"/>
            <w:vMerge w:val="continue"/>
            <w:tcBorders>
              <w:left w:val="single" w:color="auto" w:sz="4" w:space="0"/>
              <w:bottom w:val="single" w:color="auto" w:sz="4" w:space="0"/>
              <w:right w:val="single" w:color="auto" w:sz="4" w:space="0"/>
            </w:tcBorders>
            <w:noWrap w:val="0"/>
            <w:vAlign w:val="center"/>
          </w:tcPr>
          <w:p w14:paraId="4CE648AA">
            <w:pPr>
              <w:shd w:val="clear"/>
              <w:spacing w:line="400" w:lineRule="exact"/>
              <w:jc w:val="center"/>
              <w:rPr>
                <w:rFonts w:hint="eastAsia" w:ascii="宋体" w:hAnsi="宋体" w:eastAsia="宋体" w:cs="宋体"/>
                <w:color w:val="auto"/>
                <w:sz w:val="24"/>
                <w:szCs w:val="24"/>
                <w:highlight w:val="none"/>
              </w:rPr>
            </w:pPr>
          </w:p>
        </w:tc>
        <w:tc>
          <w:tcPr>
            <w:tcW w:w="604" w:type="dxa"/>
            <w:vMerge w:val="continue"/>
            <w:tcBorders>
              <w:left w:val="single" w:color="auto" w:sz="4" w:space="0"/>
              <w:bottom w:val="single" w:color="auto" w:sz="4" w:space="0"/>
              <w:right w:val="single" w:color="auto" w:sz="4" w:space="0"/>
            </w:tcBorders>
            <w:noWrap w:val="0"/>
            <w:vAlign w:val="center"/>
          </w:tcPr>
          <w:p w14:paraId="6C1FB8F1">
            <w:pPr>
              <w:shd w:val="clear"/>
              <w:spacing w:line="400" w:lineRule="exact"/>
              <w:rPr>
                <w:rFonts w:hint="eastAsia" w:ascii="宋体" w:hAnsi="宋体" w:eastAsia="宋体" w:cs="宋体"/>
                <w:color w:val="auto"/>
                <w:sz w:val="24"/>
                <w:szCs w:val="24"/>
                <w:highlight w:val="none"/>
              </w:rPr>
            </w:pPr>
          </w:p>
        </w:tc>
        <w:tc>
          <w:tcPr>
            <w:tcW w:w="531" w:type="dxa"/>
            <w:vMerge w:val="continue"/>
            <w:tcBorders>
              <w:left w:val="single" w:color="auto" w:sz="4" w:space="0"/>
              <w:bottom w:val="single" w:color="auto" w:sz="4" w:space="0"/>
              <w:right w:val="single" w:color="auto" w:sz="4" w:space="0"/>
            </w:tcBorders>
            <w:noWrap w:val="0"/>
            <w:vAlign w:val="center"/>
          </w:tcPr>
          <w:p w14:paraId="5480EA13">
            <w:pPr>
              <w:shd w:val="clear"/>
              <w:spacing w:line="400" w:lineRule="exact"/>
              <w:ind w:firstLine="120" w:firstLineChars="50"/>
              <w:rPr>
                <w:rFonts w:hint="eastAsia" w:ascii="宋体" w:hAnsi="宋体" w:eastAsia="宋体" w:cs="宋体"/>
                <w:color w:val="auto"/>
                <w:sz w:val="24"/>
                <w:szCs w:val="24"/>
                <w:highlight w:val="none"/>
              </w:rPr>
            </w:pPr>
          </w:p>
        </w:tc>
        <w:tc>
          <w:tcPr>
            <w:tcW w:w="1064" w:type="dxa"/>
            <w:vMerge w:val="continue"/>
            <w:tcBorders>
              <w:left w:val="single" w:color="auto" w:sz="4" w:space="0"/>
              <w:bottom w:val="single" w:color="auto" w:sz="4" w:space="0"/>
              <w:right w:val="single" w:color="auto" w:sz="4" w:space="0"/>
            </w:tcBorders>
            <w:noWrap w:val="0"/>
            <w:vAlign w:val="center"/>
          </w:tcPr>
          <w:p w14:paraId="37DE3414">
            <w:pPr>
              <w:shd w:val="clear"/>
              <w:spacing w:line="400" w:lineRule="exact"/>
              <w:ind w:firstLine="120" w:firstLineChars="50"/>
              <w:jc w:val="center"/>
              <w:rPr>
                <w:rFonts w:hint="eastAsia" w:ascii="宋体" w:hAnsi="宋体" w:eastAsia="宋体" w:cs="宋体"/>
                <w:color w:val="auto"/>
                <w:sz w:val="24"/>
                <w:szCs w:val="24"/>
                <w:highlight w:val="none"/>
              </w:rPr>
            </w:pPr>
          </w:p>
        </w:tc>
        <w:tc>
          <w:tcPr>
            <w:tcW w:w="1021" w:type="dxa"/>
            <w:vMerge w:val="continue"/>
            <w:tcBorders>
              <w:left w:val="single" w:color="auto" w:sz="4" w:space="0"/>
              <w:bottom w:val="single" w:color="auto" w:sz="4" w:space="0"/>
              <w:right w:val="single" w:color="auto" w:sz="4" w:space="0"/>
            </w:tcBorders>
            <w:noWrap w:val="0"/>
            <w:vAlign w:val="center"/>
          </w:tcPr>
          <w:p w14:paraId="4F315038">
            <w:pPr>
              <w:shd w:val="clear"/>
              <w:spacing w:line="400" w:lineRule="exact"/>
              <w:ind w:firstLine="240" w:firstLineChars="100"/>
              <w:rPr>
                <w:rFonts w:hint="eastAsia" w:ascii="宋体" w:hAnsi="宋体" w:eastAsia="宋体" w:cs="宋体"/>
                <w:color w:val="auto"/>
                <w:sz w:val="24"/>
                <w:szCs w:val="24"/>
                <w:highlight w:val="none"/>
              </w:rPr>
            </w:pPr>
          </w:p>
        </w:tc>
        <w:tc>
          <w:tcPr>
            <w:tcW w:w="784" w:type="dxa"/>
            <w:vMerge w:val="continue"/>
            <w:tcBorders>
              <w:left w:val="single" w:color="auto" w:sz="4" w:space="0"/>
              <w:bottom w:val="single" w:color="auto" w:sz="4" w:space="0"/>
              <w:right w:val="single" w:color="auto" w:sz="4" w:space="0"/>
            </w:tcBorders>
            <w:noWrap w:val="0"/>
            <w:vAlign w:val="center"/>
          </w:tcPr>
          <w:p w14:paraId="75E5F8B8">
            <w:pPr>
              <w:shd w:val="clear"/>
              <w:spacing w:line="400" w:lineRule="exact"/>
              <w:jc w:val="center"/>
              <w:rPr>
                <w:rFonts w:hint="eastAsia" w:ascii="宋体" w:hAnsi="宋体" w:eastAsia="宋体" w:cs="宋体"/>
                <w:color w:val="auto"/>
                <w:sz w:val="24"/>
                <w:szCs w:val="24"/>
                <w:highlight w:val="none"/>
              </w:rPr>
            </w:pPr>
          </w:p>
        </w:tc>
        <w:tc>
          <w:tcPr>
            <w:tcW w:w="932" w:type="dxa"/>
            <w:vMerge w:val="continue"/>
            <w:tcBorders>
              <w:left w:val="single" w:color="auto" w:sz="4" w:space="0"/>
              <w:bottom w:val="single" w:color="auto" w:sz="4" w:space="0"/>
              <w:right w:val="single" w:color="auto" w:sz="4" w:space="0"/>
            </w:tcBorders>
            <w:noWrap w:val="0"/>
            <w:vAlign w:val="center"/>
          </w:tcPr>
          <w:p w14:paraId="40CBAD53">
            <w:pPr>
              <w:shd w:val="clear"/>
              <w:spacing w:line="400" w:lineRule="exact"/>
              <w:ind w:firstLine="120" w:firstLineChars="50"/>
              <w:rPr>
                <w:rFonts w:hint="eastAsia" w:ascii="宋体" w:hAnsi="宋体" w:eastAsia="宋体" w:cs="宋体"/>
                <w:color w:val="auto"/>
                <w:sz w:val="24"/>
                <w:szCs w:val="24"/>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center"/>
          </w:tcPr>
          <w:p w14:paraId="43AFE807">
            <w:pPr>
              <w:shd w:val="clear"/>
              <w:autoSpaceDE w:val="0"/>
              <w:autoSpaceDN w:val="0"/>
              <w:adjustRightInd w:val="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预算内</w:t>
            </w:r>
          </w:p>
        </w:tc>
        <w:tc>
          <w:tcPr>
            <w:tcW w:w="483" w:type="dxa"/>
            <w:tcBorders>
              <w:top w:val="single" w:color="auto" w:sz="4" w:space="0"/>
              <w:left w:val="single" w:color="auto" w:sz="4" w:space="0"/>
              <w:bottom w:val="single" w:color="auto" w:sz="4" w:space="0"/>
              <w:right w:val="single" w:color="auto" w:sz="4" w:space="0"/>
            </w:tcBorders>
            <w:noWrap w:val="0"/>
            <w:vAlign w:val="center"/>
          </w:tcPr>
          <w:p w14:paraId="49564B76">
            <w:pPr>
              <w:shd w:val="clear"/>
              <w:autoSpaceDE w:val="0"/>
              <w:autoSpaceDN w:val="0"/>
              <w:adjustRightInd w:val="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预算外</w:t>
            </w:r>
          </w:p>
        </w:tc>
        <w:tc>
          <w:tcPr>
            <w:tcW w:w="483" w:type="dxa"/>
            <w:tcBorders>
              <w:top w:val="single" w:color="auto" w:sz="4" w:space="0"/>
              <w:left w:val="single" w:color="auto" w:sz="4" w:space="0"/>
              <w:bottom w:val="single" w:color="auto" w:sz="4" w:space="0"/>
              <w:right w:val="single" w:color="auto" w:sz="4" w:space="0"/>
            </w:tcBorders>
            <w:noWrap w:val="0"/>
            <w:vAlign w:val="center"/>
          </w:tcPr>
          <w:p w14:paraId="3F8C3782">
            <w:pPr>
              <w:shd w:val="clear"/>
              <w:autoSpaceDE w:val="0"/>
              <w:autoSpaceDN w:val="0"/>
              <w:adjustRightInd w:val="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自</w:t>
            </w:r>
          </w:p>
          <w:p w14:paraId="4E7A791B">
            <w:pPr>
              <w:shd w:val="clear"/>
              <w:autoSpaceDE w:val="0"/>
              <w:autoSpaceDN w:val="0"/>
              <w:adjustRightInd w:val="0"/>
              <w:jc w:val="center"/>
              <w:rPr>
                <w:rFonts w:hint="eastAsia" w:ascii="宋体" w:hAnsi="宋体" w:eastAsia="宋体" w:cs="宋体"/>
                <w:color w:val="auto"/>
                <w:sz w:val="24"/>
                <w:szCs w:val="24"/>
                <w:highlight w:val="none"/>
                <w:lang w:val="zh-CN"/>
              </w:rPr>
            </w:pPr>
          </w:p>
          <w:p w14:paraId="7824E9E3">
            <w:pPr>
              <w:shd w:val="clear"/>
              <w:autoSpaceDE w:val="0"/>
              <w:autoSpaceDN w:val="0"/>
              <w:adjustRightInd w:val="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筹</w:t>
            </w:r>
          </w:p>
        </w:tc>
        <w:tc>
          <w:tcPr>
            <w:tcW w:w="483" w:type="dxa"/>
            <w:tcBorders>
              <w:top w:val="single" w:color="auto" w:sz="4" w:space="0"/>
              <w:left w:val="single" w:color="auto" w:sz="4" w:space="0"/>
              <w:bottom w:val="single" w:color="auto" w:sz="4" w:space="0"/>
              <w:right w:val="single" w:color="auto" w:sz="4" w:space="0"/>
            </w:tcBorders>
            <w:noWrap w:val="0"/>
            <w:vAlign w:val="center"/>
          </w:tcPr>
          <w:p w14:paraId="5F04A2CE">
            <w:pPr>
              <w:shd w:val="clear"/>
              <w:autoSpaceDE w:val="0"/>
              <w:autoSpaceDN w:val="0"/>
              <w:adjustRightInd w:val="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其</w:t>
            </w:r>
          </w:p>
          <w:p w14:paraId="1B1BB129">
            <w:pPr>
              <w:shd w:val="clear"/>
              <w:autoSpaceDE w:val="0"/>
              <w:autoSpaceDN w:val="0"/>
              <w:adjustRightInd w:val="0"/>
              <w:jc w:val="center"/>
              <w:rPr>
                <w:rFonts w:hint="eastAsia" w:ascii="宋体" w:hAnsi="宋体" w:eastAsia="宋体" w:cs="宋体"/>
                <w:color w:val="auto"/>
                <w:sz w:val="24"/>
                <w:szCs w:val="24"/>
                <w:highlight w:val="none"/>
                <w:lang w:val="zh-CN"/>
              </w:rPr>
            </w:pPr>
          </w:p>
          <w:p w14:paraId="371A157F">
            <w:pPr>
              <w:shd w:val="clear"/>
              <w:autoSpaceDE w:val="0"/>
              <w:autoSpaceDN w:val="0"/>
              <w:adjustRightInd w:val="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他</w:t>
            </w:r>
          </w:p>
        </w:tc>
      </w:tr>
      <w:tr w14:paraId="31F2A0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285" w:type="dxa"/>
            <w:tcBorders>
              <w:top w:val="single" w:color="auto" w:sz="4" w:space="0"/>
              <w:left w:val="single" w:color="auto" w:sz="4" w:space="0"/>
              <w:bottom w:val="single" w:color="auto" w:sz="4" w:space="0"/>
              <w:right w:val="single" w:color="auto" w:sz="4" w:space="0"/>
            </w:tcBorders>
            <w:noWrap w:val="0"/>
            <w:vAlign w:val="center"/>
          </w:tcPr>
          <w:p w14:paraId="165CC66E">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3AC1969">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604" w:type="dxa"/>
            <w:tcBorders>
              <w:top w:val="single" w:color="auto" w:sz="4" w:space="0"/>
              <w:left w:val="single" w:color="auto" w:sz="4" w:space="0"/>
              <w:bottom w:val="single" w:color="auto" w:sz="4" w:space="0"/>
              <w:right w:val="single" w:color="auto" w:sz="4" w:space="0"/>
            </w:tcBorders>
            <w:noWrap w:val="0"/>
            <w:vAlign w:val="center"/>
          </w:tcPr>
          <w:p w14:paraId="63DEB9EA">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1CFACAC6">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716BE32B">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1208A7C1">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07526AB7">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65C11883">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483" w:type="dxa"/>
            <w:tcBorders>
              <w:top w:val="single" w:color="auto" w:sz="4" w:space="0"/>
              <w:left w:val="single" w:color="auto" w:sz="4" w:space="0"/>
              <w:bottom w:val="single" w:color="auto" w:sz="4" w:space="0"/>
              <w:right w:val="single" w:color="auto" w:sz="4" w:space="0"/>
            </w:tcBorders>
            <w:noWrap w:val="0"/>
            <w:vAlign w:val="top"/>
          </w:tcPr>
          <w:p w14:paraId="1D415DC5">
            <w:pPr>
              <w:shd w:val="clear"/>
              <w:spacing w:line="400" w:lineRule="exact"/>
              <w:jc w:val="center"/>
              <w:rPr>
                <w:rFonts w:hint="eastAsia" w:ascii="宋体" w:hAnsi="宋体" w:eastAsia="宋体" w:cs="宋体"/>
                <w:color w:val="auto"/>
                <w:sz w:val="24"/>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0CCA2DC7">
            <w:pPr>
              <w:shd w:val="clear"/>
              <w:spacing w:line="400" w:lineRule="exact"/>
              <w:jc w:val="center"/>
              <w:rPr>
                <w:rFonts w:hint="eastAsia" w:ascii="宋体" w:hAnsi="宋体" w:eastAsia="宋体" w:cs="宋体"/>
                <w:color w:val="auto"/>
                <w:sz w:val="24"/>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472C29F8">
            <w:pPr>
              <w:shd w:val="clear"/>
              <w:spacing w:line="400" w:lineRule="exact"/>
              <w:jc w:val="center"/>
              <w:rPr>
                <w:rFonts w:hint="eastAsia" w:ascii="宋体" w:hAnsi="宋体" w:eastAsia="宋体" w:cs="宋体"/>
                <w:color w:val="auto"/>
                <w:sz w:val="24"/>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73D90BF6">
            <w:pPr>
              <w:shd w:val="clear"/>
              <w:spacing w:line="400" w:lineRule="exact"/>
              <w:jc w:val="center"/>
              <w:rPr>
                <w:rFonts w:hint="eastAsia" w:ascii="宋体" w:hAnsi="宋体" w:eastAsia="宋体" w:cs="宋体"/>
                <w:color w:val="auto"/>
                <w:sz w:val="24"/>
                <w:highlight w:val="none"/>
              </w:rPr>
            </w:pPr>
          </w:p>
        </w:tc>
      </w:tr>
      <w:tr w14:paraId="739B30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285" w:type="dxa"/>
            <w:tcBorders>
              <w:top w:val="single" w:color="auto" w:sz="4" w:space="0"/>
              <w:left w:val="single" w:color="auto" w:sz="4" w:space="0"/>
              <w:bottom w:val="single" w:color="auto" w:sz="4" w:space="0"/>
              <w:right w:val="single" w:color="auto" w:sz="4" w:space="0"/>
            </w:tcBorders>
            <w:noWrap w:val="0"/>
            <w:vAlign w:val="center"/>
          </w:tcPr>
          <w:p w14:paraId="55758B8F">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5BC342A">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604" w:type="dxa"/>
            <w:tcBorders>
              <w:top w:val="single" w:color="auto" w:sz="4" w:space="0"/>
              <w:left w:val="single" w:color="auto" w:sz="4" w:space="0"/>
              <w:bottom w:val="single" w:color="auto" w:sz="4" w:space="0"/>
              <w:right w:val="single" w:color="auto" w:sz="4" w:space="0"/>
            </w:tcBorders>
            <w:noWrap w:val="0"/>
            <w:vAlign w:val="center"/>
          </w:tcPr>
          <w:p w14:paraId="2F8C8394">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4F3B8E59">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138C272D">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31243C15">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5C1DA23F">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5C2CFEE5">
            <w:pPr>
              <w:shd w:val="clea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w:t>
            </w:r>
          </w:p>
        </w:tc>
        <w:tc>
          <w:tcPr>
            <w:tcW w:w="483" w:type="dxa"/>
            <w:tcBorders>
              <w:top w:val="single" w:color="auto" w:sz="4" w:space="0"/>
              <w:left w:val="single" w:color="auto" w:sz="4" w:space="0"/>
              <w:bottom w:val="single" w:color="auto" w:sz="4" w:space="0"/>
              <w:right w:val="single" w:color="auto" w:sz="4" w:space="0"/>
            </w:tcBorders>
            <w:noWrap w:val="0"/>
            <w:vAlign w:val="top"/>
          </w:tcPr>
          <w:p w14:paraId="522C07BD">
            <w:pPr>
              <w:shd w:val="clear"/>
              <w:spacing w:line="400" w:lineRule="exact"/>
              <w:jc w:val="center"/>
              <w:rPr>
                <w:rFonts w:hint="eastAsia" w:ascii="宋体" w:hAnsi="宋体" w:eastAsia="宋体" w:cs="宋体"/>
                <w:color w:val="auto"/>
                <w:sz w:val="24"/>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64E2391B">
            <w:pPr>
              <w:shd w:val="clear"/>
              <w:spacing w:line="400" w:lineRule="exact"/>
              <w:jc w:val="center"/>
              <w:rPr>
                <w:rFonts w:hint="eastAsia" w:ascii="宋体" w:hAnsi="宋体" w:eastAsia="宋体" w:cs="宋体"/>
                <w:color w:val="auto"/>
                <w:sz w:val="24"/>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29BE33CB">
            <w:pPr>
              <w:shd w:val="clear"/>
              <w:spacing w:line="400" w:lineRule="exact"/>
              <w:jc w:val="center"/>
              <w:rPr>
                <w:rFonts w:hint="eastAsia" w:ascii="宋体" w:hAnsi="宋体" w:eastAsia="宋体" w:cs="宋体"/>
                <w:color w:val="auto"/>
                <w:sz w:val="24"/>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543A2F59">
            <w:pPr>
              <w:shd w:val="clear"/>
              <w:spacing w:line="400" w:lineRule="exact"/>
              <w:jc w:val="center"/>
              <w:rPr>
                <w:rFonts w:hint="eastAsia" w:ascii="宋体" w:hAnsi="宋体" w:eastAsia="宋体" w:cs="宋体"/>
                <w:color w:val="auto"/>
                <w:sz w:val="24"/>
                <w:highlight w:val="none"/>
              </w:rPr>
            </w:pPr>
          </w:p>
        </w:tc>
      </w:tr>
    </w:tbl>
    <w:p w14:paraId="38DFAD0F">
      <w:pPr>
        <w:shd w:val="clear"/>
        <w:rPr>
          <w:rFonts w:hint="eastAsia" w:ascii="宋体" w:hAnsi="宋体" w:eastAsia="宋体" w:cs="宋体"/>
          <w:b/>
          <w:color w:val="auto"/>
          <w:sz w:val="28"/>
          <w:szCs w:val="28"/>
          <w:highlight w:val="none"/>
        </w:rPr>
      </w:pPr>
    </w:p>
    <w:p w14:paraId="5B6E8018">
      <w:pPr>
        <w:shd w:val="clea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二、合同总价</w:t>
      </w:r>
    </w:p>
    <w:p w14:paraId="06B1478E">
      <w:pPr>
        <w:pStyle w:val="5"/>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合同总价为人民币大写：XXX元，即RMB￥XXX元；该合同总价已包括货物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p w14:paraId="163BB92E">
      <w:pPr>
        <w:shd w:val="clear"/>
        <w:tabs>
          <w:tab w:val="left" w:pos="2145"/>
        </w:tabs>
        <w:spacing w:line="360" w:lineRule="auto"/>
        <w:rPr>
          <w:rFonts w:hint="eastAsia" w:ascii="宋体" w:hAnsi="宋体" w:eastAsia="宋体" w:cs="宋体"/>
          <w:b/>
          <w:color w:val="auto"/>
          <w:sz w:val="24"/>
          <w:highlight w:val="none"/>
        </w:rPr>
      </w:pPr>
    </w:p>
    <w:p w14:paraId="2877E78C">
      <w:pPr>
        <w:shd w:val="clear"/>
        <w:tabs>
          <w:tab w:val="left" w:pos="2145"/>
        </w:tabs>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三、质量要求</w:t>
      </w:r>
      <w:r>
        <w:rPr>
          <w:rFonts w:hint="eastAsia" w:ascii="宋体" w:hAnsi="宋体" w:eastAsia="宋体" w:cs="宋体"/>
          <w:b/>
          <w:color w:val="auto"/>
          <w:sz w:val="24"/>
          <w:highlight w:val="none"/>
        </w:rPr>
        <w:tab/>
      </w:r>
    </w:p>
    <w:p w14:paraId="7897EE6E">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1.乙方须提供全新的货物（含零部件、配件等），表面无划伤、无碰撞痕迹，且权属清楚，不得侵害他人的知识产权。</w:t>
      </w:r>
    </w:p>
    <w:p w14:paraId="451491B1">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2.货物必须符合或优于国家（行业）XXX标准，以及本项目询价通知书的质量要求和技术指标与出厂标准。</w:t>
      </w:r>
    </w:p>
    <w:p w14:paraId="18C08450">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3.乙方须在本合同签订之日起XXX日内送交货物成品样品给甲方确认，在甲方出具样品确认书并封存成品样品外观尺寸后，乙方才能按样生产，并以此样品作为验收样品；每台货物上均应有产品质量检验合格标志。</w:t>
      </w:r>
    </w:p>
    <w:p w14:paraId="24AC9EBF">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4.货物制造质量出现问题，乙方应负责三包（包修、包换、包退），费用由乙方负担，甲方有权到乙方生产场地检查货物质量和生产进度。</w:t>
      </w:r>
    </w:p>
    <w:p w14:paraId="44EDDED5">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5. 货物到现场后由于甲方保管不当造成的质量问题，乙方亦应负责修理，但费用由甲方负担。</w:t>
      </w:r>
    </w:p>
    <w:p w14:paraId="4D8B8A90">
      <w:pPr>
        <w:shd w:val="clear"/>
        <w:spacing w:line="360" w:lineRule="auto"/>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四、交货及验收</w:t>
      </w:r>
    </w:p>
    <w:p w14:paraId="5E5E485B">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1.乙方交货期限为合同签订生效后的XXX日内，在合同签订生效之日起XXX天内交货到甲方指定地点，随即在XXX日内全部完成安装调试验收合格交付使用 (如由于采购人的原因造成合同延迟签订或验收的，时间顺延)。交货验收时须提供产品质检部门从同类产品中抽样检查合格的检测报告。</w:t>
      </w:r>
    </w:p>
    <w:p w14:paraId="684DD9C8">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2.验收由甲方组织，乙方配合进行：</w:t>
      </w:r>
    </w:p>
    <w:p w14:paraId="3CDB21BD">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 货物在乙方通知安装调试完毕后XXX日内初步验收。初步验收合格后，进入XXX天试用期；试用期间发生一般性质量问题，修复后试用期相应顺延；试用期结束后XXX日内完成最终验收，如质量验收合格，双方签署《质量验收合格证明书》。</w:t>
      </w:r>
    </w:p>
    <w:p w14:paraId="7F0BD483">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(2) 验收标准：按国家有关规定以及甲方询价文件的质量要求和技术指标、乙方的投标文件及承诺与本合同约定标准进行验收；甲乙双方如对质量要求和技术指标的约定标准有相互抵触或异议的事项，由甲方在询价通知书和响应文件中按质量要求和技术指标比较优胜的原则确定该项的约定标准进行验收；</w:t>
      </w:r>
    </w:p>
    <w:p w14:paraId="2ABDD525">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(3)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091A07F8">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(4)如质量验收合格，双方签署质量验收报告。</w:t>
      </w:r>
    </w:p>
    <w:p w14:paraId="33388600">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3. 货物安装调试完毕后XXX日内，甲方无故不进行验收工作并已使用货物的，视同验收合格。</w:t>
      </w:r>
    </w:p>
    <w:p w14:paraId="46A97AF2">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4.乙方应将所提供货物的装箱清单、配件、随机工具、用户使用手册、原厂保修卡等资料交付给甲方；乙方不能完整交付货物及本款规定的单证和工具的，必须负责补齐，否则视为未按合同约定交货。</w:t>
      </w:r>
    </w:p>
    <w:p w14:paraId="15960288">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5.如货物经乙方XXX次维修仍不能达到合同约定的质量标准，甲方有权退货，并视作乙方不能交付货物且须支付违约赔偿金给甲方，甲方还可依法追究乙方的违约责任。</w:t>
      </w:r>
    </w:p>
    <w:p w14:paraId="35BB5FF9">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6.其他未尽事宜应严格按照</w:t>
      </w:r>
      <w:r>
        <w:rPr>
          <w:rFonts w:hint="eastAsia" w:ascii="宋体" w:hAnsi="宋体" w:eastAsia="宋体" w:cs="宋体"/>
          <w:color w:val="auto"/>
          <w:sz w:val="24"/>
          <w:highlight w:val="none"/>
        </w:rPr>
        <w:t>《财政部关于进一步加强政府采购需求和履约验收管理的指导意见》（财库〔2016〕205号）</w:t>
      </w:r>
      <w:r>
        <w:rPr>
          <w:rFonts w:hint="eastAsia" w:ascii="宋体" w:hAnsi="宋体" w:eastAsia="宋体" w:cs="宋体"/>
          <w:color w:val="auto"/>
          <w:highlight w:val="none"/>
        </w:rPr>
        <w:t>的要求进行。 </w:t>
      </w:r>
    </w:p>
    <w:p w14:paraId="5C39190D">
      <w:pPr>
        <w:shd w:val="clear"/>
        <w:spacing w:line="360" w:lineRule="auto"/>
        <w:ind w:firstLine="472" w:firstLineChars="196"/>
        <w:rPr>
          <w:rFonts w:hint="eastAsia" w:ascii="宋体" w:hAnsi="宋体" w:eastAsia="宋体" w:cs="宋体"/>
          <w:b/>
          <w:color w:val="auto"/>
          <w:sz w:val="24"/>
          <w:highlight w:val="none"/>
        </w:rPr>
      </w:pPr>
    </w:p>
    <w:p w14:paraId="4F6479F9">
      <w:pPr>
        <w:shd w:val="clear"/>
        <w:spacing w:line="360" w:lineRule="auto"/>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五、付款方式</w:t>
      </w:r>
    </w:p>
    <w:p w14:paraId="657D475F">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1.甲方在本合同签订生效之日起接到乙方通知和票据凭证资料以及乙方交给甲方的合同履约保证金（按合同总价的百分之XXX  计算款额￥XXX元，人民币大写：XXX元整）后的XXX日内支付合同金额百分之XXX的价款。</w:t>
      </w:r>
    </w:p>
    <w:p w14:paraId="45E9BBA6">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2.全部货物安装调试完毕并验收合格之日起，甲方接到乙方通知与票据凭证资料以后的XXX日内，提交支付凭证资料给XXX财政国库支付执行机构办理财政国库支付手续，并由其向乙方核拨合同总价的百分之XXX款项：￥XXX元，人民币大写XXX元整；自筹资金由甲方直接支付给乙方。</w:t>
      </w:r>
    </w:p>
    <w:p w14:paraId="10DC66D7">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3.乙方须向甲方出具合法有效完整的完税发票及凭证资料进行支付结算。</w:t>
      </w:r>
    </w:p>
    <w:p w14:paraId="687DED60">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4.履约保证金：在货物验收合格满XXX后，甲方财务部门接到乙方通知和支付凭证资料文件，以及由甲方确认本合同货物质量与服务等约定事项已经履行完毕的正式书面文件后的XXX日内，递交结算凭证资料给银行并由其向乙方支付价款￥XXX元，人民币大写：XXX元整。</w:t>
      </w:r>
    </w:p>
    <w:p w14:paraId="3E336272">
      <w:pPr>
        <w:pStyle w:val="32"/>
        <w:shd w:val="clear"/>
        <w:spacing w:line="360" w:lineRule="auto"/>
        <w:ind w:firstLine="482"/>
        <w:rPr>
          <w:rFonts w:hint="eastAsia" w:ascii="宋体" w:hAnsi="宋体" w:eastAsia="宋体" w:cs="宋体"/>
          <w:b/>
          <w:color w:val="auto"/>
          <w:highlight w:val="none"/>
        </w:rPr>
      </w:pPr>
      <w:r>
        <w:rPr>
          <w:rFonts w:hint="eastAsia" w:ascii="宋体" w:hAnsi="宋体" w:eastAsia="宋体" w:cs="宋体"/>
          <w:b/>
          <w:color w:val="auto"/>
          <w:highlight w:val="none"/>
        </w:rPr>
        <w:t>六、售后服务</w:t>
      </w:r>
    </w:p>
    <w:p w14:paraId="2349CD49">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1.质保期为验收合格后</w:t>
      </w:r>
      <w:r>
        <w:rPr>
          <w:rFonts w:hint="eastAsia" w:ascii="宋体" w:hAnsi="宋体" w:eastAsia="宋体" w:cs="宋体"/>
          <w:color w:val="auto"/>
          <w:szCs w:val="21"/>
          <w:highlight w:val="none"/>
        </w:rPr>
        <w:t>XX</w:t>
      </w:r>
      <w:r>
        <w:rPr>
          <w:rFonts w:hint="eastAsia" w:ascii="宋体" w:hAnsi="宋体" w:eastAsia="宋体" w:cs="宋体"/>
          <w:color w:val="auto"/>
          <w:highlight w:val="none"/>
        </w:rPr>
        <w:t>年，质保期内出现质量问题，乙方在接到通知后XXX小时内响应到场，XXX小时内完成维修或更换，并承担修理调换的费用；如货物经乙方XXX次维修仍不能达到本合同约定的质量标准，视作乙方未能按时交货，甲方有权退货并追究乙方的违约责任。货到现场后由于甲方保管不当造成的问题，乙方亦应负责修复，但费用由甲方负担。</w:t>
      </w:r>
    </w:p>
    <w:p w14:paraId="7137A8A7">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2.乙方须指派专人负责与甲方联系售后服务事宜。 </w:t>
      </w:r>
    </w:p>
    <w:p w14:paraId="4E5206CE">
      <w:pPr>
        <w:shd w:val="clear"/>
        <w:spacing w:line="360" w:lineRule="auto"/>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七、违约责任</w:t>
      </w:r>
    </w:p>
    <w:p w14:paraId="140C8C21">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1.甲方违约责任</w:t>
      </w:r>
    </w:p>
    <w:p w14:paraId="26911D3C">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（1）甲方无正当理由拒收货物的，甲方应偿付合同总价百分之XXX的违约金；</w:t>
      </w:r>
    </w:p>
    <w:p w14:paraId="4DBF0E92">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（2）甲方逾期支付货款的，除应及时付足货款外，应向乙方偿付欠款总额万分之XXX/天的违约金；逾期付款超过XXX天的，乙方有权终止合同；</w:t>
      </w:r>
    </w:p>
    <w:p w14:paraId="1491EAE1">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（3） 甲方偿付的违约金不足以弥补乙方损失的，还应按乙方损失尚未弥补的部分，支付赔偿金给乙方。</w:t>
      </w:r>
    </w:p>
    <w:p w14:paraId="1254A1C7">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2.乙方违约责任</w:t>
      </w:r>
    </w:p>
    <w:p w14:paraId="642656DD">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乙方交付的货物质量不符合合同规定的，乙方应向甲方支付合同总价的百分之XXX的违约金，并须在合同规定的交货时间内更换合格的货物给甲方，否则，视作乙方不能交付货物而违约，按本条本款下述第“（2）”项规定由乙方偿付违约赔偿金给甲方。</w:t>
      </w:r>
    </w:p>
    <w:p w14:paraId="1699302D">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（2）乙方不能交付货物或逾期交付货物而违约的，除应及时交足货物外，应向甲方偿付逾期交货部分货款总额的万分之XXX/天的违约金；逾期交货超过</w:t>
      </w:r>
      <w:r>
        <w:rPr>
          <w:rFonts w:hint="eastAsia" w:ascii="宋体" w:hAnsi="宋体" w:eastAsia="宋体" w:cs="宋体"/>
          <w:color w:val="auto"/>
          <w:szCs w:val="21"/>
          <w:highlight w:val="none"/>
        </w:rPr>
        <w:t>XX</w:t>
      </w:r>
      <w:r>
        <w:rPr>
          <w:rFonts w:hint="eastAsia" w:ascii="宋体" w:hAnsi="宋体" w:eastAsia="宋体" w:cs="宋体"/>
          <w:color w:val="auto"/>
          <w:highlight w:val="none"/>
        </w:rPr>
        <w:t>天，甲方有权终止合同，乙方则应按合同总价的百分之XXX的款额向甲方偿付赔偿金，并须全额退还甲方已经付给乙方的货款及其利息。</w:t>
      </w:r>
    </w:p>
    <w:p w14:paraId="6D07E742">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3）乙方货物经甲方送交具有法定资格条件的质量技术监督机构检测后，如检测结果认定货物质量不符合本合同规定标准的，则视为乙方没有按时交货而违约，乙方须在XXX天内无条件更换合格的货物，如逾期不能更换合格的货物，甲方有权终止本合同，乙方应另付合同总价的百分之XXX的赔偿金给甲方。</w:t>
      </w:r>
    </w:p>
    <w:p w14:paraId="7512C700">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XXX向甲方支付违约金。</w:t>
      </w:r>
    </w:p>
    <w:p w14:paraId="262CDF65">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（5）乙方偿付的违约金不足以弥补甲方损失的，还应按甲方损失尚未弥补的部分，支付赔偿金给甲方。</w:t>
      </w:r>
    </w:p>
    <w:p w14:paraId="597CDC01">
      <w:pPr>
        <w:shd w:val="clear"/>
        <w:spacing w:line="360" w:lineRule="auto"/>
        <w:ind w:firstLine="479" w:firstLineChars="19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八、争议解决办法</w:t>
      </w:r>
    </w:p>
    <w:p w14:paraId="26C3C6F7">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1.因货物的质量问题发生争议，由质量技术监督部门或其指定的质量鉴定机构进行质量鉴定。货物符合标准的，鉴定费由甲方承担；货物不符合质量标准的，鉴定费由乙方承担。</w:t>
      </w:r>
    </w:p>
    <w:p w14:paraId="45EF25B6">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2.合同履行期间,若双方发生争议，可协商或由有关部门调解解决，协商或调解不成的，由当事人依法维护其合法权益。</w:t>
      </w:r>
    </w:p>
    <w:p w14:paraId="63EB279A">
      <w:pPr>
        <w:shd w:val="clear"/>
        <w:spacing w:line="360" w:lineRule="auto"/>
        <w:ind w:firstLine="360" w:firstLineChars="128"/>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九、其他</w:t>
      </w:r>
    </w:p>
    <w:p w14:paraId="4C3FFCFA">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1.如有未尽事宜，由双方依法订立补充合同。</w:t>
      </w:r>
    </w:p>
    <w:p w14:paraId="1ADFA461">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2.本合同双方应加盖骑缝章。</w:t>
      </w:r>
    </w:p>
    <w:p w14:paraId="6BC79BD0">
      <w:pPr>
        <w:pStyle w:val="32"/>
        <w:shd w:val="clear"/>
        <w:spacing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3.本合同一式四份，自双方签章并经代理机构审核编号后生效。甲方、乙方、政府采购管理部门、采购代理机构各一份。</w:t>
      </w:r>
    </w:p>
    <w:p w14:paraId="5565ADDB">
      <w:pPr>
        <w:pStyle w:val="33"/>
        <w:shd w:val="clear"/>
        <w:spacing w:line="360" w:lineRule="auto"/>
        <w:ind w:firstLine="480"/>
        <w:rPr>
          <w:rFonts w:hint="eastAsia" w:ascii="宋体" w:hAnsi="宋体" w:eastAsia="宋体" w:cs="宋体"/>
          <w:color w:val="auto"/>
          <w:sz w:val="24"/>
          <w:highlight w:val="none"/>
        </w:rPr>
      </w:pPr>
    </w:p>
    <w:p w14:paraId="0A13FA53">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甲方：   （盖单位公章）   </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 xml:space="preserve">    乙方：   （盖单位公章）</w:t>
      </w:r>
    </w:p>
    <w:p w14:paraId="4F1A7070">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法定代表人（授权代表）：            法定代表人（授权代表）：</w:t>
      </w:r>
    </w:p>
    <w:p w14:paraId="71FABF4A">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                         地    址：</w:t>
      </w:r>
    </w:p>
    <w:p w14:paraId="7CB346B3">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                         开户银行：</w:t>
      </w:r>
    </w:p>
    <w:p w14:paraId="6FA87174">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账号：                             账号：</w:t>
      </w:r>
    </w:p>
    <w:p w14:paraId="05181249">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                         电    话：</w:t>
      </w:r>
    </w:p>
    <w:p w14:paraId="6B02264F">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传    真：                         传    真：</w:t>
      </w:r>
    </w:p>
    <w:p w14:paraId="4726833C">
      <w:pPr>
        <w:shd w:val="clear"/>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 xml:space="preserve">签约日期：XX年XX月XX日 </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签约日期：XX年XX月XX日</w:t>
      </w:r>
    </w:p>
    <w:p w14:paraId="700D977C">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6BFB2114">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458172EC">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5FFA7774">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69FDA456">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3E08F480">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09F0432D">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6DAEDA42">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3CB86732">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0E9771FB">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3ABCA293">
      <w:pPr>
        <w:numPr>
          <w:ilvl w:val="0"/>
          <w:numId w:val="0"/>
        </w:numPr>
        <w:shd w:val="clear"/>
        <w:spacing w:line="360" w:lineRule="auto"/>
        <w:ind w:firstLine="422" w:firstLineChars="200"/>
        <w:rPr>
          <w:rFonts w:hint="eastAsia" w:ascii="宋体" w:hAnsi="宋体" w:eastAsia="宋体" w:cs="宋体"/>
          <w:b/>
          <w:bCs/>
          <w:color w:val="auto"/>
          <w:szCs w:val="21"/>
          <w:highlight w:val="none"/>
          <w:lang w:val="en-US" w:eastAsia="zh-CN"/>
        </w:rPr>
      </w:pPr>
    </w:p>
    <w:p w14:paraId="53DBC44A">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val="0"/>
          <w:color w:val="auto"/>
          <w:kern w:val="2"/>
          <w:sz w:val="44"/>
          <w:szCs w:val="44"/>
          <w:highlight w:val="none"/>
          <w:lang w:val="en-US" w:eastAsia="zh-CN" w:bidi="ar-SA"/>
        </w:rPr>
      </w:pPr>
      <w:r>
        <w:rPr>
          <w:rFonts w:hint="eastAsia" w:ascii="宋体" w:hAnsi="宋体" w:eastAsia="宋体" w:cs="宋体"/>
          <w:b/>
          <w:bCs w:val="0"/>
          <w:color w:val="auto"/>
          <w:kern w:val="2"/>
          <w:sz w:val="44"/>
          <w:szCs w:val="44"/>
          <w:highlight w:val="none"/>
          <w:lang w:val="en-US" w:eastAsia="zh-CN" w:bidi="ar-SA"/>
        </w:rPr>
        <w:t>政 府 采 购 项 目</w:t>
      </w:r>
      <w:bookmarkEnd w:id="10"/>
    </w:p>
    <w:p w14:paraId="045F72ED">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val="0"/>
          <w:color w:val="auto"/>
          <w:kern w:val="2"/>
          <w:sz w:val="44"/>
          <w:szCs w:val="44"/>
          <w:highlight w:val="none"/>
          <w:lang w:val="en-US" w:eastAsia="zh-CN" w:bidi="ar-SA"/>
        </w:rPr>
      </w:pPr>
      <w:bookmarkStart w:id="11" w:name="_Toc9085"/>
      <w:r>
        <w:rPr>
          <w:rFonts w:hint="eastAsia" w:ascii="宋体" w:hAnsi="宋体" w:eastAsia="宋体" w:cs="宋体"/>
          <w:b/>
          <w:bCs w:val="0"/>
          <w:color w:val="auto"/>
          <w:kern w:val="2"/>
          <w:sz w:val="44"/>
          <w:szCs w:val="44"/>
          <w:highlight w:val="none"/>
          <w:lang w:val="en-US" w:eastAsia="zh-CN" w:bidi="ar-SA"/>
        </w:rPr>
        <w:t>采购需求和采购实施计划</w:t>
      </w:r>
      <w:bookmarkEnd w:id="11"/>
    </w:p>
    <w:p w14:paraId="35AB51E4">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val="0"/>
          <w:color w:val="auto"/>
          <w:kern w:val="2"/>
          <w:sz w:val="44"/>
          <w:szCs w:val="44"/>
          <w:highlight w:val="none"/>
          <w:lang w:val="en-US" w:eastAsia="zh-CN" w:bidi="ar-SA"/>
        </w:rPr>
      </w:pPr>
      <w:bookmarkStart w:id="12" w:name="_Toc6052"/>
      <w:r>
        <w:rPr>
          <w:rFonts w:hint="eastAsia" w:ascii="宋体" w:hAnsi="宋体" w:eastAsia="宋体" w:cs="宋体"/>
          <w:b/>
          <w:bCs w:val="0"/>
          <w:color w:val="auto"/>
          <w:kern w:val="2"/>
          <w:sz w:val="44"/>
          <w:szCs w:val="44"/>
          <w:highlight w:val="none"/>
          <w:lang w:val="en-US" w:eastAsia="zh-CN" w:bidi="ar-SA"/>
        </w:rPr>
        <w:t>一般性审查意见书</w:t>
      </w:r>
      <w:bookmarkEnd w:id="12"/>
    </w:p>
    <w:p w14:paraId="4CD541B9">
      <w:pPr>
        <w:pStyle w:val="12"/>
        <w:pageBreakBefore w:val="0"/>
        <w:shd w:val="clear"/>
        <w:overflowPunct/>
        <w:topLinePunct w:val="0"/>
        <w:bidi w:val="0"/>
        <w:spacing w:before="40" w:line="540" w:lineRule="exact"/>
        <w:ind w:firstLine="123" w:firstLineChars="51"/>
        <w:jc w:val="center"/>
        <w:rPr>
          <w:rFonts w:hint="eastAsia" w:ascii="宋体" w:hAnsi="宋体" w:eastAsia="宋体" w:cs="宋体"/>
          <w:b/>
          <w:bCs/>
          <w:color w:val="auto"/>
          <w:sz w:val="24"/>
          <w:szCs w:val="24"/>
          <w:highlight w:val="none"/>
        </w:rPr>
      </w:pPr>
    </w:p>
    <w:p w14:paraId="13F00973">
      <w:pPr>
        <w:pStyle w:val="12"/>
        <w:pageBreakBefore w:val="0"/>
        <w:shd w:val="clear"/>
        <w:overflowPunct/>
        <w:topLinePunct w:val="0"/>
        <w:bidi w:val="0"/>
        <w:spacing w:before="200" w:line="540" w:lineRule="exact"/>
        <w:ind w:firstLine="1966" w:firstLineChars="816"/>
        <w:rPr>
          <w:rFonts w:hint="eastAsia" w:ascii="宋体" w:hAnsi="宋体" w:eastAsia="宋体" w:cs="宋体"/>
          <w:b/>
          <w:bCs/>
          <w:color w:val="auto"/>
          <w:sz w:val="24"/>
          <w:szCs w:val="24"/>
          <w:highlight w:val="none"/>
        </w:rPr>
      </w:pPr>
    </w:p>
    <w:p w14:paraId="1B9E2CBA">
      <w:pPr>
        <w:pStyle w:val="14"/>
        <w:pageBreakBefore w:val="0"/>
        <w:shd w:val="clear"/>
        <w:overflowPunct/>
        <w:topLinePunct w:val="0"/>
        <w:bidi w:val="0"/>
        <w:spacing w:line="540" w:lineRule="exact"/>
        <w:rPr>
          <w:rFonts w:hint="eastAsia" w:ascii="宋体" w:hAnsi="宋体" w:eastAsia="宋体" w:cs="宋体"/>
          <w:b/>
          <w:bCs/>
          <w:color w:val="auto"/>
          <w:sz w:val="24"/>
          <w:szCs w:val="24"/>
          <w:highlight w:val="none"/>
        </w:rPr>
      </w:pPr>
    </w:p>
    <w:p w14:paraId="7A73EFD5">
      <w:pPr>
        <w:keepNext w:val="0"/>
        <w:keepLines w:val="0"/>
        <w:pageBreakBefore w:val="0"/>
        <w:shd w:val="clear"/>
        <w:tabs>
          <w:tab w:val="left" w:pos="973"/>
        </w:tabs>
        <w:kinsoku/>
        <w:wordWrap/>
        <w:overflowPunct/>
        <w:topLinePunct w:val="0"/>
        <w:autoSpaceDE/>
        <w:autoSpaceDN/>
        <w:bidi w:val="0"/>
        <w:adjustRightInd/>
        <w:snapToGrid/>
        <w:spacing w:line="480" w:lineRule="auto"/>
        <w:ind w:firstLine="964" w:firstLineChars="4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项目名称:</w:t>
      </w:r>
      <w:r>
        <w:rPr>
          <w:rFonts w:hint="eastAsia" w:ascii="宋体" w:hAnsi="宋体" w:eastAsia="宋体" w:cs="宋体"/>
          <w:b/>
          <w:bCs/>
          <w:color w:val="auto"/>
          <w:sz w:val="24"/>
          <w:szCs w:val="24"/>
          <w:highlight w:val="none"/>
          <w:lang w:eastAsia="zh-CN"/>
        </w:rPr>
        <w:t>仪陇县2025年第一批中央和省级财政衔接推进乡村振兴补助资金项目（保平镇有机黄花苗采购）</w:t>
      </w:r>
    </w:p>
    <w:p w14:paraId="71D5F277">
      <w:pPr>
        <w:keepNext w:val="0"/>
        <w:keepLines w:val="0"/>
        <w:pageBreakBefore w:val="0"/>
        <w:shd w:val="clear"/>
        <w:tabs>
          <w:tab w:val="left" w:pos="973"/>
        </w:tabs>
        <w:kinsoku/>
        <w:wordWrap/>
        <w:overflowPunct/>
        <w:topLinePunct w:val="0"/>
        <w:autoSpaceDE/>
        <w:autoSpaceDN/>
        <w:bidi w:val="0"/>
        <w:adjustRightInd/>
        <w:snapToGrid/>
        <w:spacing w:line="480" w:lineRule="auto"/>
        <w:ind w:firstLine="964" w:firstLineChars="4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采购单位:仪陇县保平镇人民政府</w:t>
      </w:r>
    </w:p>
    <w:p w14:paraId="5154C3F2">
      <w:pPr>
        <w:keepNext w:val="0"/>
        <w:keepLines w:val="0"/>
        <w:pageBreakBefore w:val="0"/>
        <w:shd w:val="clear"/>
        <w:tabs>
          <w:tab w:val="left" w:pos="973"/>
        </w:tabs>
        <w:kinsoku/>
        <w:wordWrap/>
        <w:overflowPunct/>
        <w:topLinePunct w:val="0"/>
        <w:autoSpaceDE/>
        <w:autoSpaceDN/>
        <w:bidi w:val="0"/>
        <w:adjustRightInd/>
        <w:snapToGrid/>
        <w:spacing w:line="480" w:lineRule="auto"/>
        <w:ind w:firstLine="964" w:firstLineChars="4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预算主管部门: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 xml:space="preserve">                                       </w:t>
      </w:r>
    </w:p>
    <w:p w14:paraId="6850A744">
      <w:pPr>
        <w:keepNext w:val="0"/>
        <w:keepLines w:val="0"/>
        <w:pageBreakBefore w:val="0"/>
        <w:shd w:val="clear"/>
        <w:tabs>
          <w:tab w:val="left" w:pos="973"/>
        </w:tabs>
        <w:kinsoku/>
        <w:wordWrap/>
        <w:overflowPunct/>
        <w:topLinePunct w:val="0"/>
        <w:autoSpaceDE/>
        <w:autoSpaceDN/>
        <w:bidi w:val="0"/>
        <w:adjustRightInd/>
        <w:snapToGrid/>
        <w:spacing w:line="480" w:lineRule="auto"/>
        <w:ind w:firstLine="964" w:firstLineChars="4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审查时间: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2026年   月  日   </w:t>
      </w:r>
      <w:r>
        <w:rPr>
          <w:rFonts w:hint="eastAsia" w:ascii="宋体" w:hAnsi="宋体" w:eastAsia="宋体" w:cs="宋体"/>
          <w:b/>
          <w:bCs/>
          <w:color w:val="auto"/>
          <w:sz w:val="24"/>
          <w:szCs w:val="24"/>
          <w:highlight w:val="none"/>
        </w:rPr>
        <w:t xml:space="preserve">                                               </w:t>
      </w:r>
    </w:p>
    <w:p w14:paraId="045B1A17">
      <w:pPr>
        <w:pStyle w:val="12"/>
        <w:keepNext w:val="0"/>
        <w:keepLines w:val="0"/>
        <w:pageBreakBefore w:val="0"/>
        <w:widowControl/>
        <w:numPr>
          <w:ilvl w:val="0"/>
          <w:numId w:val="0"/>
        </w:numPr>
        <w:shd w:val="clear"/>
        <w:kinsoku/>
        <w:wordWrap/>
        <w:overflowPunct/>
        <w:topLinePunct w:val="0"/>
        <w:autoSpaceDE/>
        <w:autoSpaceDN/>
        <w:bidi w:val="0"/>
        <w:adjustRightInd/>
        <w:snapToGrid/>
        <w:spacing w:before="200" w:beforeAutospacing="0" w:afterAutospacing="0" w:line="48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AF8E14C">
      <w:pPr>
        <w:pStyle w:val="12"/>
        <w:pageBreakBefore w:val="0"/>
        <w:shd w:val="clear"/>
        <w:overflowPunct/>
        <w:topLinePunct w:val="0"/>
        <w:bidi w:val="0"/>
        <w:spacing w:beforeAutospacing="0" w:afterLines="50" w:afterAutospacing="0" w:line="540" w:lineRule="exact"/>
        <w:ind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审 查 说 明</w:t>
      </w:r>
    </w:p>
    <w:p w14:paraId="2B4D1CC8">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color w:val="auto"/>
          <w:sz w:val="24"/>
          <w:szCs w:val="24"/>
          <w:highlight w:val="none"/>
        </w:rPr>
      </w:pPr>
    </w:p>
    <w:p w14:paraId="793D9BC0">
      <w:pPr>
        <w:pStyle w:val="12"/>
        <w:pageBreakBefore w:val="0"/>
        <w:shd w:val="clear"/>
        <w:overflowPunct/>
        <w:topLinePunct w:val="0"/>
        <w:bidi w:val="0"/>
        <w:spacing w:beforeAutospacing="0" w:afterAutospacing="0" w:line="540" w:lineRule="exact"/>
        <w:ind w:firstLine="562"/>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一、采购人应当建立审查工作机制，在采购活动开始前，针对采购需求管理中的重点风险事项，对采购需求和采购实施计划进行审查。</w:t>
      </w:r>
    </w:p>
    <w:p w14:paraId="5AF940A2">
      <w:pPr>
        <w:pStyle w:val="12"/>
        <w:pageBreakBefore w:val="0"/>
        <w:shd w:val="clear"/>
        <w:overflowPunct/>
        <w:topLinePunct w:val="0"/>
        <w:bidi w:val="0"/>
        <w:spacing w:beforeAutospacing="0" w:afterAutospacing="0" w:line="540" w:lineRule="exact"/>
        <w:ind w:firstLine="562"/>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二、一般性审查的具体采购项目范围，由采购人根据实际情况确定。</w:t>
      </w:r>
    </w:p>
    <w:p w14:paraId="63E076B0">
      <w:pPr>
        <w:pStyle w:val="12"/>
        <w:pageBreakBefore w:val="0"/>
        <w:shd w:val="clear"/>
        <w:overflowPunct/>
        <w:topLinePunct w:val="0"/>
        <w:bidi w:val="0"/>
        <w:spacing w:beforeAutospacing="0" w:afterAutospacing="0" w:line="540" w:lineRule="exact"/>
        <w:ind w:firstLine="562"/>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三、审查应当符合《财政部关于印发政府采购需求管理办法的通知》(财库(2021)22号)要求及政府采购的相关规定。</w:t>
      </w:r>
    </w:p>
    <w:p w14:paraId="2F9B3487">
      <w:pPr>
        <w:pStyle w:val="12"/>
        <w:pageBreakBefore w:val="0"/>
        <w:shd w:val="clear"/>
        <w:overflowPunct/>
        <w:topLinePunct w:val="0"/>
        <w:bidi w:val="0"/>
        <w:spacing w:beforeAutospacing="0" w:afterAutospacing="0" w:line="540" w:lineRule="exact"/>
        <w:ind w:firstLine="562"/>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四、对于审查不通过的，应当修改采购需求和采购实施计划的内容并重新进行审查。</w:t>
      </w:r>
    </w:p>
    <w:p w14:paraId="33D6E7D4">
      <w:pPr>
        <w:pStyle w:val="12"/>
        <w:pageBreakBefore w:val="0"/>
        <w:shd w:val="clear"/>
        <w:overflowPunct/>
        <w:topLinePunct w:val="0"/>
        <w:bidi w:val="0"/>
        <w:spacing w:beforeAutospacing="0" w:afterAutospacing="0" w:line="540" w:lineRule="exact"/>
        <w:ind w:firstLine="562"/>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五、斜体字部分属于提醒内容，编制时应删除。</w:t>
      </w:r>
    </w:p>
    <w:p w14:paraId="075156E1">
      <w:pPr>
        <w:pStyle w:val="12"/>
        <w:pageBreakBefore w:val="0"/>
        <w:shd w:val="clear"/>
        <w:overflowPunct/>
        <w:topLinePunct w:val="0"/>
        <w:bidi w:val="0"/>
        <w:spacing w:beforeAutospacing="0" w:afterAutospacing="0" w:line="540" w:lineRule="exact"/>
        <w:ind w:firstLine="562"/>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六、对不适用的内容应删除，并调整相应序号。</w:t>
      </w:r>
    </w:p>
    <w:p w14:paraId="198E4780">
      <w:pPr>
        <w:pStyle w:val="12"/>
        <w:pageBreakBefore w:val="0"/>
        <w:shd w:val="clear"/>
        <w:overflowPunct/>
        <w:topLinePunct w:val="0"/>
        <w:bidi w:val="0"/>
        <w:spacing w:beforeAutospacing="0" w:afterAutospacing="0" w:line="540" w:lineRule="exact"/>
        <w:ind w:firstLine="562"/>
        <w:rPr>
          <w:rFonts w:hint="eastAsia" w:ascii="宋体" w:hAnsi="宋体" w:eastAsia="宋体" w:cs="宋体"/>
          <w:b/>
          <w:bCs/>
          <w:color w:val="auto"/>
          <w:sz w:val="24"/>
          <w:szCs w:val="24"/>
          <w:highlight w:val="none"/>
        </w:rPr>
        <w:sectPr>
          <w:footerReference r:id="rId5" w:type="default"/>
          <w:pgSz w:w="11906" w:h="16838"/>
          <w:pgMar w:top="1440" w:right="1800" w:bottom="1440" w:left="1800" w:header="851" w:footer="992" w:gutter="0"/>
          <w:pgNumType w:fmt="decimal"/>
          <w:cols w:space="425" w:num="1"/>
          <w:docGrid w:type="lines" w:linePitch="312" w:charSpace="0"/>
        </w:sectPr>
      </w:pPr>
      <w:bookmarkStart w:id="13" w:name="_Toc24075"/>
    </w:p>
    <w:p w14:paraId="036C8641">
      <w:pPr>
        <w:pStyle w:val="12"/>
        <w:pageBreakBefore w:val="0"/>
        <w:shd w:val="clear"/>
        <w:overflowPunct/>
        <w:topLinePunct w:val="0"/>
        <w:bidi w:val="0"/>
        <w:spacing w:beforeAutospacing="0" w:afterAutospacing="0" w:line="540" w:lineRule="exact"/>
        <w:ind w:firstLine="56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一、审查项目情况</w:t>
      </w:r>
      <w:bookmarkEnd w:id="13"/>
    </w:p>
    <w:p w14:paraId="4572DF49">
      <w:pPr>
        <w:pStyle w:val="20"/>
        <w:pageBreakBefore w:val="0"/>
        <w:shd w:val="clear"/>
        <w:overflowPunct/>
        <w:topLinePunct w:val="0"/>
        <w:bidi w:val="0"/>
        <w:spacing w:line="540" w:lineRule="exact"/>
        <w:jc w:val="both"/>
        <w:rPr>
          <w:rFonts w:hint="eastAsia" w:ascii="宋体" w:hAnsi="宋体" w:eastAsia="宋体" w:cs="宋体"/>
          <w:b/>
          <w:bCs/>
          <w:color w:val="auto"/>
          <w:spacing w:val="20"/>
          <w:kern w:val="3"/>
          <w:sz w:val="24"/>
          <w:szCs w:val="24"/>
          <w:highlight w:val="none"/>
          <w:u w:val="single"/>
        </w:rPr>
      </w:pPr>
      <w:r>
        <w:rPr>
          <w:rFonts w:hint="eastAsia" w:ascii="宋体" w:hAnsi="宋体" w:eastAsia="宋体" w:cs="宋体"/>
          <w:b/>
          <w:bCs/>
          <w:color w:val="auto"/>
          <w:spacing w:val="20"/>
          <w:kern w:val="3"/>
          <w:sz w:val="24"/>
          <w:szCs w:val="24"/>
          <w:highlight w:val="none"/>
        </w:rPr>
        <w:t>(一)审查项目名称:</w:t>
      </w:r>
      <w:r>
        <w:rPr>
          <w:rFonts w:hint="eastAsia" w:hAnsi="宋体" w:eastAsia="宋体" w:cs="宋体"/>
          <w:b/>
          <w:bCs/>
          <w:color w:val="auto"/>
          <w:sz w:val="24"/>
          <w:szCs w:val="24"/>
          <w:highlight w:val="none"/>
          <w:lang w:eastAsia="zh-CN"/>
        </w:rPr>
        <w:t>仪陇县2025年第一批中央和省级财政衔接推进乡村振兴补助资金项目（保平镇有机黄花苗采购）</w:t>
      </w:r>
    </w:p>
    <w:p w14:paraId="1EE9EFC5">
      <w:pPr>
        <w:pStyle w:val="12"/>
        <w:pageBreakBefore w:val="0"/>
        <w:shd w:val="clear"/>
        <w:overflowPunct/>
        <w:topLinePunct w:val="0"/>
        <w:bidi w:val="0"/>
        <w:spacing w:beforeAutospacing="0" w:afterAutospacing="0" w:line="540" w:lineRule="exact"/>
        <w:ind w:firstLine="642"/>
        <w:rPr>
          <w:rFonts w:hint="eastAsia" w:ascii="宋体" w:hAnsi="宋体" w:eastAsia="宋体" w:cs="宋体"/>
          <w:b/>
          <w:bCs/>
          <w:color w:val="auto"/>
          <w:spacing w:val="20"/>
          <w:kern w:val="3"/>
          <w:sz w:val="24"/>
          <w:szCs w:val="24"/>
          <w:highlight w:val="none"/>
        </w:rPr>
      </w:pPr>
      <w:r>
        <w:rPr>
          <w:rFonts w:hint="eastAsia" w:ascii="宋体" w:hAnsi="宋体" w:eastAsia="宋体" w:cs="宋体"/>
          <w:b/>
          <w:bCs/>
          <w:color w:val="auto"/>
          <w:spacing w:val="20"/>
          <w:kern w:val="3"/>
          <w:sz w:val="24"/>
          <w:szCs w:val="24"/>
          <w:highlight w:val="none"/>
        </w:rPr>
        <w:t>(二)审查对象:</w:t>
      </w:r>
    </w:p>
    <w:p w14:paraId="153F7E4C">
      <w:pPr>
        <w:pStyle w:val="12"/>
        <w:pageBreakBefore w:val="0"/>
        <w:shd w:val="clear"/>
        <w:overflowPunct/>
        <w:topLinePunct w:val="0"/>
        <w:bidi w:val="0"/>
        <w:spacing w:beforeAutospacing="0" w:afterAutospacing="0" w:line="540" w:lineRule="exact"/>
        <w:ind w:firstLine="642"/>
        <w:rPr>
          <w:rFonts w:hint="eastAsia" w:ascii="宋体" w:hAnsi="宋体" w:eastAsia="宋体" w:cs="宋体"/>
          <w:b/>
          <w:bCs/>
          <w:color w:val="auto"/>
          <w:spacing w:val="20"/>
          <w:kern w:val="3"/>
          <w:sz w:val="24"/>
          <w:szCs w:val="24"/>
          <w:highlight w:val="none"/>
        </w:rPr>
      </w:pPr>
      <w:r>
        <w:rPr>
          <w:rFonts w:hint="eastAsia" w:ascii="宋体" w:hAnsi="宋体" w:eastAsia="宋体" w:cs="宋体"/>
          <w:b/>
          <w:bCs/>
          <w:color w:val="auto"/>
          <w:spacing w:val="20"/>
          <w:kern w:val="3"/>
          <w:sz w:val="24"/>
          <w:szCs w:val="24"/>
          <w:highlight w:val="none"/>
        </w:rPr>
        <w:t>1. 采购需求</w:t>
      </w:r>
    </w:p>
    <w:p w14:paraId="2F7B1F34">
      <w:pPr>
        <w:pStyle w:val="12"/>
        <w:pageBreakBefore w:val="0"/>
        <w:shd w:val="clear"/>
        <w:overflowPunct/>
        <w:topLinePunct w:val="0"/>
        <w:bidi w:val="0"/>
        <w:spacing w:beforeAutospacing="0" w:afterAutospacing="0" w:line="540" w:lineRule="exact"/>
        <w:ind w:firstLine="642"/>
        <w:rPr>
          <w:rFonts w:hint="eastAsia" w:ascii="宋体" w:hAnsi="宋体" w:eastAsia="宋体" w:cs="宋体"/>
          <w:b/>
          <w:bCs/>
          <w:color w:val="auto"/>
          <w:spacing w:val="20"/>
          <w:kern w:val="3"/>
          <w:sz w:val="24"/>
          <w:szCs w:val="24"/>
          <w:highlight w:val="none"/>
        </w:rPr>
      </w:pPr>
      <w:r>
        <w:rPr>
          <w:rFonts w:hint="eastAsia" w:ascii="宋体" w:hAnsi="宋体" w:eastAsia="宋体" w:cs="宋体"/>
          <w:b/>
          <w:bCs/>
          <w:color w:val="auto"/>
          <w:spacing w:val="20"/>
          <w:kern w:val="3"/>
          <w:sz w:val="24"/>
          <w:szCs w:val="24"/>
          <w:highlight w:val="none"/>
        </w:rPr>
        <w:t>(1)参与确定采购需求的专家、第三方机构:</w:t>
      </w:r>
    </w:p>
    <w:p w14:paraId="5CFA11C6">
      <w:pPr>
        <w:pStyle w:val="12"/>
        <w:pageBreakBefore w:val="0"/>
        <w:shd w:val="clear"/>
        <w:overflowPunct/>
        <w:topLinePunct w:val="0"/>
        <w:bidi w:val="0"/>
        <w:spacing w:beforeAutospacing="0" w:afterAutospacing="0" w:line="540" w:lineRule="exact"/>
        <w:ind w:firstLine="642"/>
        <w:rPr>
          <w:rFonts w:hint="eastAsia" w:ascii="宋体" w:hAnsi="宋体" w:eastAsia="宋体" w:cs="宋体"/>
          <w:b/>
          <w:bCs/>
          <w:color w:val="auto"/>
          <w:spacing w:val="20"/>
          <w:kern w:val="3"/>
          <w:sz w:val="24"/>
          <w:szCs w:val="24"/>
          <w:highlight w:val="none"/>
          <w:u w:val="single"/>
        </w:rPr>
      </w:pPr>
      <w:r>
        <w:rPr>
          <w:rFonts w:hint="eastAsia" w:ascii="宋体" w:hAnsi="宋体" w:eastAsia="宋体" w:cs="宋体"/>
          <w:b/>
          <w:bCs/>
          <w:color w:val="auto"/>
          <w:spacing w:val="20"/>
          <w:kern w:val="3"/>
          <w:sz w:val="24"/>
          <w:szCs w:val="24"/>
          <w:highlight w:val="none"/>
          <w:u w:val="single"/>
        </w:rPr>
        <w:t xml:space="preserve">                   </w:t>
      </w:r>
      <w:r>
        <w:rPr>
          <w:rFonts w:hint="eastAsia" w:ascii="宋体" w:hAnsi="宋体" w:eastAsia="宋体" w:cs="宋体"/>
          <w:b/>
          <w:bCs/>
          <w:color w:val="auto"/>
          <w:spacing w:val="20"/>
          <w:kern w:val="3"/>
          <w:sz w:val="24"/>
          <w:szCs w:val="24"/>
          <w:highlight w:val="none"/>
          <w:u w:val="single"/>
          <w:lang w:val="en-US" w:eastAsia="zh-CN"/>
        </w:rPr>
        <w:t>无</w:t>
      </w:r>
      <w:r>
        <w:rPr>
          <w:rFonts w:hint="eastAsia" w:ascii="宋体" w:hAnsi="宋体" w:eastAsia="宋体" w:cs="宋体"/>
          <w:b/>
          <w:bCs/>
          <w:color w:val="auto"/>
          <w:spacing w:val="20"/>
          <w:kern w:val="3"/>
          <w:sz w:val="24"/>
          <w:szCs w:val="24"/>
          <w:highlight w:val="none"/>
          <w:u w:val="single"/>
        </w:rPr>
        <w:t xml:space="preserve">                                   </w:t>
      </w:r>
    </w:p>
    <w:p w14:paraId="24F252A4">
      <w:pPr>
        <w:pStyle w:val="12"/>
        <w:pageBreakBefore w:val="0"/>
        <w:shd w:val="clear"/>
        <w:overflowPunct/>
        <w:topLinePunct w:val="0"/>
        <w:bidi w:val="0"/>
        <w:spacing w:beforeAutospacing="0" w:afterAutospacing="0" w:line="540" w:lineRule="exact"/>
        <w:ind w:firstLine="642"/>
        <w:rPr>
          <w:rFonts w:hint="eastAsia" w:ascii="宋体" w:hAnsi="宋体" w:eastAsia="宋体" w:cs="宋体"/>
          <w:b/>
          <w:bCs/>
          <w:color w:val="auto"/>
          <w:spacing w:val="20"/>
          <w:kern w:val="3"/>
          <w:sz w:val="24"/>
          <w:szCs w:val="24"/>
          <w:highlight w:val="none"/>
          <w:u w:val="single"/>
        </w:rPr>
      </w:pPr>
      <w:r>
        <w:rPr>
          <w:rFonts w:hint="eastAsia" w:ascii="宋体" w:hAnsi="宋体" w:eastAsia="宋体" w:cs="宋体"/>
          <w:b/>
          <w:bCs/>
          <w:color w:val="auto"/>
          <w:spacing w:val="20"/>
          <w:kern w:val="3"/>
          <w:sz w:val="24"/>
          <w:szCs w:val="24"/>
          <w:highlight w:val="none"/>
        </w:rPr>
        <w:t>(2)采购需求版次:</w:t>
      </w:r>
      <w:r>
        <w:rPr>
          <w:rFonts w:hint="eastAsia" w:ascii="宋体" w:hAnsi="宋体" w:eastAsia="宋体" w:cs="宋体"/>
          <w:b/>
          <w:bCs/>
          <w:color w:val="auto"/>
          <w:spacing w:val="20"/>
          <w:kern w:val="3"/>
          <w:sz w:val="24"/>
          <w:szCs w:val="24"/>
          <w:highlight w:val="none"/>
          <w:u w:val="single"/>
        </w:rPr>
        <w:t>20</w:t>
      </w:r>
      <w:r>
        <w:rPr>
          <w:rFonts w:hint="eastAsia" w:ascii="宋体" w:hAnsi="宋体" w:eastAsia="宋体" w:cs="宋体"/>
          <w:b/>
          <w:bCs/>
          <w:color w:val="auto"/>
          <w:spacing w:val="20"/>
          <w:kern w:val="3"/>
          <w:sz w:val="24"/>
          <w:szCs w:val="24"/>
          <w:highlight w:val="none"/>
          <w:u w:val="single"/>
          <w:lang w:val="en-US" w:eastAsia="zh-CN"/>
        </w:rPr>
        <w:t>2</w:t>
      </w:r>
      <w:r>
        <w:rPr>
          <w:rFonts w:hint="eastAsia" w:hAnsi="宋体" w:eastAsia="宋体" w:cs="宋体"/>
          <w:b/>
          <w:bCs/>
          <w:color w:val="auto"/>
          <w:spacing w:val="20"/>
          <w:kern w:val="3"/>
          <w:sz w:val="24"/>
          <w:szCs w:val="24"/>
          <w:highlight w:val="none"/>
          <w:u w:val="single"/>
          <w:lang w:val="en-US" w:eastAsia="zh-CN"/>
        </w:rPr>
        <w:t>6</w:t>
      </w:r>
      <w:r>
        <w:rPr>
          <w:rFonts w:hint="eastAsia" w:ascii="宋体" w:hAnsi="宋体" w:eastAsia="宋体" w:cs="宋体"/>
          <w:b/>
          <w:bCs/>
          <w:color w:val="auto"/>
          <w:spacing w:val="20"/>
          <w:kern w:val="3"/>
          <w:sz w:val="24"/>
          <w:szCs w:val="24"/>
          <w:highlight w:val="none"/>
          <w:u w:val="single"/>
        </w:rPr>
        <w:t>年</w:t>
      </w:r>
      <w:r>
        <w:rPr>
          <w:rFonts w:hint="eastAsia" w:ascii="宋体" w:hAnsi="宋体" w:eastAsia="宋体" w:cs="宋体"/>
          <w:b/>
          <w:bCs/>
          <w:color w:val="auto"/>
          <w:spacing w:val="20"/>
          <w:kern w:val="3"/>
          <w:sz w:val="24"/>
          <w:szCs w:val="24"/>
          <w:highlight w:val="none"/>
          <w:u w:val="single"/>
          <w:lang w:val="en-US" w:eastAsia="zh-CN"/>
        </w:rPr>
        <w:t xml:space="preserve">  </w:t>
      </w:r>
      <w:r>
        <w:rPr>
          <w:rFonts w:hint="eastAsia" w:ascii="宋体" w:hAnsi="宋体" w:eastAsia="宋体" w:cs="宋体"/>
          <w:b/>
          <w:bCs/>
          <w:color w:val="auto"/>
          <w:spacing w:val="20"/>
          <w:kern w:val="3"/>
          <w:sz w:val="24"/>
          <w:szCs w:val="24"/>
          <w:highlight w:val="none"/>
          <w:u w:val="single"/>
        </w:rPr>
        <w:t>月     (第</w:t>
      </w:r>
      <w:r>
        <w:rPr>
          <w:rFonts w:hint="eastAsia" w:ascii="宋体" w:hAnsi="宋体" w:eastAsia="宋体" w:cs="宋体"/>
          <w:b/>
          <w:bCs/>
          <w:color w:val="auto"/>
          <w:spacing w:val="20"/>
          <w:kern w:val="3"/>
          <w:sz w:val="24"/>
          <w:szCs w:val="24"/>
          <w:highlight w:val="none"/>
          <w:u w:val="single"/>
          <w:lang w:val="en-US" w:eastAsia="zh-CN"/>
        </w:rPr>
        <w:t>202</w:t>
      </w:r>
      <w:r>
        <w:rPr>
          <w:rFonts w:hint="eastAsia" w:hAnsi="宋体" w:eastAsia="宋体" w:cs="宋体"/>
          <w:b/>
          <w:bCs/>
          <w:color w:val="auto"/>
          <w:spacing w:val="20"/>
          <w:kern w:val="3"/>
          <w:sz w:val="24"/>
          <w:szCs w:val="24"/>
          <w:highlight w:val="none"/>
          <w:u w:val="single"/>
          <w:lang w:val="en-US" w:eastAsia="zh-CN"/>
        </w:rPr>
        <w:t>6</w:t>
      </w:r>
      <w:r>
        <w:rPr>
          <w:rFonts w:hint="eastAsia" w:ascii="宋体" w:hAnsi="宋体" w:eastAsia="宋体" w:cs="宋体"/>
          <w:b/>
          <w:bCs/>
          <w:color w:val="auto"/>
          <w:spacing w:val="20"/>
          <w:kern w:val="3"/>
          <w:sz w:val="24"/>
          <w:szCs w:val="24"/>
          <w:highlight w:val="none"/>
          <w:u w:val="single"/>
        </w:rPr>
        <w:t xml:space="preserve">年 </w:t>
      </w:r>
      <w:r>
        <w:rPr>
          <w:rFonts w:hint="eastAsia" w:ascii="宋体" w:hAnsi="宋体" w:eastAsia="宋体" w:cs="宋体"/>
          <w:b/>
          <w:bCs/>
          <w:color w:val="auto"/>
          <w:spacing w:val="20"/>
          <w:kern w:val="3"/>
          <w:sz w:val="24"/>
          <w:szCs w:val="24"/>
          <w:highlight w:val="none"/>
          <w:u w:val="single"/>
          <w:lang w:val="en-US" w:eastAsia="zh-CN"/>
        </w:rPr>
        <w:t>1</w:t>
      </w:r>
      <w:r>
        <w:rPr>
          <w:rFonts w:hint="eastAsia" w:ascii="宋体" w:hAnsi="宋体" w:eastAsia="宋体" w:cs="宋体"/>
          <w:b/>
          <w:bCs/>
          <w:color w:val="auto"/>
          <w:spacing w:val="20"/>
          <w:kern w:val="3"/>
          <w:sz w:val="24"/>
          <w:szCs w:val="24"/>
          <w:highlight w:val="none"/>
          <w:u w:val="single"/>
        </w:rPr>
        <w:t xml:space="preserve"> 版)            </w:t>
      </w:r>
    </w:p>
    <w:p w14:paraId="4FED1615">
      <w:pPr>
        <w:pStyle w:val="12"/>
        <w:pageBreakBefore w:val="0"/>
        <w:shd w:val="clear"/>
        <w:overflowPunct/>
        <w:topLinePunct w:val="0"/>
        <w:bidi w:val="0"/>
        <w:spacing w:beforeAutospacing="0" w:afterAutospacing="0" w:line="540" w:lineRule="exact"/>
        <w:ind w:firstLine="642"/>
        <w:rPr>
          <w:rFonts w:hint="eastAsia" w:ascii="宋体" w:hAnsi="宋体" w:eastAsia="宋体" w:cs="宋体"/>
          <w:b/>
          <w:bCs/>
          <w:color w:val="auto"/>
          <w:spacing w:val="20"/>
          <w:kern w:val="3"/>
          <w:sz w:val="24"/>
          <w:szCs w:val="24"/>
          <w:highlight w:val="none"/>
        </w:rPr>
      </w:pPr>
      <w:r>
        <w:rPr>
          <w:rFonts w:hint="eastAsia" w:ascii="宋体" w:hAnsi="宋体" w:eastAsia="宋体" w:cs="宋体"/>
          <w:b/>
          <w:bCs/>
          <w:color w:val="auto"/>
          <w:spacing w:val="20"/>
          <w:kern w:val="3"/>
          <w:sz w:val="24"/>
          <w:szCs w:val="24"/>
          <w:highlight w:val="none"/>
        </w:rPr>
        <w:t>2. 采购实施计划</w:t>
      </w:r>
    </w:p>
    <w:p w14:paraId="16E3992F">
      <w:pPr>
        <w:pStyle w:val="12"/>
        <w:pageBreakBefore w:val="0"/>
        <w:shd w:val="clear"/>
        <w:overflowPunct/>
        <w:topLinePunct w:val="0"/>
        <w:bidi w:val="0"/>
        <w:spacing w:beforeAutospacing="0" w:afterAutospacing="0" w:line="540" w:lineRule="exact"/>
        <w:ind w:firstLine="642"/>
        <w:rPr>
          <w:rFonts w:hint="eastAsia" w:ascii="宋体" w:hAnsi="宋体" w:eastAsia="宋体" w:cs="宋体"/>
          <w:b/>
          <w:bCs/>
          <w:color w:val="auto"/>
          <w:spacing w:val="20"/>
          <w:kern w:val="3"/>
          <w:sz w:val="24"/>
          <w:szCs w:val="24"/>
          <w:highlight w:val="none"/>
        </w:rPr>
      </w:pPr>
      <w:r>
        <w:rPr>
          <w:rFonts w:hint="eastAsia" w:ascii="宋体" w:hAnsi="宋体" w:eastAsia="宋体" w:cs="宋体"/>
          <w:b/>
          <w:bCs/>
          <w:color w:val="auto"/>
          <w:spacing w:val="20"/>
          <w:kern w:val="3"/>
          <w:sz w:val="24"/>
          <w:szCs w:val="24"/>
          <w:highlight w:val="none"/>
        </w:rPr>
        <w:t>(1)参与确定采购实施计划的专家、第三方机构:</w:t>
      </w:r>
    </w:p>
    <w:p w14:paraId="47B320CC">
      <w:pPr>
        <w:pStyle w:val="12"/>
        <w:pageBreakBefore w:val="0"/>
        <w:shd w:val="clear"/>
        <w:overflowPunct/>
        <w:topLinePunct w:val="0"/>
        <w:bidi w:val="0"/>
        <w:spacing w:beforeAutospacing="0" w:afterAutospacing="0" w:line="540" w:lineRule="exact"/>
        <w:ind w:firstLine="642"/>
        <w:rPr>
          <w:rFonts w:hint="eastAsia" w:ascii="宋体" w:hAnsi="宋体" w:eastAsia="宋体" w:cs="宋体"/>
          <w:b/>
          <w:bCs/>
          <w:color w:val="auto"/>
          <w:spacing w:val="20"/>
          <w:kern w:val="3"/>
          <w:sz w:val="24"/>
          <w:szCs w:val="24"/>
          <w:highlight w:val="none"/>
          <w:u w:val="single"/>
        </w:rPr>
      </w:pPr>
      <w:r>
        <w:rPr>
          <w:rFonts w:hint="eastAsia" w:ascii="宋体" w:hAnsi="宋体" w:eastAsia="宋体" w:cs="宋体"/>
          <w:b/>
          <w:bCs/>
          <w:color w:val="auto"/>
          <w:spacing w:val="20"/>
          <w:kern w:val="3"/>
          <w:sz w:val="24"/>
          <w:szCs w:val="24"/>
          <w:highlight w:val="none"/>
          <w:u w:val="single"/>
        </w:rPr>
        <w:t xml:space="preserve">                  </w:t>
      </w:r>
      <w:r>
        <w:rPr>
          <w:rFonts w:hint="eastAsia" w:ascii="宋体" w:hAnsi="宋体" w:eastAsia="宋体" w:cs="宋体"/>
          <w:b/>
          <w:bCs/>
          <w:color w:val="auto"/>
          <w:spacing w:val="20"/>
          <w:kern w:val="3"/>
          <w:sz w:val="24"/>
          <w:szCs w:val="24"/>
          <w:highlight w:val="none"/>
          <w:u w:val="single"/>
          <w:lang w:val="en-US" w:eastAsia="zh-CN"/>
        </w:rPr>
        <w:t>无</w:t>
      </w:r>
      <w:r>
        <w:rPr>
          <w:rFonts w:hint="eastAsia" w:ascii="宋体" w:hAnsi="宋体" w:eastAsia="宋体" w:cs="宋体"/>
          <w:b/>
          <w:bCs/>
          <w:color w:val="auto"/>
          <w:spacing w:val="20"/>
          <w:kern w:val="3"/>
          <w:sz w:val="24"/>
          <w:szCs w:val="24"/>
          <w:highlight w:val="none"/>
          <w:u w:val="single"/>
        </w:rPr>
        <w:t xml:space="preserve">                                      </w:t>
      </w:r>
    </w:p>
    <w:p w14:paraId="1E05F38F">
      <w:pPr>
        <w:pStyle w:val="12"/>
        <w:pageBreakBefore w:val="0"/>
        <w:shd w:val="clear"/>
        <w:overflowPunct/>
        <w:topLinePunct w:val="0"/>
        <w:bidi w:val="0"/>
        <w:spacing w:beforeAutospacing="0" w:afterAutospacing="0" w:line="540" w:lineRule="exact"/>
        <w:ind w:firstLine="642"/>
        <w:rPr>
          <w:rFonts w:hint="eastAsia" w:ascii="宋体" w:hAnsi="宋体" w:eastAsia="宋体" w:cs="宋体"/>
          <w:b/>
          <w:bCs/>
          <w:color w:val="auto"/>
          <w:sz w:val="24"/>
          <w:szCs w:val="24"/>
          <w:highlight w:val="none"/>
        </w:rPr>
      </w:pPr>
      <w:r>
        <w:rPr>
          <w:rFonts w:hint="eastAsia" w:ascii="宋体" w:hAnsi="宋体" w:eastAsia="宋体" w:cs="宋体"/>
          <w:b/>
          <w:bCs/>
          <w:color w:val="auto"/>
          <w:spacing w:val="20"/>
          <w:kern w:val="3"/>
          <w:sz w:val="24"/>
          <w:szCs w:val="24"/>
          <w:highlight w:val="none"/>
        </w:rPr>
        <w:t>(2)采购实施计划版次:</w:t>
      </w:r>
      <w:r>
        <w:rPr>
          <w:rFonts w:hint="eastAsia" w:ascii="宋体" w:hAnsi="宋体" w:eastAsia="宋体" w:cs="宋体"/>
          <w:b/>
          <w:bCs/>
          <w:color w:val="auto"/>
          <w:spacing w:val="20"/>
          <w:kern w:val="3"/>
          <w:sz w:val="24"/>
          <w:szCs w:val="24"/>
          <w:highlight w:val="none"/>
          <w:u w:val="single"/>
        </w:rPr>
        <w:t>20</w:t>
      </w:r>
      <w:r>
        <w:rPr>
          <w:rFonts w:hint="eastAsia" w:ascii="宋体" w:hAnsi="宋体" w:eastAsia="宋体" w:cs="宋体"/>
          <w:b/>
          <w:bCs/>
          <w:color w:val="auto"/>
          <w:spacing w:val="20"/>
          <w:kern w:val="3"/>
          <w:sz w:val="24"/>
          <w:szCs w:val="24"/>
          <w:highlight w:val="none"/>
          <w:u w:val="single"/>
          <w:lang w:val="en-US" w:eastAsia="zh-CN"/>
        </w:rPr>
        <w:t>2</w:t>
      </w:r>
      <w:r>
        <w:rPr>
          <w:rFonts w:hint="eastAsia" w:hAnsi="宋体" w:eastAsia="宋体" w:cs="宋体"/>
          <w:b/>
          <w:bCs/>
          <w:color w:val="auto"/>
          <w:spacing w:val="20"/>
          <w:kern w:val="3"/>
          <w:sz w:val="24"/>
          <w:szCs w:val="24"/>
          <w:highlight w:val="none"/>
          <w:u w:val="single"/>
          <w:lang w:val="en-US" w:eastAsia="zh-CN"/>
        </w:rPr>
        <w:t>6</w:t>
      </w:r>
      <w:r>
        <w:rPr>
          <w:rFonts w:hint="eastAsia" w:ascii="宋体" w:hAnsi="宋体" w:eastAsia="宋体" w:cs="宋体"/>
          <w:b/>
          <w:bCs/>
          <w:color w:val="auto"/>
          <w:spacing w:val="20"/>
          <w:kern w:val="3"/>
          <w:sz w:val="24"/>
          <w:szCs w:val="24"/>
          <w:highlight w:val="none"/>
          <w:u w:val="single"/>
        </w:rPr>
        <w:t xml:space="preserve">  年</w:t>
      </w:r>
      <w:r>
        <w:rPr>
          <w:rFonts w:hint="eastAsia" w:ascii="宋体" w:hAnsi="宋体" w:eastAsia="宋体" w:cs="宋体"/>
          <w:b/>
          <w:bCs/>
          <w:color w:val="auto"/>
          <w:spacing w:val="20"/>
          <w:kern w:val="3"/>
          <w:sz w:val="24"/>
          <w:szCs w:val="24"/>
          <w:highlight w:val="none"/>
          <w:u w:val="single"/>
          <w:lang w:val="en-US" w:eastAsia="zh-CN"/>
        </w:rPr>
        <w:t xml:space="preserve">   </w:t>
      </w:r>
      <w:r>
        <w:rPr>
          <w:rFonts w:hint="eastAsia" w:ascii="宋体" w:hAnsi="宋体" w:eastAsia="宋体" w:cs="宋体"/>
          <w:b/>
          <w:bCs/>
          <w:color w:val="auto"/>
          <w:spacing w:val="20"/>
          <w:kern w:val="3"/>
          <w:sz w:val="24"/>
          <w:szCs w:val="24"/>
          <w:highlight w:val="none"/>
          <w:u w:val="single"/>
        </w:rPr>
        <w:t xml:space="preserve">月(第  </w:t>
      </w:r>
      <w:r>
        <w:rPr>
          <w:rFonts w:hint="eastAsia" w:ascii="宋体" w:hAnsi="宋体" w:eastAsia="宋体" w:cs="宋体"/>
          <w:b/>
          <w:bCs/>
          <w:color w:val="auto"/>
          <w:spacing w:val="20"/>
          <w:kern w:val="3"/>
          <w:sz w:val="24"/>
          <w:szCs w:val="24"/>
          <w:highlight w:val="none"/>
          <w:u w:val="single"/>
          <w:lang w:val="en-US" w:eastAsia="zh-CN"/>
        </w:rPr>
        <w:t>1</w:t>
      </w:r>
      <w:r>
        <w:rPr>
          <w:rFonts w:hint="eastAsia" w:ascii="宋体" w:hAnsi="宋体" w:eastAsia="宋体" w:cs="宋体"/>
          <w:b/>
          <w:bCs/>
          <w:color w:val="auto"/>
          <w:spacing w:val="20"/>
          <w:kern w:val="3"/>
          <w:sz w:val="24"/>
          <w:szCs w:val="24"/>
          <w:highlight w:val="none"/>
          <w:u w:val="single"/>
        </w:rPr>
        <w:t xml:space="preserve"> </w:t>
      </w:r>
      <w:r>
        <w:rPr>
          <w:rFonts w:hint="eastAsia" w:ascii="宋体" w:hAnsi="宋体" w:eastAsia="宋体" w:cs="宋体"/>
          <w:b/>
          <w:bCs/>
          <w:color w:val="auto"/>
          <w:spacing w:val="20"/>
          <w:kern w:val="3"/>
          <w:sz w:val="24"/>
          <w:szCs w:val="24"/>
          <w:highlight w:val="none"/>
          <w:u w:val="single"/>
          <w:lang w:val="en-US" w:eastAsia="zh-CN"/>
        </w:rPr>
        <w:t xml:space="preserve"> </w:t>
      </w:r>
      <w:r>
        <w:rPr>
          <w:rFonts w:hint="eastAsia" w:ascii="宋体" w:hAnsi="宋体" w:eastAsia="宋体" w:cs="宋体"/>
          <w:b/>
          <w:bCs/>
          <w:color w:val="auto"/>
          <w:spacing w:val="20"/>
          <w:kern w:val="3"/>
          <w:sz w:val="24"/>
          <w:szCs w:val="24"/>
          <w:highlight w:val="none"/>
          <w:u w:val="single"/>
        </w:rPr>
        <w:t>版)</w:t>
      </w:r>
      <w:r>
        <w:rPr>
          <w:rFonts w:hint="eastAsia" w:ascii="宋体" w:hAnsi="宋体" w:eastAsia="宋体" w:cs="宋体"/>
          <w:b/>
          <w:bCs/>
          <w:color w:val="auto"/>
          <w:spacing w:val="20"/>
          <w:kern w:val="3"/>
          <w:sz w:val="24"/>
          <w:szCs w:val="24"/>
          <w:highlight w:val="none"/>
        </w:rPr>
        <w:t xml:space="preserve">    </w:t>
      </w:r>
      <w:r>
        <w:rPr>
          <w:rFonts w:hint="eastAsia" w:ascii="宋体" w:hAnsi="宋体" w:eastAsia="宋体" w:cs="宋体"/>
          <w:b/>
          <w:bCs/>
          <w:color w:val="auto"/>
          <w:sz w:val="24"/>
          <w:szCs w:val="24"/>
          <w:highlight w:val="none"/>
        </w:rPr>
        <w:t xml:space="preserve">    </w:t>
      </w:r>
    </w:p>
    <w:p w14:paraId="51CA0DD3">
      <w:pPr>
        <w:pStyle w:val="12"/>
        <w:pageBreakBefore w:val="0"/>
        <w:shd w:val="clear"/>
        <w:overflowPunct/>
        <w:topLinePunct w:val="0"/>
        <w:bidi w:val="0"/>
        <w:spacing w:beforeAutospacing="0" w:afterAutospacing="0" w:line="540" w:lineRule="exact"/>
        <w:ind w:firstLine="562"/>
        <w:rPr>
          <w:rFonts w:hint="eastAsia" w:ascii="宋体" w:hAnsi="宋体" w:eastAsia="宋体" w:cs="宋体"/>
          <w:b/>
          <w:bCs/>
          <w:color w:val="auto"/>
          <w:sz w:val="24"/>
          <w:szCs w:val="24"/>
          <w:highlight w:val="none"/>
        </w:rPr>
      </w:pPr>
      <w:bookmarkStart w:id="14" w:name="_Toc23408"/>
      <w:r>
        <w:rPr>
          <w:rFonts w:hint="eastAsia" w:ascii="宋体" w:hAnsi="宋体" w:eastAsia="宋体" w:cs="宋体"/>
          <w:b/>
          <w:bCs/>
          <w:color w:val="auto"/>
          <w:sz w:val="24"/>
          <w:szCs w:val="24"/>
          <w:highlight w:val="none"/>
        </w:rPr>
        <w:t>二、审查人员</w:t>
      </w:r>
      <w:bookmarkEnd w:id="14"/>
    </w:p>
    <w:tbl>
      <w:tblPr>
        <w:tblStyle w:val="15"/>
        <w:tblW w:w="9367" w:type="dxa"/>
        <w:jc w:val="center"/>
        <w:tblLayout w:type="fixed"/>
        <w:tblCellMar>
          <w:top w:w="15" w:type="dxa"/>
          <w:left w:w="15" w:type="dxa"/>
          <w:bottom w:w="15" w:type="dxa"/>
          <w:right w:w="15" w:type="dxa"/>
        </w:tblCellMar>
      </w:tblPr>
      <w:tblGrid>
        <w:gridCol w:w="712"/>
        <w:gridCol w:w="870"/>
        <w:gridCol w:w="1941"/>
        <w:gridCol w:w="1517"/>
        <w:gridCol w:w="1532"/>
        <w:gridCol w:w="1755"/>
        <w:gridCol w:w="1040"/>
      </w:tblGrid>
      <w:tr w14:paraId="13631B63">
        <w:tblPrEx>
          <w:tblCellMar>
            <w:top w:w="15" w:type="dxa"/>
            <w:left w:w="15" w:type="dxa"/>
            <w:bottom w:w="15" w:type="dxa"/>
            <w:right w:w="15" w:type="dxa"/>
          </w:tblCellMar>
        </w:tblPrEx>
        <w:trPr>
          <w:trHeight w:val="674" w:hRule="atLeast"/>
          <w:jc w:val="center"/>
        </w:trPr>
        <w:tc>
          <w:tcPr>
            <w:tcW w:w="712"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1B2BDBE3">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87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063338BE">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姓名</w:t>
            </w:r>
          </w:p>
        </w:tc>
        <w:tc>
          <w:tcPr>
            <w:tcW w:w="1941"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4B40DE25">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单位</w:t>
            </w:r>
          </w:p>
        </w:tc>
        <w:tc>
          <w:tcPr>
            <w:tcW w:w="1517"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698ABF7C">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内部机构</w:t>
            </w:r>
          </w:p>
        </w:tc>
        <w:tc>
          <w:tcPr>
            <w:tcW w:w="1532"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49BF79BB">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职务/职称</w:t>
            </w:r>
          </w:p>
        </w:tc>
        <w:tc>
          <w:tcPr>
            <w:tcW w:w="1755"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0B52C08A">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联系方式</w:t>
            </w:r>
          </w:p>
        </w:tc>
        <w:tc>
          <w:tcPr>
            <w:tcW w:w="104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01213EE2">
            <w:pPr>
              <w:pStyle w:val="12"/>
              <w:pageBreakBefore w:val="0"/>
              <w:shd w:val="clear"/>
              <w:overflowPunct/>
              <w:topLinePunct w:val="0"/>
              <w:bidi w:val="0"/>
              <w:spacing w:beforeAutospacing="0" w:afterAutospacing="0" w:line="540" w:lineRule="exact"/>
              <w:ind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2AC07EC7">
        <w:tblPrEx>
          <w:tblCellMar>
            <w:top w:w="15" w:type="dxa"/>
            <w:left w:w="15" w:type="dxa"/>
            <w:bottom w:w="15" w:type="dxa"/>
            <w:right w:w="15" w:type="dxa"/>
          </w:tblCellMar>
        </w:tblPrEx>
        <w:trPr>
          <w:trHeight w:val="643" w:hRule="atLeast"/>
          <w:jc w:val="center"/>
        </w:trPr>
        <w:tc>
          <w:tcPr>
            <w:tcW w:w="712"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1631D75E">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87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6B76195F">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941"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22A1398E">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517"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6113E3C8">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532"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76B86A25">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755"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128DBC13">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04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009A3683">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r>
      <w:tr w14:paraId="629DBDB7">
        <w:tblPrEx>
          <w:tblCellMar>
            <w:top w:w="15" w:type="dxa"/>
            <w:left w:w="15" w:type="dxa"/>
            <w:bottom w:w="15" w:type="dxa"/>
            <w:right w:w="15" w:type="dxa"/>
          </w:tblCellMar>
        </w:tblPrEx>
        <w:trPr>
          <w:trHeight w:val="643" w:hRule="atLeast"/>
          <w:jc w:val="center"/>
        </w:trPr>
        <w:tc>
          <w:tcPr>
            <w:tcW w:w="712"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20041F2A">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87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61A35A7E">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941"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179A186C">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517"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67EC2A2E">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532"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5FC9DA06">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755"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172123E5">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04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45F402E2">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r>
      <w:tr w14:paraId="1AA4EBF6">
        <w:tblPrEx>
          <w:tblCellMar>
            <w:top w:w="15" w:type="dxa"/>
            <w:left w:w="15" w:type="dxa"/>
            <w:bottom w:w="15" w:type="dxa"/>
            <w:right w:w="15" w:type="dxa"/>
          </w:tblCellMar>
        </w:tblPrEx>
        <w:trPr>
          <w:trHeight w:val="643" w:hRule="atLeast"/>
          <w:jc w:val="center"/>
        </w:trPr>
        <w:tc>
          <w:tcPr>
            <w:tcW w:w="712"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2D97AE2B">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87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4006EB27">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941"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26A77FEF">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517"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658D0805">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532"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68419A92">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755"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53A78C95">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04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1A70F95D">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r>
      <w:tr w14:paraId="7D32A137">
        <w:tblPrEx>
          <w:tblCellMar>
            <w:top w:w="15" w:type="dxa"/>
            <w:left w:w="15" w:type="dxa"/>
            <w:bottom w:w="15" w:type="dxa"/>
            <w:right w:w="15" w:type="dxa"/>
          </w:tblCellMar>
        </w:tblPrEx>
        <w:trPr>
          <w:trHeight w:val="643" w:hRule="atLeast"/>
          <w:jc w:val="center"/>
        </w:trPr>
        <w:tc>
          <w:tcPr>
            <w:tcW w:w="712"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41A65BBD">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87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7CE5D9E9">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941"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56A8CF7E">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517"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1DAC5A24">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532"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00ED6370">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755"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5A361643">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c>
          <w:tcPr>
            <w:tcW w:w="104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3F1C8738">
            <w:pPr>
              <w:pageBreakBefore w:val="0"/>
              <w:shd w:val="clear"/>
              <w:overflowPunct/>
              <w:topLinePunct w:val="0"/>
              <w:bidi w:val="0"/>
              <w:spacing w:line="540" w:lineRule="exact"/>
              <w:ind w:firstLine="0" w:firstLineChars="0"/>
              <w:jc w:val="center"/>
              <w:rPr>
                <w:rFonts w:hint="eastAsia" w:ascii="宋体" w:hAnsi="宋体" w:eastAsia="宋体" w:cs="宋体"/>
                <w:b/>
                <w:bCs/>
                <w:color w:val="auto"/>
                <w:sz w:val="24"/>
                <w:szCs w:val="24"/>
                <w:highlight w:val="none"/>
              </w:rPr>
            </w:pPr>
          </w:p>
        </w:tc>
      </w:tr>
    </w:tbl>
    <w:p w14:paraId="58F0E7E9">
      <w:pPr>
        <w:pStyle w:val="12"/>
        <w:pageBreakBefore w:val="0"/>
        <w:shd w:val="clear"/>
        <w:overflowPunct/>
        <w:topLinePunct w:val="0"/>
        <w:bidi w:val="0"/>
        <w:spacing w:beforeAutospacing="0" w:afterAutospacing="0" w:line="540" w:lineRule="exact"/>
        <w:ind w:firstLine="562"/>
        <w:jc w:val="left"/>
        <w:rPr>
          <w:rFonts w:hint="eastAsia" w:ascii="宋体" w:hAnsi="宋体" w:eastAsia="宋体" w:cs="宋体"/>
          <w:b/>
          <w:bCs/>
          <w:iCs/>
          <w:color w:val="auto"/>
          <w:sz w:val="24"/>
          <w:szCs w:val="24"/>
          <w:highlight w:val="none"/>
          <w:u w:val="single"/>
        </w:rPr>
      </w:pPr>
      <w:r>
        <w:rPr>
          <w:rFonts w:hint="eastAsia" w:ascii="宋体" w:hAnsi="宋体" w:eastAsia="宋体" w:cs="宋体"/>
          <w:b/>
          <w:bCs/>
          <w:iCs/>
          <w:color w:val="auto"/>
          <w:sz w:val="24"/>
          <w:szCs w:val="24"/>
          <w:highlight w:val="none"/>
          <w:u w:val="single"/>
        </w:rPr>
        <w:t>审查工作机制成员应当包括本部门、本单位的采购、财务、业务、监督等内部机构。采购人可以根据本单位实际情况，建立相关专家和第三方机构参与审查的工作机制。</w:t>
      </w:r>
    </w:p>
    <w:p w14:paraId="60A9874A">
      <w:pPr>
        <w:pStyle w:val="12"/>
        <w:pageBreakBefore w:val="0"/>
        <w:shd w:val="clear"/>
        <w:overflowPunct/>
        <w:topLinePunct w:val="0"/>
        <w:bidi w:val="0"/>
        <w:spacing w:beforeAutospacing="0" w:afterAutospacing="0" w:line="540" w:lineRule="exact"/>
        <w:ind w:firstLine="562"/>
        <w:jc w:val="left"/>
        <w:rPr>
          <w:rFonts w:hint="eastAsia" w:ascii="宋体" w:hAnsi="宋体" w:eastAsia="宋体" w:cs="宋体"/>
          <w:b/>
          <w:bCs/>
          <w:iCs/>
          <w:color w:val="auto"/>
          <w:sz w:val="24"/>
          <w:szCs w:val="24"/>
          <w:highlight w:val="none"/>
          <w:u w:val="single"/>
        </w:rPr>
      </w:pPr>
      <w:r>
        <w:rPr>
          <w:rFonts w:hint="eastAsia" w:ascii="宋体" w:hAnsi="宋体" w:eastAsia="宋体" w:cs="宋体"/>
          <w:b/>
          <w:bCs/>
          <w:iCs/>
          <w:color w:val="auto"/>
          <w:sz w:val="24"/>
          <w:szCs w:val="24"/>
          <w:highlight w:val="none"/>
          <w:u w:val="single"/>
        </w:rPr>
        <w:t>参与确定采购需求和编制采购实施计划的专家和第三方机构不得参与审查。</w:t>
      </w:r>
    </w:p>
    <w:p w14:paraId="3191AA8C">
      <w:pPr>
        <w:pStyle w:val="12"/>
        <w:pageBreakBefore w:val="0"/>
        <w:shd w:val="clear"/>
        <w:overflowPunct/>
        <w:topLinePunct w:val="0"/>
        <w:bidi w:val="0"/>
        <w:spacing w:beforeAutospacing="0" w:afterAutospacing="0" w:line="540" w:lineRule="exact"/>
        <w:ind w:firstLine="562"/>
        <w:rPr>
          <w:rFonts w:hint="eastAsia" w:ascii="宋体" w:hAnsi="宋体" w:eastAsia="宋体" w:cs="宋体"/>
          <w:b/>
          <w:bCs/>
          <w:color w:val="auto"/>
          <w:sz w:val="24"/>
          <w:szCs w:val="24"/>
          <w:highlight w:val="none"/>
        </w:rPr>
      </w:pPr>
      <w:bookmarkStart w:id="15" w:name="_Toc1507"/>
      <w:r>
        <w:rPr>
          <w:rFonts w:hint="eastAsia" w:ascii="宋体" w:hAnsi="宋体" w:eastAsia="宋体" w:cs="宋体"/>
          <w:b/>
          <w:bCs/>
          <w:color w:val="auto"/>
          <w:sz w:val="24"/>
          <w:szCs w:val="24"/>
          <w:highlight w:val="none"/>
        </w:rPr>
        <w:t>三、审查会议</w:t>
      </w:r>
      <w:bookmarkEnd w:id="15"/>
    </w:p>
    <w:p w14:paraId="70B874D2">
      <w:pPr>
        <w:pStyle w:val="12"/>
        <w:pageBreakBefore w:val="0"/>
        <w:shd w:val="clear"/>
        <w:overflowPunct/>
        <w:topLinePunct w:val="0"/>
        <w:bidi w:val="0"/>
        <w:spacing w:beforeAutospacing="0" w:afterAutospacing="0" w:line="540" w:lineRule="exact"/>
        <w:ind w:firstLine="562"/>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rPr>
        <w:t xml:space="preserve">1. 审查时间: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202</w:t>
      </w:r>
      <w:r>
        <w:rPr>
          <w:rFonts w:hint="eastAsia" w:hAnsi="宋体" w:eastAsia="宋体" w:cs="宋体"/>
          <w:b/>
          <w:bCs/>
          <w:color w:val="auto"/>
          <w:sz w:val="24"/>
          <w:szCs w:val="24"/>
          <w:highlight w:val="none"/>
          <w:u w:val="single"/>
          <w:lang w:val="en-US" w:eastAsia="zh-CN"/>
        </w:rPr>
        <w:t>6</w:t>
      </w:r>
      <w:r>
        <w:rPr>
          <w:rFonts w:hint="eastAsia" w:ascii="宋体" w:hAnsi="宋体" w:eastAsia="宋体" w:cs="宋体"/>
          <w:b/>
          <w:bCs/>
          <w:color w:val="auto"/>
          <w:sz w:val="24"/>
          <w:szCs w:val="24"/>
          <w:highlight w:val="none"/>
          <w:u w:val="single"/>
          <w:lang w:val="en-US" w:eastAsia="zh-CN"/>
        </w:rPr>
        <w:t>年   月   日</w:t>
      </w:r>
      <w:r>
        <w:rPr>
          <w:rFonts w:hint="eastAsia" w:ascii="宋体" w:hAnsi="宋体" w:eastAsia="宋体" w:cs="宋体"/>
          <w:b/>
          <w:bCs/>
          <w:color w:val="auto"/>
          <w:sz w:val="24"/>
          <w:szCs w:val="24"/>
          <w:highlight w:val="none"/>
          <w:u w:val="single"/>
        </w:rPr>
        <w:t xml:space="preserve">  </w:t>
      </w:r>
    </w:p>
    <w:p w14:paraId="7BC9B113">
      <w:pPr>
        <w:pStyle w:val="12"/>
        <w:pageBreakBefore w:val="0"/>
        <w:shd w:val="clear"/>
        <w:overflowPunct/>
        <w:topLinePunct w:val="0"/>
        <w:bidi w:val="0"/>
        <w:spacing w:beforeAutospacing="0" w:afterAutospacing="0" w:line="540" w:lineRule="exact"/>
        <w:ind w:firstLine="562"/>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rPr>
        <w:t>2. 审查地点:</w:t>
      </w:r>
      <w:r>
        <w:rPr>
          <w:rFonts w:hint="eastAsia" w:ascii="宋体" w:hAnsi="宋体" w:eastAsia="宋体" w:cs="宋体"/>
          <w:b/>
          <w:bCs/>
          <w:color w:val="auto"/>
          <w:sz w:val="24"/>
          <w:szCs w:val="24"/>
          <w:highlight w:val="none"/>
          <w:u w:val="single"/>
        </w:rPr>
        <w:t xml:space="preserve">  </w:t>
      </w:r>
      <w:r>
        <w:rPr>
          <w:rFonts w:hint="eastAsia"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6CDD3A71">
      <w:pPr>
        <w:pStyle w:val="12"/>
        <w:pageBreakBefore w:val="0"/>
        <w:shd w:val="clear"/>
        <w:overflowPunct/>
        <w:topLinePunct w:val="0"/>
        <w:bidi w:val="0"/>
        <w:spacing w:beforeAutospacing="0" w:afterAutospacing="0" w:line="540" w:lineRule="exact"/>
        <w:ind w:firstLine="562"/>
        <w:jc w:val="both"/>
        <w:rPr>
          <w:rFonts w:hint="eastAsia" w:ascii="宋体" w:hAnsi="宋体" w:eastAsia="宋体" w:cs="宋体"/>
          <w:b/>
          <w:bCs/>
          <w:color w:val="auto"/>
          <w:sz w:val="24"/>
          <w:szCs w:val="24"/>
          <w:highlight w:val="none"/>
        </w:rPr>
      </w:pPr>
      <w:bookmarkStart w:id="16" w:name="_Toc8534"/>
      <w:r>
        <w:rPr>
          <w:rFonts w:hint="eastAsia" w:ascii="宋体" w:hAnsi="宋体" w:eastAsia="宋体" w:cs="宋体"/>
          <w:b/>
          <w:bCs/>
          <w:color w:val="auto"/>
          <w:sz w:val="24"/>
          <w:szCs w:val="24"/>
          <w:highlight w:val="none"/>
        </w:rPr>
        <w:t>四、审查意见</w:t>
      </w:r>
      <w:bookmarkEnd w:id="16"/>
    </w:p>
    <w:p w14:paraId="09E48CDE">
      <w:pPr>
        <w:pStyle w:val="12"/>
        <w:pageBreakBefore w:val="0"/>
        <w:shd w:val="clear"/>
        <w:overflowPunct/>
        <w:topLinePunct w:val="0"/>
        <w:bidi w:val="0"/>
        <w:spacing w:beforeAutospacing="0" w:afterAutospacing="0" w:line="540" w:lineRule="exact"/>
        <w:ind w:firstLine="562"/>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一般性审查主要审查是否按照《政府采购需求管理办法》规定的程序和内容确定采购需求、编制采购实施计划。</w:t>
      </w:r>
    </w:p>
    <w:tbl>
      <w:tblPr>
        <w:tblStyle w:val="15"/>
        <w:tblW w:w="9048" w:type="dxa"/>
        <w:jc w:val="center"/>
        <w:tblLayout w:type="fixed"/>
        <w:tblCellMar>
          <w:top w:w="15" w:type="dxa"/>
          <w:left w:w="15" w:type="dxa"/>
          <w:bottom w:w="15" w:type="dxa"/>
          <w:right w:w="15" w:type="dxa"/>
        </w:tblCellMar>
      </w:tblPr>
      <w:tblGrid>
        <w:gridCol w:w="5280"/>
        <w:gridCol w:w="3768"/>
      </w:tblGrid>
      <w:tr w14:paraId="56F514E0">
        <w:tblPrEx>
          <w:tblCellMar>
            <w:top w:w="15" w:type="dxa"/>
            <w:left w:w="15" w:type="dxa"/>
            <w:bottom w:w="15" w:type="dxa"/>
            <w:right w:w="15" w:type="dxa"/>
          </w:tblCellMar>
        </w:tblPrEx>
        <w:trPr>
          <w:trHeight w:val="15" w:hRule="atLeast"/>
          <w:jc w:val="center"/>
        </w:trPr>
        <w:tc>
          <w:tcPr>
            <w:tcW w:w="528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214E4FCF">
            <w:pPr>
              <w:pStyle w:val="12"/>
              <w:pageBreakBefore w:val="0"/>
              <w:shd w:val="clear"/>
              <w:overflowPunct/>
              <w:topLinePunct w:val="0"/>
              <w:bidi w:val="0"/>
              <w:spacing w:beforeAutospacing="0" w:afterAutospacing="0" w:line="540" w:lineRule="exact"/>
              <w:ind w:firstLine="123" w:firstLineChars="51"/>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审查内容</w:t>
            </w:r>
          </w:p>
        </w:tc>
        <w:tc>
          <w:tcPr>
            <w:tcW w:w="3768"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3171C172">
            <w:pPr>
              <w:pStyle w:val="12"/>
              <w:pageBreakBefore w:val="0"/>
              <w:shd w:val="clear"/>
              <w:overflowPunct/>
              <w:topLinePunct w:val="0"/>
              <w:bidi w:val="0"/>
              <w:spacing w:beforeAutospacing="0" w:afterAutospacing="0" w:line="540" w:lineRule="exact"/>
              <w:ind w:firstLine="123" w:firstLineChars="51"/>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审查结果</w:t>
            </w:r>
          </w:p>
        </w:tc>
      </w:tr>
      <w:tr w14:paraId="76FF96F8">
        <w:tblPrEx>
          <w:tblCellMar>
            <w:top w:w="15" w:type="dxa"/>
            <w:left w:w="15" w:type="dxa"/>
            <w:bottom w:w="15" w:type="dxa"/>
            <w:right w:w="15" w:type="dxa"/>
          </w:tblCellMar>
        </w:tblPrEx>
        <w:trPr>
          <w:trHeight w:val="612" w:hRule="atLeast"/>
          <w:jc w:val="center"/>
        </w:trPr>
        <w:tc>
          <w:tcPr>
            <w:tcW w:w="528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5E71CBFD">
            <w:pPr>
              <w:pStyle w:val="12"/>
              <w:pageBreakBefore w:val="0"/>
              <w:shd w:val="clear"/>
              <w:overflowPunct/>
              <w:topLinePunct w:val="0"/>
              <w:bidi w:val="0"/>
              <w:spacing w:beforeAutospacing="0" w:afterAutospacing="0" w:line="540" w:lineRule="exact"/>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如需开展需求调查的，是否按规定开展需求调查</w:t>
            </w:r>
          </w:p>
        </w:tc>
        <w:tc>
          <w:tcPr>
            <w:tcW w:w="3768"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2D0246C2">
            <w:pPr>
              <w:pStyle w:val="12"/>
              <w:pageBreakBefore w:val="0"/>
              <w:shd w:val="clear"/>
              <w:overflowPunct/>
              <w:topLinePunct w:val="0"/>
              <w:bidi w:val="0"/>
              <w:spacing w:beforeAutospacing="0" w:afterAutospacing="0" w:line="540" w:lineRule="exact"/>
              <w:ind w:firstLine="600" w:firstLineChars="25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lang w:val="en-US" w:eastAsia="zh-CN"/>
              </w:rPr>
              <w:t>不需要，</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lang w:val="en-US" w:eastAsia="zh-CN"/>
              </w:rPr>
              <w:t>需要，已开展</w:t>
            </w:r>
          </w:p>
        </w:tc>
      </w:tr>
      <w:tr w14:paraId="5A5AB909">
        <w:tblPrEx>
          <w:tblCellMar>
            <w:top w:w="15" w:type="dxa"/>
            <w:left w:w="15" w:type="dxa"/>
            <w:bottom w:w="15" w:type="dxa"/>
            <w:right w:w="15" w:type="dxa"/>
          </w:tblCellMar>
        </w:tblPrEx>
        <w:trPr>
          <w:trHeight w:val="135" w:hRule="atLeast"/>
          <w:jc w:val="center"/>
        </w:trPr>
        <w:tc>
          <w:tcPr>
            <w:tcW w:w="528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08F94CD0">
            <w:pPr>
              <w:pStyle w:val="12"/>
              <w:pageBreakBefore w:val="0"/>
              <w:shd w:val="clear"/>
              <w:overflowPunct/>
              <w:topLinePunct w:val="0"/>
              <w:bidi w:val="0"/>
              <w:spacing w:beforeAutospacing="0" w:afterAutospacing="0" w:line="540" w:lineRule="exact"/>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采购需求是否符合预算、资产、财务等管理制度规定</w:t>
            </w:r>
          </w:p>
        </w:tc>
        <w:tc>
          <w:tcPr>
            <w:tcW w:w="3768"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27F48625">
            <w:pPr>
              <w:pStyle w:val="12"/>
              <w:pageBreakBefore w:val="0"/>
              <w:shd w:val="clear"/>
              <w:overflowPunct/>
              <w:topLinePunct w:val="0"/>
              <w:bidi w:val="0"/>
              <w:spacing w:beforeAutospacing="0" w:afterAutospacing="0" w:line="540" w:lineRule="exact"/>
              <w:ind w:firstLine="840" w:firstLineChars="35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rPr>
              <w:t xml:space="preserve">是 </w:t>
            </w:r>
            <w:r>
              <w:rPr>
                <w:rFonts w:hint="eastAsia" w:ascii="宋体" w:hAnsi="宋体" w:eastAsia="宋体" w:cs="宋体"/>
                <w:color w:val="auto"/>
                <w:sz w:val="24"/>
                <w:szCs w:val="24"/>
                <w:highlight w:val="none"/>
              </w:rPr>
              <w:t xml:space="preserve">   □否 </w:t>
            </w:r>
          </w:p>
        </w:tc>
      </w:tr>
      <w:tr w14:paraId="3B3156C3">
        <w:tblPrEx>
          <w:tblCellMar>
            <w:top w:w="15" w:type="dxa"/>
            <w:left w:w="15" w:type="dxa"/>
            <w:bottom w:w="15" w:type="dxa"/>
            <w:right w:w="15" w:type="dxa"/>
          </w:tblCellMar>
        </w:tblPrEx>
        <w:trPr>
          <w:trHeight w:val="135" w:hRule="atLeast"/>
          <w:jc w:val="center"/>
        </w:trPr>
        <w:tc>
          <w:tcPr>
            <w:tcW w:w="528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74F904B5">
            <w:pPr>
              <w:pStyle w:val="12"/>
              <w:pageBreakBefore w:val="0"/>
              <w:shd w:val="clear"/>
              <w:overflowPunct/>
              <w:topLinePunct w:val="0"/>
              <w:bidi w:val="0"/>
              <w:spacing w:beforeAutospacing="0" w:afterAutospacing="0" w:line="540" w:lineRule="exact"/>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对采购方式、评审规则、合同类型、定价方式的选择是否说明适用理由</w:t>
            </w:r>
          </w:p>
        </w:tc>
        <w:tc>
          <w:tcPr>
            <w:tcW w:w="3768"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0DEF9801">
            <w:pPr>
              <w:pageBreakBefore w:val="0"/>
              <w:shd w:val="clear"/>
              <w:overflowPunct/>
              <w:topLinePunct w:val="0"/>
              <w:bidi w:val="0"/>
              <w:spacing w:beforeAutospacing="0" w:afterAutospacing="0" w:line="540" w:lineRule="exact"/>
              <w:ind w:firstLine="840" w:firstLineChars="35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rPr>
              <w:t xml:space="preserve">是 </w:t>
            </w:r>
            <w:r>
              <w:rPr>
                <w:rFonts w:hint="eastAsia" w:ascii="宋体" w:hAnsi="宋体" w:eastAsia="宋体" w:cs="宋体"/>
                <w:color w:val="auto"/>
                <w:sz w:val="24"/>
                <w:szCs w:val="24"/>
                <w:highlight w:val="none"/>
              </w:rPr>
              <w:t xml:space="preserve">   □否 </w:t>
            </w:r>
          </w:p>
        </w:tc>
      </w:tr>
      <w:tr w14:paraId="3EA16CCD">
        <w:tblPrEx>
          <w:tblCellMar>
            <w:top w:w="15" w:type="dxa"/>
            <w:left w:w="15" w:type="dxa"/>
            <w:bottom w:w="15" w:type="dxa"/>
            <w:right w:w="15" w:type="dxa"/>
          </w:tblCellMar>
        </w:tblPrEx>
        <w:trPr>
          <w:trHeight w:val="135" w:hRule="atLeast"/>
          <w:jc w:val="center"/>
        </w:trPr>
        <w:tc>
          <w:tcPr>
            <w:tcW w:w="528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2090CDC4">
            <w:pPr>
              <w:pStyle w:val="12"/>
              <w:pageBreakBefore w:val="0"/>
              <w:shd w:val="clear"/>
              <w:overflowPunct/>
              <w:topLinePunct w:val="0"/>
              <w:bidi w:val="0"/>
              <w:spacing w:beforeAutospacing="0" w:afterAutospacing="0" w:line="540" w:lineRule="exact"/>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属于按规定需要报相关监管部门批准、核准的事项，是否作出相关安排</w:t>
            </w:r>
          </w:p>
        </w:tc>
        <w:tc>
          <w:tcPr>
            <w:tcW w:w="3768"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412BC0B1">
            <w:pPr>
              <w:pageBreakBefore w:val="0"/>
              <w:shd w:val="clear"/>
              <w:overflowPunct/>
              <w:topLinePunct w:val="0"/>
              <w:bidi w:val="0"/>
              <w:spacing w:beforeAutospacing="0" w:afterAutospacing="0" w:line="540" w:lineRule="exact"/>
              <w:ind w:firstLine="840" w:firstLineChars="35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是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否 </w:t>
            </w:r>
          </w:p>
        </w:tc>
      </w:tr>
      <w:tr w14:paraId="03EA3B44">
        <w:tblPrEx>
          <w:tblCellMar>
            <w:top w:w="15" w:type="dxa"/>
            <w:left w:w="15" w:type="dxa"/>
            <w:bottom w:w="15" w:type="dxa"/>
            <w:right w:w="15" w:type="dxa"/>
          </w:tblCellMar>
        </w:tblPrEx>
        <w:trPr>
          <w:trHeight w:val="60" w:hRule="atLeast"/>
          <w:jc w:val="center"/>
        </w:trPr>
        <w:tc>
          <w:tcPr>
            <w:tcW w:w="528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5B8D0C56">
            <w:pPr>
              <w:pStyle w:val="12"/>
              <w:pageBreakBefore w:val="0"/>
              <w:shd w:val="clear"/>
              <w:overflowPunct/>
              <w:topLinePunct w:val="0"/>
              <w:bidi w:val="0"/>
              <w:spacing w:beforeAutospacing="0" w:afterAutospacing="0" w:line="540" w:lineRule="exact"/>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采购实施计划是否完整</w:t>
            </w:r>
          </w:p>
        </w:tc>
        <w:tc>
          <w:tcPr>
            <w:tcW w:w="3768"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5B78CF1D">
            <w:pPr>
              <w:pageBreakBefore w:val="0"/>
              <w:shd w:val="clear"/>
              <w:overflowPunct/>
              <w:topLinePunct w:val="0"/>
              <w:bidi w:val="0"/>
              <w:spacing w:beforeAutospacing="0" w:afterAutospacing="0" w:line="540" w:lineRule="exact"/>
              <w:ind w:firstLine="840" w:firstLineChars="35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rPr>
              <w:t xml:space="preserve">是 </w:t>
            </w:r>
            <w:r>
              <w:rPr>
                <w:rFonts w:hint="eastAsia" w:ascii="宋体" w:hAnsi="宋体" w:eastAsia="宋体" w:cs="宋体"/>
                <w:color w:val="auto"/>
                <w:sz w:val="24"/>
                <w:szCs w:val="24"/>
                <w:highlight w:val="none"/>
              </w:rPr>
              <w:t xml:space="preserve">   □否 </w:t>
            </w:r>
          </w:p>
        </w:tc>
      </w:tr>
      <w:tr w14:paraId="0F7F16BB">
        <w:tblPrEx>
          <w:tblCellMar>
            <w:top w:w="15" w:type="dxa"/>
            <w:left w:w="15" w:type="dxa"/>
            <w:bottom w:w="15" w:type="dxa"/>
            <w:right w:w="15" w:type="dxa"/>
          </w:tblCellMar>
        </w:tblPrEx>
        <w:trPr>
          <w:trHeight w:val="383" w:hRule="atLeast"/>
          <w:jc w:val="center"/>
        </w:trPr>
        <w:tc>
          <w:tcPr>
            <w:tcW w:w="5280"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3921A701">
            <w:pPr>
              <w:pStyle w:val="12"/>
              <w:pageBreakBefore w:val="0"/>
              <w:shd w:val="clear"/>
              <w:overflowPunct/>
              <w:topLinePunct w:val="0"/>
              <w:bidi w:val="0"/>
              <w:spacing w:beforeAutospacing="0" w:afterAutospacing="0" w:line="540" w:lineRule="exact"/>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审查结论</w:t>
            </w:r>
          </w:p>
        </w:tc>
        <w:tc>
          <w:tcPr>
            <w:tcW w:w="3768" w:type="dxa"/>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370030E0">
            <w:pPr>
              <w:pStyle w:val="12"/>
              <w:pageBreakBefore w:val="0"/>
              <w:shd w:val="clear"/>
              <w:overflowPunct/>
              <w:topLinePunct w:val="0"/>
              <w:bidi w:val="0"/>
              <w:spacing w:beforeAutospacing="0" w:afterAutospacing="0" w:line="540" w:lineRule="exact"/>
              <w:ind w:firstLine="123" w:firstLineChars="51"/>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通过</w:t>
            </w:r>
          </w:p>
        </w:tc>
      </w:tr>
      <w:tr w14:paraId="64FFB344">
        <w:tblPrEx>
          <w:tblCellMar>
            <w:top w:w="15" w:type="dxa"/>
            <w:left w:w="15" w:type="dxa"/>
            <w:bottom w:w="15" w:type="dxa"/>
            <w:right w:w="15" w:type="dxa"/>
          </w:tblCellMar>
        </w:tblPrEx>
        <w:trPr>
          <w:trHeight w:val="860" w:hRule="atLeast"/>
          <w:jc w:val="center"/>
        </w:trPr>
        <w:tc>
          <w:tcPr>
            <w:tcW w:w="9048" w:type="dxa"/>
            <w:gridSpan w:val="2"/>
            <w:tcBorders>
              <w:top w:val="single" w:color="000000" w:sz="6" w:space="0"/>
              <w:left w:val="single" w:color="000000" w:sz="6" w:space="0"/>
              <w:bottom w:val="single" w:color="000000" w:sz="6" w:space="0"/>
              <w:right w:val="single" w:color="000000" w:sz="6" w:space="0"/>
            </w:tcBorders>
            <w:noWrap w:val="0"/>
            <w:tcMar>
              <w:top w:w="60" w:type="dxa"/>
              <w:left w:w="60" w:type="dxa"/>
              <w:bottom w:w="45" w:type="dxa"/>
              <w:right w:w="60" w:type="dxa"/>
            </w:tcMar>
            <w:vAlign w:val="center"/>
          </w:tcPr>
          <w:p w14:paraId="3515D889">
            <w:pPr>
              <w:pStyle w:val="12"/>
              <w:pageBreakBefore w:val="0"/>
              <w:shd w:val="clear"/>
              <w:overflowPunct/>
              <w:topLinePunct w:val="0"/>
              <w:bidi w:val="0"/>
              <w:spacing w:beforeAutospacing="0" w:afterAutospacing="0" w:line="5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审查意见:</w:t>
            </w:r>
          </w:p>
          <w:p w14:paraId="2A4CBE8C">
            <w:pPr>
              <w:pStyle w:val="12"/>
              <w:pageBreakBefore w:val="0"/>
              <w:shd w:val="clear"/>
              <w:overflowPunct/>
              <w:topLinePunct w:val="0"/>
              <w:bidi w:val="0"/>
              <w:spacing w:beforeAutospacing="0" w:afterAutospacing="0" w:line="540" w:lineRule="exact"/>
              <w:ind w:firstLine="361" w:firstLineChars="150"/>
              <w:rPr>
                <w:rFonts w:hint="eastAsia" w:ascii="宋体" w:hAnsi="宋体" w:eastAsia="宋体" w:cs="宋体"/>
                <w:b/>
                <w:bCs/>
                <w:iCs/>
                <w:color w:val="auto"/>
                <w:sz w:val="24"/>
                <w:szCs w:val="24"/>
                <w:highlight w:val="none"/>
                <w:u w:val="single"/>
              </w:rPr>
            </w:pPr>
            <w:r>
              <w:rPr>
                <w:rFonts w:hint="eastAsia" w:ascii="宋体" w:hAnsi="宋体" w:eastAsia="宋体" w:cs="宋体"/>
                <w:b/>
                <w:bCs/>
                <w:iCs/>
                <w:color w:val="auto"/>
                <w:sz w:val="24"/>
                <w:szCs w:val="24"/>
                <w:highlight w:val="none"/>
                <w:u w:val="none"/>
              </w:rPr>
              <w:t>经审查，采购需求、采购实施计划符合相关规定，审查通过。</w:t>
            </w:r>
          </w:p>
        </w:tc>
      </w:tr>
    </w:tbl>
    <w:p w14:paraId="27047194">
      <w:pPr>
        <w:pStyle w:val="12"/>
        <w:pageBreakBefore w:val="0"/>
        <w:shd w:val="clear"/>
        <w:overflowPunct/>
        <w:topLinePunct w:val="0"/>
        <w:bidi w:val="0"/>
        <w:spacing w:beforeAutospacing="0" w:afterAutospacing="0" w:line="540" w:lineRule="exact"/>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审查人员（签字）：</w:t>
      </w:r>
    </w:p>
    <w:p w14:paraId="3265185F">
      <w:pPr>
        <w:pStyle w:val="23"/>
        <w:pageBreakBefore w:val="0"/>
        <w:shd w:val="clear"/>
        <w:overflowPunct/>
        <w:topLinePunct w:val="0"/>
        <w:bidi w:val="0"/>
        <w:spacing w:line="540" w:lineRule="exact"/>
        <w:rPr>
          <w:rFonts w:hint="eastAsia" w:ascii="宋体" w:hAnsi="宋体" w:eastAsia="宋体" w:cs="宋体"/>
          <w:color w:val="auto"/>
          <w:sz w:val="24"/>
          <w:szCs w:val="24"/>
          <w:highlight w:val="none"/>
          <w:lang w:val="en-US" w:eastAsia="zh-CN"/>
        </w:rPr>
      </w:pPr>
    </w:p>
    <w:p w14:paraId="038AA9BC">
      <w:pPr>
        <w:pageBreakBefore w:val="0"/>
        <w:shd w:val="clear"/>
        <w:overflowPunct/>
        <w:topLinePunct w:val="0"/>
        <w:bidi w:val="0"/>
        <w:spacing w:line="540" w:lineRule="exact"/>
        <w:rPr>
          <w:rFonts w:hint="eastAsia" w:ascii="宋体" w:hAnsi="宋体" w:eastAsia="宋体" w:cs="宋体"/>
          <w:color w:val="auto"/>
          <w:sz w:val="24"/>
          <w:szCs w:val="24"/>
          <w:highlight w:val="none"/>
          <w:lang w:val="en-US" w:eastAsia="zh-CN"/>
        </w:rPr>
      </w:pPr>
    </w:p>
    <w:p w14:paraId="47A11F78">
      <w:pPr>
        <w:pageBreakBefore w:val="0"/>
        <w:shd w:val="clear"/>
        <w:overflowPunct/>
        <w:topLinePunct w:val="0"/>
        <w:bidi w:val="0"/>
        <w:spacing w:line="540" w:lineRule="exact"/>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val="en-US" w:eastAsia="zh-CN"/>
        </w:rPr>
        <w:t>领导签字（并加盖公章）：</w:t>
      </w:r>
    </w:p>
    <w:p w14:paraId="7A75F49B">
      <w:pPr>
        <w:pStyle w:val="8"/>
        <w:pageBreakBefore w:val="0"/>
        <w:shd w:val="clear"/>
        <w:overflowPunct/>
        <w:topLinePunct w:val="0"/>
        <w:bidi w:val="0"/>
        <w:spacing w:line="540" w:lineRule="exact"/>
        <w:rPr>
          <w:rFonts w:hint="eastAsia" w:ascii="宋体" w:hAnsi="宋体" w:eastAsia="宋体" w:cs="宋体"/>
          <w:color w:val="auto"/>
          <w:sz w:val="24"/>
          <w:szCs w:val="24"/>
          <w:highlight w:val="none"/>
        </w:rPr>
      </w:pPr>
    </w:p>
    <w:p w14:paraId="54666E6A">
      <w:pPr>
        <w:pageBreakBefore w:val="0"/>
        <w:shd w:val="clear"/>
        <w:overflowPunct/>
        <w:topLinePunct w:val="0"/>
        <w:bidi w:val="0"/>
        <w:spacing w:line="540" w:lineRule="exact"/>
        <w:rPr>
          <w:rFonts w:hint="eastAsia" w:ascii="宋体" w:hAnsi="宋体" w:eastAsia="宋体" w:cs="宋体"/>
          <w:color w:val="auto"/>
          <w:sz w:val="24"/>
          <w:szCs w:val="24"/>
          <w:highlight w:val="none"/>
        </w:rPr>
      </w:pPr>
    </w:p>
    <w:p w14:paraId="3A0FBDE1">
      <w:pPr>
        <w:shd w:val="clear"/>
        <w:rPr>
          <w:rFonts w:hint="eastAsia" w:ascii="宋体" w:hAnsi="宋体" w:eastAsia="宋体" w:cs="宋体"/>
          <w:color w:val="auto"/>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à.ā">
    <w:altName w:val="宋体"/>
    <w:panose1 w:val="00000000000000000000"/>
    <w:charset w:val="86"/>
    <w:family w:val="roman"/>
    <w:pitch w:val="default"/>
    <w:sig w:usb0="00000000" w:usb1="00000000" w:usb2="0000001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EAA61">
    <w:pPr>
      <w:spacing w:line="235" w:lineRule="auto"/>
      <w:ind w:left="7799"/>
      <w:rPr>
        <w:rFonts w:ascii="宋体" w:hAnsi="宋体" w:eastAsia="宋体" w:cs="宋体"/>
        <w:sz w:val="31"/>
        <w:szCs w:val="31"/>
      </w:rPr>
    </w:pPr>
    <w:r>
      <w:rPr>
        <w:rFonts w:ascii="宋体" w:hAnsi="宋体" w:eastAsia="宋体" w:cs="宋体"/>
        <w:spacing w:val="-15"/>
        <w:sz w:val="31"/>
        <w:szCs w:val="31"/>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6B25B">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57C6DCCA">
                          <w:pPr>
                            <w:pStyle w:val="10"/>
                          </w:pPr>
                          <w:r>
                            <w:rPr>
                              <w:rFonts w:hint="eastAsia" w:ascii="宋体" w:hAnsi="宋体" w:cs="宋体"/>
                              <w:b/>
                              <w:bCs/>
                              <w:sz w:val="28"/>
                              <w:szCs w:val="28"/>
                            </w:rPr>
                            <w:t>—</w:t>
                          </w:r>
                          <w:r>
                            <w:rPr>
                              <w:rFonts w:hint="eastAsia" w:ascii="宋体" w:hAnsi="宋体" w:cs="宋体"/>
                              <w:b/>
                              <w:bCs/>
                              <w:sz w:val="28"/>
                              <w:szCs w:val="28"/>
                            </w:rPr>
                            <w:fldChar w:fldCharType="begin"/>
                          </w:r>
                          <w:r>
                            <w:rPr>
                              <w:rFonts w:hint="eastAsia" w:ascii="宋体" w:hAnsi="宋体" w:cs="宋体"/>
                              <w:b/>
                              <w:bCs/>
                              <w:sz w:val="28"/>
                              <w:szCs w:val="28"/>
                            </w:rPr>
                            <w:instrText xml:space="preserve"> PAGE  \* MERGEFORMAT </w:instrText>
                          </w:r>
                          <w:r>
                            <w:rPr>
                              <w:rFonts w:hint="eastAsia" w:ascii="宋体" w:hAnsi="宋体" w:cs="宋体"/>
                              <w:b/>
                              <w:bCs/>
                              <w:sz w:val="28"/>
                              <w:szCs w:val="28"/>
                            </w:rPr>
                            <w:fldChar w:fldCharType="separate"/>
                          </w:r>
                          <w:r>
                            <w:rPr>
                              <w:rFonts w:ascii="宋体" w:hAnsi="宋体" w:cs="宋体"/>
                              <w:b/>
                              <w:bCs/>
                              <w:sz w:val="28"/>
                              <w:szCs w:val="28"/>
                            </w:rPr>
                            <w:t>1</w:t>
                          </w:r>
                          <w:r>
                            <w:rPr>
                              <w:rFonts w:hint="eastAsia" w:ascii="宋体" w:hAnsi="宋体" w:cs="宋体"/>
                              <w:b/>
                              <w:bCs/>
                              <w:sz w:val="28"/>
                              <w:szCs w:val="28"/>
                            </w:rPr>
                            <w:fldChar w:fldCharType="end"/>
                          </w:r>
                          <w:r>
                            <w:rPr>
                              <w:rFonts w:hint="eastAsia" w:ascii="宋体" w:hAnsi="宋体" w:cs="宋体"/>
                              <w:b/>
                              <w:bCs/>
                              <w:sz w:val="28"/>
                              <w:szCs w:val="28"/>
                            </w:rPr>
                            <w:t>—</w:t>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l1uVLQAAAABQEAAA8AAAAAAAAAAQAgAAAAIgAAAGRycy9kb3ducmV2Lnht&#10;bFBLAQIUABQAAAAIAIdO4kAZwBq6yAEAAJ0DAAAOAAAAAAAAAAEAIAAAAB8BAABkcnMvZTJvRG9j&#10;LnhtbFBLBQYAAAAABgAGAFkBAABZBQAAAAA=&#10;">
              <v:fill on="f" focussize="0,0"/>
              <v:stroke on="f"/>
              <v:imagedata o:title=""/>
              <o:lock v:ext="edit" aspectratio="f"/>
              <v:textbox inset="0mm,0mm,0mm,0mm" style="mso-fit-shape-to-text:t;">
                <w:txbxContent>
                  <w:p w14:paraId="57C6DCCA">
                    <w:pPr>
                      <w:pStyle w:val="10"/>
                    </w:pPr>
                    <w:r>
                      <w:rPr>
                        <w:rFonts w:hint="eastAsia" w:ascii="宋体" w:hAnsi="宋体" w:cs="宋体"/>
                        <w:b/>
                        <w:bCs/>
                        <w:sz w:val="28"/>
                        <w:szCs w:val="28"/>
                      </w:rPr>
                      <w:t>—</w:t>
                    </w:r>
                    <w:r>
                      <w:rPr>
                        <w:rFonts w:hint="eastAsia" w:ascii="宋体" w:hAnsi="宋体" w:cs="宋体"/>
                        <w:b/>
                        <w:bCs/>
                        <w:sz w:val="28"/>
                        <w:szCs w:val="28"/>
                      </w:rPr>
                      <w:fldChar w:fldCharType="begin"/>
                    </w:r>
                    <w:r>
                      <w:rPr>
                        <w:rFonts w:hint="eastAsia" w:ascii="宋体" w:hAnsi="宋体" w:cs="宋体"/>
                        <w:b/>
                        <w:bCs/>
                        <w:sz w:val="28"/>
                        <w:szCs w:val="28"/>
                      </w:rPr>
                      <w:instrText xml:space="preserve"> PAGE  \* MERGEFORMAT </w:instrText>
                    </w:r>
                    <w:r>
                      <w:rPr>
                        <w:rFonts w:hint="eastAsia" w:ascii="宋体" w:hAnsi="宋体" w:cs="宋体"/>
                        <w:b/>
                        <w:bCs/>
                        <w:sz w:val="28"/>
                        <w:szCs w:val="28"/>
                      </w:rPr>
                      <w:fldChar w:fldCharType="separate"/>
                    </w:r>
                    <w:r>
                      <w:rPr>
                        <w:rFonts w:ascii="宋体" w:hAnsi="宋体" w:cs="宋体"/>
                        <w:b/>
                        <w:bCs/>
                        <w:sz w:val="28"/>
                        <w:szCs w:val="28"/>
                      </w:rPr>
                      <w:t>1</w:t>
                    </w:r>
                    <w:r>
                      <w:rPr>
                        <w:rFonts w:hint="eastAsia" w:ascii="宋体" w:hAnsi="宋体" w:cs="宋体"/>
                        <w:b/>
                        <w:bCs/>
                        <w:sz w:val="28"/>
                        <w:szCs w:val="28"/>
                      </w:rPr>
                      <w:fldChar w:fldCharType="end"/>
                    </w:r>
                    <w:r>
                      <w:rPr>
                        <w:rFonts w:hint="eastAsia" w:ascii="宋体" w:hAnsi="宋体" w:cs="宋体"/>
                        <w:b/>
                        <w:bCs/>
                        <w:sz w:val="28"/>
                        <w:szCs w:val="28"/>
                      </w:rPr>
                      <w:t>—</w:t>
                    </w:r>
                  </w:p>
                </w:txbxContent>
              </v:textbox>
            </v:rect>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E3F08">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8DC36">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468DC36">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E99E3A"/>
    <w:multiLevelType w:val="singleLevel"/>
    <w:tmpl w:val="C4E99E3A"/>
    <w:lvl w:ilvl="0" w:tentative="0">
      <w:start w:val="1"/>
      <w:numFmt w:val="decimal"/>
      <w:suff w:val="nothing"/>
      <w:lvlText w:val="%1、"/>
      <w:lvlJc w:val="left"/>
    </w:lvl>
  </w:abstractNum>
  <w:abstractNum w:abstractNumId="1">
    <w:nsid w:val="E3DD4C79"/>
    <w:multiLevelType w:val="singleLevel"/>
    <w:tmpl w:val="E3DD4C79"/>
    <w:lvl w:ilvl="0" w:tentative="0">
      <w:start w:val="10"/>
      <w:numFmt w:val="decimal"/>
      <w:lvlText w:val="%1."/>
      <w:lvlJc w:val="left"/>
      <w:pPr>
        <w:tabs>
          <w:tab w:val="left" w:pos="312"/>
        </w:tabs>
      </w:pPr>
    </w:lvl>
  </w:abstractNum>
  <w:abstractNum w:abstractNumId="2">
    <w:nsid w:val="53321AF0"/>
    <w:multiLevelType w:val="singleLevel"/>
    <w:tmpl w:val="53321AF0"/>
    <w:lvl w:ilvl="0" w:tentative="0">
      <w:start w:val="2"/>
      <w:numFmt w:val="decimal"/>
      <w:suff w:val="nothing"/>
      <w:lvlText w:val="%1）"/>
      <w:lvlJc w:val="left"/>
    </w:lvl>
  </w:abstractNum>
  <w:abstractNum w:abstractNumId="3">
    <w:nsid w:val="5743662E"/>
    <w:multiLevelType w:val="multilevel"/>
    <w:tmpl w:val="5743662E"/>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mMjU0MTllMjU5NmJmMDFjMWIxNzMxNjQyOTRiNzgifQ=="/>
  </w:docVars>
  <w:rsids>
    <w:rsidRoot w:val="72D60BAE"/>
    <w:rsid w:val="00535E7A"/>
    <w:rsid w:val="00B23426"/>
    <w:rsid w:val="00C3414B"/>
    <w:rsid w:val="00EA233A"/>
    <w:rsid w:val="00FC0F13"/>
    <w:rsid w:val="022D62FC"/>
    <w:rsid w:val="027C0B8B"/>
    <w:rsid w:val="02B50726"/>
    <w:rsid w:val="034877EC"/>
    <w:rsid w:val="04464390"/>
    <w:rsid w:val="04EB3546"/>
    <w:rsid w:val="04F32D5D"/>
    <w:rsid w:val="054840E4"/>
    <w:rsid w:val="054A049E"/>
    <w:rsid w:val="05877380"/>
    <w:rsid w:val="06113EF7"/>
    <w:rsid w:val="063B272B"/>
    <w:rsid w:val="06626E67"/>
    <w:rsid w:val="06F65F8D"/>
    <w:rsid w:val="070B5F00"/>
    <w:rsid w:val="07525414"/>
    <w:rsid w:val="079E00C6"/>
    <w:rsid w:val="07C23FC7"/>
    <w:rsid w:val="07DB1074"/>
    <w:rsid w:val="081E6D6D"/>
    <w:rsid w:val="08471E20"/>
    <w:rsid w:val="0861490F"/>
    <w:rsid w:val="08615816"/>
    <w:rsid w:val="08AE6343"/>
    <w:rsid w:val="08F74E6D"/>
    <w:rsid w:val="098C05B9"/>
    <w:rsid w:val="0A1E29EA"/>
    <w:rsid w:val="0A316959"/>
    <w:rsid w:val="0AD51748"/>
    <w:rsid w:val="0B51119F"/>
    <w:rsid w:val="0B7311E6"/>
    <w:rsid w:val="0BC1638D"/>
    <w:rsid w:val="0BCF52F0"/>
    <w:rsid w:val="0BD0037E"/>
    <w:rsid w:val="0C5159B1"/>
    <w:rsid w:val="0CBB2DDD"/>
    <w:rsid w:val="0CBE446A"/>
    <w:rsid w:val="0CC25F19"/>
    <w:rsid w:val="0CE57F15"/>
    <w:rsid w:val="0DC16A76"/>
    <w:rsid w:val="0E0A3676"/>
    <w:rsid w:val="0E236E8B"/>
    <w:rsid w:val="0E5E4B92"/>
    <w:rsid w:val="0E912047"/>
    <w:rsid w:val="0EAB2875"/>
    <w:rsid w:val="0EBC7843"/>
    <w:rsid w:val="100B4360"/>
    <w:rsid w:val="103A04BC"/>
    <w:rsid w:val="107F236E"/>
    <w:rsid w:val="10DB1C9F"/>
    <w:rsid w:val="11020FDA"/>
    <w:rsid w:val="118C1E1F"/>
    <w:rsid w:val="118D3C11"/>
    <w:rsid w:val="135A334F"/>
    <w:rsid w:val="13DC7AE0"/>
    <w:rsid w:val="14314B1C"/>
    <w:rsid w:val="14C01DB8"/>
    <w:rsid w:val="14C64A14"/>
    <w:rsid w:val="14E50212"/>
    <w:rsid w:val="151307D7"/>
    <w:rsid w:val="154710A5"/>
    <w:rsid w:val="157F07B3"/>
    <w:rsid w:val="15866285"/>
    <w:rsid w:val="15AE34DE"/>
    <w:rsid w:val="15C03212"/>
    <w:rsid w:val="15E7507B"/>
    <w:rsid w:val="16B54D41"/>
    <w:rsid w:val="17011D34"/>
    <w:rsid w:val="17084E70"/>
    <w:rsid w:val="170B2665"/>
    <w:rsid w:val="171507D5"/>
    <w:rsid w:val="17614581"/>
    <w:rsid w:val="17836306"/>
    <w:rsid w:val="17F20FF3"/>
    <w:rsid w:val="18251A52"/>
    <w:rsid w:val="184711C8"/>
    <w:rsid w:val="18536DD5"/>
    <w:rsid w:val="18E3119E"/>
    <w:rsid w:val="18E33A26"/>
    <w:rsid w:val="192D433E"/>
    <w:rsid w:val="196D6F46"/>
    <w:rsid w:val="19744352"/>
    <w:rsid w:val="19815BE6"/>
    <w:rsid w:val="1990114D"/>
    <w:rsid w:val="1A2C70C8"/>
    <w:rsid w:val="1AB66952"/>
    <w:rsid w:val="1ACE1FA5"/>
    <w:rsid w:val="1AF06347"/>
    <w:rsid w:val="1B0C316F"/>
    <w:rsid w:val="1B22573D"/>
    <w:rsid w:val="1BAF1D5E"/>
    <w:rsid w:val="1BDB572D"/>
    <w:rsid w:val="1C240D12"/>
    <w:rsid w:val="1C420E24"/>
    <w:rsid w:val="1CB41426"/>
    <w:rsid w:val="1CB44D2D"/>
    <w:rsid w:val="1CD86BD9"/>
    <w:rsid w:val="1CD95CA4"/>
    <w:rsid w:val="1D0259F5"/>
    <w:rsid w:val="1D91557C"/>
    <w:rsid w:val="1D961264"/>
    <w:rsid w:val="1DD8017D"/>
    <w:rsid w:val="1E75164C"/>
    <w:rsid w:val="1EAB630B"/>
    <w:rsid w:val="1ED0129B"/>
    <w:rsid w:val="1FB44122"/>
    <w:rsid w:val="1FF27875"/>
    <w:rsid w:val="1FFA4838"/>
    <w:rsid w:val="200661D1"/>
    <w:rsid w:val="20F87410"/>
    <w:rsid w:val="20FE0493"/>
    <w:rsid w:val="210E39CB"/>
    <w:rsid w:val="215B636A"/>
    <w:rsid w:val="21BA320B"/>
    <w:rsid w:val="229B0896"/>
    <w:rsid w:val="22BF646D"/>
    <w:rsid w:val="22E941E9"/>
    <w:rsid w:val="230062C4"/>
    <w:rsid w:val="23395726"/>
    <w:rsid w:val="23457C09"/>
    <w:rsid w:val="23A81370"/>
    <w:rsid w:val="23DA035E"/>
    <w:rsid w:val="244E0438"/>
    <w:rsid w:val="248A1A4E"/>
    <w:rsid w:val="24AC106B"/>
    <w:rsid w:val="24D179A1"/>
    <w:rsid w:val="24F271AB"/>
    <w:rsid w:val="250C4277"/>
    <w:rsid w:val="256C6F12"/>
    <w:rsid w:val="25AA7CDA"/>
    <w:rsid w:val="25AF1B88"/>
    <w:rsid w:val="25E45536"/>
    <w:rsid w:val="25F960D6"/>
    <w:rsid w:val="25FD4869"/>
    <w:rsid w:val="261C4796"/>
    <w:rsid w:val="26232095"/>
    <w:rsid w:val="262B727F"/>
    <w:rsid w:val="267F3961"/>
    <w:rsid w:val="271D6716"/>
    <w:rsid w:val="276B2AFA"/>
    <w:rsid w:val="278E278E"/>
    <w:rsid w:val="27ED4F18"/>
    <w:rsid w:val="28614BCB"/>
    <w:rsid w:val="293935AF"/>
    <w:rsid w:val="29F64FB2"/>
    <w:rsid w:val="2A215600"/>
    <w:rsid w:val="2A303E2E"/>
    <w:rsid w:val="2A4049F1"/>
    <w:rsid w:val="2A5227BD"/>
    <w:rsid w:val="2A677CA8"/>
    <w:rsid w:val="2AB949A8"/>
    <w:rsid w:val="2AE5579D"/>
    <w:rsid w:val="2B6B4BF2"/>
    <w:rsid w:val="2BEB08A8"/>
    <w:rsid w:val="2BED00A6"/>
    <w:rsid w:val="2C08048C"/>
    <w:rsid w:val="2C453E2B"/>
    <w:rsid w:val="2C555185"/>
    <w:rsid w:val="2C612E6C"/>
    <w:rsid w:val="2C665D4F"/>
    <w:rsid w:val="2C97468D"/>
    <w:rsid w:val="2CA174A1"/>
    <w:rsid w:val="2CBC42DB"/>
    <w:rsid w:val="2D931379"/>
    <w:rsid w:val="2D947006"/>
    <w:rsid w:val="2E9A2060"/>
    <w:rsid w:val="2EA63495"/>
    <w:rsid w:val="2EB84E3B"/>
    <w:rsid w:val="2EBF6DB8"/>
    <w:rsid w:val="2FA15A0A"/>
    <w:rsid w:val="2FC105C0"/>
    <w:rsid w:val="2FED0C50"/>
    <w:rsid w:val="2FFC7C4A"/>
    <w:rsid w:val="30155E33"/>
    <w:rsid w:val="308213AE"/>
    <w:rsid w:val="30CB71E3"/>
    <w:rsid w:val="311E1E0C"/>
    <w:rsid w:val="312F34BF"/>
    <w:rsid w:val="323A4CC0"/>
    <w:rsid w:val="32A724AC"/>
    <w:rsid w:val="32B7079D"/>
    <w:rsid w:val="33666FF1"/>
    <w:rsid w:val="33BF02F5"/>
    <w:rsid w:val="33C64B8F"/>
    <w:rsid w:val="33D7465B"/>
    <w:rsid w:val="33FE12B1"/>
    <w:rsid w:val="341C562B"/>
    <w:rsid w:val="346A081C"/>
    <w:rsid w:val="348560B4"/>
    <w:rsid w:val="348E0DA6"/>
    <w:rsid w:val="35111CDB"/>
    <w:rsid w:val="35683252"/>
    <w:rsid w:val="36080C13"/>
    <w:rsid w:val="365B2DB7"/>
    <w:rsid w:val="36664CDE"/>
    <w:rsid w:val="37691BF7"/>
    <w:rsid w:val="37BA68D2"/>
    <w:rsid w:val="38110B56"/>
    <w:rsid w:val="38AA3B82"/>
    <w:rsid w:val="38EA60FB"/>
    <w:rsid w:val="39171C22"/>
    <w:rsid w:val="39461AFC"/>
    <w:rsid w:val="39477C25"/>
    <w:rsid w:val="39B7117B"/>
    <w:rsid w:val="39C159CC"/>
    <w:rsid w:val="3A145CC2"/>
    <w:rsid w:val="3A1B0B43"/>
    <w:rsid w:val="3A382193"/>
    <w:rsid w:val="3A5A6A5F"/>
    <w:rsid w:val="3AA51C82"/>
    <w:rsid w:val="3B1C09F4"/>
    <w:rsid w:val="3B367CE0"/>
    <w:rsid w:val="3B617677"/>
    <w:rsid w:val="3B7833E0"/>
    <w:rsid w:val="3BB642D1"/>
    <w:rsid w:val="3BD17677"/>
    <w:rsid w:val="3C3D31AB"/>
    <w:rsid w:val="3C6851A9"/>
    <w:rsid w:val="3C91192E"/>
    <w:rsid w:val="3CE358B4"/>
    <w:rsid w:val="3D4A629D"/>
    <w:rsid w:val="3D8A5D30"/>
    <w:rsid w:val="3E441727"/>
    <w:rsid w:val="3E90381A"/>
    <w:rsid w:val="3EFA25A5"/>
    <w:rsid w:val="3F863274"/>
    <w:rsid w:val="3F9F1F66"/>
    <w:rsid w:val="3FAE09D4"/>
    <w:rsid w:val="3FDC5833"/>
    <w:rsid w:val="3FF12904"/>
    <w:rsid w:val="40730983"/>
    <w:rsid w:val="40865F62"/>
    <w:rsid w:val="408B24EB"/>
    <w:rsid w:val="40F844F6"/>
    <w:rsid w:val="413A5C05"/>
    <w:rsid w:val="41513ADF"/>
    <w:rsid w:val="41650F8E"/>
    <w:rsid w:val="42010696"/>
    <w:rsid w:val="4202058A"/>
    <w:rsid w:val="420B0DEA"/>
    <w:rsid w:val="421A3B26"/>
    <w:rsid w:val="42276243"/>
    <w:rsid w:val="42726210"/>
    <w:rsid w:val="42845D6C"/>
    <w:rsid w:val="42C6780A"/>
    <w:rsid w:val="435E3EE6"/>
    <w:rsid w:val="4403462E"/>
    <w:rsid w:val="440451B3"/>
    <w:rsid w:val="4492209A"/>
    <w:rsid w:val="44AB2637"/>
    <w:rsid w:val="44AB315B"/>
    <w:rsid w:val="44AC2A30"/>
    <w:rsid w:val="44B668E9"/>
    <w:rsid w:val="450B3BFA"/>
    <w:rsid w:val="451E577A"/>
    <w:rsid w:val="45335FE1"/>
    <w:rsid w:val="45341296"/>
    <w:rsid w:val="458967A2"/>
    <w:rsid w:val="46352521"/>
    <w:rsid w:val="463C0CB3"/>
    <w:rsid w:val="464C6278"/>
    <w:rsid w:val="464D6FE0"/>
    <w:rsid w:val="465B07B2"/>
    <w:rsid w:val="468A731C"/>
    <w:rsid w:val="46F661E4"/>
    <w:rsid w:val="47080D12"/>
    <w:rsid w:val="476240E0"/>
    <w:rsid w:val="476D4B20"/>
    <w:rsid w:val="47857C94"/>
    <w:rsid w:val="47D429C9"/>
    <w:rsid w:val="47F92430"/>
    <w:rsid w:val="48035BB1"/>
    <w:rsid w:val="486B0F65"/>
    <w:rsid w:val="487F3C18"/>
    <w:rsid w:val="48905312"/>
    <w:rsid w:val="48A14FFC"/>
    <w:rsid w:val="493108C7"/>
    <w:rsid w:val="497D0CA1"/>
    <w:rsid w:val="497E2BEC"/>
    <w:rsid w:val="4A023518"/>
    <w:rsid w:val="4A0D74B7"/>
    <w:rsid w:val="4A356839"/>
    <w:rsid w:val="4A613833"/>
    <w:rsid w:val="4B1974A9"/>
    <w:rsid w:val="4B6F338A"/>
    <w:rsid w:val="4BE156B5"/>
    <w:rsid w:val="4BE42E26"/>
    <w:rsid w:val="4BF6154E"/>
    <w:rsid w:val="4C347834"/>
    <w:rsid w:val="4C556BDC"/>
    <w:rsid w:val="4D1703B8"/>
    <w:rsid w:val="4D2C6E03"/>
    <w:rsid w:val="4D48113A"/>
    <w:rsid w:val="4E551B55"/>
    <w:rsid w:val="4E8273DA"/>
    <w:rsid w:val="4EBF3180"/>
    <w:rsid w:val="4EFD22A8"/>
    <w:rsid w:val="4F143FA4"/>
    <w:rsid w:val="4F1C1B57"/>
    <w:rsid w:val="4F351F9F"/>
    <w:rsid w:val="4F7209F5"/>
    <w:rsid w:val="4F9D6C2D"/>
    <w:rsid w:val="50E877D5"/>
    <w:rsid w:val="50EA68CF"/>
    <w:rsid w:val="50F94100"/>
    <w:rsid w:val="5100482F"/>
    <w:rsid w:val="51110D0D"/>
    <w:rsid w:val="512E314A"/>
    <w:rsid w:val="516E79EA"/>
    <w:rsid w:val="52E84F36"/>
    <w:rsid w:val="52EB65EF"/>
    <w:rsid w:val="534D4075"/>
    <w:rsid w:val="53650A1A"/>
    <w:rsid w:val="536A3A27"/>
    <w:rsid w:val="539F2CF4"/>
    <w:rsid w:val="53D02FF2"/>
    <w:rsid w:val="53F735D6"/>
    <w:rsid w:val="54487B06"/>
    <w:rsid w:val="5486504B"/>
    <w:rsid w:val="54D7233D"/>
    <w:rsid w:val="55332E6F"/>
    <w:rsid w:val="55BB4126"/>
    <w:rsid w:val="56605106"/>
    <w:rsid w:val="567250FE"/>
    <w:rsid w:val="568B29F9"/>
    <w:rsid w:val="56E61481"/>
    <w:rsid w:val="5761526A"/>
    <w:rsid w:val="57821453"/>
    <w:rsid w:val="57EC1669"/>
    <w:rsid w:val="58337298"/>
    <w:rsid w:val="584D0363"/>
    <w:rsid w:val="58D83B72"/>
    <w:rsid w:val="59A30C9C"/>
    <w:rsid w:val="59DF76D7"/>
    <w:rsid w:val="59F94AE4"/>
    <w:rsid w:val="5A1F4B06"/>
    <w:rsid w:val="5A81068A"/>
    <w:rsid w:val="5A9349B1"/>
    <w:rsid w:val="5B6F5735"/>
    <w:rsid w:val="5B787412"/>
    <w:rsid w:val="5BC45FC0"/>
    <w:rsid w:val="5BD40555"/>
    <w:rsid w:val="5C5E0FBE"/>
    <w:rsid w:val="5C82647B"/>
    <w:rsid w:val="5D0B05B5"/>
    <w:rsid w:val="5D2C7751"/>
    <w:rsid w:val="5D470CE2"/>
    <w:rsid w:val="5DAB6339"/>
    <w:rsid w:val="5DAD0011"/>
    <w:rsid w:val="5DAF7A31"/>
    <w:rsid w:val="5DBC7B57"/>
    <w:rsid w:val="5DC65B70"/>
    <w:rsid w:val="5DCF1F74"/>
    <w:rsid w:val="5E7128C8"/>
    <w:rsid w:val="5E7C11FF"/>
    <w:rsid w:val="5FD70E51"/>
    <w:rsid w:val="608D4E4E"/>
    <w:rsid w:val="61D75138"/>
    <w:rsid w:val="61FB6E6D"/>
    <w:rsid w:val="62303DCA"/>
    <w:rsid w:val="624916B7"/>
    <w:rsid w:val="626C3ED4"/>
    <w:rsid w:val="62724313"/>
    <w:rsid w:val="62AA4569"/>
    <w:rsid w:val="62AF08A3"/>
    <w:rsid w:val="630F7996"/>
    <w:rsid w:val="631B5BD3"/>
    <w:rsid w:val="63224191"/>
    <w:rsid w:val="63C91649"/>
    <w:rsid w:val="63D0449E"/>
    <w:rsid w:val="63F55C10"/>
    <w:rsid w:val="642E52DE"/>
    <w:rsid w:val="64AA08E2"/>
    <w:rsid w:val="64B21544"/>
    <w:rsid w:val="65981F09"/>
    <w:rsid w:val="65EB2F60"/>
    <w:rsid w:val="666D7E19"/>
    <w:rsid w:val="66DE6971"/>
    <w:rsid w:val="66F66FFA"/>
    <w:rsid w:val="671D498D"/>
    <w:rsid w:val="673425B1"/>
    <w:rsid w:val="67742991"/>
    <w:rsid w:val="678C0773"/>
    <w:rsid w:val="67BF4478"/>
    <w:rsid w:val="67E3597E"/>
    <w:rsid w:val="682575C3"/>
    <w:rsid w:val="69043AAB"/>
    <w:rsid w:val="6919461B"/>
    <w:rsid w:val="69D636A9"/>
    <w:rsid w:val="69D93A7D"/>
    <w:rsid w:val="69F521CD"/>
    <w:rsid w:val="6A14250A"/>
    <w:rsid w:val="6A270136"/>
    <w:rsid w:val="6A5A395F"/>
    <w:rsid w:val="6AAF6EE8"/>
    <w:rsid w:val="6AB73D58"/>
    <w:rsid w:val="6AD72385"/>
    <w:rsid w:val="6AD7577F"/>
    <w:rsid w:val="6B146ABA"/>
    <w:rsid w:val="6B2A452A"/>
    <w:rsid w:val="6BAE7EEF"/>
    <w:rsid w:val="6C291EC7"/>
    <w:rsid w:val="6C464D15"/>
    <w:rsid w:val="6D4C0008"/>
    <w:rsid w:val="6DB92269"/>
    <w:rsid w:val="6E166F6D"/>
    <w:rsid w:val="6E276AFF"/>
    <w:rsid w:val="6E632386"/>
    <w:rsid w:val="6FE85AAA"/>
    <w:rsid w:val="705E5CE7"/>
    <w:rsid w:val="70F512BC"/>
    <w:rsid w:val="71194080"/>
    <w:rsid w:val="712039C9"/>
    <w:rsid w:val="729B3CBA"/>
    <w:rsid w:val="72BE4B05"/>
    <w:rsid w:val="72C956B1"/>
    <w:rsid w:val="72D60BAE"/>
    <w:rsid w:val="73873F96"/>
    <w:rsid w:val="74253A54"/>
    <w:rsid w:val="743326A2"/>
    <w:rsid w:val="744246C9"/>
    <w:rsid w:val="74924CB5"/>
    <w:rsid w:val="74DB06C2"/>
    <w:rsid w:val="763F3F3A"/>
    <w:rsid w:val="764E6D27"/>
    <w:rsid w:val="769B62DC"/>
    <w:rsid w:val="76C53FBB"/>
    <w:rsid w:val="770D0D85"/>
    <w:rsid w:val="777A05E8"/>
    <w:rsid w:val="78860310"/>
    <w:rsid w:val="78CB58AE"/>
    <w:rsid w:val="79563B90"/>
    <w:rsid w:val="79A47660"/>
    <w:rsid w:val="7A0B5527"/>
    <w:rsid w:val="7A2B747B"/>
    <w:rsid w:val="7A525C3E"/>
    <w:rsid w:val="7A6C7F40"/>
    <w:rsid w:val="7AD93EE7"/>
    <w:rsid w:val="7C0639DE"/>
    <w:rsid w:val="7C5727BC"/>
    <w:rsid w:val="7CE01DE2"/>
    <w:rsid w:val="7D272678"/>
    <w:rsid w:val="7D7D498E"/>
    <w:rsid w:val="7D851A94"/>
    <w:rsid w:val="7DC437A1"/>
    <w:rsid w:val="7E2E0D2F"/>
    <w:rsid w:val="7E474539"/>
    <w:rsid w:val="7E5D031B"/>
    <w:rsid w:val="7E6D0694"/>
    <w:rsid w:val="7E6F0F3C"/>
    <w:rsid w:val="7E8E308B"/>
    <w:rsid w:val="7E957AB5"/>
    <w:rsid w:val="7EA34851"/>
    <w:rsid w:val="7EA426D4"/>
    <w:rsid w:val="7EF46244"/>
    <w:rsid w:val="7F0B7D77"/>
    <w:rsid w:val="7F302448"/>
    <w:rsid w:val="7F5B1219"/>
    <w:rsid w:val="7F961D37"/>
    <w:rsid w:val="7F9C5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Salutation"/>
    <w:next w:val="1"/>
    <w:unhideWhenUsed/>
    <w:qFormat/>
    <w:uiPriority w:val="0"/>
    <w:pPr>
      <w:widowControl w:val="0"/>
      <w:jc w:val="both"/>
    </w:pPr>
    <w:rPr>
      <w:rFonts w:ascii="宋体" w:hAnsi="Times New Roman" w:eastAsia="宋体" w:cs="Times New Roman"/>
      <w:sz w:val="34"/>
      <w:lang w:val="en-US" w:eastAsia="zh-CN" w:bidi="ar-SA"/>
    </w:rPr>
  </w:style>
  <w:style w:type="paragraph" w:styleId="8">
    <w:name w:val="Body Text"/>
    <w:basedOn w:val="1"/>
    <w:next w:val="1"/>
    <w:qFormat/>
    <w:uiPriority w:val="99"/>
    <w:pPr>
      <w:spacing w:after="120"/>
    </w:pPr>
  </w:style>
  <w:style w:type="paragraph" w:styleId="9">
    <w:name w:val="Body Text Indent"/>
    <w:basedOn w:val="1"/>
    <w:qFormat/>
    <w:uiPriority w:val="0"/>
    <w:pPr>
      <w:spacing w:after="120" w:afterLines="0" w:afterAutospacing="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Body Text 2"/>
    <w:basedOn w:val="1"/>
    <w:qFormat/>
    <w:uiPriority w:val="0"/>
    <w:pPr>
      <w:adjustRightInd w:val="0"/>
      <w:snapToGrid w:val="0"/>
      <w:spacing w:after="120" w:line="480" w:lineRule="auto"/>
    </w:pPr>
    <w:rPr>
      <w:sz w:val="24"/>
    </w:rPr>
  </w:style>
  <w:style w:type="paragraph" w:styleId="12">
    <w:name w:val="Normal (Web)"/>
    <w:basedOn w:val="1"/>
    <w:qFormat/>
    <w:uiPriority w:val="0"/>
    <w:pPr>
      <w:widowControl/>
      <w:spacing w:before="100" w:beforeAutospacing="1" w:after="100" w:afterAutospacing="1"/>
      <w:jc w:val="left"/>
    </w:pPr>
    <w:rPr>
      <w:rFonts w:ascii="宋体" w:cs="宋体"/>
      <w:kern w:val="0"/>
      <w:sz w:val="24"/>
      <w:szCs w:val="24"/>
    </w:rPr>
  </w:style>
  <w:style w:type="paragraph" w:styleId="13">
    <w:name w:val="Body Text First Indent"/>
    <w:basedOn w:val="8"/>
    <w:next w:val="1"/>
    <w:qFormat/>
    <w:uiPriority w:val="0"/>
    <w:pPr>
      <w:spacing w:after="0"/>
      <w:ind w:firstLine="420" w:firstLineChars="100"/>
    </w:pPr>
    <w:rPr>
      <w:rFonts w:ascii="Arial" w:hAnsi="Arial"/>
      <w:color w:val="000000"/>
    </w:rPr>
  </w:style>
  <w:style w:type="paragraph" w:styleId="14">
    <w:name w:val="Body Text First Indent 2"/>
    <w:basedOn w:val="9"/>
    <w:next w:val="1"/>
    <w:qFormat/>
    <w:uiPriority w:val="0"/>
    <w:pPr>
      <w:ind w:firstLine="42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paragraph" w:customStyle="1" w:styleId="19">
    <w:name w:val="BodyText"/>
    <w:basedOn w:val="1"/>
    <w:next w:val="1"/>
    <w:qFormat/>
    <w:uiPriority w:val="0"/>
    <w:pPr>
      <w:spacing w:after="120"/>
      <w:jc w:val="both"/>
      <w:textAlignment w:val="baseline"/>
    </w:pPr>
  </w:style>
  <w:style w:type="paragraph" w:customStyle="1" w:styleId="20">
    <w:name w:val="_正文段落"/>
    <w:basedOn w:val="1"/>
    <w:qFormat/>
    <w:uiPriority w:val="0"/>
    <w:pPr>
      <w:spacing w:line="360" w:lineRule="auto"/>
    </w:pPr>
    <w:rPr>
      <w:rFonts w:ascii="宋体" w:eastAsia="仿宋_GB2312"/>
      <w:kern w:val="0"/>
      <w:sz w:val="28"/>
    </w:rPr>
  </w:style>
  <w:style w:type="paragraph" w:customStyle="1" w:styleId="21">
    <w:name w:val="Default"/>
    <w:qFormat/>
    <w:uiPriority w:val="0"/>
    <w:pPr>
      <w:widowControl w:val="0"/>
      <w:autoSpaceDE w:val="0"/>
      <w:autoSpaceDN w:val="0"/>
      <w:adjustRightInd w:val="0"/>
    </w:pPr>
    <w:rPr>
      <w:rFonts w:ascii="楷体à.ā" w:hAnsi="Times New Roman" w:eastAsia="楷体à.ā" w:cs="Times New Roman"/>
      <w:color w:val="000000"/>
      <w:sz w:val="24"/>
      <w:szCs w:val="22"/>
      <w:lang w:val="en-US" w:eastAsia="zh-CN" w:bidi="ar-SA"/>
    </w:rPr>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customStyle="1" w:styleId="23">
    <w:name w:val="正文（绿盟科技）"/>
    <w:next w:val="1"/>
    <w:qFormat/>
    <w:uiPriority w:val="0"/>
    <w:pPr>
      <w:spacing w:line="300" w:lineRule="auto"/>
    </w:pPr>
    <w:rPr>
      <w:rFonts w:ascii="Arial" w:hAnsi="Arial" w:eastAsia="宋体" w:cs="黑体"/>
      <w:sz w:val="21"/>
      <w:szCs w:val="21"/>
      <w:lang w:val="en-US" w:eastAsia="zh-CN" w:bidi="ar-SA"/>
    </w:rPr>
  </w:style>
  <w:style w:type="character" w:customStyle="1" w:styleId="24">
    <w:name w:val="font51"/>
    <w:basedOn w:val="17"/>
    <w:qFormat/>
    <w:uiPriority w:val="0"/>
    <w:rPr>
      <w:rFonts w:hint="eastAsia" w:ascii="宋体" w:hAnsi="宋体" w:eastAsia="宋体" w:cs="宋体"/>
      <w:color w:val="FF0000"/>
      <w:sz w:val="22"/>
      <w:szCs w:val="22"/>
      <w:u w:val="none"/>
    </w:rPr>
  </w:style>
  <w:style w:type="character" w:customStyle="1" w:styleId="25">
    <w:name w:val="font61"/>
    <w:basedOn w:val="17"/>
    <w:qFormat/>
    <w:uiPriority w:val="0"/>
    <w:rPr>
      <w:rFonts w:hint="eastAsia" w:ascii="宋体" w:hAnsi="宋体" w:eastAsia="宋体" w:cs="宋体"/>
      <w:color w:val="FF0000"/>
      <w:sz w:val="16"/>
      <w:szCs w:val="16"/>
      <w:u w:val="none"/>
    </w:rPr>
  </w:style>
  <w:style w:type="paragraph" w:customStyle="1" w:styleId="26">
    <w:name w:val="Table Text"/>
    <w:basedOn w:val="1"/>
    <w:semiHidden/>
    <w:qFormat/>
    <w:uiPriority w:val="0"/>
    <w:rPr>
      <w:rFonts w:ascii="宋体" w:hAnsi="宋体" w:eastAsia="宋体" w:cs="宋体"/>
      <w:sz w:val="24"/>
      <w:szCs w:val="24"/>
      <w:lang w:val="en-US" w:eastAsia="en-US" w:bidi="ar-SA"/>
    </w:rPr>
  </w:style>
  <w:style w:type="paragraph" w:customStyle="1" w:styleId="27">
    <w:name w:val="_Style 3"/>
    <w:qFormat/>
    <w:uiPriority w:val="0"/>
    <w:pPr>
      <w:widowControl w:val="0"/>
      <w:jc w:val="both"/>
    </w:pPr>
    <w:rPr>
      <w:rFonts w:ascii="Times New Roman" w:hAnsi="Times New Roman" w:eastAsia="宋体" w:cs="黑体"/>
      <w:kern w:val="2"/>
      <w:sz w:val="21"/>
      <w:szCs w:val="22"/>
      <w:lang w:val="en-US" w:eastAsia="zh-CN" w:bidi="ar-SA"/>
    </w:rPr>
  </w:style>
  <w:style w:type="paragraph" w:customStyle="1" w:styleId="28">
    <w:name w:val="段"/>
    <w:next w:val="29"/>
    <w:qFormat/>
    <w:uiPriority w:val="0"/>
    <w:pPr>
      <w:autoSpaceDE w:val="0"/>
      <w:autoSpaceDN w:val="0"/>
      <w:ind w:firstLine="200"/>
      <w:jc w:val="both"/>
    </w:pPr>
    <w:rPr>
      <w:rFonts w:ascii="宋体" w:hAnsi="Times New Roman" w:eastAsia="宋体" w:cs="Times New Roman"/>
      <w:sz w:val="21"/>
      <w:szCs w:val="22"/>
      <w:lang w:val="en-US" w:eastAsia="zh-CN" w:bidi="ar-SA"/>
    </w:rPr>
  </w:style>
  <w:style w:type="paragraph" w:customStyle="1" w:styleId="29">
    <w:name w:val="正文 A"/>
    <w:next w:val="28"/>
    <w:qFormat/>
    <w:uiPriority w:val="0"/>
    <w:pPr>
      <w:widowControl w:val="0"/>
      <w:jc w:val="both"/>
    </w:pPr>
    <w:rPr>
      <w:rFonts w:ascii="Arial Unicode MS" w:hAnsi="Arial Unicode MS" w:eastAsia="Times New Roman" w:cs="Arial Unicode MS"/>
      <w:color w:val="000000"/>
      <w:kern w:val="2"/>
      <w:sz w:val="21"/>
      <w:szCs w:val="21"/>
      <w:lang w:val="en-US" w:eastAsia="zh-CN" w:bidi="ar-SA"/>
    </w:rPr>
  </w:style>
  <w:style w:type="paragraph" w:customStyle="1" w:styleId="30">
    <w:name w:val="表格文字"/>
    <w:basedOn w:val="1"/>
    <w:qFormat/>
    <w:uiPriority w:val="0"/>
    <w:pPr>
      <w:tabs>
        <w:tab w:val="left" w:pos="0"/>
        <w:tab w:val="left" w:pos="390"/>
      </w:tabs>
      <w:autoSpaceDE w:val="0"/>
      <w:autoSpaceDN w:val="0"/>
      <w:adjustRightInd w:val="0"/>
      <w:snapToGrid w:val="0"/>
      <w:ind w:firstLine="425" w:firstLineChars="177"/>
      <w:jc w:val="left"/>
    </w:pPr>
    <w:rPr>
      <w:sz w:val="24"/>
      <w:szCs w:val="20"/>
    </w:rPr>
  </w:style>
  <w:style w:type="paragraph" w:customStyle="1" w:styleId="31">
    <w:name w:val="Table Paragraph"/>
    <w:basedOn w:val="1"/>
    <w:qFormat/>
    <w:uiPriority w:val="1"/>
  </w:style>
  <w:style w:type="paragraph" w:customStyle="1" w:styleId="32">
    <w:name w:val="样式 首行缩进:  2 字符"/>
    <w:basedOn w:val="1"/>
    <w:qFormat/>
    <w:uiPriority w:val="0"/>
    <w:pPr>
      <w:spacing w:line="400" w:lineRule="exact"/>
      <w:ind w:firstLine="200" w:firstLineChars="200"/>
    </w:pPr>
    <w:rPr>
      <w:rFonts w:cs="宋体"/>
      <w:sz w:val="24"/>
    </w:rPr>
  </w:style>
  <w:style w:type="paragraph" w:styleId="33">
    <w:name w:val="List Paragraph"/>
    <w:basedOn w:val="1"/>
    <w:qFormat/>
    <w:uiPriority w:val="99"/>
    <w:pPr>
      <w:ind w:firstLine="420" w:firstLineChars="200"/>
    </w:pPr>
  </w:style>
  <w:style w:type="character" w:customStyle="1" w:styleId="34">
    <w:name w:val="font21"/>
    <w:basedOn w:val="17"/>
    <w:qFormat/>
    <w:uiPriority w:val="0"/>
    <w:rPr>
      <w:rFonts w:hint="eastAsia" w:ascii="宋体" w:hAnsi="宋体" w:eastAsia="宋体" w:cs="宋体"/>
      <w:color w:val="000000"/>
      <w:sz w:val="21"/>
      <w:szCs w:val="21"/>
      <w:u w:val="none"/>
    </w:rPr>
  </w:style>
  <w:style w:type="character" w:customStyle="1" w:styleId="35">
    <w:name w:val="font11"/>
    <w:basedOn w:val="17"/>
    <w:qFormat/>
    <w:uiPriority w:val="0"/>
    <w:rPr>
      <w:rFonts w:hint="eastAsia" w:ascii="宋体" w:hAnsi="宋体" w:eastAsia="宋体" w:cs="宋体"/>
      <w:b/>
      <w:bCs/>
      <w:color w:val="000000"/>
      <w:sz w:val="21"/>
      <w:szCs w:val="21"/>
      <w:u w:val="none"/>
    </w:rPr>
  </w:style>
  <w:style w:type="character" w:customStyle="1" w:styleId="36">
    <w:name w:val="font91"/>
    <w:basedOn w:val="17"/>
    <w:qFormat/>
    <w:uiPriority w:val="0"/>
    <w:rPr>
      <w:rFonts w:hint="eastAsia" w:ascii="宋体" w:hAnsi="宋体" w:eastAsia="宋体" w:cs="宋体"/>
      <w:color w:val="FF0000"/>
      <w:sz w:val="21"/>
      <w:szCs w:val="21"/>
      <w:u w:val="none"/>
    </w:rPr>
  </w:style>
  <w:style w:type="character" w:customStyle="1" w:styleId="37">
    <w:name w:val="font101"/>
    <w:basedOn w:val="17"/>
    <w:qFormat/>
    <w:uiPriority w:val="0"/>
    <w:rPr>
      <w:rFonts w:hint="eastAsia" w:ascii="宋体" w:hAnsi="宋体" w:eastAsia="宋体" w:cs="宋体"/>
      <w:color w:val="000000"/>
      <w:sz w:val="20"/>
      <w:szCs w:val="20"/>
      <w:u w:val="none"/>
    </w:rPr>
  </w:style>
  <w:style w:type="character" w:customStyle="1" w:styleId="38">
    <w:name w:val="font81"/>
    <w:basedOn w:val="17"/>
    <w:qFormat/>
    <w:uiPriority w:val="0"/>
    <w:rPr>
      <w:rFonts w:hint="default" w:ascii="Calibri" w:hAnsi="Calibri" w:cs="Calibri"/>
      <w:color w:val="000000"/>
      <w:sz w:val="21"/>
      <w:szCs w:val="21"/>
      <w:u w:val="none"/>
    </w:rPr>
  </w:style>
  <w:style w:type="character" w:customStyle="1" w:styleId="39">
    <w:name w:val="font71"/>
    <w:basedOn w:val="17"/>
    <w:qFormat/>
    <w:uiPriority w:val="0"/>
    <w:rPr>
      <w:rFonts w:hint="default" w:ascii="Calibri" w:hAnsi="Calibri" w:cs="Calibri"/>
      <w:color w:val="FF0000"/>
      <w:sz w:val="21"/>
      <w:szCs w:val="21"/>
      <w:u w:val="none"/>
    </w:rPr>
  </w:style>
  <w:style w:type="character" w:customStyle="1" w:styleId="40">
    <w:name w:val="font112"/>
    <w:basedOn w:val="17"/>
    <w:qFormat/>
    <w:uiPriority w:val="0"/>
    <w:rPr>
      <w:rFonts w:hint="eastAsia" w:ascii="宋体" w:hAnsi="宋体" w:eastAsia="宋体" w:cs="宋体"/>
      <w:color w:val="4472C4"/>
      <w:sz w:val="21"/>
      <w:szCs w:val="21"/>
      <w:u w:val="none"/>
    </w:rPr>
  </w:style>
  <w:style w:type="character" w:customStyle="1" w:styleId="41">
    <w:name w:val="font41"/>
    <w:basedOn w:val="17"/>
    <w:qFormat/>
    <w:uiPriority w:val="0"/>
    <w:rPr>
      <w:rFonts w:hint="eastAsia" w:ascii="宋体" w:hAnsi="宋体" w:eastAsia="宋体" w:cs="宋体"/>
      <w:color w:val="000000"/>
      <w:sz w:val="22"/>
      <w:szCs w:val="22"/>
      <w:u w:val="none"/>
    </w:rPr>
  </w:style>
  <w:style w:type="character" w:customStyle="1" w:styleId="42">
    <w:name w:val="font121"/>
    <w:basedOn w:val="17"/>
    <w:qFormat/>
    <w:uiPriority w:val="0"/>
    <w:rPr>
      <w:rFonts w:hint="eastAsia" w:ascii="宋体" w:hAnsi="宋体" w:eastAsia="宋体" w:cs="宋体"/>
      <w:color w:val="000000"/>
      <w:sz w:val="22"/>
      <w:szCs w:val="22"/>
      <w:u w:val="none"/>
    </w:rPr>
  </w:style>
  <w:style w:type="character" w:customStyle="1" w:styleId="43">
    <w:name w:val="font131"/>
    <w:basedOn w:val="17"/>
    <w:qFormat/>
    <w:uiPriority w:val="0"/>
    <w:rPr>
      <w:rFonts w:hint="eastAsia" w:ascii="宋体" w:hAnsi="宋体" w:eastAsia="宋体" w:cs="宋体"/>
      <w:color w:val="0070C0"/>
      <w:sz w:val="22"/>
      <w:szCs w:val="22"/>
      <w:u w:val="none"/>
    </w:rPr>
  </w:style>
  <w:style w:type="paragraph" w:customStyle="1" w:styleId="44">
    <w:name w:val="表 靠左"/>
    <w:basedOn w:val="45"/>
    <w:qFormat/>
    <w:uiPriority w:val="0"/>
    <w:pPr>
      <w:jc w:val="left"/>
    </w:pPr>
    <w:rPr>
      <w:rFonts w:asciiTheme="minorEastAsia" w:hAnsiTheme="minorEastAsia" w:eastAsiaTheme="minorEastAsia"/>
    </w:rPr>
  </w:style>
  <w:style w:type="paragraph" w:customStyle="1" w:styleId="45">
    <w:name w:val="表"/>
    <w:basedOn w:val="1"/>
    <w:next w:val="1"/>
    <w:qFormat/>
    <w:uiPriority w:val="0"/>
    <w:pPr>
      <w:spacing w:line="240" w:lineRule="auto"/>
      <w:ind w:firstLine="0" w:firstLineChars="0"/>
      <w:jc w:val="center"/>
    </w:pPr>
  </w:style>
  <w:style w:type="paragraph" w:customStyle="1" w:styleId="46">
    <w:name w:val="目录"/>
    <w:basedOn w:val="1"/>
    <w:qFormat/>
    <w:uiPriority w:val="0"/>
    <w:pPr>
      <w:ind w:firstLine="0" w:firstLineChars="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5519</Words>
  <Characters>5732</Characters>
  <Lines>0</Lines>
  <Paragraphs>0</Paragraphs>
  <TotalTime>11</TotalTime>
  <ScaleCrop>false</ScaleCrop>
  <LinksUpToDate>false</LinksUpToDate>
  <CharactersWithSpaces>5807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2024-07-30T02:39:00Z</dcterms:created>
  <dc:creator>NTKO</dc:creator>
  <cp:lastModifiedBy>万宝路上小青年。</cp:lastModifiedBy>
  <cp:lastPrinted>2025-04-07T00:23:00Z</cp:lastPrinted>
  <dcterms:modified xsi:type="dcterms:W3CDTF">2026-04-07T02:50:39Z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29AC0359E40645508F16C42C10DA8F2D_13</vt:lpwstr>
  </property>
  <property fmtid="{D5CDD505-2E9C-101B-9397-08002B2CF9AE}" pid="4" name="KSOTemplateDocerSaveRecord">
    <vt:lpwstr>eyJoZGlkIjoiMzBjZjZjMTAxYTA0NGQ2NGVhNDIwMzg2MDMxZjg0ZjEiLCJ1c2VySWQiOiIzMDgzMjAxODgifQ==</vt:lpwstr>
  </property>
</Properties>
</file>