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版本号：N511324202600003820260402001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仪陇县2025年第一批中央和省级财政衔接推进乡村振兴补助资金项目（保平镇有机黄花苗采购）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N5113242026000038</w:t>
      </w:r>
    </w:p>
    <w:p>
      <w:pPr>
        <w:pStyle w:val="null3"/>
        <w:jc w:val="left"/>
        <w:outlineLvl w:val="2"/>
      </w:pPr>
      <w:r>
        <w:rPr>
          <w:rFonts w:ascii="仿宋_GB2312" w:hAnsi="仿宋_GB2312" w:cs="仿宋_GB2312" w:eastAsia="仿宋_GB2312"/>
          <w:sz w:val="28"/>
          <w:b/>
        </w:rPr>
        <w:t>仪陇县保平镇人民政府</w:t>
      </w:r>
    </w:p>
    <w:p>
      <w:pPr>
        <w:pStyle w:val="null3"/>
        <w:jc w:val="center"/>
        <w:outlineLvl w:val="2"/>
      </w:pPr>
      <w:r>
        <w:rPr>
          <w:rFonts w:ascii="仿宋_GB2312" w:hAnsi="仿宋_GB2312" w:cs="仿宋_GB2312" w:eastAsia="仿宋_GB2312"/>
          <w:sz w:val="28"/>
          <w:b/>
        </w:rPr>
        <w:t>四川亘晟项目管理有限公司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四川亘晟项目管理有限公司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仪陇县保平镇人民政府</w:t>
      </w:r>
      <w:r>
        <w:rPr>
          <w:rFonts w:ascii="仿宋_GB2312" w:hAnsi="仿宋_GB2312" w:cs="仿宋_GB2312" w:eastAsia="仿宋_GB2312"/>
        </w:rPr>
        <w:t xml:space="preserve"> 委托，拟对 </w:t>
      </w:r>
      <w:r>
        <w:rPr>
          <w:rFonts w:ascii="仿宋_GB2312" w:hAnsi="仿宋_GB2312" w:cs="仿宋_GB2312" w:eastAsia="仿宋_GB2312"/>
        </w:rPr>
        <w:t>仪陇县2025年第一批中央和省级财政衔接推进乡村振兴补助资金项目（保平镇有机黄花苗采购）</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南充市仪陇县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N5113242026000038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仪陇县2025年第一批中央和省级财政衔接推进乡村振兴补助资金项目（保平镇有机黄花苗采购）</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本项目为仪陇县2025年第一批中央和省级财政衔接推进乡村振兴补助资金项目(保平镇有机黄花苗采购),项目位于仪陇县保平镇板桥沟村，主要建设内容为：计划采购50万株有机黄花苗。</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已纳入全国公共资源交易平台（四川省）互认范围；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仪陇县保平镇人民政府</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仪陇县保平镇街道</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18989183858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四川亘晟项目管理有限公司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四川省南充市仪陇县新政镇宏德大道东三段</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刘先生、林先生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18989183858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采购包1：315,000.00元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开户银行：南充农村商业银行保平镇支行</w:t>
              <w:br/>
              <w:t>银行账号：88130120059488661</w:t>
              <w:br/>
              <w:t>交款时间：成交通知书发放后。</w:t>
              <w:br/>
              <w:t>履约保证金退还方式：原账号返回。</w:t>
              <w:br/>
              <w:t>履约保证金退还时间：项目履约验收完成后。</w:t>
              <w:br/>
              <w:t>履约保证金不予退还情形：成交供应商不履行与采购人订立的合同的，履约保证金不予退还。履约保证金不予退还的，将按照有关规定上缴国库。</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代理服务费收费标准：按成交价计算收取。 按成交价计算收取。 中标(成交)供应商须在签订成交合同前向代理公司领取纸质档成交通知书并缴纳代理服务费，代理服务费按成交价计算收取。(标准说明:1中标(成交)金额在100万以内(包含100万)的:按中标(成交)金额的1.5%收取;2中标(成交)金额在100万~500万的:100万的部分按1.5%收取，超过100万，小于等于500万的部分，按实际超过金额的1.1%收取;3中标(成交)金额500万~1000万的:100万的部分按1.5%收取.超过100万，小于等于500万的部分，按400万的1.1%收取。超过500万，小于等于1000万的部分，按实际超过金额的0.8%收取;4中标(成交)金额1000万~5000万的:100万的部分按1.5%收取.超过100万，小于等于500万的部分，按400万的1.1%收取。超过500万，小于等于1000万的部分，按500万的0.8%收取。超过100万，小于等于5000万的部分，按实际超过金额的0.5%收取; 代理费缴纳账户： 户名：四川亘晟项目管理有限公司 开户银行：南充农村商业银行股份有限公司仪陇支行 账号：52340120000016894 银联号：314673000019</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仪陇县保平镇人民政府</w:t>
      </w:r>
      <w:r>
        <w:rPr>
          <w:rFonts w:ascii="仿宋_GB2312" w:hAnsi="仿宋_GB2312" w:cs="仿宋_GB2312" w:eastAsia="仿宋_GB2312"/>
        </w:rPr>
        <w:t xml:space="preserve"> 和 </w:t>
      </w:r>
      <w:r>
        <w:rPr>
          <w:rFonts w:ascii="仿宋_GB2312" w:hAnsi="仿宋_GB2312" w:cs="仿宋_GB2312" w:eastAsia="仿宋_GB2312"/>
        </w:rPr>
        <w:t>四川亘晟项目管理有限公司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仪陇县保平镇人民政府</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四川亘晟项目管理有限公司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按相关的要求和标准执行；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按相关的要求和标准执行；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按相关的要求和标准执行；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四川亘晟项目管理有限公司</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四川亘晟项目管理有限公司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四川亘晟项目管理有限公司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联系人：刘先生</w:t>
      </w:r>
    </w:p>
    <w:p>
      <w:pPr>
        <w:pStyle w:val="null3"/>
        <w:jc w:val="left"/>
      </w:pPr>
      <w:r>
        <w:rPr>
          <w:rFonts w:ascii="仿宋_GB2312" w:hAnsi="仿宋_GB2312" w:cs="仿宋_GB2312" w:eastAsia="仿宋_GB2312"/>
        </w:rPr>
        <w:t>联系电话：0817-6989655</w:t>
      </w:r>
    </w:p>
    <w:p>
      <w:pPr>
        <w:pStyle w:val="null3"/>
        <w:jc w:val="left"/>
      </w:pPr>
      <w:r>
        <w:rPr>
          <w:rFonts w:ascii="仿宋_GB2312" w:hAnsi="仿宋_GB2312" w:cs="仿宋_GB2312" w:eastAsia="仿宋_GB2312"/>
        </w:rPr>
        <w:t>地址：仪陇县新政镇宏德大道东三段</w:t>
      </w:r>
    </w:p>
    <w:p>
      <w:pPr>
        <w:pStyle w:val="null3"/>
        <w:jc w:val="left"/>
      </w:pPr>
      <w:r>
        <w:rPr>
          <w:rFonts w:ascii="仿宋_GB2312" w:hAnsi="仿宋_GB2312" w:cs="仿宋_GB2312" w:eastAsia="仿宋_GB2312"/>
        </w:rPr>
        <w:t>邮编：637600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315,000.00</w:t>
      </w:r>
    </w:p>
    <w:p>
      <w:pPr>
        <w:pStyle w:val="null3"/>
        <w:jc w:val="left"/>
      </w:pPr>
      <w:r>
        <w:rPr>
          <w:rFonts w:ascii="仿宋_GB2312" w:hAnsi="仿宋_GB2312" w:cs="仿宋_GB2312" w:eastAsia="仿宋_GB2312"/>
        </w:rPr>
        <w:t>采购包最高限价（元）: 315,000.00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A06029900 其他特种用途植物</w:t>
            </w:r>
          </w:p>
        </w:tc>
        <w:tc>
          <w:tcPr>
            <w:tcW w:type="dxa" w:w="821"/>
          </w:tcPr>
          <w:p>
            <w:pPr>
              <w:pStyle w:val="null3"/>
              <w:jc w:val="left"/>
            </w:pPr>
            <w:r>
              <w:rPr>
                <w:rFonts w:ascii="仿宋_GB2312" w:hAnsi="仿宋_GB2312" w:cs="仿宋_GB2312" w:eastAsia="仿宋_GB2312"/>
              </w:rPr>
              <w:t>有机黄花苗</w:t>
            </w:r>
          </w:p>
        </w:tc>
        <w:tc>
          <w:tcPr>
            <w:tcW w:type="dxa" w:w="821"/>
          </w:tcPr>
          <w:p>
            <w:pPr>
              <w:pStyle w:val="null3"/>
              <w:jc w:val="right"/>
            </w:pPr>
            <w:r>
              <w:rPr>
                <w:rFonts w:ascii="仿宋_GB2312" w:hAnsi="仿宋_GB2312" w:cs="仿宋_GB2312" w:eastAsia="仿宋_GB2312"/>
              </w:rPr>
              <w:t>500,000.00（株）</w:t>
            </w:r>
          </w:p>
        </w:tc>
        <w:tc>
          <w:tcPr>
            <w:tcW w:type="dxa" w:w="821"/>
          </w:tcPr>
          <w:p>
            <w:pPr>
              <w:pStyle w:val="null3"/>
              <w:jc w:val="right"/>
            </w:pPr>
            <w:r>
              <w:rPr>
                <w:rFonts w:ascii="仿宋_GB2312" w:hAnsi="仿宋_GB2312" w:cs="仿宋_GB2312" w:eastAsia="仿宋_GB2312"/>
              </w:rPr>
              <w:t>315,000.00</w:t>
            </w:r>
          </w:p>
        </w:tc>
        <w:tc>
          <w:tcPr>
            <w:tcW w:type="dxa" w:w="821"/>
          </w:tcPr>
          <w:p>
            <w:pPr>
              <w:pStyle w:val="null3"/>
              <w:jc w:val="left"/>
            </w:pPr>
            <w:r>
              <w:rPr>
                <w:rFonts w:ascii="仿宋_GB2312" w:hAnsi="仿宋_GB2312" w:cs="仿宋_GB2312" w:eastAsia="仿宋_GB2312"/>
              </w:rPr>
              <w:t>农、林、牧、渔业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有机黄花苗</w:t>
            </w:r>
          </w:p>
        </w:tc>
        <w:tc>
          <w:tcPr>
            <w:tcW w:type="dxa" w:w="1138"/>
          </w:tcPr>
          <w:p>
            <w:pPr>
              <w:pStyle w:val="null3"/>
              <w:jc w:val="center"/>
            </w:pPr>
            <w:r>
              <w:rPr>
                <w:rFonts w:ascii="仿宋_GB2312" w:hAnsi="仿宋_GB2312" w:cs="仿宋_GB2312" w:eastAsia="仿宋_GB2312"/>
              </w:rPr>
              <w:t>500,000.00（株）</w:t>
            </w:r>
          </w:p>
        </w:tc>
        <w:tc>
          <w:tcPr>
            <w:tcW w:type="dxa" w:w="1365"/>
          </w:tcPr>
          <w:p>
            <w:pPr>
              <w:pStyle w:val="null3"/>
              <w:jc w:val="center"/>
            </w:pPr>
            <w:r>
              <w:rPr>
                <w:rFonts w:ascii="仿宋_GB2312" w:hAnsi="仿宋_GB2312" w:cs="仿宋_GB2312" w:eastAsia="仿宋_GB2312"/>
              </w:rPr>
              <w:t>315,000.00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A06029900 其他特种用途植物</w:t>
            </w:r>
          </w:p>
        </w:tc>
        <w:tc>
          <w:tcPr>
            <w:tcW w:type="dxa" w:w="2492"/>
          </w:tcPr>
          <w:p>
            <w:pPr>
              <w:pStyle w:val="null3"/>
              <w:jc w:val="left"/>
            </w:pPr>
            <w:r>
              <w:rPr>
                <w:rFonts w:ascii="仿宋_GB2312" w:hAnsi="仿宋_GB2312" w:cs="仿宋_GB2312" w:eastAsia="仿宋_GB2312"/>
              </w:rPr>
              <w:t>有机黄花苗</w:t>
            </w:r>
          </w:p>
        </w:tc>
        <w:tc>
          <w:tcPr>
            <w:tcW w:type="dxa" w:w="2492"/>
          </w:tcPr>
          <w:p>
            <w:pPr>
              <w:pStyle w:val="null3"/>
              <w:jc w:val="left"/>
            </w:pPr>
            <w:r>
              <w:rPr>
                <w:rFonts w:ascii="仿宋_GB2312" w:hAnsi="仿宋_GB2312" w:cs="仿宋_GB2312" w:eastAsia="仿宋_GB2312"/>
              </w:rPr>
              <w:t>有机黄花苗</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标的名称：有机黄花苗</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一、规格参数</w:t>
            </w:r>
          </w:p>
        </w:tc>
        <w:tc>
          <w:tcPr>
            <w:tcW w:type="dxa" w:w="5814"/>
          </w:tcPr>
          <w:p>
            <w:pPr>
              <w:pStyle w:val="null3"/>
              <w:spacing w:after="120"/>
              <w:ind w:firstLine="420"/>
              <w:jc w:val="both"/>
            </w:pPr>
            <w:r>
              <w:rPr>
                <w:rFonts w:ascii="仿宋_GB2312" w:hAnsi="仿宋_GB2312" w:cs="仿宋_GB2312" w:eastAsia="仿宋_GB2312"/>
                <w:sz w:val="21"/>
              </w:rPr>
              <w:t>(一)形态要求</w:t>
            </w:r>
          </w:p>
          <w:p>
            <w:pPr>
              <w:pStyle w:val="null3"/>
              <w:spacing w:after="120"/>
              <w:ind w:firstLine="420"/>
              <w:jc w:val="both"/>
            </w:pPr>
            <w:r>
              <w:rPr>
                <w:rFonts w:ascii="仿宋_GB2312" w:hAnsi="仿宋_GB2312" w:cs="仿宋_GB2312" w:eastAsia="仿宋_GB2312"/>
                <w:sz w:val="21"/>
              </w:rPr>
              <w:t>形态：植株粗壮饱满，整体呈块状或短圆柱形，无畸形、无徒长，株型规整；色泽呈自然淡黄色或黄褐色，色泽均匀一致，无明显色差、无发黑、无霉变，表面无灰尘、泥沙等杂质附着。</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二</w:t>
            </w:r>
            <w:r>
              <w:rPr>
                <w:rFonts w:ascii="仿宋_GB2312" w:hAnsi="仿宋_GB2312" w:cs="仿宋_GB2312" w:eastAsia="仿宋_GB2312"/>
                <w:sz w:val="21"/>
              </w:rPr>
              <w:t xml:space="preserve">) </w:t>
            </w:r>
            <w:r>
              <w:rPr>
                <w:rFonts w:ascii="仿宋_GB2312" w:hAnsi="仿宋_GB2312" w:cs="仿宋_GB2312" w:eastAsia="仿宋_GB2312"/>
                <w:sz w:val="24"/>
              </w:rPr>
              <w:t>根系要求</w:t>
            </w:r>
          </w:p>
          <w:p>
            <w:pPr>
              <w:pStyle w:val="null3"/>
              <w:spacing w:after="120"/>
              <w:ind w:firstLine="420"/>
              <w:jc w:val="both"/>
            </w:pPr>
            <w:r>
              <w:rPr>
                <w:rFonts w:ascii="仿宋_GB2312" w:hAnsi="仿宋_GB2312" w:cs="仿宋_GB2312" w:eastAsia="仿宋_GB2312"/>
                <w:sz w:val="21"/>
              </w:rPr>
              <w:t>1.</w:t>
            </w:r>
            <w:r>
              <w:rPr>
                <w:rFonts w:ascii="仿宋_GB2312" w:hAnsi="仿宋_GB2312" w:cs="仿宋_GB2312" w:eastAsia="仿宋_GB2312"/>
                <w:sz w:val="21"/>
              </w:rPr>
              <w:t>根须完整性：须具备完整、发达的根须系统，无断根、少根、烂根现象，根须分布均匀，附着少量原生土壤（便于定植存活）。</w:t>
            </w:r>
          </w:p>
          <w:p>
            <w:pPr>
              <w:pStyle w:val="null3"/>
              <w:spacing w:after="120"/>
              <w:ind w:firstLine="210"/>
              <w:jc w:val="both"/>
            </w:pPr>
            <w:r>
              <w:rPr>
                <w:rFonts w:ascii="仿宋_GB2312" w:hAnsi="仿宋_GB2312" w:cs="仿宋_GB2312" w:eastAsia="仿宋_GB2312"/>
                <w:sz w:val="21"/>
              </w:rPr>
              <w:t>2.根须数量与长度：单株根须数量严格不少于 8 根，且其中不少于 8 根根须长度均大于 8cm；根须鲜活有韧性，手触不易折断，断面呈乳白色、无褐变，无空心、腐烂迹象。根须长度测量允许误差 ±0.5cm。</w:t>
            </w:r>
          </w:p>
          <w:p>
            <w:pPr>
              <w:pStyle w:val="null3"/>
              <w:jc w:val="left"/>
            </w:pPr>
            <w:r>
              <w:rPr>
                <w:rFonts w:ascii="仿宋_GB2312" w:hAnsi="仿宋_GB2312" w:cs="仿宋_GB2312" w:eastAsia="仿宋_GB2312"/>
                <w:sz w:val="21"/>
              </w:rPr>
              <w:t>（三）芽体与植株健康要求</w:t>
            </w:r>
          </w:p>
          <w:p>
            <w:pPr>
              <w:pStyle w:val="null3"/>
              <w:spacing w:after="120"/>
              <w:ind w:firstLine="420"/>
              <w:jc w:val="both"/>
            </w:pPr>
            <w:r>
              <w:rPr>
                <w:rFonts w:ascii="仿宋_GB2312" w:hAnsi="仿宋_GB2312" w:cs="仿宋_GB2312" w:eastAsia="仿宋_GB2312"/>
                <w:sz w:val="21"/>
              </w:rPr>
              <w:t>1. 分蘖芽：单株须具备2-3个饱满分蘖芽，芽体大小均匀，无破损、无枯萎、无冻伤，芽尖鲜活，未萌发或初萌发（萌发长度不超过1cm），具备良好的生长潜力。</w:t>
            </w:r>
          </w:p>
          <w:p>
            <w:pPr>
              <w:pStyle w:val="null3"/>
              <w:spacing w:after="120"/>
              <w:ind w:firstLine="420"/>
              <w:jc w:val="both"/>
            </w:pPr>
            <w:r>
              <w:rPr>
                <w:rFonts w:ascii="仿宋_GB2312" w:hAnsi="仿宋_GB2312" w:cs="仿宋_GB2312" w:eastAsia="仿宋_GB2312"/>
                <w:sz w:val="21"/>
              </w:rPr>
              <w:t>2. 主茎与根系：主茎粗壮、直立，无机械损伤、无折断、无缢缩，茎秆表面光滑，无病斑、无虫蛀痕迹、无流胶现象；根系无严重劈裂，劈裂长度不超过2cm（且未伤及主根），无病斑、无虫伤、无虫卵附着，无腐烂根系。</w:t>
            </w:r>
          </w:p>
          <w:p>
            <w:pPr>
              <w:pStyle w:val="null3"/>
              <w:spacing w:after="120"/>
              <w:jc w:val="both"/>
            </w:pPr>
            <w:r>
              <w:rPr>
                <w:rFonts w:ascii="仿宋_GB2312" w:hAnsi="仿宋_GB2312" w:cs="仿宋_GB2312" w:eastAsia="仿宋_GB2312"/>
                <w:sz w:val="21"/>
              </w:rPr>
              <w:t>（四）生长周期要求</w:t>
            </w:r>
          </w:p>
          <w:p>
            <w:pPr>
              <w:pStyle w:val="null3"/>
              <w:spacing w:after="120"/>
              <w:ind w:firstLine="420"/>
              <w:jc w:val="both"/>
            </w:pPr>
            <w:r>
              <w:rPr>
                <w:rFonts w:ascii="仿宋_GB2312" w:hAnsi="仿宋_GB2312" w:cs="仿宋_GB2312" w:eastAsia="仿宋_GB2312"/>
                <w:sz w:val="21"/>
              </w:rPr>
              <w:t>单株种苗生长周期严</w:t>
            </w:r>
            <w:r>
              <w:rPr>
                <w:rFonts w:ascii="仿宋_GB2312" w:hAnsi="仿宋_GB2312" w:cs="仿宋_GB2312" w:eastAsia="仿宋_GB2312"/>
                <w:sz w:val="21"/>
              </w:rPr>
              <w:t>格满足</w:t>
            </w:r>
            <w:r>
              <w:rPr>
                <w:rFonts w:ascii="仿宋_GB2312" w:hAnsi="仿宋_GB2312" w:cs="仿宋_GB2312" w:eastAsia="仿宋_GB2312"/>
                <w:sz w:val="21"/>
              </w:rPr>
              <w:t>3年及以上</w:t>
            </w:r>
            <w:r>
              <w:rPr>
                <w:rFonts w:ascii="仿宋_GB2312" w:hAnsi="仿宋_GB2312" w:cs="仿宋_GB2312" w:eastAsia="仿宋_GB2312"/>
                <w:sz w:val="21"/>
              </w:rPr>
              <w:t>，确保种苗生长成熟、抗逆性强、定植成活率高。</w:t>
            </w:r>
          </w:p>
          <w:p>
            <w:pPr>
              <w:pStyle w:val="null3"/>
              <w:spacing w:after="120"/>
              <w:jc w:val="both"/>
            </w:pPr>
            <w:r>
              <w:rPr>
                <w:rFonts w:ascii="仿宋_GB2312" w:hAnsi="仿宋_GB2312" w:cs="仿宋_GB2312" w:eastAsia="仿宋_GB2312"/>
                <w:sz w:val="21"/>
              </w:rPr>
              <w:t>（五）</w:t>
            </w:r>
            <w:r>
              <w:rPr>
                <w:rFonts w:ascii="仿宋_GB2312" w:hAnsi="仿宋_GB2312" w:cs="仿宋_GB2312" w:eastAsia="仿宋_GB2312"/>
                <w:sz w:val="21"/>
              </w:rPr>
              <w:t>纯度与检疫要求</w:t>
            </w:r>
          </w:p>
          <w:p>
            <w:pPr>
              <w:pStyle w:val="null3"/>
              <w:spacing w:after="120"/>
              <w:ind w:firstLine="630"/>
              <w:jc w:val="both"/>
            </w:pPr>
            <w:r>
              <w:rPr>
                <w:rFonts w:ascii="仿宋_GB2312" w:hAnsi="仿宋_GB2312" w:cs="仿宋_GB2312" w:eastAsia="仿宋_GB2312"/>
                <w:sz w:val="21"/>
              </w:rPr>
              <w:t>1.</w:t>
            </w:r>
            <w:r>
              <w:rPr>
                <w:rFonts w:ascii="仿宋_GB2312" w:hAnsi="仿宋_GB2312" w:cs="仿宋_GB2312" w:eastAsia="仿宋_GB2312"/>
                <w:sz w:val="21"/>
              </w:rPr>
              <w:t>品种纯度</w:t>
            </w:r>
            <w:r>
              <w:rPr>
                <w:rFonts w:ascii="仿宋_GB2312" w:hAnsi="仿宋_GB2312" w:cs="仿宋_GB2312" w:eastAsia="仿宋_GB2312"/>
                <w:sz w:val="21"/>
              </w:rPr>
              <w:t>：</w:t>
            </w:r>
            <w:r>
              <w:rPr>
                <w:rFonts w:ascii="仿宋_GB2312" w:hAnsi="仿宋_GB2312" w:cs="仿宋_GB2312" w:eastAsia="仿宋_GB2312"/>
                <w:sz w:val="21"/>
              </w:rPr>
              <w:t>品种纯度不低于</w:t>
            </w:r>
            <w:r>
              <w:rPr>
                <w:rFonts w:ascii="仿宋_GB2312" w:hAnsi="仿宋_GB2312" w:cs="仿宋_GB2312" w:eastAsia="仿宋_GB2312"/>
                <w:sz w:val="21"/>
              </w:rPr>
              <w:t>98%，无其他黄花苗品种混杂，无杂草种苗、杂苗混入，纯度鉴定需符合相关行业标准。</w:t>
            </w:r>
          </w:p>
          <w:p>
            <w:pPr>
              <w:pStyle w:val="null3"/>
              <w:spacing w:after="120"/>
              <w:ind w:firstLine="630"/>
              <w:jc w:val="both"/>
            </w:pPr>
            <w:r>
              <w:rPr>
                <w:rFonts w:ascii="仿宋_GB2312" w:hAnsi="仿宋_GB2312" w:cs="仿宋_GB2312" w:eastAsia="仿宋_GB2312"/>
                <w:sz w:val="21"/>
              </w:rPr>
              <w:t>2.</w:t>
            </w:r>
            <w:r>
              <w:rPr>
                <w:rFonts w:ascii="仿宋_GB2312" w:hAnsi="仿宋_GB2312" w:cs="仿宋_GB2312" w:eastAsia="仿宋_GB2312"/>
                <w:sz w:val="21"/>
              </w:rPr>
              <w:t>检疫要求</w:t>
            </w:r>
            <w:r>
              <w:rPr>
                <w:rFonts w:ascii="仿宋_GB2312" w:hAnsi="仿宋_GB2312" w:cs="仿宋_GB2312" w:eastAsia="仿宋_GB2312"/>
                <w:sz w:val="21"/>
              </w:rPr>
              <w:t>：</w:t>
            </w:r>
            <w:r>
              <w:rPr>
                <w:rFonts w:ascii="仿宋_GB2312" w:hAnsi="仿宋_GB2312" w:cs="仿宋_GB2312" w:eastAsia="仿宋_GB2312"/>
                <w:sz w:val="21"/>
              </w:rPr>
              <w:t>不携带国家规定的植物检疫性有害生物（包括但不限于根瘤线虫、枯萎病病菌、蚜虫卵、红蜘蛛等），无恶性杂草根系混杂、无杂草种子附着；供应商需提供县级及以上植物检疫部门</w:t>
            </w:r>
            <w:r>
              <w:rPr>
                <w:rFonts w:ascii="仿宋_GB2312" w:hAnsi="仿宋_GB2312" w:cs="仿宋_GB2312" w:eastAsia="仿宋_GB2312"/>
                <w:sz w:val="21"/>
              </w:rPr>
              <w:t>出具的《植物检疫合格证》（原件备查，复印件加盖供应商公章），</w:t>
            </w:r>
            <w:r>
              <w:rPr>
                <w:rFonts w:ascii="仿宋_GB2312" w:hAnsi="仿宋_GB2312" w:cs="仿宋_GB2312" w:eastAsia="仿宋_GB2312"/>
                <w:sz w:val="21"/>
              </w:rPr>
              <w:t>检疫结果需明确符合本项目要求</w:t>
            </w:r>
          </w:p>
          <w:p>
            <w:pPr>
              <w:pStyle w:val="null3"/>
              <w:spacing w:after="120"/>
              <w:ind w:firstLine="420"/>
              <w:jc w:val="both"/>
            </w:pPr>
            <w:r>
              <w:rPr>
                <w:rFonts w:ascii="仿宋_GB2312" w:hAnsi="仿宋_GB2312" w:cs="仿宋_GB2312" w:eastAsia="仿宋_GB2312"/>
                <w:sz w:val="21"/>
              </w:rPr>
              <w:t>（六）价格要求每株苗价格</w:t>
            </w:r>
            <w:r>
              <w:rPr>
                <w:rFonts w:ascii="仿宋_GB2312" w:hAnsi="仿宋_GB2312" w:cs="仿宋_GB2312" w:eastAsia="仿宋_GB2312"/>
                <w:sz w:val="21"/>
              </w:rPr>
              <w:t>不高于</w:t>
            </w:r>
            <w:r>
              <w:rPr>
                <w:rFonts w:ascii="仿宋_GB2312" w:hAnsi="仿宋_GB2312" w:cs="仿宋_GB2312" w:eastAsia="仿宋_GB2312"/>
                <w:sz w:val="21"/>
              </w:rPr>
              <w:t>0.63</w:t>
            </w:r>
            <w:r>
              <w:rPr>
                <w:rFonts w:ascii="仿宋_GB2312" w:hAnsi="仿宋_GB2312" w:cs="仿宋_GB2312" w:eastAsia="仿宋_GB2312"/>
                <w:sz w:val="21"/>
              </w:rPr>
              <w:t>元</w:t>
            </w:r>
            <w:r>
              <w:rPr>
                <w:rFonts w:ascii="仿宋_GB2312" w:hAnsi="仿宋_GB2312" w:cs="仿宋_GB2312" w:eastAsia="仿宋_GB2312"/>
                <w:sz w:val="21"/>
              </w:rPr>
              <w:t>，此价格为全包价，包含种苗本身费用、有机认证相关费用、检疫费用、包装费用、运输费用（含长途运输、短途转运）、装卸费用、税费（增值税专用发票）及运输过程中的保湿、防护等所有相关费用，采购人无需额外支付任何费用；供应商需承诺，若实际采购数量增加，单株价格不高于此标准，且价格调整需经采购人书面确认。</w:t>
            </w:r>
            <w:r>
              <w:rPr>
                <w:rFonts w:ascii="仿宋_GB2312" w:hAnsi="仿宋_GB2312" w:cs="仿宋_GB2312" w:eastAsia="仿宋_GB2312"/>
                <w:sz w:val="21"/>
              </w:rPr>
              <w:t>（</w:t>
            </w:r>
            <w:r>
              <w:rPr>
                <w:rFonts w:ascii="仿宋_GB2312" w:hAnsi="仿宋_GB2312" w:cs="仿宋_GB2312" w:eastAsia="仿宋_GB2312"/>
                <w:sz w:val="21"/>
              </w:rPr>
              <w:t>提供承诺函，格式自拟</w:t>
            </w:r>
            <w:r>
              <w:rPr>
                <w:rFonts w:ascii="仿宋_GB2312" w:hAnsi="仿宋_GB2312" w:cs="仿宋_GB2312" w:eastAsia="仿宋_GB2312"/>
                <w:sz w:val="21"/>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二、 基本要求</w:t>
            </w:r>
          </w:p>
        </w:tc>
        <w:tc>
          <w:tcPr>
            <w:tcW w:type="dxa" w:w="5814"/>
          </w:tcPr>
          <w:p>
            <w:pPr>
              <w:pStyle w:val="null3"/>
              <w:spacing w:after="120"/>
              <w:ind w:firstLine="420"/>
              <w:jc w:val="both"/>
            </w:pPr>
            <w:r>
              <w:rPr>
                <w:rFonts w:ascii="仿宋_GB2312" w:hAnsi="仿宋_GB2312" w:cs="仿宋_GB2312" w:eastAsia="仿宋_GB2312"/>
                <w:sz w:val="21"/>
              </w:rPr>
              <w:t>（一）</w:t>
            </w:r>
            <w:r>
              <w:rPr>
                <w:rFonts w:ascii="仿宋_GB2312" w:hAnsi="仿宋_GB2312" w:cs="仿宋_GB2312" w:eastAsia="仿宋_GB2312"/>
                <w:sz w:val="21"/>
              </w:rPr>
              <w:t>品种纯度：</w:t>
            </w:r>
            <w:r>
              <w:rPr>
                <w:rFonts w:ascii="仿宋_GB2312" w:hAnsi="仿宋_GB2312" w:cs="仿宋_GB2312" w:eastAsia="仿宋_GB2312"/>
                <w:sz w:val="21"/>
              </w:rPr>
              <w:t>≥98%</w:t>
            </w:r>
            <w:r>
              <w:rPr>
                <w:rFonts w:ascii="仿宋_GB2312" w:hAnsi="仿宋_GB2312" w:cs="仿宋_GB2312" w:eastAsia="仿宋_GB2312"/>
                <w:sz w:val="21"/>
              </w:rPr>
              <w:t>，</w:t>
            </w:r>
            <w:r>
              <w:rPr>
                <w:rFonts w:ascii="仿宋_GB2312" w:hAnsi="仿宋_GB2312" w:cs="仿宋_GB2312" w:eastAsia="仿宋_GB2312"/>
                <w:sz w:val="21"/>
              </w:rPr>
              <w:t>严格按照本项目规格参数中品种要求执行，经抽样检验，纯度未达到标准的，采购人有权拒收全部种苗，且供应商需承担由此造成的一切损失。</w:t>
            </w:r>
          </w:p>
          <w:p>
            <w:pPr>
              <w:pStyle w:val="null3"/>
              <w:spacing w:after="120"/>
              <w:ind w:firstLine="420"/>
              <w:jc w:val="both"/>
            </w:pPr>
            <w:r>
              <w:rPr>
                <w:rFonts w:ascii="仿宋_GB2312" w:hAnsi="仿宋_GB2312" w:cs="仿宋_GB2312" w:eastAsia="仿宋_GB2312"/>
                <w:sz w:val="21"/>
              </w:rPr>
              <w:t>（二）</w:t>
            </w:r>
            <w:r>
              <w:rPr>
                <w:rFonts w:ascii="仿宋_GB2312" w:hAnsi="仿宋_GB2312" w:cs="仿宋_GB2312" w:eastAsia="仿宋_GB2312"/>
                <w:sz w:val="21"/>
              </w:rPr>
              <w:t>检疫对象：</w:t>
            </w:r>
            <w:r>
              <w:rPr>
                <w:rFonts w:ascii="仿宋_GB2312" w:hAnsi="仿宋_GB2312" w:cs="仿宋_GB2312" w:eastAsia="仿宋_GB2312"/>
                <w:sz w:val="21"/>
              </w:rPr>
              <w:t>1.种苗不得携带国家规定的各类植物检疫性有害生物，重点排查根瘤线虫、枯萎病、根腐病等对黄花苗生长危害较大的病虫害，无病虫害症状、无虫卵、无病菌残</w:t>
            </w:r>
            <w:r>
              <w:rPr>
                <w:rFonts w:ascii="仿宋_GB2312" w:hAnsi="仿宋_GB2312" w:cs="仿宋_GB2312" w:eastAsia="仿宋_GB2312"/>
                <w:sz w:val="21"/>
              </w:rPr>
              <w:t>留</w:t>
            </w:r>
            <w:r>
              <w:rPr>
                <w:rFonts w:ascii="仿宋_GB2312" w:hAnsi="仿宋_GB2312" w:cs="仿宋_GB2312" w:eastAsia="仿宋_GB2312"/>
                <w:sz w:val="21"/>
              </w:rPr>
              <w:t>。</w:t>
            </w:r>
          </w:p>
          <w:p>
            <w:pPr>
              <w:pStyle w:val="null3"/>
              <w:spacing w:after="120"/>
              <w:ind w:firstLine="420"/>
              <w:jc w:val="both"/>
            </w:pPr>
            <w:r>
              <w:rPr>
                <w:rFonts w:ascii="仿宋_GB2312" w:hAnsi="仿宋_GB2312" w:cs="仿宋_GB2312" w:eastAsia="仿宋_GB2312"/>
                <w:sz w:val="21"/>
              </w:rPr>
              <w:t>2.供应商需承诺，若种苗经检疫部门复检发现携带检疫性有害生物，将无条件退换货，并承担采购人因此产生的全部损失（包括但不限于复检费用、种植延误损失等）</w:t>
            </w:r>
            <w:r>
              <w:rPr>
                <w:rFonts w:ascii="仿宋_GB2312" w:hAnsi="仿宋_GB2312" w:cs="仿宋_GB2312" w:eastAsia="仿宋_GB2312"/>
                <w:sz w:val="21"/>
              </w:rPr>
              <w:t>（</w:t>
            </w:r>
            <w:r>
              <w:rPr>
                <w:rFonts w:ascii="仿宋_GB2312" w:hAnsi="仿宋_GB2312" w:cs="仿宋_GB2312" w:eastAsia="仿宋_GB2312"/>
                <w:sz w:val="21"/>
              </w:rPr>
              <w:t>提供承诺函，格式自拟</w:t>
            </w:r>
            <w:r>
              <w:rPr>
                <w:rFonts w:ascii="仿宋_GB2312" w:hAnsi="仿宋_GB2312" w:cs="仿宋_GB2312" w:eastAsia="仿宋_GB2312"/>
                <w:sz w:val="21"/>
              </w:rPr>
              <w:t>）</w:t>
            </w:r>
            <w:r>
              <w:rPr>
                <w:rFonts w:ascii="仿宋_GB2312" w:hAnsi="仿宋_GB2312" w:cs="仿宋_GB2312" w:eastAsia="仿宋_GB2312"/>
                <w:sz w:val="21"/>
              </w:rPr>
              <w:t>。</w:t>
            </w:r>
          </w:p>
          <w:p>
            <w:pPr>
              <w:pStyle w:val="null3"/>
              <w:spacing w:after="120"/>
              <w:ind w:firstLine="420"/>
              <w:jc w:val="both"/>
            </w:pPr>
            <w:r>
              <w:rPr>
                <w:rFonts w:ascii="仿宋_GB2312" w:hAnsi="仿宋_GB2312" w:cs="仿宋_GB2312" w:eastAsia="仿宋_GB2312"/>
                <w:sz w:val="21"/>
              </w:rPr>
              <w:t>（三）</w:t>
            </w:r>
            <w:r>
              <w:rPr>
                <w:rFonts w:ascii="仿宋_GB2312" w:hAnsi="仿宋_GB2312" w:cs="仿宋_GB2312" w:eastAsia="仿宋_GB2312"/>
                <w:sz w:val="21"/>
              </w:rPr>
              <w:t>健康状况：</w:t>
            </w:r>
            <w:r>
              <w:rPr>
                <w:rFonts w:ascii="仿宋_GB2312" w:hAnsi="仿宋_GB2312" w:cs="仿宋_GB2312" w:eastAsia="仿宋_GB2312"/>
                <w:sz w:val="21"/>
              </w:rPr>
              <w:t>1.种苗整体健康，无腐烂、无霉变、无异味，根系、茎秆、芽体无坏死部位，无明显损伤痕迹。</w:t>
            </w:r>
          </w:p>
          <w:p>
            <w:pPr>
              <w:pStyle w:val="null3"/>
              <w:spacing w:after="120"/>
              <w:ind w:firstLine="420"/>
              <w:jc w:val="both"/>
            </w:pPr>
            <w:r>
              <w:rPr>
                <w:rFonts w:ascii="仿宋_GB2312" w:hAnsi="仿宋_GB2312" w:cs="仿宋_GB2312" w:eastAsia="仿宋_GB2312"/>
                <w:sz w:val="21"/>
              </w:rPr>
              <w:t>2.无恶性杂草根系混杂、无杂草种子附着，无其他有害杂物（如石块、枯枝、垃圾等）混入，确保种苗纯度和种植安全性。</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三、 检验方法</w:t>
            </w:r>
          </w:p>
        </w:tc>
        <w:tc>
          <w:tcPr>
            <w:tcW w:type="dxa" w:w="5814"/>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一</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抽样</w:t>
            </w:r>
          </w:p>
          <w:p>
            <w:pPr>
              <w:pStyle w:val="null3"/>
              <w:spacing w:after="120"/>
              <w:ind w:firstLine="420"/>
              <w:jc w:val="both"/>
            </w:pPr>
            <w:r>
              <w:rPr>
                <w:rFonts w:ascii="仿宋_GB2312" w:hAnsi="仿宋_GB2312" w:cs="仿宋_GB2312" w:eastAsia="仿宋_GB2312"/>
                <w:sz w:val="21"/>
              </w:rPr>
              <w:t>按同一品种、同一批次、同一等级进行抽样</w:t>
            </w:r>
            <w:r>
              <w:rPr>
                <w:rFonts w:ascii="仿宋_GB2312" w:hAnsi="仿宋_GB2312" w:cs="仿宋_GB2312" w:eastAsia="仿宋_GB2312"/>
                <w:sz w:val="21"/>
              </w:rPr>
              <w:t>，</w:t>
            </w:r>
            <w:r>
              <w:rPr>
                <w:rFonts w:ascii="仿宋_GB2312" w:hAnsi="仿宋_GB2312" w:cs="仿宋_GB2312" w:eastAsia="仿宋_GB2312"/>
                <w:sz w:val="21"/>
              </w:rPr>
              <w:t>不同批次、不同等级的种苗分别抽样检验，不得混合抽样。采用随机抽样法，抽样比例不低于总量的</w:t>
            </w:r>
            <w:r>
              <w:rPr>
                <w:rFonts w:ascii="仿宋_GB2312" w:hAnsi="仿宋_GB2312" w:cs="仿宋_GB2312" w:eastAsia="仿宋_GB2312"/>
                <w:sz w:val="21"/>
              </w:rPr>
              <w:t>5%。</w:t>
            </w:r>
          </w:p>
          <w:p>
            <w:pPr>
              <w:pStyle w:val="null3"/>
              <w:spacing w:after="120"/>
              <w:ind w:firstLine="420"/>
              <w:jc w:val="both"/>
            </w:pPr>
            <w:r>
              <w:rPr>
                <w:rFonts w:ascii="仿宋_GB2312" w:hAnsi="仿宋_GB2312" w:cs="仿宋_GB2312" w:eastAsia="仿宋_GB2312"/>
                <w:sz w:val="21"/>
              </w:rPr>
              <w:t>（二）</w:t>
            </w:r>
            <w:r>
              <w:rPr>
                <w:rFonts w:ascii="仿宋_GB2312" w:hAnsi="仿宋_GB2312" w:cs="仿宋_GB2312" w:eastAsia="仿宋_GB2312"/>
                <w:sz w:val="21"/>
              </w:rPr>
              <w:t>检验</w:t>
            </w:r>
          </w:p>
          <w:p>
            <w:pPr>
              <w:pStyle w:val="null3"/>
              <w:spacing w:after="120"/>
              <w:ind w:firstLine="420"/>
              <w:jc w:val="both"/>
            </w:pPr>
            <w:r>
              <w:rPr>
                <w:rFonts w:ascii="仿宋_GB2312" w:hAnsi="仿宋_GB2312" w:cs="仿宋_GB2312" w:eastAsia="仿宋_GB2312"/>
                <w:sz w:val="21"/>
              </w:rPr>
              <w:t>1.感官检验：在自然光、无遮挡、光线充足的环境下，由2名及以上检验人员共同通过目测、手触方式检验，重点检查种苗的形态、色泽、新鲜度、损伤情况及病虫害迹象；目测观察色泽是否均匀、有无畸形、腐烂、病斑，手触检查根须韧性、茎秆硬度、芽体饱满度，判断种苗鲜活程度。</w:t>
            </w:r>
          </w:p>
          <w:p>
            <w:pPr>
              <w:pStyle w:val="null3"/>
              <w:spacing w:after="120"/>
              <w:ind w:firstLine="420"/>
              <w:jc w:val="both"/>
            </w:pPr>
            <w:r>
              <w:rPr>
                <w:rFonts w:ascii="仿宋_GB2312" w:hAnsi="仿宋_GB2312" w:cs="仿宋_GB2312" w:eastAsia="仿宋_GB2312"/>
                <w:sz w:val="21"/>
              </w:rPr>
              <w:t>2.</w:t>
            </w:r>
            <w:r>
              <w:rPr>
                <w:rFonts w:ascii="仿宋_GB2312" w:hAnsi="仿宋_GB2312" w:cs="仿宋_GB2312" w:eastAsia="仿宋_GB2312"/>
                <w:sz w:val="21"/>
              </w:rPr>
              <w:t>品种纯度检验：依据该品种的典型特征</w:t>
            </w:r>
            <w:r>
              <w:rPr>
                <w:rFonts w:ascii="仿宋_GB2312" w:hAnsi="仿宋_GB2312" w:cs="仿宋_GB2312" w:eastAsia="仿宋_GB2312"/>
                <w:sz w:val="21"/>
              </w:rPr>
              <w:t>(如</w:t>
            </w:r>
            <w:r>
              <w:rPr>
                <w:rFonts w:ascii="仿宋_GB2312" w:hAnsi="仿宋_GB2312" w:cs="仿宋_GB2312" w:eastAsia="仿宋_GB2312"/>
                <w:sz w:val="21"/>
              </w:rPr>
              <w:t>叶</w:t>
            </w:r>
            <w:r>
              <w:rPr>
                <w:rFonts w:ascii="仿宋_GB2312" w:hAnsi="仿宋_GB2312" w:cs="仿宋_GB2312" w:eastAsia="仿宋_GB2312"/>
                <w:sz w:val="21"/>
              </w:rPr>
              <w:t>片形状、株型等</w:t>
            </w:r>
            <w:r>
              <w:rPr>
                <w:rFonts w:ascii="仿宋_GB2312" w:hAnsi="仿宋_GB2312" w:cs="仿宋_GB2312" w:eastAsia="仿宋_GB2312"/>
                <w:sz w:val="21"/>
              </w:rPr>
              <w:t>)进行鉴定。</w:t>
            </w:r>
          </w:p>
          <w:p>
            <w:pPr>
              <w:pStyle w:val="null3"/>
              <w:spacing w:after="120"/>
              <w:ind w:firstLine="420"/>
              <w:jc w:val="both"/>
            </w:pPr>
            <w:r>
              <w:rPr>
                <w:rFonts w:ascii="仿宋_GB2312" w:hAnsi="仿宋_GB2312" w:cs="仿宋_GB2312" w:eastAsia="仿宋_GB2312"/>
                <w:sz w:val="21"/>
              </w:rPr>
              <w:t>3.测量：使用精度0.1g的天平秤量单茎重；使用直尺测量根系长度和分</w:t>
            </w:r>
            <w:r>
              <w:rPr>
                <w:rFonts w:ascii="仿宋_GB2312" w:hAnsi="仿宋_GB2312" w:cs="仿宋_GB2312" w:eastAsia="仿宋_GB2312"/>
                <w:sz w:val="21"/>
              </w:rPr>
              <w:t>蘖</w:t>
            </w:r>
            <w:r>
              <w:rPr>
                <w:rFonts w:ascii="仿宋_GB2312" w:hAnsi="仿宋_GB2312" w:cs="仿宋_GB2312" w:eastAsia="仿宋_GB2312"/>
                <w:sz w:val="21"/>
              </w:rPr>
              <w:t>高度。</w:t>
            </w:r>
          </w:p>
          <w:p>
            <w:pPr>
              <w:pStyle w:val="null3"/>
              <w:spacing w:after="120"/>
              <w:ind w:firstLine="420"/>
              <w:jc w:val="both"/>
            </w:pPr>
            <w:r>
              <w:rPr>
                <w:rFonts w:ascii="仿宋_GB2312" w:hAnsi="仿宋_GB2312" w:cs="仿宋_GB2312" w:eastAsia="仿宋_GB2312"/>
                <w:sz w:val="21"/>
              </w:rPr>
              <w:t>4.</w:t>
            </w:r>
            <w:r>
              <w:rPr>
                <w:rFonts w:ascii="仿宋_GB2312" w:hAnsi="仿宋_GB2312" w:cs="仿宋_GB2312" w:eastAsia="仿宋_GB2312"/>
                <w:sz w:val="21"/>
              </w:rPr>
              <w:t>检疫：由植物检疫部门按相关规定进行。</w:t>
            </w:r>
          </w:p>
          <w:p>
            <w:pPr>
              <w:pStyle w:val="null3"/>
              <w:spacing w:after="120"/>
              <w:ind w:firstLine="420"/>
              <w:jc w:val="both"/>
            </w:pPr>
            <w:r>
              <w:rPr>
                <w:rFonts w:ascii="仿宋_GB2312" w:hAnsi="仿宋_GB2312" w:cs="仿宋_GB2312" w:eastAsia="仿宋_GB2312"/>
                <w:sz w:val="21"/>
              </w:rPr>
              <w:t>（三）</w:t>
            </w:r>
            <w:r>
              <w:rPr>
                <w:rFonts w:ascii="仿宋_GB2312" w:hAnsi="仿宋_GB2312" w:cs="仿宋_GB2312" w:eastAsia="仿宋_GB2312"/>
                <w:sz w:val="21"/>
              </w:rPr>
              <w:t>包装、标识与运输</w:t>
            </w:r>
          </w:p>
          <w:p>
            <w:pPr>
              <w:pStyle w:val="null3"/>
              <w:spacing w:after="120"/>
              <w:ind w:firstLine="420"/>
              <w:jc w:val="both"/>
            </w:pPr>
            <w:r>
              <w:rPr>
                <w:rFonts w:ascii="仿宋_GB2312" w:hAnsi="仿宋_GB2312" w:cs="仿宋_GB2312" w:eastAsia="仿宋_GB2312"/>
                <w:sz w:val="21"/>
              </w:rPr>
              <w:t>1.</w:t>
            </w:r>
            <w:r>
              <w:rPr>
                <w:rFonts w:ascii="仿宋_GB2312" w:hAnsi="仿宋_GB2312" w:cs="仿宋_GB2312" w:eastAsia="仿宋_GB2312"/>
                <w:sz w:val="21"/>
              </w:rPr>
              <w:t>包装采用透气、保湿的包装材料、如网麻袋或有孔塑料</w:t>
            </w:r>
            <w:r>
              <w:rPr>
                <w:rFonts w:ascii="仿宋_GB2312" w:hAnsi="仿宋_GB2312" w:cs="仿宋_GB2312" w:eastAsia="仿宋_GB2312"/>
                <w:sz w:val="21"/>
              </w:rPr>
              <w:t>箱，</w:t>
            </w:r>
            <w:r>
              <w:rPr>
                <w:rFonts w:ascii="仿宋_GB2312" w:hAnsi="仿宋_GB2312" w:cs="仿宋_GB2312" w:eastAsia="仿宋_GB2312"/>
                <w:sz w:val="21"/>
              </w:rPr>
              <w:t>每袋数量一致，通常以</w:t>
            </w:r>
            <w:r>
              <w:rPr>
                <w:rFonts w:ascii="仿宋_GB2312" w:hAnsi="仿宋_GB2312" w:cs="仿宋_GB2312" w:eastAsia="仿宋_GB2312"/>
                <w:sz w:val="21"/>
              </w:rPr>
              <w:t>800株或1000株为一袋，捆扎松紧适度，避免损伤芽体</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长途运输时，可在根系部分添加少量保湿材料</w:t>
            </w:r>
            <w:r>
              <w:rPr>
                <w:rFonts w:ascii="仿宋_GB2312" w:hAnsi="仿宋_GB2312" w:cs="仿宋_GB2312" w:eastAsia="仿宋_GB2312"/>
                <w:sz w:val="21"/>
              </w:rPr>
              <w:t>(如强润苔藓或锯末)。</w:t>
            </w:r>
          </w:p>
          <w:p>
            <w:pPr>
              <w:pStyle w:val="null3"/>
              <w:spacing w:after="120"/>
              <w:ind w:firstLine="420"/>
              <w:jc w:val="both"/>
            </w:pPr>
            <w:r>
              <w:rPr>
                <w:rFonts w:ascii="仿宋_GB2312" w:hAnsi="仿宋_GB2312" w:cs="仿宋_GB2312" w:eastAsia="仿宋_GB2312"/>
                <w:sz w:val="21"/>
              </w:rPr>
              <w:t>2.</w:t>
            </w:r>
            <w:r>
              <w:rPr>
                <w:rFonts w:ascii="仿宋_GB2312" w:hAnsi="仿宋_GB2312" w:cs="仿宋_GB2312" w:eastAsia="仿宋_GB2312"/>
                <w:sz w:val="21"/>
              </w:rPr>
              <w:t>标识</w:t>
            </w:r>
          </w:p>
          <w:p>
            <w:pPr>
              <w:pStyle w:val="null3"/>
              <w:spacing w:after="120"/>
              <w:ind w:firstLine="420"/>
              <w:jc w:val="both"/>
            </w:pPr>
            <w:r>
              <w:rPr>
                <w:rFonts w:ascii="仿宋_GB2312" w:hAnsi="仿宋_GB2312" w:cs="仿宋_GB2312" w:eastAsia="仿宋_GB2312"/>
                <w:sz w:val="21"/>
              </w:rPr>
              <w:t>每捆种苗或包装袋上应附有清晰、牢固的标签，内密包括</w:t>
            </w:r>
            <w:r>
              <w:rPr>
                <w:rFonts w:ascii="仿宋_GB2312" w:hAnsi="仿宋_GB2312" w:cs="仿宋_GB2312" w:eastAsia="仿宋_GB2312"/>
                <w:sz w:val="21"/>
              </w:rPr>
              <w:t>：</w:t>
            </w:r>
          </w:p>
          <w:p>
            <w:pPr>
              <w:pStyle w:val="null3"/>
              <w:spacing w:after="120"/>
              <w:ind w:firstLine="420"/>
              <w:jc w:val="both"/>
            </w:pPr>
            <w:r>
              <w:rPr>
                <w:rFonts w:ascii="仿宋_GB2312" w:hAnsi="仿宋_GB2312" w:cs="仿宋_GB2312" w:eastAsia="仿宋_GB2312"/>
                <w:sz w:val="21"/>
              </w:rPr>
              <w:t>①</w:t>
            </w:r>
            <w:r>
              <w:rPr>
                <w:rFonts w:ascii="仿宋_GB2312" w:hAnsi="仿宋_GB2312" w:cs="仿宋_GB2312" w:eastAsia="仿宋_GB2312"/>
                <w:sz w:val="21"/>
              </w:rPr>
              <w:t>品种名称</w:t>
            </w:r>
            <w:r>
              <w:rPr>
                <w:rFonts w:ascii="仿宋_GB2312" w:hAnsi="仿宋_GB2312" w:cs="仿宋_GB2312" w:eastAsia="仿宋_GB2312"/>
                <w:sz w:val="21"/>
              </w:rPr>
              <w:t>②</w:t>
            </w:r>
            <w:r>
              <w:rPr>
                <w:rFonts w:ascii="仿宋_GB2312" w:hAnsi="仿宋_GB2312" w:cs="仿宋_GB2312" w:eastAsia="仿宋_GB2312"/>
                <w:sz w:val="21"/>
              </w:rPr>
              <w:t xml:space="preserve"> </w:t>
            </w:r>
            <w:r>
              <w:rPr>
                <w:rFonts w:ascii="仿宋_GB2312" w:hAnsi="仿宋_GB2312" w:cs="仿宋_GB2312" w:eastAsia="仿宋_GB2312"/>
                <w:sz w:val="21"/>
              </w:rPr>
              <w:t>种苗等级</w:t>
            </w:r>
            <w:r>
              <w:rPr>
                <w:rFonts w:ascii="仿宋_GB2312" w:hAnsi="仿宋_GB2312" w:cs="仿宋_GB2312" w:eastAsia="仿宋_GB2312"/>
                <w:sz w:val="21"/>
              </w:rPr>
              <w:t>③</w:t>
            </w:r>
            <w:r>
              <w:rPr>
                <w:rFonts w:ascii="仿宋_GB2312" w:hAnsi="仿宋_GB2312" w:cs="仿宋_GB2312" w:eastAsia="仿宋_GB2312"/>
                <w:sz w:val="21"/>
              </w:rPr>
              <w:t xml:space="preserve"> </w:t>
            </w:r>
            <w:r>
              <w:rPr>
                <w:rFonts w:ascii="仿宋_GB2312" w:hAnsi="仿宋_GB2312" w:cs="仿宋_GB2312" w:eastAsia="仿宋_GB2312"/>
                <w:sz w:val="21"/>
              </w:rPr>
              <w:t>数</w:t>
            </w:r>
            <w:r>
              <w:rPr>
                <w:rFonts w:ascii="仿宋_GB2312" w:hAnsi="仿宋_GB2312" w:cs="仿宋_GB2312" w:eastAsia="仿宋_GB2312"/>
                <w:sz w:val="21"/>
              </w:rPr>
              <w:t>量</w:t>
            </w:r>
            <w:r>
              <w:rPr>
                <w:rFonts w:ascii="仿宋_GB2312" w:hAnsi="仿宋_GB2312" w:cs="仿宋_GB2312" w:eastAsia="仿宋_GB2312"/>
                <w:sz w:val="21"/>
              </w:rPr>
              <w:t>( 株 )</w:t>
            </w:r>
            <w:r>
              <w:rPr>
                <w:rFonts w:ascii="仿宋_GB2312" w:hAnsi="仿宋_GB2312" w:cs="仿宋_GB2312" w:eastAsia="仿宋_GB2312"/>
                <w:sz w:val="21"/>
              </w:rPr>
              <w:t>④</w:t>
            </w:r>
            <w:r>
              <w:rPr>
                <w:rFonts w:ascii="仿宋_GB2312" w:hAnsi="仿宋_GB2312" w:cs="仿宋_GB2312" w:eastAsia="仿宋_GB2312"/>
                <w:sz w:val="21"/>
              </w:rPr>
              <w:t xml:space="preserve"> </w:t>
            </w:r>
            <w:r>
              <w:rPr>
                <w:rFonts w:ascii="仿宋_GB2312" w:hAnsi="仿宋_GB2312" w:cs="仿宋_GB2312" w:eastAsia="仿宋_GB2312"/>
                <w:sz w:val="21"/>
              </w:rPr>
              <w:t>生产单位及联系方式</w:t>
            </w:r>
            <w:r>
              <w:rPr>
                <w:rFonts w:ascii="仿宋_GB2312" w:hAnsi="仿宋_GB2312" w:cs="仿宋_GB2312" w:eastAsia="仿宋_GB2312"/>
                <w:sz w:val="21"/>
              </w:rPr>
              <w:t>⑤</w:t>
            </w:r>
            <w:r>
              <w:rPr>
                <w:rFonts w:ascii="仿宋_GB2312" w:hAnsi="仿宋_GB2312" w:cs="仿宋_GB2312" w:eastAsia="仿宋_GB2312"/>
                <w:sz w:val="21"/>
              </w:rPr>
              <w:t>生产日期或批号</w:t>
            </w:r>
            <w:r>
              <w:rPr>
                <w:rFonts w:ascii="仿宋_GB2312" w:hAnsi="仿宋_GB2312" w:cs="仿宋_GB2312" w:eastAsia="仿宋_GB2312"/>
                <w:sz w:val="21"/>
              </w:rPr>
              <w:t>⑥</w:t>
            </w:r>
            <w:r>
              <w:rPr>
                <w:rFonts w:ascii="仿宋_GB2312" w:hAnsi="仿宋_GB2312" w:cs="仿宋_GB2312" w:eastAsia="仿宋_GB2312"/>
                <w:sz w:val="21"/>
              </w:rPr>
              <w:t>执行标准编号</w:t>
            </w:r>
          </w:p>
          <w:p>
            <w:pPr>
              <w:pStyle w:val="null3"/>
              <w:spacing w:after="120"/>
              <w:ind w:firstLine="420"/>
              <w:jc w:val="both"/>
            </w:pPr>
            <w:r>
              <w:rPr>
                <w:rFonts w:ascii="仿宋_GB2312" w:hAnsi="仿宋_GB2312" w:cs="仿宋_GB2312" w:eastAsia="仿宋_GB2312"/>
                <w:sz w:val="21"/>
              </w:rPr>
              <w:t>3.</w:t>
            </w:r>
            <w:r>
              <w:rPr>
                <w:rFonts w:ascii="仿宋_GB2312" w:hAnsi="仿宋_GB2312" w:cs="仿宋_GB2312" w:eastAsia="仿宋_GB2312"/>
                <w:sz w:val="21"/>
              </w:rPr>
              <w:t>运输</w:t>
            </w:r>
            <w:r>
              <w:rPr>
                <w:rFonts w:ascii="仿宋_GB2312" w:hAnsi="仿宋_GB2312" w:cs="仿宋_GB2312" w:eastAsia="仿宋_GB2312"/>
                <w:sz w:val="21"/>
              </w:rPr>
              <w:t>：</w:t>
            </w:r>
            <w:r>
              <w:rPr>
                <w:rFonts w:ascii="仿宋_GB2312" w:hAnsi="仿宋_GB2312" w:cs="仿宋_GB2312" w:eastAsia="仿宋_GB2312"/>
                <w:sz w:val="21"/>
              </w:rPr>
              <w:t>运输过程中应防止日晒、雨淋、高温</w:t>
            </w:r>
            <w:r>
              <w:rPr>
                <w:rFonts w:ascii="仿宋_GB2312" w:hAnsi="仿宋_GB2312" w:cs="仿宋_GB2312" w:eastAsia="仿宋_GB2312"/>
                <w:sz w:val="21"/>
              </w:rPr>
              <w:t>(&gt;30℃)和冻害</w:t>
            </w:r>
            <w:r>
              <w:rPr>
                <w:rFonts w:ascii="仿宋_GB2312" w:hAnsi="仿宋_GB2312" w:cs="仿宋_GB2312" w:eastAsia="仿宋_GB2312"/>
                <w:sz w:val="21"/>
              </w:rPr>
              <w:t>，</w:t>
            </w:r>
            <w:r>
              <w:rPr>
                <w:rFonts w:ascii="仿宋_GB2312" w:hAnsi="仿宋_GB2312" w:cs="仿宋_GB2312" w:eastAsia="仿宋_GB2312"/>
                <w:sz w:val="21"/>
              </w:rPr>
              <w:t>装运时应轻拿轻放，</w:t>
            </w:r>
            <w:r>
              <w:rPr>
                <w:rFonts w:ascii="仿宋_GB2312" w:hAnsi="仿宋_GB2312" w:cs="仿宋_GB2312" w:eastAsia="仿宋_GB2312"/>
                <w:sz w:val="21"/>
              </w:rPr>
              <w:t>避</w:t>
            </w:r>
            <w:r>
              <w:rPr>
                <w:rFonts w:ascii="仿宋_GB2312" w:hAnsi="仿宋_GB2312" w:cs="仿宋_GB2312" w:eastAsia="仿宋_GB2312"/>
                <w:sz w:val="21"/>
              </w:rPr>
              <w:t>免堆压过重造成机械</w:t>
            </w:r>
            <w:r>
              <w:rPr>
                <w:rFonts w:ascii="仿宋_GB2312" w:hAnsi="仿宋_GB2312" w:cs="仿宋_GB2312" w:eastAsia="仿宋_GB2312"/>
                <w:sz w:val="21"/>
              </w:rPr>
              <w:t>损</w:t>
            </w:r>
            <w:r>
              <w:rPr>
                <w:rFonts w:ascii="仿宋_GB2312" w:hAnsi="仿宋_GB2312" w:cs="仿宋_GB2312" w:eastAsia="仿宋_GB2312"/>
                <w:sz w:val="21"/>
              </w:rPr>
              <w:t>伤。应快速运输，从起苗到定植原则上不超过</w:t>
            </w:r>
            <w:r>
              <w:rPr>
                <w:rFonts w:ascii="仿宋_GB2312" w:hAnsi="仿宋_GB2312" w:cs="仿宋_GB2312" w:eastAsia="仿宋_GB2312"/>
                <w:sz w:val="21"/>
              </w:rPr>
              <w:t>7天，以确保种苗活力。</w:t>
            </w:r>
          </w:p>
          <w:p>
            <w:pPr>
              <w:pStyle w:val="null3"/>
              <w:spacing w:after="120"/>
              <w:ind w:firstLine="420"/>
              <w:jc w:val="both"/>
            </w:pPr>
            <w:r>
              <w:rPr>
                <w:rFonts w:ascii="仿宋_GB2312" w:hAnsi="仿宋_GB2312" w:cs="仿宋_GB2312" w:eastAsia="仿宋_GB2312"/>
                <w:sz w:val="21"/>
              </w:rPr>
              <w:t>4.</w:t>
            </w:r>
            <w:r>
              <w:rPr>
                <w:rFonts w:ascii="仿宋_GB2312" w:hAnsi="仿宋_GB2312" w:cs="仿宋_GB2312" w:eastAsia="仿宋_GB2312"/>
                <w:sz w:val="21"/>
              </w:rPr>
              <w:t>储存</w:t>
            </w:r>
          </w:p>
          <w:p>
            <w:pPr>
              <w:pStyle w:val="null3"/>
              <w:spacing w:after="120"/>
              <w:ind w:firstLine="420"/>
              <w:jc w:val="both"/>
            </w:pPr>
            <w:r>
              <w:rPr>
                <w:rFonts w:ascii="仿宋_GB2312" w:hAnsi="仿宋_GB2312" w:cs="仿宋_GB2312" w:eastAsia="仿宋_GB2312"/>
                <w:sz w:val="21"/>
              </w:rPr>
              <w:t>种苗运抵后若不立即种植，应摊放在阴凉、通风、湿润的室内，并定期喷水保湿，储存时间不宜超过</w:t>
            </w:r>
            <w:r>
              <w:rPr>
                <w:rFonts w:ascii="仿宋_GB2312" w:hAnsi="仿宋_GB2312" w:cs="仿宋_GB2312" w:eastAsia="仿宋_GB2312"/>
                <w:sz w:val="21"/>
              </w:rPr>
              <w:t>3-5天</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注：</w:t>
            </w:r>
            <w:r>
              <w:rPr>
                <w:rFonts w:ascii="仿宋_GB2312" w:hAnsi="仿宋_GB2312" w:cs="仿宋_GB2312" w:eastAsia="仿宋_GB2312"/>
                <w:sz w:val="21"/>
              </w:rPr>
              <w:t>1.本项目核心产品为：有机黄花苗</w:t>
            </w:r>
          </w:p>
          <w:p>
            <w:pPr>
              <w:pStyle w:val="null3"/>
              <w:spacing w:after="120"/>
              <w:ind w:firstLine="420"/>
              <w:jc w:val="both"/>
            </w:pPr>
            <w:r>
              <w:rPr>
                <w:rFonts w:ascii="仿宋_GB2312" w:hAnsi="仿宋_GB2312" w:cs="仿宋_GB2312" w:eastAsia="仿宋_GB2312"/>
                <w:sz w:val="21"/>
              </w:rPr>
              <w:t>2、</w:t>
            </w:r>
            <w:r>
              <w:rPr>
                <w:rFonts w:ascii="仿宋_GB2312" w:hAnsi="仿宋_GB2312" w:cs="仿宋_GB2312" w:eastAsia="仿宋_GB2312"/>
                <w:sz w:val="21"/>
              </w:rPr>
              <w:t>上述技术参数及要求涉及的相关标准若有更新或最新标准，按最新标准执行</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自合同签订之日起30日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仪陇县境内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1、进度款，签订政府采购合同生效后，达到付款条件起7日内，支付合同总金额的40.00%</w:t>
            </w:r>
          </w:p>
          <w:p>
            <w:pPr>
              <w:pStyle w:val="null3"/>
              <w:jc w:val="left"/>
            </w:pPr>
            <w:r>
              <w:rPr>
                <w:rFonts w:ascii="仿宋_GB2312" w:hAnsi="仿宋_GB2312" w:cs="仿宋_GB2312" w:eastAsia="仿宋_GB2312"/>
              </w:rPr>
              <w:t>2、尾款，供货完成验收合格后，达到付款条件起10日内，支付合同总金额的60.00%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 交付时间：供应商需按照采购合同约定的时间，将合格种苗足额交付至采购人指定地点（具体地点、交付时限以采购合同为准），逾期交付的，每逾期1天，按合同总金额的0.5‰支付违约金，逾期超过7天，采购人有权解除合同并追究供应商违约责任。 2.交付数量：交付种苗数量需与采购合同约定数量一致，允许±2%的合理误差，误差范围内按实际验收合格数量结算；若实际交付数量不足合同约定数量（扣除合理误差后），供应商需在3个工作日内无偿补足，逾期未补足的，按短缺数量对应的货款双倍赔偿。</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至少3 个生长周期；</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1.乙方逾期交付的，每逾期1天，按合同总金额的0.5‰支付违约金，逾期超过7天，甲方有权解除合同，乙方承担全部损失。 2. 乙方所供种苗不符合采购文件要求，甲方有权拒收，乙方需无偿更换合格种苗，并承担由此造成的一切损失。</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★1.供应商需提供完整的售后服务方案，明确售后服务人员、联系方式、响应时间（24小时内响应）、补苗流程、质保期限等内容，确保种苗种植过程中出现的问题能及时解决。 ★2.供应商需提供种苗培育技术说明、定植指导手册，安排专业技术人员提供免费技术指导，协助采购人完成种苗定植工作，确保定植成活率。 ★3、质保期：自验收合格之日起，质保期3年，质保期内若出现种苗腐烂、死亡等质量问题（非人为因素导致），供应商需在3个工作日内无偿补苗，并承担相应的技术指导责任。 ★4、本项目报价是履行合同的最终价格，应包括货款、包装、运输配送、税费、货到就位以及投标人完成本项目所需的一切费用，采购人不再支付任何费用；报价估算错误等引起的风险由投标人自行承担； ★5、多家供应商响应同一品种货物的，按同一品牌产品认定。询价小组仅选取通过资格审查、符合性审查且报价最低的 1 家进入比价环节，其他响应文件按无效报价处理。最低报价出现并列时，以随机抽取方式确定有效响应供应商。 6、其他未明确事宜以签订的合同时为准。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 织机构代码证或三证合一的营业执照”；②若为事业法人：提供“统一社 会信用代码法人登记证书”；未换证的提交“事业法人登记证书、组织机 构代码证”；③若为其他组织：提供“对应主管部门颁发的准许执业证明 文件或营业执照”；④若为个体工商户：提供“统一社会信用代码营业执照”或“营业执照、税务登记证”⑤若为自然人：提供“身份证明材料”。</w:t>
            </w:r>
          </w:p>
        </w:tc>
        <w:tc>
          <w:tcPr>
            <w:tcW w:type="dxa" w:w="1661"/>
          </w:tcPr>
          <w:p>
            <w:pPr>
              <w:pStyle w:val="null3"/>
              <w:jc w:val="left"/>
            </w:pPr>
            <w:r>
              <w:rPr>
                <w:rFonts w:ascii="仿宋_GB2312" w:hAnsi="仿宋_GB2312" w:cs="仿宋_GB2312" w:eastAsia="仿宋_GB2312"/>
              </w:rPr>
              <w:t>供应商应提交的资格证明材料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具有健全的财务会计制度的证明材料： A、可提供2024年度（含）至今（任意一年度）经审计的财务报告 （包含审计报告和审计报告中所涉及的财务报表和报表附注）；B、也可提供2024年度（含）至今（任意一年度）供应商内部的财务报表（财务报表内容至少包含并体现资产负债表、利润表、现金流量表）；C、也可提供截止响应文件递交截止日一年内其基本开户银行出具的资信证明；D、供应商注册时间截止响应文件递交截止日不足一年的，也可提供经备案的公司章程。</w:t>
            </w:r>
          </w:p>
        </w:tc>
        <w:tc>
          <w:tcPr>
            <w:tcW w:type="dxa" w:w="1661"/>
          </w:tcPr>
          <w:p>
            <w:pPr>
              <w:pStyle w:val="null3"/>
              <w:jc w:val="left"/>
            </w:pPr>
            <w:r>
              <w:rPr>
                <w:rFonts w:ascii="仿宋_GB2312" w:hAnsi="仿宋_GB2312" w:cs="仿宋_GB2312" w:eastAsia="仿宋_GB2312"/>
              </w:rPr>
              <w:t>供应商应提交的资格证明材料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询价通知书规定的中小企业扶持政策；供应商提供的货物既有中小企业制造货物，也有大型企业制造货物的，不享受中小企业扶持政策。（如供应商以联合体形式参加的，联合体各方提供的货物由中小企业制造；如供应商合同分包的，分包意向协议中分包意向供应商提供的货物由中小企业制造。）</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投标文件组成的完整性；投标文件技术、服务应答内容符合采购项目的的实质性要求；符合采购文件规定的其他实质性内容。</w:t>
            </w:r>
          </w:p>
        </w:tc>
        <w:tc>
          <w:tcPr>
            <w:tcW w:type="dxa" w:w="3322"/>
          </w:tcPr>
          <w:p>
            <w:pPr>
              <w:pStyle w:val="null3"/>
              <w:jc w:val="left"/>
            </w:pPr>
            <w:r>
              <w:rPr>
                <w:rFonts w:ascii="仿宋_GB2312" w:hAnsi="仿宋_GB2312" w:cs="仿宋_GB2312" w:eastAsia="仿宋_GB2312"/>
              </w:rPr>
              <w:t>投标文件组成的完整性；投标文件技术、服务应答内容符合采购项目的的实质性要求；符合采购文件规定的其他实质性内容。</w:t>
            </w:r>
          </w:p>
        </w:tc>
        <w:tc>
          <w:tcPr>
            <w:tcW w:type="dxa" w:w="1661"/>
          </w:tcPr>
          <w:p>
            <w:pPr>
              <w:pStyle w:val="null3"/>
              <w:jc w:val="left"/>
            </w:pPr>
            <w:r>
              <w:rPr>
                <w:rFonts w:ascii="仿宋_GB2312" w:hAnsi="仿宋_GB2312" w:cs="仿宋_GB2312" w:eastAsia="仿宋_GB2312"/>
              </w:rPr>
              <w:t>响应文件封面,商务及其他要求应答表,供应商应提交的资格证明材料,产品技术参数、服务要求应答表,供应商根据采购文件要求自行提供相关资料.docx,中小企业声明函,残疾人福利性单位声明函,关于符合本国产品标准的声明函,报价表,投标（响应）函,监狱企业的证明文件</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详见附件：供应商应提交的资格证明材料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详见附件：产品技术参数、服务要求应答表</w:t>
      </w:r>
    </w:p>
    <w:p>
      <w:pPr>
        <w:pStyle w:val="null3"/>
        <w:ind w:firstLine="960"/>
        <w:jc w:val="left"/>
      </w:pPr>
      <w:r>
        <w:rPr>
          <w:rFonts w:ascii="仿宋_GB2312" w:hAnsi="仿宋_GB2312" w:cs="仿宋_GB2312" w:eastAsia="仿宋_GB2312"/>
        </w:rPr>
        <w:t>详见附件：商务及其他要求应答表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详见附件：供应商根据采购文件要求自行提供相关资料.docx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