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竞争性谈判文件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440001-2025-48893</w:t>
      </w:r>
    </w:p>
    <w:p>
      <w:pPr>
        <w:pStyle w:val="null3"/>
        <w:jc w:val="center"/>
        <w:outlineLvl w:val="3"/>
      </w:pPr>
      <w:r>
        <w:rPr>
          <w:sz w:val="24"/>
          <w:b/>
        </w:rPr>
        <w:t>采购项目编号：</w:t>
      </w:r>
      <w:r>
        <w:rPr>
          <w:sz w:val="24"/>
          <w:b/>
        </w:rPr>
        <w:t>HXGZ202511A235</w:t>
      </w:r>
    </w:p>
    <w:p>
      <w:pPr>
        <w:pStyle w:val="null3"/>
        <w:jc w:val="center"/>
        <w:outlineLvl w:val="3"/>
      </w:pPr>
      <w:r>
        <w:rPr>
          <w:sz w:val="24"/>
          <w:b/>
        </w:rPr>
        <w:t>项目名称：</w:t>
      </w:r>
      <w:r>
        <w:rPr>
          <w:sz w:val="24"/>
          <w:b/>
        </w:rPr>
        <w:t>广东省毒品实验技术中心2025-86液相设备升级项目</w:t>
      </w:r>
    </w:p>
    <w:p>
      <w:pPr>
        <w:pStyle w:val="null3"/>
        <w:jc w:val="center"/>
        <w:outlineLvl w:val="3"/>
      </w:pPr>
      <w:r>
        <w:rPr>
          <w:sz w:val="24"/>
          <w:b/>
        </w:rPr>
        <w:t>采购人：</w:t>
      </w:r>
      <w:r>
        <w:rPr>
          <w:sz w:val="24"/>
          <w:b/>
        </w:rPr>
        <w:t>广东省毒品实验技术中心（国家毒品实验室广东分中心）</w:t>
      </w:r>
    </w:p>
    <w:p>
      <w:pPr>
        <w:pStyle w:val="null3"/>
        <w:jc w:val="center"/>
        <w:outlineLvl w:val="3"/>
      </w:pPr>
      <w:r>
        <w:rPr>
          <w:sz w:val="24"/>
          <w:b/>
        </w:rPr>
        <w:t>采购代理机构：</w:t>
      </w:r>
      <w:r>
        <w:rPr>
          <w:sz w:val="24"/>
          <w:b/>
        </w:rPr>
        <w:t>广东华信招标有限公司</w:t>
      </w:r>
    </w:p>
    <w:p>
      <w:pPr>
        <w:pStyle w:val="null3"/>
        <w:ind w:firstLine="480"/>
      </w:pPr>
      <w:r>
        <w:rPr/>
        <w:t xml:space="preserve">  </w:t>
      </w:r>
    </w:p>
    <w:p>
      <w:pPr>
        <w:pStyle w:val="null3"/>
        <w:outlineLvl w:val="1"/>
      </w:pPr>
      <w:r>
        <w:rPr>
          <w:sz w:val="36"/>
          <w:b/>
        </w:rPr>
        <w:t>第一章 谈判邀请</w:t>
      </w:r>
    </w:p>
    <w:p>
      <w:pPr>
        <w:pStyle w:val="null3"/>
        <w:ind w:firstLine="480"/>
      </w:pPr>
      <w:r>
        <w:rPr/>
        <w:t>广东华信招标有限公司</w:t>
      </w:r>
      <w:r>
        <w:rPr/>
        <w:t>受</w:t>
      </w:r>
      <w:r>
        <w:rPr/>
        <w:t>广东省毒品实验技术中心（国家毒品实验室广东分中心）</w:t>
      </w:r>
      <w:r>
        <w:rPr/>
        <w:t>的委托，采用</w:t>
      </w:r>
      <w:r>
        <w:rPr/>
        <w:t>竞争性谈判</w:t>
      </w:r>
      <w:r>
        <w:rPr/>
        <w:t>方式组织采购</w:t>
      </w:r>
      <w:r>
        <w:rPr/>
        <w:t>广东省毒品实验技术中心2025-86液相设备升级项目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广东省毒品实验技术中心2025-86液相设备升级项目</w:t>
      </w:r>
    </w:p>
    <w:p>
      <w:pPr>
        <w:pStyle w:val="null3"/>
        <w:ind w:firstLine="480"/>
      </w:pPr>
      <w:r>
        <w:rPr/>
        <w:t>采购计划编号：</w:t>
      </w:r>
      <w:r>
        <w:rPr/>
        <w:t>440001-2025-48893</w:t>
      </w:r>
    </w:p>
    <w:p>
      <w:pPr>
        <w:pStyle w:val="null3"/>
        <w:ind w:firstLine="480"/>
      </w:pPr>
      <w:r>
        <w:rPr/>
        <w:t>采购项目编号：</w:t>
      </w:r>
      <w:r>
        <w:rPr/>
        <w:t>HXGZ202511A235</w:t>
      </w:r>
    </w:p>
    <w:p>
      <w:pPr>
        <w:pStyle w:val="null3"/>
        <w:ind w:firstLine="480"/>
      </w:pPr>
      <w:r>
        <w:rPr/>
        <w:t>采购方式：</w:t>
      </w:r>
      <w:r>
        <w:rPr/>
        <w:t>竞争性谈判</w:t>
      </w:r>
    </w:p>
    <w:p>
      <w:pPr>
        <w:pStyle w:val="null3"/>
        <w:ind w:firstLine="480"/>
      </w:pPr>
      <w:r>
        <w:rPr/>
        <w:t>预算金额：</w:t>
      </w:r>
      <w:r>
        <w:rPr/>
        <w:t>1,346,300.00</w:t>
      </w:r>
      <w:r>
        <w:rPr/>
        <w:t>元</w:t>
      </w:r>
    </w:p>
    <w:p>
      <w:pPr>
        <w:pStyle w:val="null3"/>
        <w:outlineLvl w:val="3"/>
      </w:pPr>
      <w:r>
        <w:rPr>
          <w:sz w:val="24"/>
          <w:b/>
        </w:rPr>
        <w:t>2.项目内容及需求情况（采购项目技术规格、参数及要求）</w:t>
      </w:r>
    </w:p>
    <w:p>
      <w:pPr>
        <w:pStyle w:val="null3"/>
      </w:pPr>
      <w:r>
        <w:rPr/>
        <w:t>采购包1(广东省毒品实验技术中心2025-86液相设备升级项目):</w:t>
      </w:r>
    </w:p>
    <w:p>
      <w:pPr>
        <w:pStyle w:val="null3"/>
      </w:pPr>
      <w:r>
        <w:rPr/>
        <w:t>采购包预算金额：1,346,300.00元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其他试验仪器及装置</w:t>
            </w:r>
          </w:p>
        </w:tc>
        <w:tc>
          <w:tcPr>
            <w:tcW w:type="dxa" w:w="2136"/>
          </w:tcPr>
          <w:p>
            <w:pPr>
              <w:pStyle w:val="null3"/>
            </w:pPr>
            <w:r>
              <w:rPr/>
              <w:t>PDA检测器</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r>
        <w:tc>
          <w:tcPr>
            <w:tcW w:type="dxa" w:w="1187"/>
          </w:tcPr>
          <w:p>
            <w:pPr>
              <w:pStyle w:val="null3"/>
            </w:pPr>
            <w:r>
              <w:rPr/>
              <w:t>1-2</w:t>
            </w:r>
          </w:p>
        </w:tc>
        <w:tc>
          <w:tcPr>
            <w:tcW w:type="dxa" w:w="1424"/>
          </w:tcPr>
          <w:p>
            <w:pPr>
              <w:pStyle w:val="null3"/>
            </w:pPr>
            <w:r>
              <w:rPr/>
              <w:t>其他分析仪器</w:t>
            </w:r>
          </w:p>
        </w:tc>
        <w:tc>
          <w:tcPr>
            <w:tcW w:type="dxa" w:w="2136"/>
          </w:tcPr>
          <w:p>
            <w:pPr>
              <w:pStyle w:val="null3"/>
            </w:pPr>
            <w:r>
              <w:rPr/>
              <w:t>全2D液相色谱升级</w:t>
            </w:r>
          </w:p>
        </w:tc>
        <w:tc>
          <w:tcPr>
            <w:tcW w:type="dxa" w:w="1187"/>
          </w:tcPr>
          <w:p>
            <w:pPr>
              <w:pStyle w:val="null3"/>
            </w:pPr>
            <w:r>
              <w:rPr/>
              <w:t>1(批)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合同履行期限：自合同签订之日起 30个工作日内完成供货；货物验收之日起提供为期3年的维保服务。</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副本复印件。分支机构投标（响应）的，须提供总公司和分公司营业执照副本复印件，总公司出具给分支机构的授权书。</w:t>
      </w:r>
    </w:p>
    <w:p>
      <w:pPr>
        <w:pStyle w:val="null3"/>
      </w:pPr>
      <w:r>
        <w:rPr/>
        <w:t>2）有依法缴纳税收和社会保障资金的良好记录：提供响应截止之日前6个月内任意1个月依法缴纳税收和社会保障资金的相关材料。如依法免税或不需要缴纳社会保障资金的，提供相应证明材料。</w:t>
      </w:r>
    </w:p>
    <w:p>
      <w:pPr>
        <w:pStyle w:val="null3"/>
      </w:pPr>
      <w:r>
        <w:rPr/>
        <w:t>3）具有良好的商业信誉和健全的财务会计制度：供应商提供2024年的年度财务状况报告复印件，或银行出具的资信证明材料复印件。</w:t>
      </w:r>
    </w:p>
    <w:p>
      <w:pPr>
        <w:pStyle w:val="null3"/>
      </w:pPr>
      <w:r>
        <w:rPr/>
        <w:t>4）履行合同所必需的设备和专业技术能力：提供具备履行合同所必须的设备和专业技术能力证明资料或声明函，格式自拟。</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采购包1（广东省毒品实验技术中心2025-86液相设备升级项目）：</w:t>
      </w:r>
      <w:r>
        <w:rPr/>
        <w:t>本项目为专门面向中小企业采购，供应商所投货物均由中小企业制造，需提供《中小企业声明函》（货物）（本项目中小企业划分标准所属行业为工业）。</w:t>
      </w:r>
    </w:p>
    <w:p>
      <w:pPr>
        <w:pStyle w:val="null3"/>
        <w:outlineLvl w:val="3"/>
      </w:pPr>
      <w:r>
        <w:rPr>
          <w:sz w:val="24"/>
          <w:b/>
        </w:rPr>
        <w:t>3.本项目特定的资格要求：</w:t>
      </w:r>
    </w:p>
    <w:p>
      <w:pPr>
        <w:pStyle w:val="null3"/>
      </w:pPr>
      <w:r>
        <w:rPr/>
        <w:t>采购包1（广东省毒品实验技术中心2025-86液相设备升级项目）：</w:t>
      </w:r>
    </w:p>
    <w:p>
      <w:pPr>
        <w:pStyle w:val="null3"/>
      </w:pPr>
      <w:r>
        <w:rPr/>
        <w:t>1)供应商未被列入“信用中国”网站www.creditchina.gov.cn)以下情形之一:“①失信被执行人，②重大税收违法失信主体，③政府采购严重违法失信行为记录名单”;同时在中国政府采购网(www.ccgp.gov.cn)“政府采购严重违法失信行为记录名单”中查询没有处于禁止参加政府采购活动的记录名单;如分公司投标（响应），需查询分公司及其总公司的信用情况。(以采购代理机构于评审当天在“信用中国”网站(www.creditchina.gov.cn及中国政府采购网(http://www.ccgp.gov.cn/)查询结果为准，如相关失信记录已失效，供应商需提供相关证明资料为准，如相关失信记录己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outlineLvl w:val="2"/>
      </w:pPr>
      <w:r>
        <w:rPr>
          <w:sz w:val="28"/>
          <w:b/>
        </w:rPr>
        <w:t>三.获取谈判文件</w:t>
      </w:r>
    </w:p>
    <w:p>
      <w:pPr>
        <w:pStyle w:val="null3"/>
        <w:ind w:firstLine="480"/>
      </w:pPr>
      <w:r>
        <w:rPr/>
        <w:t>时间：详见谈判公告及其变更公告（如有）</w:t>
      </w:r>
    </w:p>
    <w:p>
      <w:pPr>
        <w:pStyle w:val="null3"/>
        <w:ind w:firstLine="480"/>
      </w:pPr>
      <w:r>
        <w:rPr/>
        <w:t>地点：详见谈判公告及其变更公告（如有）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谈判文件（未按上述方式获取谈判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 xml:space="preserve"> 提交响应文件截止时间和开启时间：详见谈判公告及其变更公告（如有）（自谈判文件开始发出之日起至响应供应商提交首次响应文件截止之日止，不得少于3个工作日）</w:t>
      </w:r>
    </w:p>
    <w:p>
      <w:pPr>
        <w:pStyle w:val="null3"/>
        <w:ind w:firstLine="480"/>
      </w:pPr>
      <w:r>
        <w:rPr/>
        <w:t xml:space="preserve"> 地点：详见谈判公告及其变更公告（如有）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1、公告期限：自本公告发布之日起不得少于3个工作日。</w:t>
      </w:r>
    </w:p>
    <w:p>
      <w:pPr>
        <w:pStyle w:val="null3"/>
        <w:ind w:firstLine="480"/>
      </w:pPr>
      <w:r>
        <w:rPr/>
        <w:t xml:space="preserve"> 2、发布公告的媒介：中国政府采购网(www.ccgp.gov.cn)，广东省政府采购网(https://gdgpo.czt.gd.gov.cn/)；</w:t>
      </w:r>
      <w:r>
        <w:rPr/>
        <w:t>广东华信招标有限公司（http://www.gdhxzb.cn/）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广东省毒品实验技术中心（国家毒品实验室广东分中心）</w:t>
      </w:r>
    </w:p>
    <w:p>
      <w:pPr>
        <w:pStyle w:val="null3"/>
        <w:ind w:firstLine="480"/>
      </w:pPr>
      <w:r>
        <w:rPr/>
        <w:t xml:space="preserve"> 地址：</w:t>
      </w:r>
      <w:r>
        <w:rPr/>
        <w:t>广州市海珠区东晓路63号</w:t>
      </w:r>
    </w:p>
    <w:p>
      <w:pPr>
        <w:pStyle w:val="null3"/>
        <w:ind w:firstLine="480"/>
      </w:pPr>
      <w:r>
        <w:rPr/>
        <w:t xml:space="preserve"> 联系方式：</w:t>
      </w:r>
      <w:r>
        <w:rPr/>
        <w:t>020-83921107</w:t>
      </w:r>
    </w:p>
    <w:p>
      <w:pPr>
        <w:pStyle w:val="null3"/>
        <w:outlineLvl w:val="3"/>
      </w:pPr>
      <w:r>
        <w:rPr>
          <w:sz w:val="24"/>
          <w:b/>
        </w:rPr>
        <w:t xml:space="preserve"> 2.采购代理机构信息</w:t>
      </w:r>
    </w:p>
    <w:p>
      <w:pPr>
        <w:pStyle w:val="null3"/>
        <w:ind w:firstLine="480"/>
      </w:pPr>
      <w:r>
        <w:rPr/>
        <w:t xml:space="preserve"> 名称：</w:t>
      </w:r>
      <w:r>
        <w:rPr/>
        <w:t>广东华信招标有限公司</w:t>
      </w:r>
    </w:p>
    <w:p>
      <w:pPr>
        <w:pStyle w:val="null3"/>
        <w:ind w:firstLine="480"/>
      </w:pPr>
      <w:r>
        <w:rPr/>
        <w:t xml:space="preserve"> 地址：</w:t>
      </w:r>
      <w:r>
        <w:rPr/>
        <w:t>广州市天河区天河北路618号A栋11楼</w:t>
      </w:r>
    </w:p>
    <w:p>
      <w:pPr>
        <w:pStyle w:val="null3"/>
        <w:ind w:firstLine="480"/>
      </w:pPr>
      <w:r>
        <w:rPr/>
        <w:t xml:space="preserve"> 联系方式：</w:t>
      </w:r>
      <w:r>
        <w:rPr/>
        <w:t>020-87564924</w:t>
      </w:r>
    </w:p>
    <w:p>
      <w:pPr>
        <w:pStyle w:val="null3"/>
        <w:outlineLvl w:val="3"/>
      </w:pPr>
      <w:r>
        <w:rPr>
          <w:sz w:val="24"/>
          <w:b/>
        </w:rPr>
        <w:t xml:space="preserve"> 3.项目联系方式</w:t>
      </w:r>
    </w:p>
    <w:p>
      <w:pPr>
        <w:pStyle w:val="null3"/>
        <w:ind w:firstLine="480"/>
      </w:pPr>
      <w:r>
        <w:rPr/>
        <w:t xml:space="preserve"> 项目联系人：</w:t>
      </w:r>
      <w:r>
        <w:rPr/>
        <w:t>李小姐</w:t>
      </w:r>
    </w:p>
    <w:p>
      <w:pPr>
        <w:pStyle w:val="null3"/>
        <w:ind w:firstLine="480"/>
      </w:pPr>
      <w:r>
        <w:rPr/>
        <w:t xml:space="preserve"> 电话：</w:t>
      </w:r>
      <w:r>
        <w:rPr/>
        <w:t>020-87564924</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广东华信招标有限公司</w:t>
      </w:r>
    </w:p>
    <w:p>
      <w:pPr>
        <w:pStyle w:val="null3"/>
        <w:ind w:firstLine="480"/>
      </w:pPr>
      <w:r>
        <w:rPr/>
        <w:t xml:space="preserve">  </w:t>
      </w:r>
    </w:p>
    <w:p>
      <w:pPr>
        <w:pStyle w:val="null3"/>
        <w:outlineLvl w:val="1"/>
      </w:pPr>
      <w:r>
        <w:rPr>
          <w:sz w:val="36"/>
          <w:b/>
        </w:rPr>
        <w:t>第二章 采购需求</w:t>
      </w:r>
    </w:p>
    <w:p>
      <w:pPr>
        <w:pStyle w:val="null3"/>
        <w:outlineLvl w:val="2"/>
      </w:pPr>
      <w:r>
        <w:rPr>
          <w:sz w:val="28"/>
          <w:b/>
        </w:rPr>
        <w:t>一、项目概况：</w:t>
      </w:r>
    </w:p>
    <w:p>
      <w:pPr>
        <w:pStyle w:val="null3"/>
      </w:pPr>
      <w:r>
        <w:rPr>
          <w:sz w:val="21"/>
        </w:rPr>
        <w:t>为应对当前新精神活性物质迭代频繁，提高广东省毒品实验技术中心鉴定新精神活性物质的鉴别能力，提高检验分析效率，且充分发挥现有设备的潜力，采购配套硬件，对现有的两台液相检测设备进行升级。</w:t>
      </w:r>
    </w:p>
    <w:p>
      <w:pPr>
        <w:pStyle w:val="null3"/>
        <w:ind w:left="930"/>
      </w:pPr>
      <w:r>
        <w:rPr>
          <w:sz w:val="21"/>
          <w:b/>
        </w:rPr>
        <w:t>采购标的汇总表</w:t>
      </w:r>
    </w:p>
    <w:tbl>
      <w:tblPr>
        <w:tblW w:w="0" w:type="auto"/>
        <w:tblBorders>
          <w:top w:val="none" w:color="000000" w:sz="4"/>
          <w:left w:val="none" w:color="000000" w:sz="4"/>
          <w:bottom w:val="none" w:color="000000" w:sz="4"/>
          <w:right w:val="none" w:color="000000" w:sz="4"/>
          <w:insideH w:val="none"/>
          <w:insideV w:val="none"/>
        </w:tblBorders>
      </w:tblPr>
      <w:tblGrid>
        <w:gridCol w:w="432"/>
        <w:gridCol w:w="1765"/>
        <w:gridCol w:w="2001"/>
        <w:gridCol w:w="2588"/>
        <w:gridCol w:w="785"/>
        <w:gridCol w:w="735"/>
      </w:tblGrid>
      <w:tr>
        <w:tc>
          <w:tcPr>
            <w:tcW w:type="dxa" w:w="8306"/>
            <w:gridSpan w:val="6"/>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PDA检测器</w:t>
            </w:r>
          </w:p>
        </w:tc>
      </w:tr>
      <w:tr>
        <w:tc>
          <w:tcPr>
            <w:tcW w:type="dxa" w:w="432"/>
            <w:tcBorders>
              <w:top w:val="singl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w:t>
            </w:r>
          </w:p>
        </w:tc>
        <w:tc>
          <w:tcPr>
            <w:tcW w:type="dxa" w:w="176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2001"/>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具体内容</w:t>
            </w:r>
          </w:p>
        </w:tc>
        <w:tc>
          <w:tcPr>
            <w:tcW w:type="dxa" w:w="2588"/>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参数</w:t>
            </w:r>
          </w:p>
        </w:tc>
        <w:tc>
          <w:tcPr>
            <w:tcW w:type="dxa" w:w="78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735"/>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432"/>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765"/>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PDA 光电二极管阵列检测器套装</w:t>
            </w:r>
          </w:p>
        </w:tc>
        <w:tc>
          <w:tcPr>
            <w:tcW w:type="dxa" w:w="20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PDA 光电二极管阵列检测器</w:t>
            </w:r>
          </w:p>
        </w:tc>
        <w:tc>
          <w:tcPr>
            <w:tcW w:type="dxa" w:w="258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波长范围：</w:t>
            </w:r>
            <w:r>
              <w:rPr>
                <w:sz w:val="21"/>
                <w:color w:val="000000"/>
              </w:rPr>
              <w:t>190-500nm</w:t>
            </w:r>
            <w:r>
              <w:br/>
            </w:r>
            <w:r>
              <w:rPr>
                <w:sz w:val="21"/>
                <w:color w:val="000000"/>
              </w:rPr>
              <w:t>2.波长准确度：±1nm</w:t>
            </w:r>
            <w:r>
              <w:br/>
            </w:r>
            <w:r>
              <w:rPr>
                <w:sz w:val="21"/>
                <w:color w:val="000000"/>
              </w:rPr>
              <w:t>3.二极管数：≤512个</w:t>
            </w:r>
            <w:r>
              <w:br/>
            </w:r>
            <w:r>
              <w:rPr>
                <w:sz w:val="21"/>
                <w:color w:val="000000"/>
              </w:rPr>
              <w:t>4.数字分辨率：≥1.2nm</w:t>
            </w:r>
            <w:r>
              <w:br/>
            </w:r>
            <w:r>
              <w:rPr>
                <w:sz w:val="21"/>
                <w:color w:val="000000"/>
              </w:rPr>
              <w:t>5.基线噪音：±3×10-6 AU</w:t>
            </w:r>
            <w:r>
              <w:br/>
            </w:r>
            <w:r>
              <w:rPr>
                <w:sz w:val="21"/>
                <w:color w:val="000000"/>
              </w:rPr>
              <w:t>6.基线漂移: ≤1.0×10-3 AU/hr/</w:t>
            </w:r>
            <w:r>
              <w:br/>
            </w:r>
            <w:r>
              <w:rPr>
                <w:sz w:val="21"/>
                <w:color w:val="000000"/>
              </w:rPr>
              <w:t>7.漂移: ≤1.0×10-3 AU/hr</w:t>
            </w:r>
            <w:r>
              <w:br/>
            </w:r>
            <w:r>
              <w:rPr>
                <w:sz w:val="21"/>
                <w:color w:val="000000"/>
              </w:rPr>
              <w:t>8.线性范围：2.0 AU</w:t>
            </w:r>
            <w:r>
              <w:br/>
            </w:r>
            <w:r>
              <w:rPr>
                <w:sz w:val="21"/>
                <w:color w:val="000000"/>
              </w:rPr>
              <w:t>9.吸收范围：0.0001~4.0000 AU</w:t>
            </w:r>
            <w:r>
              <w:br/>
            </w:r>
            <w:r>
              <w:rPr>
                <w:sz w:val="21"/>
                <w:color w:val="000000"/>
              </w:rPr>
              <w:t>10.光源：氘灯，寿命≥2000小时</w:t>
            </w:r>
            <w:r>
              <w:br/>
            </w:r>
            <w:r>
              <w:rPr>
                <w:sz w:val="21"/>
                <w:color w:val="000000"/>
              </w:rPr>
              <w:t>11.流通池：光导全反射流动池, 池长：≥10 mm, 池体积：≥500 nL</w:t>
            </w:r>
          </w:p>
          <w:p>
            <w:pPr>
              <w:pStyle w:val="null3"/>
              <w:jc w:val="left"/>
            </w:pPr>
            <w:r>
              <w:rPr>
                <w:sz w:val="21"/>
                <w:b/>
                <w:color w:val="000000"/>
              </w:rPr>
              <w:t>12.本项目为现有设备升级项目，PDA光电二极管阵列检测器套装应当与采购人现有设备液相色谱仪（型号为：waters Hclass UPLC）兼容，包括但不限于硬件兼容、软件操作兼容、数据处理兼容等。</w:t>
            </w:r>
          </w:p>
        </w:tc>
        <w:tc>
          <w:tcPr>
            <w:tcW w:type="dxa" w:w="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432"/>
            <w:vMerge/>
            <w:tcBorders>
              <w:top w:val="single" w:color="000000" w:sz="4"/>
              <w:left w:val="single" w:color="000000" w:sz="4"/>
              <w:bottom w:val="single" w:color="000000" w:sz="4"/>
              <w:right w:val="single" w:color="000000" w:sz="4"/>
            </w:tcBorders>
          </w:tcPr>
          <w:p/>
        </w:tc>
        <w:tc>
          <w:tcPr>
            <w:tcW w:type="dxa" w:w="1765"/>
            <w:vMerge/>
            <w:tcBorders>
              <w:top w:val="single" w:color="000000" w:sz="4"/>
              <w:left w:val="none" w:color="000000" w:sz="4"/>
              <w:bottom w:val="single" w:color="000000" w:sz="4"/>
              <w:right w:val="single" w:color="000000" w:sz="4"/>
            </w:tcBorders>
          </w:tcP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PDA分析型检测池 10mm</w:t>
            </w:r>
          </w:p>
        </w:tc>
        <w:tc>
          <w:tcPr>
            <w:tcW w:type="dxa" w:w="2588"/>
            <w:vMerge/>
            <w:tcBorders>
              <w:top w:val="single" w:color="000000" w:sz="4"/>
              <w:left w:val="none" w:color="000000" w:sz="4"/>
              <w:bottom w:val="single" w:color="000000" w:sz="4"/>
              <w:right w:val="single" w:color="000000" w:sz="4"/>
            </w:tcBorders>
          </w:tcP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432"/>
            <w:vMerge/>
            <w:tcBorders>
              <w:top w:val="single" w:color="000000" w:sz="4"/>
              <w:left w:val="single" w:color="000000" w:sz="4"/>
              <w:bottom w:val="single" w:color="000000" w:sz="4"/>
              <w:right w:val="single" w:color="000000" w:sz="4"/>
            </w:tcBorders>
          </w:tcPr>
          <w:p/>
        </w:tc>
        <w:tc>
          <w:tcPr>
            <w:tcW w:type="dxa" w:w="1765"/>
            <w:vMerge/>
            <w:tcBorders>
              <w:top w:val="single" w:color="000000" w:sz="4"/>
              <w:left w:val="none" w:color="000000" w:sz="4"/>
              <w:bottom w:val="single" w:color="000000" w:sz="4"/>
              <w:right w:val="single" w:color="000000" w:sz="4"/>
            </w:tcBorders>
          </w:tcP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漏液传感器组件</w:t>
            </w:r>
          </w:p>
        </w:tc>
        <w:tc>
          <w:tcPr>
            <w:tcW w:type="dxa" w:w="2588"/>
            <w:vMerge/>
            <w:tcBorders>
              <w:top w:val="single" w:color="000000" w:sz="4"/>
              <w:left w:val="none" w:color="000000" w:sz="4"/>
              <w:bottom w:val="single" w:color="000000" w:sz="4"/>
              <w:right w:val="single" w:color="000000" w:sz="4"/>
            </w:tcBorders>
          </w:tcP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765"/>
            <w:vMerge/>
            <w:tcBorders>
              <w:top w:val="single" w:color="000000" w:sz="4"/>
              <w:left w:val="none" w:color="000000" w:sz="4"/>
              <w:bottom w:val="single" w:color="000000" w:sz="4"/>
              <w:right w:val="single" w:color="000000" w:sz="4"/>
            </w:tcBorders>
          </w:tcP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UPLC/HPLC 液相色谱系统/安装</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硬件工程师上门安装调试。</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次</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765"/>
            <w:vMerge/>
            <w:tcBorders>
              <w:top w:val="single" w:color="000000" w:sz="4"/>
              <w:left w:val="none" w:color="000000" w:sz="4"/>
              <w:bottom w:val="single" w:color="000000" w:sz="4"/>
              <w:right w:val="single" w:color="000000" w:sz="4"/>
            </w:tcBorders>
          </w:tcP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三天现场培训支持</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应用工程师上门培训。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次</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765"/>
            <w:vMerge/>
            <w:tcBorders>
              <w:top w:val="single" w:color="000000" w:sz="4"/>
              <w:left w:val="none" w:color="000000" w:sz="4"/>
              <w:bottom w:val="single" w:color="000000" w:sz="4"/>
              <w:right w:val="single" w:color="000000" w:sz="4"/>
            </w:tcBorders>
          </w:tcP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液相产品线上线下结合型课堂培训班（</w:t>
            </w:r>
            <w:r>
              <w:rPr>
                <w:sz w:val="21"/>
                <w:color w:val="000000"/>
              </w:rPr>
              <w:t>2天）</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技术拓展培训班。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天</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7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光电二极管阵列检测器维保</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维护保修</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1台PDA检测器</w:t>
            </w:r>
            <w:r>
              <w:rPr>
                <w:sz w:val="21"/>
                <w:color w:val="000000"/>
              </w:rPr>
              <w:t>，</w:t>
            </w:r>
            <w:r>
              <w:rPr>
                <w:sz w:val="21"/>
                <w:color w:val="000000"/>
              </w:rPr>
              <w:t>安装验收后需提供至少</w:t>
            </w:r>
            <w:r>
              <w:rPr>
                <w:sz w:val="21"/>
                <w:color w:val="000000"/>
              </w:rPr>
              <w:t>1年质保期。。</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年</w:t>
            </w:r>
          </w:p>
        </w:tc>
      </w:tr>
      <w:tr>
        <w:tc>
          <w:tcPr>
            <w:tcW w:type="dxa" w:w="432"/>
            <w:tcBorders>
              <w:top w:val="none" w:color="000000" w:sz="4"/>
              <w:left w:val="singl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76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升级</w:t>
            </w:r>
            <w:r>
              <w:rPr>
                <w:sz w:val="21"/>
                <w:color w:val="000000"/>
              </w:rPr>
              <w:t>PDA检测器后的</w:t>
            </w:r>
            <w:r>
              <w:br/>
            </w:r>
            <w:r>
              <w:rPr>
                <w:sz w:val="21"/>
                <w:color w:val="000000"/>
              </w:rPr>
              <w:t>超高效液相色谱仪维保</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维护保修（</w:t>
            </w:r>
            <w:r>
              <w:rPr>
                <w:sz w:val="21"/>
                <w:color w:val="000000"/>
              </w:rPr>
              <w:t>2027,2028年）</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1台升级PDA检测器后的超高效液相色谱仪</w:t>
            </w:r>
            <w:r>
              <w:rPr>
                <w:sz w:val="21"/>
                <w:color w:val="000000"/>
              </w:rPr>
              <w:t>需提供至少</w:t>
            </w:r>
            <w:r>
              <w:rPr>
                <w:sz w:val="21"/>
                <w:color w:val="000000"/>
              </w:rPr>
              <w:t>2年维护保修</w:t>
            </w:r>
            <w:r>
              <w:rPr>
                <w:sz w:val="21"/>
                <w:color w:val="000000"/>
              </w:rPr>
              <w:t>。</w:t>
            </w:r>
          </w:p>
          <w:p>
            <w:pPr>
              <w:pStyle w:val="null3"/>
              <w:jc w:val="left"/>
            </w:pPr>
            <w:r>
              <w:rPr>
                <w:sz w:val="21"/>
                <w:color w:val="000000"/>
              </w:rPr>
              <w:t>在维护期间，需派至少</w:t>
            </w:r>
            <w:r>
              <w:rPr>
                <w:sz w:val="21"/>
                <w:color w:val="000000"/>
              </w:rPr>
              <w:t>1名工程师定期上门进行仪器巡检，频率为每个月1次。</w:t>
            </w:r>
          </w:p>
        </w:tc>
        <w:tc>
          <w:tcPr>
            <w:tcW w:type="dxa" w:w="78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3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年</w:t>
            </w:r>
          </w:p>
        </w:tc>
      </w:tr>
      <w:tr>
        <w:tc>
          <w:tcPr>
            <w:tcW w:type="dxa" w:w="8306"/>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全</w:t>
            </w:r>
            <w:r>
              <w:rPr>
                <w:sz w:val="21"/>
                <w:b/>
                <w:color w:val="000000"/>
              </w:rPr>
              <w:t>2D液相色谱升级</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项目</w:t>
            </w:r>
          </w:p>
        </w:tc>
        <w:tc>
          <w:tcPr>
            <w:tcW w:type="dxa" w:w="1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名称</w:t>
            </w:r>
          </w:p>
        </w:tc>
        <w:tc>
          <w:tcPr>
            <w:tcW w:type="dxa" w:w="20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具体内容</w:t>
            </w:r>
          </w:p>
        </w:tc>
        <w:tc>
          <w:tcPr>
            <w:tcW w:type="dxa" w:w="25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参数</w:t>
            </w:r>
          </w:p>
        </w:tc>
        <w:tc>
          <w:tcPr>
            <w:tcW w:type="dxa" w:w="7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数量</w:t>
            </w:r>
          </w:p>
        </w:tc>
        <w:tc>
          <w:tcPr>
            <w:tcW w:type="dxa" w:w="73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color w:val="000000"/>
              </w:rPr>
              <w:t>单位</w:t>
            </w:r>
          </w:p>
        </w:tc>
      </w:tr>
      <w:tr>
        <w:tc>
          <w:tcPr>
            <w:tcW w:type="dxa" w:w="43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176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2D Technology Upgrade                              升级至2D液相色谱的升级包套装</w:t>
            </w: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二元溶剂管理器</w:t>
            </w:r>
          </w:p>
        </w:tc>
        <w:tc>
          <w:tcPr>
            <w:tcW w:type="dxa" w:w="258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r>
              <w:rPr>
                <w:sz w:val="21"/>
                <w:color w:val="000000"/>
              </w:rPr>
              <w:t>捕集和洗脱：</w:t>
            </w:r>
            <w:r>
              <w:br/>
            </w:r>
            <w:r>
              <w:rPr>
                <w:sz w:val="21"/>
                <w:color w:val="000000"/>
              </w:rPr>
              <w:t>捕集和反向洗脱，实现浓缩净化，提高灵敏度。</w:t>
            </w:r>
            <w:r>
              <w:br/>
            </w:r>
            <w:r>
              <w:rPr>
                <w:sz w:val="21"/>
                <w:color w:val="000000"/>
              </w:rPr>
              <w:t>捕集和反向洗脱，且柱头稀释，支持在高比例有机溶剂进样的情况下，也能实现良好的保留。</w:t>
            </w:r>
            <w:r>
              <w:br/>
            </w:r>
            <w:r>
              <w:rPr>
                <w:sz w:val="21"/>
                <w:color w:val="000000"/>
              </w:rPr>
              <w:t>在线固相萃取，减少手动样品前处理，增加灵敏度，提高耐用性。</w:t>
            </w:r>
            <w:r>
              <w:br/>
            </w:r>
            <w:r>
              <w:rPr>
                <w:sz w:val="21"/>
                <w:color w:val="000000"/>
              </w:rPr>
              <w:t>2、中心切割：增加分离度，提高耐用性，消除流动相对质谱的限制。</w:t>
            </w:r>
            <w:r>
              <w:br/>
            </w:r>
            <w:r>
              <w:rPr>
                <w:sz w:val="21"/>
                <w:color w:val="000000"/>
              </w:rPr>
              <w:t>3、全二维液相分离：支持灵活的全二维分析方法。</w:t>
            </w:r>
            <w:r>
              <w:br/>
            </w:r>
            <w:r>
              <w:rPr>
                <w:sz w:val="21"/>
                <w:color w:val="000000"/>
              </w:rPr>
              <w:t>4、平行色谱柱再生：一根色谱柱运行</w:t>
            </w:r>
            <w:r>
              <w:rPr>
                <w:sz w:val="21"/>
                <w:color w:val="000000"/>
              </w:rPr>
              <w:t>的同时</w:t>
            </w:r>
            <w:r>
              <w:rPr>
                <w:sz w:val="21"/>
                <w:color w:val="000000"/>
              </w:rPr>
              <w:t>，</w:t>
            </w:r>
            <w:r>
              <w:rPr>
                <w:sz w:val="21"/>
                <w:color w:val="000000"/>
              </w:rPr>
              <w:t>另</w:t>
            </w:r>
            <w:r>
              <w:rPr>
                <w:sz w:val="21"/>
                <w:color w:val="000000"/>
              </w:rPr>
              <w:t>一根平行的色谱柱</w:t>
            </w:r>
            <w:r>
              <w:rPr>
                <w:sz w:val="21"/>
                <w:color w:val="000000"/>
              </w:rPr>
              <w:t>能</w:t>
            </w:r>
            <w:r>
              <w:rPr>
                <w:sz w:val="21"/>
                <w:color w:val="000000"/>
              </w:rPr>
              <w:t>同时进行冲洗平衡，增加样品检测通量。</w:t>
            </w:r>
          </w:p>
          <w:p>
            <w:pPr>
              <w:pStyle w:val="null3"/>
              <w:jc w:val="left"/>
            </w:pPr>
            <w:r>
              <w:rPr>
                <w:sz w:val="21"/>
                <w:b/>
                <w:color w:val="000000"/>
              </w:rPr>
              <w:t>5、本项目为现有设备升级项目，升级至2D液相色谱的升级包套装应当与采购人现有设备液相色谱-三重四极杆质谱仪（型号为：waters Hclass UPLC-TQXS）兼容，包括但不限于硬件兼容、软件操作兼容、数据处理兼容等。</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432"/>
            <w:vMerge/>
            <w:tcBorders>
              <w:top w:val="none" w:color="000000" w:sz="4"/>
              <w:left w:val="single" w:color="000000" w:sz="4"/>
              <w:bottom w:val="single" w:color="000000" w:sz="4"/>
              <w:right w:val="single" w:color="000000" w:sz="4"/>
            </w:tcBorders>
          </w:tcPr>
          <w:p/>
        </w:tc>
        <w:tc>
          <w:tcPr>
            <w:tcW w:type="dxa" w:w="1765"/>
            <w:vMerge/>
            <w:tcBorders>
              <w:top w:val="none" w:color="000000" w:sz="4"/>
              <w:left w:val="none" w:color="000000" w:sz="4"/>
              <w:bottom w:val="single" w:color="000000" w:sz="4"/>
              <w:right w:val="single" w:color="000000" w:sz="4"/>
            </w:tcBorders>
          </w:tcP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色谱柱管理器</w:t>
            </w:r>
            <w:r>
              <w:rPr>
                <w:sz w:val="21"/>
                <w:color w:val="000000"/>
              </w:rPr>
              <w:t>(CM-A,主动预加热装置)</w:t>
            </w:r>
          </w:p>
        </w:tc>
        <w:tc>
          <w:tcPr>
            <w:tcW w:type="dxa" w:w="2588"/>
            <w:vMerge/>
            <w:tcBorders>
              <w:top w:val="none" w:color="000000" w:sz="4"/>
              <w:left w:val="none" w:color="000000" w:sz="4"/>
              <w:bottom w:val="single" w:color="000000" w:sz="4"/>
              <w:right w:val="single" w:color="000000" w:sz="4"/>
            </w:tcBorders>
          </w:tcP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432"/>
            <w:vMerge/>
            <w:tcBorders>
              <w:top w:val="none" w:color="000000" w:sz="4"/>
              <w:left w:val="single" w:color="000000" w:sz="4"/>
              <w:bottom w:val="single" w:color="000000" w:sz="4"/>
              <w:right w:val="single" w:color="000000" w:sz="4"/>
            </w:tcBorders>
          </w:tcPr>
          <w:p/>
        </w:tc>
        <w:tc>
          <w:tcPr>
            <w:tcW w:type="dxa" w:w="1765"/>
            <w:vMerge/>
            <w:tcBorders>
              <w:top w:val="none" w:color="000000" w:sz="4"/>
              <w:left w:val="none" w:color="000000" w:sz="4"/>
              <w:bottom w:val="single" w:color="000000" w:sz="4"/>
              <w:right w:val="single" w:color="000000" w:sz="4"/>
            </w:tcBorders>
          </w:tcP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CM-A 色谱柱管路配件包(2柱)</w:t>
            </w:r>
          </w:p>
        </w:tc>
        <w:tc>
          <w:tcPr>
            <w:tcW w:type="dxa" w:w="2588"/>
            <w:vMerge/>
            <w:tcBorders>
              <w:top w:val="none" w:color="000000" w:sz="4"/>
              <w:left w:val="none" w:color="000000" w:sz="4"/>
              <w:bottom w:val="single" w:color="000000" w:sz="4"/>
              <w:right w:val="single" w:color="000000" w:sz="4"/>
            </w:tcBorders>
          </w:tcP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432"/>
            <w:vMerge/>
            <w:tcBorders>
              <w:top w:val="none" w:color="000000" w:sz="4"/>
              <w:left w:val="single" w:color="000000" w:sz="4"/>
              <w:bottom w:val="single" w:color="000000" w:sz="4"/>
              <w:right w:val="single" w:color="000000" w:sz="4"/>
            </w:tcBorders>
          </w:tcPr>
          <w:p/>
        </w:tc>
        <w:tc>
          <w:tcPr>
            <w:tcW w:type="dxa" w:w="1765"/>
            <w:vMerge/>
            <w:tcBorders>
              <w:top w:val="none" w:color="000000" w:sz="4"/>
              <w:left w:val="none" w:color="000000" w:sz="4"/>
              <w:bottom w:val="single" w:color="000000" w:sz="4"/>
              <w:right w:val="single" w:color="000000" w:sz="4"/>
            </w:tcBorders>
          </w:tcP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漏液传感器组件</w:t>
            </w:r>
          </w:p>
        </w:tc>
        <w:tc>
          <w:tcPr>
            <w:tcW w:type="dxa" w:w="2588"/>
            <w:vMerge/>
            <w:tcBorders>
              <w:top w:val="none" w:color="000000" w:sz="4"/>
              <w:left w:val="none" w:color="000000" w:sz="4"/>
              <w:bottom w:val="single" w:color="000000" w:sz="4"/>
              <w:right w:val="single" w:color="000000" w:sz="4"/>
            </w:tcBorders>
          </w:tcP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432"/>
            <w:vMerge/>
            <w:tcBorders>
              <w:top w:val="none" w:color="000000" w:sz="4"/>
              <w:left w:val="single" w:color="000000" w:sz="4"/>
              <w:bottom w:val="single" w:color="000000" w:sz="4"/>
              <w:right w:val="single" w:color="000000" w:sz="4"/>
            </w:tcBorders>
          </w:tcPr>
          <w:p/>
        </w:tc>
        <w:tc>
          <w:tcPr>
            <w:tcW w:type="dxa" w:w="1765"/>
            <w:vMerge/>
            <w:tcBorders>
              <w:top w:val="none" w:color="000000" w:sz="4"/>
              <w:left w:val="none" w:color="000000" w:sz="4"/>
              <w:bottom w:val="single" w:color="000000" w:sz="4"/>
              <w:right w:val="single" w:color="000000" w:sz="4"/>
            </w:tcBorders>
          </w:tcP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二维系统的切换阀</w:t>
            </w:r>
          </w:p>
        </w:tc>
        <w:tc>
          <w:tcPr>
            <w:tcW w:type="dxa" w:w="2588"/>
            <w:vMerge/>
            <w:tcBorders>
              <w:top w:val="none" w:color="000000" w:sz="4"/>
              <w:left w:val="none" w:color="000000" w:sz="4"/>
              <w:bottom w:val="single" w:color="000000" w:sz="4"/>
              <w:right w:val="single" w:color="000000" w:sz="4"/>
            </w:tcBorders>
          </w:tcP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432"/>
            <w:vMerge/>
            <w:tcBorders>
              <w:top w:val="none" w:color="000000" w:sz="4"/>
              <w:left w:val="single" w:color="000000" w:sz="4"/>
              <w:bottom w:val="single" w:color="000000" w:sz="4"/>
              <w:right w:val="single" w:color="000000" w:sz="4"/>
            </w:tcBorders>
          </w:tcPr>
          <w:p/>
        </w:tc>
        <w:tc>
          <w:tcPr>
            <w:tcW w:type="dxa" w:w="1765"/>
            <w:vMerge/>
            <w:tcBorders>
              <w:top w:val="none" w:color="000000" w:sz="4"/>
              <w:left w:val="none" w:color="000000" w:sz="4"/>
              <w:bottom w:val="single" w:color="000000" w:sz="4"/>
              <w:right w:val="single" w:color="000000" w:sz="4"/>
            </w:tcBorders>
          </w:tcP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二维系统的启动包</w:t>
            </w:r>
          </w:p>
        </w:tc>
        <w:tc>
          <w:tcPr>
            <w:tcW w:type="dxa" w:w="2588"/>
            <w:vMerge/>
            <w:tcBorders>
              <w:top w:val="none" w:color="000000" w:sz="4"/>
              <w:left w:val="none" w:color="000000" w:sz="4"/>
              <w:bottom w:val="single" w:color="000000" w:sz="4"/>
              <w:right w:val="single" w:color="000000" w:sz="4"/>
            </w:tcBorders>
          </w:tcP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432"/>
            <w:vMerge/>
            <w:tcBorders>
              <w:top w:val="none" w:color="000000" w:sz="4"/>
              <w:left w:val="single" w:color="000000" w:sz="4"/>
              <w:bottom w:val="single" w:color="000000" w:sz="4"/>
              <w:right w:val="single" w:color="000000" w:sz="4"/>
            </w:tcBorders>
          </w:tcPr>
          <w:p/>
        </w:tc>
        <w:tc>
          <w:tcPr>
            <w:tcW w:type="dxa" w:w="1765"/>
            <w:vMerge/>
            <w:tcBorders>
              <w:top w:val="none" w:color="000000" w:sz="4"/>
              <w:left w:val="none" w:color="000000" w:sz="4"/>
              <w:bottom w:val="single" w:color="000000" w:sz="4"/>
              <w:right w:val="single" w:color="000000" w:sz="4"/>
            </w:tcBorders>
          </w:tcP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2D系统信息卡</w:t>
            </w:r>
          </w:p>
        </w:tc>
        <w:tc>
          <w:tcPr>
            <w:tcW w:type="dxa" w:w="2588"/>
            <w:vMerge/>
            <w:tcBorders>
              <w:top w:val="none" w:color="000000" w:sz="4"/>
              <w:left w:val="none" w:color="000000" w:sz="4"/>
              <w:bottom w:val="single" w:color="000000" w:sz="4"/>
              <w:right w:val="single" w:color="000000" w:sz="4"/>
            </w:tcBorders>
          </w:tcP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1765"/>
            <w:vMerge/>
            <w:tcBorders>
              <w:top w:val="none" w:color="000000" w:sz="4"/>
              <w:left w:val="none" w:color="000000" w:sz="4"/>
              <w:bottom w:val="single" w:color="000000" w:sz="4"/>
              <w:right w:val="single" w:color="000000" w:sz="4"/>
            </w:tcBorders>
          </w:tcP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安装质谱用的标样</w:t>
            </w:r>
          </w:p>
        </w:tc>
        <w:tc>
          <w:tcPr>
            <w:tcW w:type="dxa" w:w="2588"/>
            <w:vMerge/>
            <w:tcBorders>
              <w:top w:val="none" w:color="000000" w:sz="4"/>
              <w:left w:val="none" w:color="000000" w:sz="4"/>
              <w:bottom w:val="single" w:color="000000" w:sz="4"/>
              <w:right w:val="single" w:color="000000" w:sz="4"/>
            </w:tcBorders>
          </w:tcP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1765"/>
            <w:vMerge/>
            <w:tcBorders>
              <w:top w:val="none" w:color="000000" w:sz="4"/>
              <w:left w:val="none" w:color="000000" w:sz="4"/>
              <w:bottom w:val="single" w:color="000000" w:sz="4"/>
              <w:right w:val="single" w:color="000000" w:sz="4"/>
            </w:tcBorders>
          </w:tcP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20uL定量环</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20uL ，支持UPLC 自动进样器用。</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1765"/>
            <w:vMerge/>
            <w:tcBorders>
              <w:top w:val="none" w:color="000000" w:sz="4"/>
              <w:left w:val="none" w:color="000000" w:sz="4"/>
              <w:bottom w:val="single" w:color="000000" w:sz="4"/>
              <w:right w:val="single" w:color="000000" w:sz="4"/>
            </w:tcBorders>
          </w:tcP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50uL定量环</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50uL，支持 UPLC 自动进样器用。</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1765"/>
            <w:vMerge/>
            <w:tcBorders>
              <w:top w:val="none" w:color="000000" w:sz="4"/>
              <w:left w:val="none" w:color="000000" w:sz="4"/>
              <w:bottom w:val="single" w:color="000000" w:sz="4"/>
              <w:right w:val="single" w:color="000000" w:sz="4"/>
            </w:tcBorders>
          </w:tcP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配套色谱柱</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 xml:space="preserve">UPLC BEH C18 1.7um </w:t>
            </w:r>
            <w:r>
              <w:rPr>
                <w:sz w:val="21"/>
              </w:rPr>
              <w:t>；</w:t>
            </w:r>
          </w:p>
          <w:p>
            <w:pPr>
              <w:pStyle w:val="null3"/>
              <w:jc w:val="left"/>
            </w:pPr>
            <w:r>
              <w:rPr>
                <w:sz w:val="21"/>
                <w:color w:val="000000"/>
              </w:rPr>
              <w:t>内径</w:t>
            </w:r>
            <w:r>
              <w:rPr>
                <w:sz w:val="21"/>
                <w:color w:val="000000"/>
              </w:rPr>
              <w:t>x长度：2.1x50mm,1根/盒。</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盒</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1765"/>
            <w:vMerge/>
            <w:tcBorders>
              <w:top w:val="none" w:color="000000" w:sz="4"/>
              <w:left w:val="none" w:color="000000" w:sz="4"/>
              <w:bottom w:val="single" w:color="000000" w:sz="4"/>
              <w:right w:val="single" w:color="000000" w:sz="4"/>
            </w:tcBorders>
          </w:tcP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直接接入式柱</w:t>
            </w:r>
            <w:r>
              <w:rPr>
                <w:sz w:val="21"/>
                <w:color w:val="000000"/>
              </w:rPr>
              <w:t>HP</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C8，粒径10um； 内径x长度2.1x30mm。</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7</w:t>
            </w:r>
          </w:p>
        </w:tc>
        <w:tc>
          <w:tcPr>
            <w:tcW w:type="dxa" w:w="1765"/>
            <w:vMerge/>
            <w:tcBorders>
              <w:top w:val="none" w:color="000000" w:sz="4"/>
              <w:left w:val="none" w:color="000000" w:sz="4"/>
              <w:bottom w:val="single" w:color="000000" w:sz="4"/>
              <w:right w:val="single" w:color="000000" w:sz="4"/>
            </w:tcBorders>
          </w:tcP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HLB,直插式耐高压</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HLB，粒径20um ； 内径x长度2.1x30mm。</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8</w:t>
            </w:r>
          </w:p>
        </w:tc>
        <w:tc>
          <w:tcPr>
            <w:tcW w:type="dxa" w:w="1765"/>
            <w:vMerge/>
            <w:tcBorders>
              <w:top w:val="none" w:color="000000" w:sz="4"/>
              <w:left w:val="none" w:color="000000" w:sz="4"/>
              <w:bottom w:val="single" w:color="000000" w:sz="4"/>
              <w:right w:val="single" w:color="000000" w:sz="4"/>
            </w:tcBorders>
          </w:tcP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配套进样瓶</w:t>
            </w:r>
            <w:r>
              <w:rPr>
                <w:sz w:val="21"/>
                <w:color w:val="000000"/>
              </w:rPr>
              <w:t>/瓶盖</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LCGC认证透明螺旋口2ml样品瓶及一体式预切割PTFE/硅胶盖垫。</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套</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9</w:t>
            </w:r>
          </w:p>
        </w:tc>
        <w:tc>
          <w:tcPr>
            <w:tcW w:type="dxa" w:w="1765"/>
            <w:vMerge/>
            <w:tcBorders>
              <w:top w:val="none" w:color="000000" w:sz="4"/>
              <w:left w:val="none" w:color="000000" w:sz="4"/>
              <w:bottom w:val="single" w:color="000000" w:sz="4"/>
              <w:right w:val="single" w:color="000000" w:sz="4"/>
            </w:tcBorders>
          </w:tcP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进样器</w:t>
            </w:r>
            <w:r>
              <w:rPr>
                <w:sz w:val="21"/>
                <w:color w:val="000000"/>
              </w:rPr>
              <w:t>FTN六通阀阀芯</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耐高压，</w:t>
            </w:r>
            <w:r>
              <w:rPr>
                <w:sz w:val="21"/>
                <w:color w:val="000000"/>
              </w:rPr>
              <w:t>≥18000psi。</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个</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10</w:t>
            </w:r>
          </w:p>
        </w:tc>
        <w:tc>
          <w:tcPr>
            <w:tcW w:type="dxa" w:w="1765"/>
            <w:vMerge/>
            <w:tcBorders>
              <w:top w:val="none" w:color="000000" w:sz="4"/>
              <w:left w:val="none" w:color="000000" w:sz="4"/>
              <w:bottom w:val="single" w:color="000000" w:sz="4"/>
              <w:right w:val="single" w:color="000000" w:sz="4"/>
            </w:tcBorders>
          </w:tcP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UPLC/HPLC 液相色谱系统/安装</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硬件工程师上门安装调试。</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次</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11</w:t>
            </w:r>
          </w:p>
        </w:tc>
        <w:tc>
          <w:tcPr>
            <w:tcW w:type="dxa" w:w="1765"/>
            <w:vMerge/>
            <w:tcBorders>
              <w:top w:val="none" w:color="000000" w:sz="4"/>
              <w:left w:val="none" w:color="000000" w:sz="4"/>
              <w:bottom w:val="single" w:color="000000" w:sz="4"/>
              <w:right w:val="single" w:color="000000" w:sz="4"/>
            </w:tcBorders>
          </w:tcP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三天现场培训支持</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应用工程师上门培训。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次</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12</w:t>
            </w:r>
          </w:p>
        </w:tc>
        <w:tc>
          <w:tcPr>
            <w:tcW w:type="dxa" w:w="1765"/>
            <w:vMerge/>
            <w:tcBorders>
              <w:top w:val="none" w:color="000000" w:sz="4"/>
              <w:left w:val="none" w:color="000000" w:sz="4"/>
              <w:bottom w:val="single" w:color="000000" w:sz="4"/>
              <w:right w:val="single" w:color="000000" w:sz="4"/>
            </w:tcBorders>
          </w:tcPr>
          <w:p/>
        </w:tc>
        <w:tc>
          <w:tcPr>
            <w:tcW w:type="dxa" w:w="20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液相产品线上线下结合型课堂培训班（</w:t>
            </w:r>
            <w:r>
              <w:rPr>
                <w:sz w:val="21"/>
                <w:color w:val="000000"/>
              </w:rPr>
              <w:t>2天）</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技术拓展培训班。</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天</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13</w:t>
            </w:r>
          </w:p>
        </w:tc>
        <w:tc>
          <w:tcPr>
            <w:tcW w:type="dxa" w:w="1765"/>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sz w:val="21"/>
                <w:color w:val="000000"/>
              </w:rPr>
              <w:t>全</w:t>
            </w:r>
            <w:r>
              <w:rPr>
                <w:sz w:val="21"/>
                <w:color w:val="000000"/>
              </w:rPr>
              <w:t>2D液相色谱升级设备维保</w:t>
            </w:r>
          </w:p>
        </w:tc>
        <w:tc>
          <w:tcPr>
            <w:tcW w:type="dxa" w:w="2001"/>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sz w:val="21"/>
                <w:color w:val="000000"/>
              </w:rPr>
              <w:t>维护保修（首期）</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1套2D液相色谱安装验收后需提供至少1年质保期。。</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年</w:t>
            </w:r>
          </w:p>
        </w:tc>
      </w:tr>
      <w:tr>
        <w:tc>
          <w:tcPr>
            <w:tcW w:type="dxa" w:w="43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14</w:t>
            </w:r>
          </w:p>
        </w:tc>
        <w:tc>
          <w:tcPr>
            <w:tcW w:type="dxa" w:w="17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升级全二维液相后的</w:t>
            </w:r>
            <w:r>
              <w:br/>
            </w:r>
            <w:r>
              <w:rPr>
                <w:sz w:val="21"/>
                <w:color w:val="000000"/>
              </w:rPr>
              <w:t>液相色谱</w:t>
            </w:r>
            <w:r>
              <w:rPr>
                <w:sz w:val="21"/>
                <w:color w:val="000000"/>
              </w:rPr>
              <w:t>-三重四极杆质谱联用仪维保</w:t>
            </w:r>
          </w:p>
        </w:tc>
        <w:tc>
          <w:tcPr>
            <w:tcW w:type="dxa" w:w="20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维护保养（</w:t>
            </w:r>
            <w:r>
              <w:rPr>
                <w:sz w:val="21"/>
                <w:color w:val="000000"/>
              </w:rPr>
              <w:t>2027,2028年）</w:t>
            </w:r>
          </w:p>
        </w:tc>
        <w:tc>
          <w:tcPr>
            <w:tcW w:type="dxa" w:w="25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1台升级全二维液相后的液相色谱-三重四极杆质谱联用仪</w:t>
            </w:r>
            <w:r>
              <w:rPr>
                <w:sz w:val="21"/>
                <w:color w:val="000000"/>
              </w:rPr>
              <w:t>需提供至少</w:t>
            </w:r>
            <w:r>
              <w:rPr>
                <w:sz w:val="21"/>
                <w:color w:val="000000"/>
              </w:rPr>
              <w:t>2年维护保修</w:t>
            </w:r>
            <w:r>
              <w:rPr>
                <w:sz w:val="21"/>
                <w:color w:val="000000"/>
              </w:rPr>
              <w:t>。</w:t>
            </w:r>
          </w:p>
          <w:p>
            <w:pPr>
              <w:pStyle w:val="null3"/>
              <w:jc w:val="left"/>
            </w:pPr>
            <w:r>
              <w:rPr>
                <w:sz w:val="21"/>
                <w:color w:val="000000"/>
              </w:rPr>
              <w:t>在维护期间，需派至少</w:t>
            </w:r>
            <w:r>
              <w:rPr>
                <w:sz w:val="21"/>
                <w:color w:val="000000"/>
              </w:rPr>
              <w:t>1名工程师定期上门进行仪器巡检，频率为每个月1次。</w:t>
            </w:r>
          </w:p>
        </w:tc>
        <w:tc>
          <w:tcPr>
            <w:tcW w:type="dxa" w:w="7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73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年</w:t>
            </w:r>
          </w:p>
        </w:tc>
      </w:tr>
    </w:tbl>
    <w:p>
      <w:pPr>
        <w:pStyle w:val="null3"/>
      </w:pPr>
      <w:r>
        <w:rPr/>
        <w:t>采购包1（广东省毒品实验技术中心2025-86液相设备升级项目）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货物部分：自合同签订之日起30个工作日内完成供货，产品提供1年质保。 维保服务部分：自货物验收之日起提供为期3年的维保服务。</w:t>
            </w:r>
          </w:p>
        </w:tc>
      </w:tr>
      <w:tr>
        <w:tc>
          <w:tcPr>
            <w:tcW w:type="dxa" w:w="4153"/>
          </w:tcPr>
          <w:p>
            <w:pPr>
              <w:pStyle w:val="null3"/>
            </w:pPr>
            <w:r>
              <w:rPr/>
              <w:t>标的提供的地点</w:t>
            </w:r>
          </w:p>
        </w:tc>
        <w:tc>
          <w:tcPr>
            <w:tcW w:type="dxa" w:w="4153"/>
          </w:tcPr>
          <w:p>
            <w:pPr>
              <w:pStyle w:val="null3"/>
            </w:pPr>
            <w:r>
              <w:rPr/>
              <w:t>广州市海珠区东晓路63号</w:t>
            </w:r>
          </w:p>
        </w:tc>
      </w:tr>
      <w:tr>
        <w:tc>
          <w:tcPr>
            <w:tcW w:type="dxa" w:w="4153"/>
          </w:tcPr>
          <w:p>
            <w:pPr>
              <w:pStyle w:val="null3"/>
            </w:pPr>
            <w:r>
              <w:rPr/>
              <w:t>付款方式</w:t>
            </w:r>
          </w:p>
        </w:tc>
        <w:tc>
          <w:tcPr>
            <w:tcW w:type="dxa" w:w="4153"/>
          </w:tcPr>
          <w:p>
            <w:pPr>
              <w:pStyle w:val="null3"/>
            </w:pPr>
            <w:r>
              <w:rPr/>
              <w:t>1期：支付比例100%,货物部分： 1.签订合同后5个工作日内，采购人支付合同货物部分金额的30%给成交供应商，作为预付款。 2.货物到达交货地点安装调试后，采购人进行验收，采购人在收到成交供应商发票后10个工作日内，向成交供应商支付至货物部分结算金额的100%。 维保部分： 1.采购项目中维修保养部分，签订合同后5个工作日内，采购人支付维保部分金额的30%给成交供应商作为预付款。 2.维修保养第1年结束后，进行阶段性验收，验收通过后，采购人在收到成交供应商发票后10个工作日内，向成交供应商支付合同维保部分金额的40%。 3.维护保养期到期后，进行最终验收，验收通过后，采购人在收到成交供应商发票后10个工作日内，向成交供应商支付至维保部分结算金额的100%。</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1期：货物部分： 1.符合中华人民共和国国家安全质量标准、环保标准或行业标准。 2.符合招标文件中采购人的参数及各项要求。 3.货物为原厂商未启封全新包装，序列号、包装箱号与出厂批号一致，并可追索查阅，所有随设备的附件必须齐全。 4.成交供应商应将关键设备的用户手册、保修手册、有关单证资料、使用操作及安全须知等资料及配备件、随机工具等交付给采购人。 采购人组成验收小组按国家有关规定、规范进行验收。因货物质量问题发生争议时，由广州市质量监督部门鉴定。货物符合质量技术标准的，鉴定费由采购人承担，否则鉴定费由成交供应商承担。 维保部分： ①维保服务作业应符合国家、地方、行业规范，确保仪器设备处于技术状态良好、安全、稳定、持续运行的要求；②成交供应商按照约定完成维保服务，并提交设备维护保养报告和服务验收报告，并提出验收申请，采购人同意并于7日内组织验收、签署服务验收报告，服务验收以双方共同确认的仪器设备处于正常工作状态为准。 阶段性验收、最终验收时需查验每次服务的服务报告（包含巡检、保养、维修），由采购人、成交供应商双方共同进行。 成交供应商提供的维护保养服务需满足谈判文件的要求、响应文件的承诺及合同条款要求。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其他，报价要求：供应商须提供详细报价表，分别报出货物部分和维保部分的价格。</w:t>
            </w: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交货方式</w:t>
            </w:r>
          </w:p>
        </w:tc>
        <w:tc>
          <w:tcPr>
            <w:tcW w:type="dxa" w:w="2076"/>
          </w:tcPr>
          <w:p>
            <w:pPr>
              <w:pStyle w:val="null3"/>
              <w:jc w:val="left"/>
            </w:pPr>
            <w:r>
              <w:rPr/>
              <w:t>汽运／快递，符合国家有关货物运输规范的要求。成交供应商负责办理运输和保险的费用，将货物运抵现场，并负责将货物存放到采购人指定的场地。</w:t>
            </w:r>
          </w:p>
        </w:tc>
      </w:tr>
      <w:tr>
        <w:tc>
          <w:tcPr>
            <w:tcW w:type="dxa" w:w="2076"/>
          </w:tcPr>
          <w:p/>
        </w:tc>
        <w:tc>
          <w:tcPr>
            <w:tcW w:type="dxa" w:w="2076"/>
          </w:tcPr>
          <w:p>
            <w:pPr>
              <w:pStyle w:val="null3"/>
              <w:jc w:val="center"/>
            </w:pPr>
            <w:r>
              <w:rPr/>
              <w:t>2</w:t>
            </w:r>
          </w:p>
        </w:tc>
        <w:tc>
          <w:tcPr>
            <w:tcW w:type="dxa" w:w="2076"/>
          </w:tcPr>
          <w:p>
            <w:pPr>
              <w:pStyle w:val="null3"/>
              <w:jc w:val="left"/>
            </w:pPr>
            <w:r>
              <w:rPr/>
              <w:t>包装运输</w:t>
            </w:r>
          </w:p>
        </w:tc>
        <w:tc>
          <w:tcPr>
            <w:tcW w:type="dxa" w:w="2076"/>
          </w:tcPr>
          <w:p>
            <w:pPr>
              <w:pStyle w:val="null3"/>
              <w:jc w:val="left"/>
            </w:pPr>
            <w:r>
              <w:rPr/>
              <w:t>货物材料的包装必须是制造商原厂包装，其包装均应有良好的防湿、防锈、防潮、防雨、防腐及防碰撞的措施；成交供应商负责将货物材料货到现场过程中的全部运输，包括装卸车、货物现场的搬运。</w:t>
            </w:r>
          </w:p>
        </w:tc>
      </w:tr>
      <w:tr>
        <w:tc>
          <w:tcPr>
            <w:tcW w:type="dxa" w:w="2076"/>
          </w:tcPr>
          <w:p/>
        </w:tc>
        <w:tc>
          <w:tcPr>
            <w:tcW w:type="dxa" w:w="2076"/>
          </w:tcPr>
          <w:p>
            <w:pPr>
              <w:pStyle w:val="null3"/>
              <w:jc w:val="center"/>
            </w:pPr>
            <w:r>
              <w:rPr/>
              <w:t>3</w:t>
            </w:r>
          </w:p>
        </w:tc>
        <w:tc>
          <w:tcPr>
            <w:tcW w:type="dxa" w:w="2076"/>
          </w:tcPr>
          <w:p>
            <w:pPr>
              <w:pStyle w:val="null3"/>
              <w:jc w:val="left"/>
            </w:pPr>
            <w:r>
              <w:rPr/>
              <w:t>售后服务</w:t>
            </w:r>
          </w:p>
        </w:tc>
        <w:tc>
          <w:tcPr>
            <w:tcW w:type="dxa" w:w="2076"/>
          </w:tcPr>
          <w:p>
            <w:pPr>
              <w:pStyle w:val="null3"/>
              <w:jc w:val="left"/>
            </w:pPr>
            <w:r>
              <w:rPr/>
              <w:t>（1）质量保证期（简称“质保期”）为不少于12个月（货物通过验收之日起计算）），质保期内成交供应商对所供货物实行包修、包换、包退、包维护保养。货物部分质保期12个月到期后，执行维保部分，为期24个月，成交供应商对升级后的整机设备进行维护保养。 （2）对采购人的维保服务要求，成交供应商在接报后1小时内响应，若无法远程解决，需于12小时内到达现场，48小时内处理完毕。成交供应商应当提供不少于全年7*24小时的售后服务工作。 （3）成交供应商提供的产品供货时必须能提供产品质量证明，保证为原厂全新正品。 （4）因产品质量问题，造成采购人设备或试剂等损失的，成交供应商必须赔偿因此而造成采购人的损失。 （5）成交供应商所供应货物必须包装完好，保存得当，其技术规格、标准必须符合采购人需求和国家计量检测标准。 （6）各种货物必须提供装箱清单，按装箱清单验收货物。（7）货物在现场的保管由成交供应商负责，直至项目验收完毕。</w:t>
            </w:r>
          </w:p>
        </w:tc>
      </w:tr>
      <w:tr>
        <w:tc>
          <w:tcPr>
            <w:tcW w:type="dxa" w:w="2076"/>
          </w:tcPr>
          <w:p/>
        </w:tc>
        <w:tc>
          <w:tcPr>
            <w:tcW w:type="dxa" w:w="2076"/>
          </w:tcPr>
          <w:p>
            <w:pPr>
              <w:pStyle w:val="null3"/>
              <w:jc w:val="center"/>
            </w:pPr>
            <w:r>
              <w:rPr/>
              <w:t>4</w:t>
            </w:r>
          </w:p>
        </w:tc>
        <w:tc>
          <w:tcPr>
            <w:tcW w:type="dxa" w:w="2076"/>
          </w:tcPr>
          <w:p>
            <w:pPr>
              <w:pStyle w:val="null3"/>
              <w:jc w:val="left"/>
            </w:pPr>
            <w:r>
              <w:rPr/>
              <w:t>保险</w:t>
            </w:r>
          </w:p>
        </w:tc>
        <w:tc>
          <w:tcPr>
            <w:tcW w:type="dxa" w:w="2076"/>
          </w:tcPr>
          <w:p>
            <w:pPr>
              <w:pStyle w:val="null3"/>
              <w:jc w:val="left"/>
            </w:pPr>
            <w:r>
              <w:rPr/>
              <w:t>货物验收合格前的保险由成交供应商负责，成交供应商负责其派出的现场服务人员人身意外保险。</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其他试验仪器及装置</w:t>
            </w:r>
          </w:p>
        </w:tc>
        <w:tc>
          <w:tcPr>
            <w:tcW w:type="dxa" w:w="933"/>
          </w:tcPr>
          <w:p>
            <w:pPr>
              <w:pStyle w:val="null3"/>
              <w:jc w:val="left"/>
            </w:pPr>
            <w:r>
              <w:rPr/>
              <w:t>PDA检测器</w:t>
            </w:r>
          </w:p>
        </w:tc>
        <w:tc>
          <w:tcPr>
            <w:tcW w:type="dxa" w:w="933"/>
          </w:tcPr>
          <w:p>
            <w:pPr>
              <w:pStyle w:val="null3"/>
              <w:jc w:val="left"/>
            </w:pPr>
            <w:r>
              <w:rPr/>
              <w:t>批</w:t>
            </w:r>
          </w:p>
        </w:tc>
        <w:tc>
          <w:tcPr>
            <w:tcW w:type="dxa" w:w="933"/>
          </w:tcPr>
          <w:p>
            <w:pPr>
              <w:pStyle w:val="null3"/>
              <w:jc w:val="right"/>
            </w:pPr>
            <w:r>
              <w:rPr/>
              <w:t>1.00</w:t>
            </w:r>
          </w:p>
        </w:tc>
        <w:tc>
          <w:tcPr>
            <w:tcW w:type="dxa" w:w="933"/>
          </w:tcPr>
          <w:p>
            <w:pPr>
              <w:pStyle w:val="null3"/>
            </w:pPr>
            <w:r>
              <w:rPr/>
              <w:t>此标的不做分项预算单价限制</w:t>
            </w:r>
          </w:p>
        </w:tc>
        <w:tc>
          <w:tcPr>
            <w:tcW w:type="dxa" w:w="933"/>
          </w:tcPr>
          <w:p>
            <w:pPr>
              <w:pStyle w:val="null3"/>
            </w:pPr>
            <w:r>
              <w:rPr/>
              <w:t>此标的不做分项预算总价限制，其预算总价包含在项目总预算中</w:t>
            </w:r>
          </w:p>
        </w:tc>
        <w:tc>
          <w:tcPr>
            <w:tcW w:type="dxa" w:w="840"/>
          </w:tcPr>
          <w:p>
            <w:pPr>
              <w:pStyle w:val="null3"/>
            </w:pPr>
            <w:r>
              <w:rPr/>
              <w:t>工业</w:t>
            </w:r>
          </w:p>
        </w:tc>
        <w:tc>
          <w:tcPr>
            <w:tcW w:type="dxa" w:w="933"/>
          </w:tcPr>
          <w:p>
            <w:pPr>
              <w:pStyle w:val="null3"/>
            </w:pPr>
            <w:r>
              <w:rPr/>
              <w:t>详见附表一</w:t>
            </w:r>
          </w:p>
        </w:tc>
      </w:tr>
      <w:tr>
        <w:tc>
          <w:tcPr>
            <w:tcW w:type="dxa" w:w="933"/>
          </w:tcPr>
          <w:p>
            <w:pPr>
              <w:pStyle w:val="null3"/>
              <w:jc w:val="center"/>
            </w:pPr>
            <w:r>
              <w:rPr/>
              <w:t>2</w:t>
            </w:r>
          </w:p>
        </w:tc>
        <w:tc>
          <w:tcPr>
            <w:tcW w:type="dxa" w:w="933"/>
          </w:tcPr>
          <w:p>
            <w:pPr>
              <w:pStyle w:val="null3"/>
              <w:jc w:val="left"/>
            </w:pPr>
            <w:r>
              <w:rPr/>
              <w:t>其他分析仪器</w:t>
            </w:r>
          </w:p>
        </w:tc>
        <w:tc>
          <w:tcPr>
            <w:tcW w:type="dxa" w:w="933"/>
          </w:tcPr>
          <w:p>
            <w:pPr>
              <w:pStyle w:val="null3"/>
              <w:jc w:val="left"/>
            </w:pPr>
            <w:r>
              <w:rPr/>
              <w:t>全2D液相色谱升级</w:t>
            </w:r>
          </w:p>
        </w:tc>
        <w:tc>
          <w:tcPr>
            <w:tcW w:type="dxa" w:w="933"/>
          </w:tcPr>
          <w:p>
            <w:pPr>
              <w:pStyle w:val="null3"/>
              <w:jc w:val="left"/>
            </w:pPr>
            <w:r>
              <w:rPr/>
              <w:t>批</w:t>
            </w:r>
          </w:p>
        </w:tc>
        <w:tc>
          <w:tcPr>
            <w:tcW w:type="dxa" w:w="933"/>
          </w:tcPr>
          <w:p>
            <w:pPr>
              <w:pStyle w:val="null3"/>
              <w:jc w:val="right"/>
            </w:pPr>
            <w:r>
              <w:rPr/>
              <w:t>1.00</w:t>
            </w:r>
          </w:p>
        </w:tc>
        <w:tc>
          <w:tcPr>
            <w:tcW w:type="dxa" w:w="933"/>
          </w:tcPr>
          <w:p>
            <w:pPr>
              <w:pStyle w:val="null3"/>
            </w:pPr>
            <w:r>
              <w:rPr/>
              <w:t>此标的不做分项预算单价限制</w:t>
            </w:r>
          </w:p>
        </w:tc>
        <w:tc>
          <w:tcPr>
            <w:tcW w:type="dxa" w:w="933"/>
          </w:tcPr>
          <w:p>
            <w:pPr>
              <w:pStyle w:val="null3"/>
            </w:pPr>
            <w:r>
              <w:rPr/>
              <w:t>此标的不做分项预算总价限制，其预算总价包含在项目总预算中</w:t>
            </w:r>
          </w:p>
        </w:tc>
        <w:tc>
          <w:tcPr>
            <w:tcW w:type="dxa" w:w="840"/>
          </w:tcPr>
          <w:p>
            <w:pPr>
              <w:pStyle w:val="null3"/>
            </w:pPr>
            <w:r>
              <w:rPr/>
              <w:t>工业</w:t>
            </w:r>
          </w:p>
        </w:tc>
        <w:tc>
          <w:tcPr>
            <w:tcW w:type="dxa" w:w="933"/>
          </w:tcPr>
          <w:p>
            <w:pPr>
              <w:pStyle w:val="null3"/>
            </w:pPr>
            <w:r>
              <w:rPr/>
              <w:t>详见附表二</w:t>
            </w:r>
          </w:p>
        </w:tc>
      </w:tr>
    </w:tbl>
    <w:p>
      <w:pPr>
        <w:pStyle w:val="null3"/>
      </w:pPr>
      <w:r>
        <w:rPr>
          <w:b/>
        </w:rPr>
        <w:t>附表</w:t>
      </w:r>
      <w:r>
        <w:rPr>
          <w:b/>
        </w:rPr>
        <w:t>一</w:t>
      </w:r>
      <w:r>
        <w:rPr>
          <w:b/>
        </w:rPr>
        <w:t>：</w:t>
      </w:r>
      <w:r>
        <w:rPr>
          <w:b/>
        </w:rPr>
        <w:t>PDA检测器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详见第二章采购需求</w:t>
            </w:r>
            <w:r>
              <w:rPr>
                <w:sz w:val="21"/>
                <w:b/>
              </w:rPr>
              <w:t>采购标的汇总表</w:t>
            </w:r>
            <w:r>
              <w:rPr>
                <w:sz w:val="21"/>
                <w:b/>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全2D液相色谱升级</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sz w:val="21"/>
                <w:b/>
              </w:rPr>
              <w:t>详见第二章采购需求</w:t>
            </w:r>
            <w:r>
              <w:rPr>
                <w:sz w:val="21"/>
                <w:b/>
              </w:rPr>
              <w:t>采购标的汇总表</w:t>
            </w:r>
            <w:r>
              <w:rPr>
                <w:sz w:val="21"/>
                <w:b/>
              </w:rPr>
              <w: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outlineLvl w:val="1"/>
      </w:pPr>
      <w:r>
        <w:rPr>
          <w:sz w:val="36"/>
          <w:b/>
        </w:rPr>
        <w:t>第三章 供应商须知</w:t>
      </w:r>
    </w:p>
    <w:p>
      <w:pPr>
        <w:pStyle w:val="null3"/>
        <w:ind w:firstLine="480"/>
      </w:pPr>
      <w:r>
        <w:rPr/>
        <w:t xml:space="preserve"> 供应商必须认真阅读谈判文件中所有的事项、格式、条款和采购需求等。供应商没有按照谈判文件要求提交全部资料，或者响应文件没有对谈判文件在各方面都做出实质性响应的可能导致其响应无效或被拒绝。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1.采购代理机构：本项目是指广东华信招标有限公司，负责整个采购活动的组织，依法负责编制和发布谈判文件，对谈判文件拥有最终的解释权，不以任何身份出任谈判小组成员。</w:t>
      </w:r>
    </w:p>
    <w:p>
      <w:pPr>
        <w:pStyle w:val="null3"/>
        <w:ind w:firstLine="480"/>
      </w:pPr>
      <w:r>
        <w:rPr/>
        <w:t xml:space="preserve"> 2.采购人：本项目是指</w:t>
      </w:r>
      <w:r>
        <w:rPr/>
        <w:t>广东省毒品实验技术中心（国家毒品实验室广东分中心）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4.“谈判小组”是指根据《中华人民共和国政府采购法》等法律法规规定，由采购人代表和有关专家组成以确定成交供应商或者推荐成交候选供应商的临时组织。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5.“成交供应商”是指经谈判小组评审确定的对谈判文件做出实质性响应，经采购人按照规定在谈判小组推荐的成交候选供应商中确定的或谈判小组受采购人委托直接确认的供应商。</w:t>
      </w:r>
    </w:p>
    <w:p>
      <w:pPr>
        <w:pStyle w:val="null3"/>
        <w:ind w:firstLine="480"/>
      </w:pPr>
      <w:r>
        <w:rPr/>
        <w:t>6.谈判文件：是指包括谈判公告和谈判文件及其补充、变更和澄清等一系列文件。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本表与谈判文件对应章节的内容若不一致，以本表为准。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现场电子开标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采购包1：最低评标价法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响应保函提交方式：供应商可通过"广东政府采购智慧云平台金融服务中心"(http://gdgpo.czt.gd.gov.cn/zcdservice/zcd/guangdong/)，申请办理响应担保函、保险（保证）凭证，成功出函的等效于现金缴纳响应保证金。</w:t>
            </w:r>
          </w:p>
        </w:tc>
      </w:tr>
      <w:tr>
        <w:tc>
          <w:tcPr>
            <w:tcW w:type="dxa" w:w="1051"/>
          </w:tcPr>
          <w:p>
            <w:pPr>
              <w:pStyle w:val="null3"/>
              <w:jc w:val="center"/>
            </w:pPr>
            <w:r>
              <w:rPr/>
              <w:t>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有效供应商家数</w:t>
            </w:r>
          </w:p>
        </w:tc>
        <w:tc>
          <w:tcPr>
            <w:tcW w:type="dxa" w:w="5004"/>
          </w:tcPr>
          <w:p>
            <w:pPr>
              <w:pStyle w:val="null3"/>
              <w:jc w:val="left"/>
            </w:pPr>
            <w:r>
              <w:rPr/>
              <w:t>采购包1：3家</w:t>
            </w:r>
          </w:p>
          <w:p>
            <w:pPr>
              <w:pStyle w:val="null3"/>
              <w:ind w:firstLine="480"/>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14</w:t>
            </w:r>
          </w:p>
        </w:tc>
        <w:tc>
          <w:tcPr>
            <w:tcW w:type="dxa" w:w="2252"/>
          </w:tcPr>
          <w:p>
            <w:pPr>
              <w:pStyle w:val="null3"/>
            </w:pPr>
            <w:r>
              <w:rPr/>
              <w:t xml:space="preserve"> 兼投不兼中（兼投不兼中）规则</w:t>
            </w:r>
          </w:p>
        </w:tc>
        <w:tc>
          <w:tcPr>
            <w:tcW w:type="dxa" w:w="5004"/>
          </w:tcPr>
          <w:p>
            <w:pPr>
              <w:pStyle w:val="null3"/>
            </w:pPr>
            <w:r>
              <w:rPr/>
              <w:t>无：-</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采购机构代理服务收费标准：（1）以成交金额作为招标代理服务费的计算基数； （2）招标代理服务费采用差额定率累进法进行计算，按照以下标准计取： 100万元以下的部分，按照1.5%计取； 100-500万元的部分，按照1.1%计取； 500-1000万元的部分，按照0.8%计取； 1000-5000万元的部分，按照0.5%计取； 5000-10000万元的部分，按照0.25%计取。</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1</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谈判文件依据《中华人民共和国政府采购法》、《中华人民共和国政府采购法实施条例》（国务院令第658号）和《政府采购非招标采购方式管理办法》（财政部令第74号）及国家和广东省有关法律、法规、规章制度编制。</w:t>
      </w:r>
    </w:p>
    <w:p>
      <w:pPr>
        <w:pStyle w:val="null3"/>
        <w:ind w:firstLine="480"/>
      </w:pPr>
      <w:r>
        <w:rPr/>
        <w:t xml:space="preserve"> 供应商应仔细阅读本项目信息公告及谈判文件的所有内容（包括变更、补充、澄清以及修改等，且均为谈判文件的组成部分），按照谈判文件要求以及格式编制响应文件，并保证其真实性，否则一切后果自负。</w:t>
      </w:r>
    </w:p>
    <w:p>
      <w:pPr>
        <w:pStyle w:val="null3"/>
        <w:ind w:firstLine="480"/>
      </w:pPr>
      <w:r>
        <w:rPr/>
        <w:t>本次竞争性谈判项目，是以谈判公告的方式邀请非特定的供应商参加谈判。</w:t>
      </w:r>
    </w:p>
    <w:p>
      <w:pPr>
        <w:pStyle w:val="null3"/>
        <w:outlineLvl w:val="3"/>
      </w:pPr>
      <w:r>
        <w:rPr>
          <w:sz w:val="24"/>
          <w:b/>
        </w:rPr>
        <w:t>2.适用范围</w:t>
      </w:r>
    </w:p>
    <w:p>
      <w:pPr>
        <w:pStyle w:val="null3"/>
        <w:ind w:firstLine="480"/>
      </w:pPr>
      <w:r>
        <w:rPr/>
        <w:t>本谈判文件仅适用于本次谈判公告中所涉及的项目和内容。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4.谈判的费用</w:t>
      </w:r>
    </w:p>
    <w:p>
      <w:pPr>
        <w:pStyle w:val="null3"/>
        <w:ind w:firstLine="480"/>
      </w:pPr>
      <w:r>
        <w:rPr/>
        <w:t>不论谈判结果如何，供应商应承担所有与准备和参加谈判有关的费用。采购代理机构和采购人均无义务和责任承担相关费用。</w:t>
      </w:r>
    </w:p>
    <w:p>
      <w:pPr>
        <w:pStyle w:val="null3"/>
        <w:outlineLvl w:val="3"/>
      </w:pPr>
      <w:r>
        <w:rPr>
          <w:sz w:val="24"/>
          <w:b/>
        </w:rPr>
        <w:t>5.以联合体形式参加谈判的，应符合以下规定：</w:t>
      </w:r>
    </w:p>
    <w:p>
      <w:pPr>
        <w:pStyle w:val="null3"/>
        <w:ind w:firstLine="480"/>
      </w:pPr>
      <w:r>
        <w:rPr/>
        <w:t>5.1 联合体各方均应当满足《中华人民共和国政府采购法》第二十二条规定的条件，并在响应文件中提供联合体各方的相关证明材料。</w:t>
      </w:r>
    </w:p>
    <w:p>
      <w:pPr>
        <w:pStyle w:val="null3"/>
        <w:ind w:firstLine="480"/>
      </w:pPr>
      <w:r>
        <w:rPr/>
        <w:t>5.2 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pStyle w:val="null3"/>
        <w:ind w:firstLine="480"/>
      </w:pPr>
      <w:r>
        <w:rPr/>
        <w:t>5.3 联合体应以联合协议中确定的牵头方名义登录云平台项目采购系统进行项目响应登记，录入联合体所有成员单位的全称并使用成员单位的电子印章进行联投确认，联合体名称需与联合体共同响应协议书签署方一致。对于需交响应保证金的，以牵头方名义缴纳。</w:t>
      </w:r>
    </w:p>
    <w:p>
      <w:pPr>
        <w:pStyle w:val="null3"/>
        <w:ind w:firstLine="480"/>
      </w:pPr>
      <w:r>
        <w:rPr/>
        <w:t>5.4 联合体成员存在不良信用记录的，视同联合体存在不良信用记录。</w:t>
      </w:r>
    </w:p>
    <w:p>
      <w:pPr>
        <w:pStyle w:val="null3"/>
        <w:ind w:firstLine="480"/>
      </w:pPr>
      <w:r>
        <w:rPr/>
        <w:t>5.5 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 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6.1 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6.2 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8.1供应商不得相互串通响应报价，不得妨碍其他供应商的公平竞争，不得损害采购人或其他供应商的合法权益，供应商不得以向采购人、谈判小组成员行贿或者采取其他不正当手段谋取成交。</w:t>
      </w:r>
    </w:p>
    <w:p>
      <w:pPr>
        <w:pStyle w:val="null3"/>
        <w:ind w:firstLine="480"/>
      </w:pPr>
      <w:r>
        <w:rPr/>
        <w:t>8.2供应商不得与采购人就响应价格、响应方案等实质性内容进行谈判，也不得私下接触谈判小组成员。</w:t>
      </w:r>
    </w:p>
    <w:p>
      <w:pPr>
        <w:pStyle w:val="null3"/>
        <w:ind w:firstLine="480"/>
      </w:pPr>
      <w:r>
        <w:rPr/>
        <w:t>8.3在确定成交人之前，供应商试图在响应文件审查、澄清、比较和评价时对谈判小组、采购人和采购代理机构施加任何影响都可能导致其响应无效。</w:t>
      </w:r>
    </w:p>
    <w:p>
      <w:pPr>
        <w:pStyle w:val="null3"/>
        <w:ind w:firstLine="480"/>
      </w:pPr>
      <w:r>
        <w:rPr/>
        <w:t>8.4获得本谈判文件者，须履行本谈判项目下保密义务，不得将因本次谈判获得的信息向第三人外传，不得将谈判文件用作本次响应以外的任何用途。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8.6采购人或采购代理机构有权将供应商提供的所有资料向有关政府部门或谈判小组披露。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谈判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9.2除非谈判文件的技术规格中另有规定，供应商在响应文件中及其与采购人和采购代理机构的所有往来文件中的计量单位均应采用中华人民共和国法定计量单位。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10.1谈判文件规定组织踏勘现场的，采购人按谈判文件规定的时间、地点组织供应商踏勘项目现场。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10.3采购人在踏勘现场中介绍的资料和数据等，不构成对谈判文件的修改或不作为供应商编制响应文件的依据。</w:t>
      </w:r>
    </w:p>
    <w:p>
      <w:pPr>
        <w:pStyle w:val="null3"/>
        <w:outlineLvl w:val="2"/>
      </w:pPr>
      <w:r>
        <w:rPr>
          <w:sz w:val="28"/>
          <w:b/>
        </w:rPr>
        <w:t>四、谈判文件的澄清和修改</w:t>
      </w:r>
    </w:p>
    <w:p>
      <w:pPr>
        <w:pStyle w:val="null3"/>
        <w:ind w:firstLine="480"/>
      </w:pPr>
      <w:r>
        <w:rPr/>
        <w:t xml:space="preserve"> 1.采购代理机构对谈判文件进行必要的澄清或者修改的，在指定媒体上发布更正公告。澄清或者修改的内容可能影响响应文件编制的，更正公告在响应截止时间至少3个工作日前发出；不足3个工作日的，代理机构顺延提交响应文件截止时间。</w:t>
      </w:r>
    </w:p>
    <w:p>
      <w:pPr>
        <w:pStyle w:val="null3"/>
        <w:ind w:firstLine="480"/>
      </w:pPr>
      <w:r>
        <w:rPr/>
        <w:t xml:space="preserve"> 2.更正公告及其所发布的内容或信息（包括但不限于：谈判文件的澄清或修改、现场考察或答疑会的有关事宜等）作为谈判文件的组成部分，对供应商具有约束力。一经在指定媒体上发布后，更正公告将作为通知所有谈判文件收受人的书面形式。</w:t>
      </w:r>
    </w:p>
    <w:p>
      <w:pPr>
        <w:pStyle w:val="null3"/>
        <w:ind w:firstLine="480"/>
      </w:pPr>
      <w:r>
        <w:rPr/>
        <w:t>3.如更正公告有重新发布电子谈判文件的，供应商应登录云平台项目采购系统下载最新发布的电子谈判文件制作响应文件。</w:t>
      </w:r>
    </w:p>
    <w:p>
      <w:pPr>
        <w:pStyle w:val="null3"/>
        <w:ind w:firstLine="480"/>
      </w:pPr>
      <w:r>
        <w:rPr/>
        <w:t xml:space="preserve"> 4.供应商在规定的时间内未对谈判文件提出疑问、质疑或要求澄清的，将视其为无异议。对谈判文件中描述有歧义或前后不一致的地方，谈判小组有权进行评判，但对同一条款的评判应适用于每个供应商。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后，登录进入项目采购系统完成项目响应登记并在线获取谈判文件（未按上述方式获取谈判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2.2供应商应使用云平台提供的投标客户端编制、标记、加密响应文件，成功加密后将生成指定格式的电子响应文件和电子备用响应文件。所有响应文件不能进行压缩处理。关于电子响应报价说明如下：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谈判总价中不得包含谈判文件要求以外的内容，否则，在评审时不予核减。</w:t>
      </w:r>
    </w:p>
    <w:p>
      <w:pPr>
        <w:pStyle w:val="null3"/>
        <w:ind w:firstLine="480"/>
      </w:pPr>
      <w:r>
        <w:rPr/>
        <w:t>(2)响应报价包括本项目采购需求和投入使用的所有费用，包括但不限于主件、标准附件、备品备件、施工、服务、专用工具、安装、调试、检验、培训、运输、保险、税款等。</w:t>
      </w:r>
    </w:p>
    <w:p>
      <w:pPr>
        <w:pStyle w:val="null3"/>
        <w:ind w:firstLine="480"/>
      </w:pPr>
      <w:r>
        <w:rPr/>
        <w:t>(3)响应报价不得有选择性报价和附有条件的报价，否则将导致响应无效。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2.4供应商不得将同一个项目或同一个采购包的内容拆开响应，否则其响应将被视为非实质性响应。</w:t>
      </w:r>
    </w:p>
    <w:p>
      <w:pPr>
        <w:pStyle w:val="null3"/>
        <w:ind w:firstLine="480"/>
      </w:pPr>
      <w:r>
        <w:rPr/>
        <w:t>2.5供应商须对谈判文件的对应要求给予唯一的实质性响应，否则将视为不响应。</w:t>
      </w:r>
    </w:p>
    <w:p>
      <w:pPr>
        <w:pStyle w:val="null3"/>
        <w:ind w:firstLine="480"/>
      </w:pPr>
      <w:r>
        <w:rPr/>
        <w:t>2.6谈判文件中，凡标有“★”的地方均为实质性响应条款，供应商若有一项带“★”的条款未响应或不满足，将按无效响应处理。</w:t>
      </w:r>
    </w:p>
    <w:p>
      <w:pPr>
        <w:pStyle w:val="null3"/>
        <w:ind w:firstLine="480"/>
      </w:pPr>
      <w:r>
        <w:rPr/>
        <w:t xml:space="preserve"> 2.7供应商必须按谈判文件指定的格式填写各种报价，各报价应计算正确。除在谈判文件另有规定外（如：报折扣、报优惠率等），计量单位应使用中华人民共和国法定计量单位，以人民币填报所有报价。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谈判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响应截止时间结束后，系统将不允许供应商上传响应文件，已上传响应文件但未完成传输的文件系统将拒绝接收。</w:t>
      </w:r>
    </w:p>
    <w:p>
      <w:pPr>
        <w:pStyle w:val="null3"/>
        <w:ind w:firstLine="480"/>
      </w:pPr>
      <w:r>
        <w:rPr/>
        <w:t>3.2采购代理机构对因不可抗力事件造成的响应文件的损坏、丢失的，不承担责任。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（1）至提交响应文件截止时，响应文件未成功完整上传并取得响应回执的。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广东华信招标有限公司</w:t>
      </w:r>
      <w:r>
        <w:rPr/>
        <w:t>代收。具体操作要求详见</w:t>
      </w:r>
      <w:r>
        <w:rPr/>
        <w:t>广东华信招标有限公司</w:t>
      </w:r>
      <w:r>
        <w:rPr/>
        <w:t>有关指引，递交事宜请自行咨询</w:t>
      </w:r>
      <w:r>
        <w:rPr/>
        <w:t>广东华信招标有限公司</w:t>
      </w:r>
      <w:r>
        <w:rPr/>
        <w:t>；请各供应商在响应文件递交截止时间前按须知前附表规定的金额递交至</w:t>
      </w:r>
      <w:r>
        <w:rPr/>
        <w:t>广东华信招标有限公司</w:t>
      </w:r>
      <w:r>
        <w:rPr/>
        <w:t>，到账情况以谈判时</w:t>
      </w:r>
      <w:r>
        <w:rPr/>
        <w:t>广东华信招标有限公司</w:t>
      </w:r>
      <w:r>
        <w:rPr/>
        <w:t>查询的信息为准。</w:t>
      </w:r>
    </w:p>
    <w:p>
      <w:pPr>
        <w:pStyle w:val="null3"/>
        <w:ind w:firstLine="480"/>
      </w:pPr>
      <w:r>
        <w:rPr/>
        <w:t xml:space="preserve"> 如采用金融机构、专业担保机构开具的投标（响应）担保函、投标（响应）保证保险函等形式提交响应保证金的，投标（响应）担保函或投标（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谈判现场无法拉取电子保函信息时，可提供电子保函打印件或购买凭证作为核验凭证。相关凭证应上传至系统归档保存。</w:t>
      </w:r>
    </w:p>
    <w:p>
      <w:pPr>
        <w:pStyle w:val="null3"/>
        <w:ind w:firstLine="480"/>
      </w:pPr>
      <w:r>
        <w:rPr/>
        <w:t xml:space="preserve"> 6.2响应保证金的退还：</w:t>
      </w:r>
    </w:p>
    <w:p>
      <w:pPr>
        <w:pStyle w:val="null3"/>
        <w:ind w:firstLine="480"/>
      </w:pPr>
      <w:r>
        <w:rPr/>
        <w:t>（1）供应商在响应截止时间前放弃响应的，自所参与采购包结果公告发出后5个工作日内退还。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（2）供应商在谈判文件规定的响应有效期内撤销其响应；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（5）法律法规和谈判文件规定的其他情形。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8.1谈判文件规定供应商提交样品的，样品属于响应文件的组成部分。样品的生产、运输、安装、保全等一切费用由供应商自理。</w:t>
      </w:r>
    </w:p>
    <w:p>
      <w:pPr>
        <w:pStyle w:val="null3"/>
        <w:ind w:firstLine="480"/>
      </w:pPr>
      <w:r>
        <w:rPr/>
        <w:t>8.2响应截止时间前，供应商应将样品送达至指定地点。若需要现场演示的，供应商应提前做好演示准备（包括演示设备）。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9除谈判文件另有规定外，有下列情形之一的，响应无效：</w:t>
      </w:r>
    </w:p>
    <w:p>
      <w:pPr>
        <w:pStyle w:val="null3"/>
        <w:ind w:firstLine="480"/>
      </w:pPr>
      <w:r>
        <w:rPr/>
        <w:t>9.1响应文件未按照谈判文件要求签署、盖章；</w:t>
      </w:r>
    </w:p>
    <w:p>
      <w:pPr>
        <w:pStyle w:val="null3"/>
        <w:ind w:firstLine="480"/>
      </w:pPr>
      <w:r>
        <w:rPr/>
        <w:t>9.2不符合谈判文件中规定的资格要求；</w:t>
      </w:r>
    </w:p>
    <w:p>
      <w:pPr>
        <w:pStyle w:val="null3"/>
        <w:ind w:firstLine="480"/>
      </w:pPr>
      <w:r>
        <w:rPr/>
        <w:t>9.3响应报价超过谈判文件中规定的预算金额或最高限价；</w:t>
      </w:r>
    </w:p>
    <w:p>
      <w:pPr>
        <w:pStyle w:val="null3"/>
        <w:ind w:firstLine="480"/>
      </w:pPr>
      <w:r>
        <w:rPr/>
        <w:t>9.4响应文件含有采购人不能接受的附加条件；</w:t>
      </w:r>
    </w:p>
    <w:p>
      <w:pPr>
        <w:pStyle w:val="null3"/>
        <w:ind w:firstLine="480"/>
      </w:pPr>
      <w:r>
        <w:rPr/>
        <w:t>9.5有关法律、法规和规章及谈判文件规定的其他无效情形。</w:t>
      </w:r>
    </w:p>
    <w:p>
      <w:pPr>
        <w:pStyle w:val="null3"/>
        <w:outlineLvl w:val="2"/>
      </w:pPr>
      <w:r>
        <w:rPr>
          <w:sz w:val="28"/>
          <w:b/>
        </w:rPr>
        <w:t>六、谈判、评审和结果确认</w:t>
      </w:r>
    </w:p>
    <w:p>
      <w:pPr>
        <w:pStyle w:val="null3"/>
        <w:outlineLvl w:val="3"/>
      </w:pPr>
      <w:r>
        <w:rPr>
          <w:sz w:val="24"/>
          <w:b/>
        </w:rPr>
        <w:t>1. 响应文件的开启</w:t>
      </w:r>
    </w:p>
    <w:p>
      <w:pPr>
        <w:pStyle w:val="null3"/>
        <w:ind w:firstLine="480"/>
      </w:pPr>
      <w:r>
        <w:rPr/>
        <w:t>1.1 开启程序</w:t>
      </w:r>
    </w:p>
    <w:p>
      <w:pPr>
        <w:pStyle w:val="null3"/>
        <w:ind w:firstLine="480"/>
      </w:pPr>
      <w:r>
        <w:rPr/>
        <w:t>工作人员按谈判公告规定的时间进行开启，由采购人或者采购代理机构工作人员宣布供应商名称、解密情况和谈判文件规定的需要宣布的其他内容。开启分为现场电子开启和远程电子开启两种。</w:t>
      </w:r>
    </w:p>
    <w:p>
      <w:pPr>
        <w:pStyle w:val="null3"/>
        <w:ind w:firstLine="480"/>
      </w:pPr>
      <w:r>
        <w:rPr/>
        <w:t xml:space="preserve"> 采用现场电子开启的：供应商的法定代表人或其委托代理人应当按照本谈判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谈判公告载明的时间和模式等要求参加开启。在响应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采购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打开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w:t>
      </w:r>
    </w:p>
    <w:p>
      <w:pPr>
        <w:pStyle w:val="null3"/>
        <w:ind w:firstLine="480"/>
      </w:pPr>
      <w:r>
        <w:rPr/>
        <w:t>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 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广东华信招标有限公司（http://www.gdhxzb.cn/）</w:t>
      </w:r>
      <w:r>
        <w:rPr/>
        <w:t>上以公告的形式发布成交结果，结果公告的公告期限为1个工作日。结果公告同时作为采购代理机构通知除成交供应商外的其他供应商没有成交的书面形式，采购代理机构不再以其它方式另行通知。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成交通知书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终止谈判采购活动后，采购人或采购代理机构将在中国政府采购网(www.ccgp.gov.cn)、广东省政府采购网(https://gdgpo.czt.gd.gov.cn/)</w:t>
      </w:r>
      <w:r>
        <w:rPr/>
        <w:t>广东华信招标有限公司（http://www.gdhxzb.cn/）</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谈判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谈判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(1)对谈判文件提出质疑的，为获取谈判文件之日或者谈判文件公告期限届满之日；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(3)认为谈判文件、采购过程、成交结果使自己的合法权益受到损害的法律依据、事实依据、相关证明材料及证据来源；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李小姐</w:t>
      </w:r>
    </w:p>
    <w:p>
      <w:pPr>
        <w:pStyle w:val="null3"/>
        <w:ind w:firstLine="480"/>
      </w:pPr>
      <w:r>
        <w:rPr/>
        <w:t>电话：</w:t>
      </w:r>
      <w:r>
        <w:rPr/>
        <w:t>020-87564924</w:t>
      </w:r>
    </w:p>
    <w:p>
      <w:pPr>
        <w:pStyle w:val="null3"/>
        <w:ind w:firstLine="480"/>
      </w:pPr>
      <w:r>
        <w:rPr/>
        <w:t>传真：</w:t>
      </w:r>
      <w:r>
        <w:rPr/>
        <w:t>87564924</w:t>
      </w:r>
    </w:p>
    <w:p>
      <w:pPr>
        <w:pStyle w:val="null3"/>
        <w:ind w:firstLine="480"/>
      </w:pPr>
      <w:r>
        <w:rPr/>
        <w:t>邮箱：</w:t>
      </w:r>
      <w:r>
        <w:rPr/>
        <w:t>2336672775@qq.com</w:t>
      </w:r>
    </w:p>
    <w:p>
      <w:pPr>
        <w:pStyle w:val="null3"/>
        <w:ind w:firstLine="480"/>
      </w:pPr>
      <w:r>
        <w:rPr/>
        <w:t>地址：</w:t>
      </w:r>
      <w:r>
        <w:rPr/>
        <w:t>广州市天河区天河北路618号A栋11楼</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1.合同的签订</w:t>
      </w:r>
    </w:p>
    <w:p>
      <w:pPr>
        <w:pStyle w:val="null3"/>
        <w:ind w:firstLine="480"/>
      </w:pPr>
      <w:r>
        <w:rPr/>
        <w:t xml:space="preserve"> 1.1采购人应当自《成交通知书》发出之日起三十日内，按照谈判文件和成交人响应文件的约定，与成交人签订合同。所签订的合同不得对谈判文件和成交人响应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1.2采购人不得提出试用合格等任何不合理的要求作为签订合同的条件，且不得与成交人私下订立背离合同实质性内容的协议。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采购包1(广东省毒品实验技术中心2025-86液相设备升级项目)：最低价评审价法,是指响应文件满足谈判文件全部实质性要求，且谈判报价最低的供应商为成交候选人的评审方法。</w:t>
      </w:r>
    </w:p>
    <w:p>
      <w:pPr>
        <w:pStyle w:val="null3"/>
        <w:outlineLvl w:val="3"/>
      </w:pPr>
      <w:r>
        <w:rPr>
          <w:sz w:val="24"/>
          <w:b/>
        </w:rPr>
        <w:t>2.评审原则</w:t>
      </w:r>
    </w:p>
    <w:p>
      <w:pPr>
        <w:pStyle w:val="null3"/>
        <w:ind w:firstLine="480"/>
      </w:pPr>
      <w:r>
        <w:rPr/>
        <w:t>2.1评审活动遵循公平、公正、科学和择优的原则，以谈判文件和响应文件为评审的基本依据，并按照谈判文件规定的评审方法和评审标准进行评审。</w:t>
      </w:r>
    </w:p>
    <w:p>
      <w:pPr>
        <w:pStyle w:val="null3"/>
        <w:ind w:firstLine="480"/>
      </w:pPr>
      <w:r>
        <w:rPr/>
        <w:t xml:space="preserve"> 2.2具体评审事项由谈判小组负责，并按谈判文件的规定办法进行评审。对谈判文件中描述有歧义或前后不一致的地方，谈判小组有权按法律法规的规定进行评判，但对同一条款的评判应适用于每个响应供应商。</w:t>
      </w:r>
    </w:p>
    <w:p>
      <w:pPr>
        <w:pStyle w:val="null3"/>
        <w:outlineLvl w:val="3"/>
      </w:pPr>
      <w:r>
        <w:rPr>
          <w:sz w:val="24"/>
          <w:b/>
        </w:rPr>
        <w:t>3.谈判小组</w:t>
      </w:r>
    </w:p>
    <w:p>
      <w:pPr>
        <w:pStyle w:val="null3"/>
        <w:ind w:firstLine="480"/>
      </w:pPr>
      <w:r>
        <w:rPr/>
        <w:t>3.1谈判小组由采购人代表和评审专家组成，成员人数应当为3人及以上单数，其中技术、经济等方面的评审专家不得少于成员总数的三分之二</w:t>
      </w:r>
    </w:p>
    <w:p>
      <w:pPr>
        <w:pStyle w:val="null3"/>
        <w:ind w:firstLine="480"/>
      </w:pPr>
      <w:r>
        <w:rPr/>
        <w:t>评审应遵守下列评审纪律：</w:t>
      </w:r>
    </w:p>
    <w:p>
      <w:pPr>
        <w:pStyle w:val="null3"/>
        <w:ind w:firstLine="480"/>
      </w:pPr>
      <w:r>
        <w:rPr/>
        <w:t>（1）评审情况不得私自外泄，有关信息由</w:t>
      </w:r>
      <w:r>
        <w:rPr/>
        <w:t>广东华信招标有限公司</w:t>
      </w:r>
      <w:r>
        <w:rPr/>
        <w:t>统一对外发布。</w:t>
      </w:r>
    </w:p>
    <w:p>
      <w:pPr>
        <w:pStyle w:val="null3"/>
        <w:ind w:firstLine="480"/>
      </w:pPr>
      <w:r>
        <w:rPr/>
        <w:t>（2）对</w:t>
      </w:r>
      <w:r>
        <w:rPr/>
        <w:t>广东华信招标有限公司</w:t>
      </w:r>
      <w:r>
        <w:rPr/>
        <w:t>或供应商提供的要求保密的资料，不得摘记翻印和外传。</w:t>
      </w:r>
    </w:p>
    <w:p>
      <w:pPr>
        <w:pStyle w:val="null3"/>
        <w:ind w:firstLine="480"/>
      </w:pPr>
      <w:r>
        <w:rPr/>
        <w:t>（3）不得收受响应供应商或有关人员的任何礼物，不得串联鼓动其他人袒护供应商。若与供应商存在利害关系，则应主动声明并回避。</w:t>
      </w:r>
    </w:p>
    <w:p>
      <w:pPr>
        <w:pStyle w:val="null3"/>
        <w:ind w:firstLine="480"/>
      </w:pPr>
      <w:r>
        <w:rPr/>
        <w:t>（4）全体评委应按照谈判文件规定进行评审，一切认定事项应查有实据且不得弄虚作假。</w:t>
      </w:r>
    </w:p>
    <w:p>
      <w:pPr>
        <w:pStyle w:val="null3"/>
        <w:ind w:firstLine="480"/>
      </w:pPr>
      <w:r>
        <w:rPr/>
        <w:t>（5）谈判小组各成员应当独立对每个响应供应商的响应文件进行评价，并对评价意见承担个人责任。评审过程中，不得发表倾向性言论。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4.4不同供应商的响应文件异常一致或者谈判报价呈规律性差异；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说明：在评审过程中发现供应商有上述情形的，谈判小组应当认定其响应无效，并书面报告本级财政部门。同时，项目评审时被认定为串通响应的供应商不得参加该合同项下的采购活动。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详见资格性审查、符合性审查和谈判文件其他响应无效条款。</w:t>
      </w:r>
    </w:p>
    <w:p>
      <w:pPr>
        <w:pStyle w:val="null3"/>
        <w:outlineLvl w:val="3"/>
      </w:pPr>
      <w:r>
        <w:rPr>
          <w:sz w:val="24"/>
          <w:b/>
        </w:rPr>
        <w:t>7.终止竞争性谈判采购活动的情形</w:t>
      </w:r>
    </w:p>
    <w:p>
      <w:pPr>
        <w:pStyle w:val="null3"/>
        <w:ind w:firstLine="480"/>
      </w:pPr>
      <w:r>
        <w:rPr/>
        <w:t>出现下列情形之一的，采购人或者采购代理机构应当终止竞争性谈判采购活动，发布项目终止公告并说明原因，重新开展采购活动：</w:t>
      </w:r>
    </w:p>
    <w:p>
      <w:pPr>
        <w:pStyle w:val="null3"/>
        <w:ind w:firstLine="480"/>
      </w:pPr>
      <w:r>
        <w:rPr/>
        <w:t>（1）因情况变化，不再符合规定的竞争性谈判采购方式适用情形的；</w:t>
      </w:r>
    </w:p>
    <w:p>
      <w:pPr>
        <w:pStyle w:val="null3"/>
        <w:ind w:firstLine="480"/>
      </w:pPr>
      <w:r>
        <w:rPr/>
        <w:t>（2）出现影响采购公正的违法、违规行为的；</w:t>
      </w:r>
    </w:p>
    <w:p>
      <w:pPr>
        <w:pStyle w:val="null3"/>
        <w:ind w:firstLine="480"/>
      </w:pPr>
      <w:r>
        <w:rPr/>
        <w:t>（3）在采购过程中符合谈判要求的供应商或者报价未超过采购预算的供应商不足3家的，但经财政部门批准的情形除外；</w:t>
      </w:r>
    </w:p>
    <w:p>
      <w:pPr>
        <w:pStyle w:val="null3"/>
        <w:ind w:firstLine="480"/>
      </w:pPr>
      <w:r>
        <w:rPr/>
        <w:t>（4）法律、法规以及谈判文件规定其他情形。</w:t>
      </w:r>
    </w:p>
    <w:p>
      <w:pPr>
        <w:pStyle w:val="null3"/>
        <w:outlineLvl w:val="3"/>
      </w:pPr>
      <w:r>
        <w:rPr>
          <w:sz w:val="24"/>
          <w:b/>
        </w:rPr>
        <w:t>8.确定成交供应商</w:t>
      </w:r>
    </w:p>
    <w:p>
      <w:pPr>
        <w:pStyle w:val="null3"/>
        <w:ind w:firstLine="480"/>
      </w:pPr>
      <w:r>
        <w:rPr/>
        <w:t>谈判小组按照谈判文件确定的评审方法、步骤、标准，对响应文件进行评审。评审结束后，对供应商的评审名次进行排序，确定成交供应商或者推荐成交候选供应商。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（1）响应文件中首轮报价表内容与响应文件中相应内容不一致的，以首轮报价表为准；</w:t>
      </w:r>
    </w:p>
    <w:p>
      <w:pPr>
        <w:pStyle w:val="null3"/>
        <w:ind w:firstLine="480"/>
      </w:pPr>
      <w:r>
        <w:rPr/>
        <w:t>（2）大写金额和小写金额不一致的，以大写金额为准；</w:t>
      </w:r>
    </w:p>
    <w:p>
      <w:pPr>
        <w:pStyle w:val="null3"/>
        <w:ind w:firstLine="480"/>
      </w:pPr>
      <w:r>
        <w:rPr/>
        <w:t>（3）单价金额小数点或者百分比有明显错位的，以报价一览表的总价为准，并修改单价；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采购的产品属于品目清单范围的，将依据国家确定的认证机构出具的、处于有效期之内的节能产品、环境标志产品认证证书，对获得证书的产品实施政府优先采购或强制采购，具体按照本谈判文件相关要求执行。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采购包1（广东省毒品实验技术中心2025-86液相设备升级项目）：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共同响应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1.1.资格性审查和符合性审查</w:t>
      </w:r>
      <w:r>
        <w:rPr/>
        <w:t>　　</w:t>
      </w:r>
    </w:p>
    <w:p>
      <w:pPr>
        <w:pStyle w:val="null3"/>
        <w:ind w:firstLine="480"/>
      </w:pPr>
      <w:r>
        <w:rPr/>
        <w:t xml:space="preserve"> 谈判小组根据《资格性审查表》（附表一）和《符合性审查表》（附表二）的内容逐条对响应文件进行评审，审查每份响应文件的相关资格证明文件是否齐全有效。审查每份响应文件是否实质上响应了谈判文件的要求，只要不满足《资格性审查表》和《符合性审查表》所列各项要求之一的，将被认定为无效响应。对响应有效性认定意见不一致的，谈判小组按少数服从多数原则表决决定。</w:t>
      </w:r>
    </w:p>
    <w:p>
      <w:pPr>
        <w:pStyle w:val="null3"/>
        <w:ind w:firstLine="480"/>
      </w:pPr>
      <w:r>
        <w:rPr/>
        <w:t>谈判小组对各报价供应商进行资格性和符合性审查过程中，对初步被认定为初审不合格或无效报价者应实行及时告知，由谈判小组组长或采购人代表将集体意见及时告知报价当事人。</w:t>
      </w:r>
    </w:p>
    <w:p>
      <w:pPr>
        <w:pStyle w:val="null3"/>
        <w:ind w:firstLine="480"/>
      </w:pPr>
      <w:r>
        <w:rPr/>
        <w:t>表一资格性审查表：</w:t>
      </w:r>
    </w:p>
    <w:p>
      <w:pPr>
        <w:pStyle w:val="null3"/>
      </w:pPr>
      <w:r>
        <w:rPr/>
        <w:t>采购包1（广东省毒品实验技术中心2025-86液相设备升级项目）：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副本复印件。分支机构投标（响应）的，须提供总公司和分公司营业执照副本复印件，总公司出具给分支机构的授权书。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提供响应截止之日前6个月内任意1个月依法缴纳税收和社会保障资金的相关材料。如依法免税或不需要缴纳社会保障资金的，提供相应证明材料。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供应商提供2024年的年度财务状况报告复印件，或银行出具的资信证明材料复印件。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提供具备履行合同所必须的设备和专业技术能力证明资料或声明函，格式自拟。</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以下情形之一:“①失信被执行人，②重大税收违法失信主体，③政府采购严重违法失信行为记录名单”;同时在中国政府采购网(www.ccgp.gov.cn)“政府采购严重违法失信行为记录名单”中查询没有处于禁止参加政府采购活动的记录名单;如分公司投标（响应），需查询分公司及其总公司的信用情况。(以采购代理机构于评审当天在“信用中国”网站(www.creditchina.gov.cn及中国政府采购网(http://www.ccgp.gov.cn/)查询结果为准，如相关失信记录已失效，供应商需提供相关证明资料为准，如相关失信记录己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本采购包专门面向中小企业采购</w:t>
            </w:r>
          </w:p>
        </w:tc>
        <w:tc>
          <w:tcPr>
            <w:tcW w:type="dxa" w:w="4238"/>
          </w:tcPr>
          <w:p>
            <w:pPr>
              <w:pStyle w:val="null3"/>
            </w:pPr>
            <w:r>
              <w:rPr/>
              <w:t>本项目为专门面向中小企业采购，供应商所投货物均由中小企业制造，需提供《中小企业声明函》（货物）（本项目中小企业划分标准所属行业为工业）。</w:t>
            </w:r>
          </w:p>
        </w:tc>
      </w:tr>
    </w:tbl>
    <w:p>
      <w:pPr>
        <w:pStyle w:val="null3"/>
        <w:ind w:firstLine="480"/>
      </w:pPr>
      <w:r>
        <w:rPr/>
        <w:t>表二符合性审查表：</w:t>
      </w:r>
    </w:p>
    <w:p>
      <w:pPr>
        <w:pStyle w:val="null3"/>
      </w:pPr>
      <w:r>
        <w:rPr/>
        <w:t>采购包1（广东省毒品实验技术中心2025-86液相设备升级项目）：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符合投标有效期90日</w:t>
            </w:r>
          </w:p>
        </w:tc>
      </w:tr>
      <w:tr>
        <w:tc>
          <w:tcPr>
            <w:tcW w:type="dxa" w:w="890"/>
          </w:tcPr>
          <w:p>
            <w:pPr>
              <w:pStyle w:val="null3"/>
            </w:pPr>
            <w:r>
              <w:rPr/>
              <w:t>2</w:t>
            </w:r>
          </w:p>
        </w:tc>
        <w:tc>
          <w:tcPr>
            <w:tcW w:type="dxa" w:w="3178"/>
          </w:tcPr>
          <w:p>
            <w:pPr>
              <w:pStyle w:val="null3"/>
            </w:pPr>
            <w:r>
              <w:rPr/>
              <w:t>报价要求</w:t>
            </w:r>
          </w:p>
        </w:tc>
        <w:tc>
          <w:tcPr>
            <w:tcW w:type="dxa" w:w="4238"/>
          </w:tcPr>
          <w:p>
            <w:pPr>
              <w:pStyle w:val="null3"/>
            </w:pPr>
            <w:r>
              <w:rPr/>
              <w:t>报价符合采购文件对报价的要求</w:t>
            </w:r>
          </w:p>
        </w:tc>
      </w:tr>
      <w:tr>
        <w:tc>
          <w:tcPr>
            <w:tcW w:type="dxa" w:w="890"/>
          </w:tcPr>
          <w:p>
            <w:pPr>
              <w:pStyle w:val="null3"/>
            </w:pPr>
            <w:r>
              <w:rPr/>
              <w:t>3</w:t>
            </w:r>
          </w:p>
        </w:tc>
        <w:tc>
          <w:tcPr>
            <w:tcW w:type="dxa" w:w="3178"/>
          </w:tcPr>
          <w:p>
            <w:pPr>
              <w:pStyle w:val="null3"/>
            </w:pPr>
            <w:r>
              <w:rPr/>
              <w:t>响应文件签署</w:t>
            </w:r>
          </w:p>
        </w:tc>
        <w:tc>
          <w:tcPr>
            <w:tcW w:type="dxa" w:w="4238"/>
          </w:tcPr>
          <w:p>
            <w:pPr>
              <w:pStyle w:val="null3"/>
            </w:pPr>
            <w:r>
              <w:rPr/>
              <w:t>响应文件签署合格</w:t>
            </w:r>
          </w:p>
        </w:tc>
      </w:tr>
      <w:tr>
        <w:tc>
          <w:tcPr>
            <w:tcW w:type="dxa" w:w="890"/>
          </w:tcPr>
          <w:p>
            <w:pPr>
              <w:pStyle w:val="null3"/>
            </w:pPr>
            <w:r>
              <w:rPr/>
              <w:t>4</w:t>
            </w:r>
          </w:p>
        </w:tc>
        <w:tc>
          <w:tcPr>
            <w:tcW w:type="dxa" w:w="3178"/>
          </w:tcPr>
          <w:p>
            <w:pPr>
              <w:pStyle w:val="null3"/>
            </w:pPr>
            <w:r>
              <w:rPr/>
              <w:t>文件中标注“★”的条款</w:t>
            </w:r>
          </w:p>
        </w:tc>
        <w:tc>
          <w:tcPr>
            <w:tcW w:type="dxa" w:w="4238"/>
          </w:tcPr>
          <w:p>
            <w:pPr>
              <w:pStyle w:val="null3"/>
            </w:pPr>
            <w:r>
              <w:rPr/>
              <w:t>完全满足谈判文件中标注“★”的条款</w:t>
            </w:r>
          </w:p>
        </w:tc>
      </w:tr>
      <w:tr>
        <w:tc>
          <w:tcPr>
            <w:tcW w:type="dxa" w:w="890"/>
          </w:tcPr>
          <w:p>
            <w:pPr>
              <w:pStyle w:val="null3"/>
            </w:pPr>
            <w:r>
              <w:rPr/>
              <w:t>5</w:t>
            </w:r>
          </w:p>
        </w:tc>
        <w:tc>
          <w:tcPr>
            <w:tcW w:type="dxa" w:w="3178"/>
          </w:tcPr>
          <w:p>
            <w:pPr>
              <w:pStyle w:val="null3"/>
            </w:pPr>
            <w:r>
              <w:rPr/>
              <w:t>有关法律、法规、规章或谈判文件规定的属于投标无效的情形</w:t>
            </w:r>
          </w:p>
        </w:tc>
        <w:tc>
          <w:tcPr>
            <w:tcW w:type="dxa" w:w="4238"/>
          </w:tcPr>
          <w:p>
            <w:pPr>
              <w:pStyle w:val="null3"/>
            </w:pPr>
            <w:r>
              <w:rPr/>
              <w:t>未出现有关法律、法规、规章或谈判文件规定的属于投标无效的情形</w:t>
            </w:r>
          </w:p>
        </w:tc>
      </w:tr>
      <w:tr>
        <w:tc>
          <w:tcPr>
            <w:tcW w:type="dxa" w:w="890"/>
          </w:tcPr>
          <w:p>
            <w:pPr>
              <w:pStyle w:val="null3"/>
            </w:pPr>
            <w:r>
              <w:rPr/>
              <w:t>6</w:t>
            </w:r>
          </w:p>
        </w:tc>
        <w:tc>
          <w:tcPr>
            <w:tcW w:type="dxa" w:w="3178"/>
          </w:tcPr>
          <w:p>
            <w:pPr>
              <w:pStyle w:val="null3"/>
            </w:pPr>
            <w:r>
              <w:rPr/>
              <w:t>其他未实质性响应谈判文件要求的</w:t>
            </w:r>
          </w:p>
        </w:tc>
        <w:tc>
          <w:tcPr>
            <w:tcW w:type="dxa" w:w="4238"/>
          </w:tcPr>
          <w:p>
            <w:pPr>
              <w:pStyle w:val="null3"/>
            </w:pPr>
            <w:r>
              <w:rPr/>
              <w:t>没有其他未实质性响应谈判文件要求的</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谈判小组应当在评审过程中发起在线澄清，要求供应商针对价格或内容做出必要的澄清、说明或补正。代理机构可根据开启环节记录的授权代表人联系方式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2.2谈判小组不接受供应商主动提出的澄清、说明或补正。</w:t>
      </w:r>
    </w:p>
    <w:p>
      <w:pPr>
        <w:pStyle w:val="null3"/>
        <w:ind w:firstLine="480"/>
      </w:pPr>
      <w:r>
        <w:rPr/>
        <w:t>2.3谈判小组对供应商提交的澄清、说明或补正有疑问的，可以要求供应商进一步澄清、说明或补正。</w:t>
      </w:r>
    </w:p>
    <w:p>
      <w:pPr>
        <w:pStyle w:val="null3"/>
        <w:outlineLvl w:val="3"/>
      </w:pPr>
      <w:r>
        <w:rPr>
          <w:sz w:val="24"/>
          <w:b/>
        </w:rPr>
        <w:t>3.谈判</w:t>
      </w:r>
    </w:p>
    <w:p>
      <w:pPr>
        <w:pStyle w:val="null3"/>
        <w:ind w:firstLine="480"/>
      </w:pPr>
      <w:r>
        <w:rPr/>
        <w:t>3.1谈判小组所有成员应当集中与单一供应商分别进行谈判，并给予所有参加谈判的供应商平等的谈判机会。</w:t>
      </w:r>
    </w:p>
    <w:p>
      <w:pPr>
        <w:pStyle w:val="null3"/>
        <w:ind w:firstLine="480"/>
      </w:pPr>
      <w:r>
        <w:rPr/>
        <w:t>3.2在谈判过程中，谈判小组可以根据谈判文件和谈判情况实质性变动采购需求中的技术、服务要求以及合同草案条款，但不得变动谈判文件中的其他内容。实质性变动的内容，须经采购人代表确认。</w:t>
      </w:r>
    </w:p>
    <w:p>
      <w:pPr>
        <w:pStyle w:val="null3"/>
        <w:ind w:firstLine="480"/>
      </w:pPr>
      <w:r>
        <w:rPr/>
        <w:t>3.3对谈判文件作出的实质性变动是谈判文件的有效组成部分，谈判小组应当及时、同时通知所有参加谈判的供应商。</w:t>
      </w:r>
    </w:p>
    <w:p>
      <w:pPr>
        <w:pStyle w:val="null3"/>
        <w:ind w:firstLine="480"/>
      </w:pPr>
      <w:r>
        <w:rPr/>
        <w:t xml:space="preserve"> 3.4供应商应当按照谈判文件的变动情况和谈判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4.1谈判结束后，谈判小组应当要求所有实质性响应的供应商在规定时间内提交最后报价。最后报价是供应商响应文件的有效组成部分。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4.2已提交响应文件的供应商，在提交最后报价之前，可以根据谈判情况退出谈判。</w:t>
      </w:r>
    </w:p>
    <w:p>
      <w:pPr>
        <w:pStyle w:val="null3"/>
        <w:outlineLvl w:val="3"/>
      </w:pPr>
      <w:r>
        <w:rPr>
          <w:sz w:val="24"/>
          <w:b/>
        </w:rPr>
        <w:t>5.详细评审</w:t>
      </w:r>
    </w:p>
    <w:p>
      <w:pPr>
        <w:pStyle w:val="null3"/>
        <w:ind w:firstLine="480"/>
      </w:pPr>
      <w:r>
        <w:rPr/>
        <w:t>采用最低评审价法对供应商的响应文件和最后报价进行评审。</w:t>
      </w:r>
    </w:p>
    <w:p>
      <w:pPr>
        <w:pStyle w:val="null3"/>
        <w:outlineLvl w:val="3"/>
      </w:pPr>
      <w:r>
        <w:rPr>
          <w:sz w:val="24"/>
          <w:b/>
        </w:rPr>
        <w:t>6.汇总、排序</w:t>
      </w:r>
    </w:p>
    <w:p>
      <w:pPr>
        <w:pStyle w:val="null3"/>
      </w:pPr>
      <w:r>
        <w:rPr/>
        <w:t>采购包1：</w:t>
      </w:r>
    </w:p>
    <w:p>
      <w:pPr>
        <w:pStyle w:val="null3"/>
      </w:pPr>
      <w:r>
        <w:rPr/>
        <w:t>评审结果按评审后总得分由高到低顺序排列。评审得分相同的，按最终报价由低到高顺序排列。得分且最终报价相同的，由谈判小组采取随机抽取的方式确定。排名第一的谈判供应商为第一成交候选人，排名第二的谈判供应商为第二成交候选人，排名第三的谈判供应商为第三成交候选人（提供相同品牌产品（非单一产品采购，以核心产品为准。多个核心产品的，有一种产品品牌相同，即视为提供相同品牌产品），评审后得分最高的同品牌谈判供应商获得成交候选人推荐资格；评审得分相同的，由采购人或者采购人委托谈判小组采取随机抽取方式确定，其他同品牌谈判供应商不作为成交候选人）。</w:t>
      </w:r>
    </w:p>
    <w:p>
      <w:pPr>
        <w:pStyle w:val="null3"/>
        <w:outlineLvl w:val="3"/>
      </w:pPr>
      <w:r>
        <w:rPr>
          <w:sz w:val="24"/>
          <w:b/>
        </w:rPr>
        <w:t>7.其他无效响应的情形</w:t>
      </w:r>
    </w:p>
    <w:p>
      <w:pPr>
        <w:pStyle w:val="null3"/>
        <w:ind w:firstLine="480"/>
      </w:pPr>
      <w:r>
        <w:rPr/>
        <w:t>(1)评审期间，供应商没有按照谈判小组的要求提交法定代表人或其委托代理人签字的澄清、说明、补正或改变了响应文件的实质性内容的。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(3)供应商以行贿手段谋取成交或者以其他弄虚作假方式响应的。</w:t>
      </w:r>
    </w:p>
    <w:p>
      <w:pPr>
        <w:pStyle w:val="null3"/>
        <w:ind w:firstLine="480"/>
      </w:pPr>
      <w:r>
        <w:rPr/>
        <w:t>(4)供应商对采购人、采购代理机构、谈判小组及其工作人员施加影响，有碍协商公平、公正的。</w:t>
      </w:r>
    </w:p>
    <w:p>
      <w:pPr>
        <w:pStyle w:val="null3"/>
        <w:ind w:firstLine="480"/>
      </w:pPr>
      <w:r>
        <w:rPr/>
        <w:t>(5)响应文件含有采购人不能接受的附加条件的。</w:t>
      </w:r>
    </w:p>
    <w:p>
      <w:pPr>
        <w:pStyle w:val="null3"/>
        <w:ind w:firstLine="480"/>
      </w:pPr>
      <w:r>
        <w:rPr/>
        <w:t>(6)法律、法规和谈判文件规定的其他无效情形。</w:t>
      </w:r>
    </w:p>
    <w:p>
      <w:pPr>
        <w:pStyle w:val="null3"/>
      </w:pPr>
      <w:r>
        <w:rPr/>
        <w:t xml:space="preserve">  </w:t>
      </w:r>
    </w:p>
    <w:p>
      <w:pPr>
        <w:pStyle w:val="null3"/>
        <w:outlineLvl w:val="1"/>
      </w:pPr>
      <w:r>
        <w:rPr>
          <w:sz w:val="36"/>
          <w:b/>
        </w:rPr>
        <w:t>第五章 合同文本</w:t>
      </w:r>
    </w:p>
    <w:p>
      <w:pPr>
        <w:pStyle w:val="null3"/>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 xml:space="preserve"> </w:t>
      </w:r>
    </w:p>
    <w:p>
      <w:pPr>
        <w:pStyle w:val="null3"/>
        <w:spacing w:before="0" w:after="0" w:lineRule="auto" w:line="360"/>
        <w:ind w:left="0" w:right="0"/>
        <w:jc w:val="center"/>
      </w:pPr>
      <w:r>
        <w:rPr>
          <w:sz w:val="48"/>
          <w:b/>
        </w:rPr>
        <w:t>广东省政府采购</w:t>
      </w:r>
    </w:p>
    <w:p>
      <w:pPr>
        <w:pStyle w:val="null3"/>
        <w:spacing w:before="0" w:after="0" w:lineRule="auto" w:line="360"/>
        <w:ind w:left="0" w:right="0"/>
        <w:jc w:val="both"/>
      </w:pPr>
      <w:r>
        <w:rPr>
          <w:sz w:val="48"/>
          <w:b/>
        </w:rPr>
        <w:t xml:space="preserve"> </w:t>
      </w:r>
    </w:p>
    <w:p>
      <w:pPr>
        <w:pStyle w:val="null3"/>
        <w:spacing w:before="0" w:after="0" w:lineRule="auto" w:line="360"/>
        <w:ind w:left="0" w:right="0"/>
        <w:jc w:val="center"/>
      </w:pPr>
      <w:r>
        <w:rPr>
          <w:sz w:val="48"/>
          <w:b/>
        </w:rPr>
        <w:t>合　同　书</w:t>
      </w:r>
    </w:p>
    <w:p>
      <w:pPr>
        <w:pStyle w:val="null3"/>
        <w:spacing w:before="0" w:after="0"/>
        <w:ind w:left="0" w:right="0"/>
        <w:jc w:val="center"/>
      </w:pPr>
      <w:r>
        <w:br/>
      </w:r>
      <w:r>
        <w:br/>
      </w:r>
      <w:r>
        <w:br/>
      </w:r>
      <w:r>
        <w:br/>
      </w:r>
      <w:r>
        <w:br/>
      </w:r>
      <w:r>
        <w:rPr>
          <w:sz w:val="27"/>
          <w:color w:val="222222"/>
        </w:rPr>
        <w:t xml:space="preserve"> </w:t>
      </w:r>
    </w:p>
    <w:p>
      <w:pPr>
        <w:pStyle w:val="null3"/>
        <w:spacing w:before="0" w:after="0"/>
        <w:ind w:left="0" w:right="0"/>
        <w:jc w:val="center"/>
      </w:pPr>
      <w:r>
        <w:rPr>
          <w:sz w:val="28"/>
          <w:color w:val="222222"/>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jc w:val="both"/>
      </w:pPr>
      <w:r>
        <w:rPr>
          <w:sz w:val="27"/>
          <w:color w:val="222222"/>
        </w:rPr>
        <w:t xml:space="preserve"> </w:t>
      </w:r>
    </w:p>
    <w:p>
      <w:pPr>
        <w:pStyle w:val="null3"/>
        <w:spacing w:before="0" w:after="0"/>
        <w:ind w:left="0" w:right="0"/>
        <w:jc w:val="center"/>
      </w:pPr>
      <w:r>
        <w:rPr>
          <w:sz w:val="28"/>
          <w:color w:val="222222"/>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spacing w:before="0" w:after="0" w:lineRule="auto" w:line="360"/>
        <w:ind w:left="0" w:right="0"/>
        <w:jc w:val="center"/>
      </w:pPr>
      <w:r>
        <w:rPr>
          <w:sz w:val="36"/>
        </w:rPr>
        <w:t xml:space="preserve"> </w:t>
      </w:r>
    </w:p>
    <w:p>
      <w:pPr>
        <w:pStyle w:val="null3"/>
        <w:ind w:firstLine="480"/>
        <w:jc w:val="both"/>
      </w:pPr>
      <w:r>
        <w:rPr>
          <w:sz w:val="21"/>
          <w:color w:val="000000"/>
        </w:rPr>
        <w:t>甲方：广东省毒品实验技术中心</w:t>
      </w:r>
    </w:p>
    <w:p>
      <w:pPr>
        <w:pStyle w:val="null3"/>
        <w:ind w:firstLine="480"/>
        <w:jc w:val="both"/>
      </w:pPr>
      <w:r>
        <w:rPr>
          <w:sz w:val="21"/>
          <w:color w:val="000000"/>
        </w:rPr>
        <w:t>电话：</w:t>
      </w:r>
      <w:r>
        <w:rPr/>
        <w:t xml:space="preserve"> </w:t>
      </w:r>
      <w:r>
        <w:rPr>
          <w:u w:val="single"/>
        </w:rPr>
        <w:t xml:space="preserve">                    </w:t>
      </w:r>
    </w:p>
    <w:p>
      <w:pPr>
        <w:pStyle w:val="null3"/>
        <w:ind w:firstLine="480"/>
        <w:jc w:val="both"/>
      </w:pPr>
      <w:r>
        <w:rPr>
          <w:sz w:val="21"/>
          <w:color w:val="000000"/>
        </w:rPr>
        <w:t>地址：广州市海珠区东晓路</w:t>
      </w:r>
      <w:r>
        <w:rPr>
          <w:sz w:val="21"/>
          <w:color w:val="000000"/>
        </w:rPr>
        <w:t>63号</w:t>
      </w:r>
      <w:r>
        <w:rPr/>
        <w:t xml:space="preserve">  </w:t>
      </w:r>
    </w:p>
    <w:p>
      <w:pPr>
        <w:pStyle w:val="null3"/>
        <w:ind w:firstLine="480"/>
        <w:jc w:val="both"/>
      </w:pPr>
      <w:r>
        <w:rPr>
          <w:sz w:val="21"/>
          <w:color w:val="000000"/>
        </w:rPr>
        <w:t>乙方：</w:t>
      </w:r>
      <w:r>
        <w:rPr>
          <w:u w:val="single"/>
        </w:rPr>
        <w:t xml:space="preserve">                    </w:t>
      </w:r>
    </w:p>
    <w:p>
      <w:pPr>
        <w:pStyle w:val="null3"/>
        <w:ind w:firstLine="480"/>
        <w:jc w:val="both"/>
      </w:pPr>
      <w:r>
        <w:rPr>
          <w:sz w:val="21"/>
          <w:color w:val="000000"/>
        </w:rPr>
        <w:t>电话：</w:t>
      </w:r>
      <w:r>
        <w:rPr>
          <w:u w:val="single"/>
        </w:rPr>
        <w:t xml:space="preserve">                    </w:t>
      </w:r>
      <w:r>
        <w:rPr>
          <w:u w:val="single"/>
        </w:rPr>
        <w:t xml:space="preserve"> </w:t>
      </w:r>
    </w:p>
    <w:p>
      <w:pPr>
        <w:pStyle w:val="null3"/>
        <w:ind w:firstLine="480"/>
        <w:jc w:val="both"/>
      </w:pPr>
      <w:r>
        <w:rPr>
          <w:sz w:val="21"/>
          <w:color w:val="000000"/>
        </w:rPr>
        <w:t>地址：</w:t>
      </w:r>
      <w:r>
        <w:rPr>
          <w:u w:val="single"/>
        </w:rPr>
        <w:t xml:space="preserve">                    </w:t>
      </w:r>
      <w:r>
        <w:rPr/>
        <w:t xml:space="preserve"> </w:t>
      </w:r>
    </w:p>
    <w:p>
      <w:pPr>
        <w:pStyle w:val="null3"/>
        <w:ind w:firstLine="480"/>
        <w:jc w:val="both"/>
      </w:pPr>
      <w:r>
        <w:rPr>
          <w:sz w:val="21"/>
          <w:color w:val="000000"/>
        </w:rPr>
        <w:t>根据</w:t>
      </w:r>
      <w:r>
        <w:rPr>
          <w:sz w:val="21"/>
          <w:color w:val="000000"/>
        </w:rPr>
        <w:t>《中华人民共和国政府采购法》、</w:t>
      </w:r>
      <w:r>
        <w:rPr>
          <w:sz w:val="21"/>
          <w:color w:val="000000"/>
          <w:shd w:fill="FFFFFF" w:val="clear"/>
        </w:rPr>
        <w:t>《</w:t>
      </w:r>
      <w:r>
        <w:rPr>
          <w:sz w:val="21"/>
          <w:color w:val="000000"/>
          <w:u w:val="single"/>
          <w:shd w:fill="FFFFFF" w:val="clear"/>
        </w:rPr>
        <w:t>中华人民共和国民法典</w:t>
      </w:r>
      <w:r>
        <w:rPr>
          <w:sz w:val="21"/>
          <w:color w:val="000000"/>
          <w:shd w:fill="FFFFFF" w:val="clear"/>
        </w:rPr>
        <w:t>》</w:t>
      </w:r>
      <w:r>
        <w:rPr>
          <w:sz w:val="21"/>
          <w:color w:val="000000"/>
        </w:rPr>
        <w:t>及</w:t>
      </w:r>
      <w:r>
        <w:rPr>
          <w:sz w:val="21"/>
          <w:color w:val="000000"/>
          <w:u w:val="single"/>
        </w:rPr>
        <w:t>广东省毒品实验技术中心</w:t>
      </w:r>
      <w:r>
        <w:rPr>
          <w:sz w:val="21"/>
          <w:color w:val="000000"/>
          <w:u w:val="single"/>
        </w:rPr>
        <w:t>2025-86液相设备升级项目</w:t>
      </w:r>
      <w:r>
        <w:rPr>
          <w:sz w:val="21"/>
          <w:color w:val="000000"/>
          <w:u w:val="single"/>
        </w:rPr>
        <w:t>（项目</w:t>
      </w:r>
      <w:r>
        <w:rPr>
          <w:sz w:val="21"/>
          <w:color w:val="000000"/>
          <w:u w:val="single"/>
        </w:rPr>
        <w:t>采购</w:t>
      </w:r>
      <w:r>
        <w:rPr>
          <w:sz w:val="21"/>
          <w:color w:val="000000"/>
          <w:u w:val="single"/>
        </w:rPr>
        <w:t>编号：</w:t>
      </w:r>
      <w:r>
        <w:rPr>
          <w:sz w:val="21"/>
          <w:color w:val="000000"/>
          <w:u w:val="single"/>
        </w:rPr>
        <w:t>JZ202509181436</w:t>
      </w:r>
      <w:r>
        <w:rPr>
          <w:sz w:val="21"/>
          <w:color w:val="000000"/>
          <w:u w:val="single"/>
        </w:rPr>
        <w:t>）</w:t>
      </w:r>
      <w:r>
        <w:rPr>
          <w:sz w:val="21"/>
          <w:color w:val="000000"/>
          <w:shd w:fill="FFFFFF" w:val="clear"/>
        </w:rPr>
        <w:t>的采购文件和乙方中标的投标文件，在平等、自愿的基础上，经双方充分协商，就甲方购买乙方设备达成以下合同条款。</w:t>
      </w:r>
    </w:p>
    <w:p>
      <w:pPr>
        <w:pStyle w:val="null3"/>
        <w:ind w:firstLine="480"/>
      </w:pPr>
      <w:r>
        <w:rPr>
          <w:sz w:val="21"/>
          <w:color w:val="000000"/>
        </w:rPr>
        <w:t>1.本合同总金额分为</w:t>
      </w:r>
      <w:r>
        <w:rPr>
          <w:sz w:val="21"/>
          <w:color w:val="000000"/>
        </w:rPr>
        <w:t>货物与维保两部分，分别报价与执行</w:t>
      </w:r>
      <w:r>
        <w:rPr>
          <w:sz w:val="21"/>
          <w:color w:val="000000"/>
        </w:rPr>
        <w:t>。</w:t>
      </w:r>
    </w:p>
    <w:p>
      <w:pPr>
        <w:pStyle w:val="null3"/>
        <w:ind w:firstLine="480"/>
        <w:jc w:val="both"/>
      </w:pPr>
      <w:r>
        <w:rPr>
          <w:sz w:val="21"/>
          <w:color w:val="000000"/>
        </w:rPr>
        <w:t>2.</w:t>
      </w:r>
      <w:r>
        <w:rPr>
          <w:sz w:val="21"/>
          <w:color w:val="000000"/>
        </w:rPr>
        <w:t>货物与维保服务内容：</w:t>
      </w:r>
      <w:r>
        <w:rPr>
          <w:sz w:val="21"/>
          <w:color w:val="000000"/>
        </w:rPr>
        <w:t>详见</w:t>
      </w:r>
      <w:r>
        <w:rPr>
          <w:sz w:val="21"/>
          <w:color w:val="000000"/>
        </w:rPr>
        <w:t>谈判文件和响应文件</w:t>
      </w:r>
      <w:r>
        <w:rPr>
          <w:sz w:val="21"/>
          <w:color w:val="000000"/>
        </w:rPr>
        <w:t>。</w:t>
      </w:r>
    </w:p>
    <w:p>
      <w:pPr>
        <w:pStyle w:val="null3"/>
        <w:ind w:firstLine="480"/>
        <w:jc w:val="both"/>
      </w:pPr>
      <w:r>
        <w:rPr>
          <w:sz w:val="21"/>
          <w:color w:val="000000"/>
        </w:rPr>
        <w:t>3.货物总金额：人民币       元；维保服务总金额：人民币        元。</w:t>
      </w:r>
    </w:p>
    <w:p>
      <w:pPr>
        <w:pStyle w:val="null3"/>
        <w:spacing w:before="90"/>
        <w:ind w:left="90"/>
        <w:jc w:val="both"/>
      </w:pPr>
      <w:r>
        <w:rPr>
          <w:sz w:val="21"/>
          <w:b/>
          <w:color w:val="000000"/>
        </w:rPr>
        <w:t>二、合同期限：</w:t>
      </w:r>
    </w:p>
    <w:p>
      <w:pPr>
        <w:pStyle w:val="null3"/>
        <w:ind w:firstLine="480"/>
      </w:pPr>
      <w:r>
        <w:rPr>
          <w:sz w:val="21"/>
          <w:color w:val="000000"/>
        </w:rPr>
        <w:t>1、本合同货物部分：自合同签订之日起</w:t>
      </w:r>
      <w:r>
        <w:rPr>
          <w:sz w:val="21"/>
          <w:color w:val="000000"/>
        </w:rPr>
        <w:t>30个工作日内完成供货。</w:t>
      </w:r>
    </w:p>
    <w:p>
      <w:pPr>
        <w:pStyle w:val="null3"/>
        <w:ind w:firstLine="480"/>
      </w:pPr>
      <w:r>
        <w:rPr>
          <w:sz w:val="21"/>
          <w:color w:val="000000"/>
        </w:rPr>
        <w:t>2、本合同维保服务部分：自货物验收之日起提供为期</w:t>
      </w:r>
      <w:r>
        <w:rPr>
          <w:sz w:val="21"/>
          <w:color w:val="000000"/>
        </w:rPr>
        <w:t>3年的维保服务。</w:t>
      </w:r>
    </w:p>
    <w:p>
      <w:pPr>
        <w:pStyle w:val="null3"/>
        <w:spacing w:before="90"/>
        <w:ind w:left="90"/>
        <w:jc w:val="both"/>
      </w:pPr>
      <w:r>
        <w:rPr>
          <w:sz w:val="21"/>
          <w:b/>
          <w:color w:val="000000"/>
        </w:rPr>
        <w:t>三、基本要求</w:t>
      </w:r>
    </w:p>
    <w:p>
      <w:pPr>
        <w:pStyle w:val="null3"/>
        <w:ind w:firstLine="480"/>
        <w:jc w:val="both"/>
      </w:pPr>
      <w:r>
        <w:rPr>
          <w:sz w:val="21"/>
          <w:color w:val="000000"/>
        </w:rPr>
        <w:t>货物产地及标准</w:t>
      </w:r>
      <w:r>
        <w:rPr>
          <w:sz w:val="21"/>
          <w:color w:val="000000"/>
        </w:rPr>
        <w:t>要求：</w:t>
      </w:r>
    </w:p>
    <w:p>
      <w:pPr>
        <w:pStyle w:val="null3"/>
        <w:ind w:firstLine="480"/>
        <w:jc w:val="both"/>
      </w:pPr>
      <w:r>
        <w:rPr>
          <w:sz w:val="21"/>
          <w:color w:val="000000"/>
        </w:rPr>
        <w:t>1、</w:t>
      </w:r>
      <w:r>
        <w:rPr>
          <w:sz w:val="21"/>
          <w:color w:val="000000"/>
        </w:rPr>
        <w:t>设备</w:t>
      </w:r>
      <w:r>
        <w:rPr>
          <w:sz w:val="21"/>
          <w:color w:val="000000"/>
        </w:rPr>
        <w:t>为原厂全新（原装）正品。</w:t>
      </w:r>
    </w:p>
    <w:p>
      <w:pPr>
        <w:pStyle w:val="null3"/>
        <w:ind w:firstLine="480"/>
        <w:jc w:val="both"/>
      </w:pPr>
      <w:r>
        <w:rPr>
          <w:sz w:val="21"/>
          <w:color w:val="000000"/>
        </w:rPr>
        <w:t>2、标准：本合同所指的</w:t>
      </w:r>
      <w:r>
        <w:rPr>
          <w:sz w:val="21"/>
          <w:color w:val="000000"/>
        </w:rPr>
        <w:t>设备</w:t>
      </w:r>
      <w:r>
        <w:rPr>
          <w:sz w:val="21"/>
          <w:color w:val="000000"/>
        </w:rPr>
        <w:t>应符合合同附件的技术规格和标准；如果没有提及适用标准，则应符合中华人民共和国国家标准或行业标准。这些标准必须是有关机构发布的最新版本的标准。</w:t>
      </w:r>
    </w:p>
    <w:p>
      <w:pPr>
        <w:pStyle w:val="null3"/>
        <w:ind w:firstLine="480"/>
        <w:jc w:val="both"/>
      </w:pPr>
      <w:r>
        <w:rPr>
          <w:sz w:val="21"/>
          <w:color w:val="000000"/>
        </w:rPr>
        <w:t>3、</w:t>
      </w:r>
      <w:r>
        <w:rPr>
          <w:sz w:val="21"/>
          <w:color w:val="000000"/>
        </w:rPr>
        <w:t>设备</w:t>
      </w:r>
      <w:r>
        <w:rPr>
          <w:sz w:val="21"/>
          <w:color w:val="000000"/>
        </w:rPr>
        <w:t>必须具备出厂合格证。</w:t>
      </w:r>
    </w:p>
    <w:p>
      <w:pPr>
        <w:pStyle w:val="null3"/>
        <w:ind w:firstLine="480"/>
        <w:jc w:val="both"/>
      </w:pPr>
      <w:r>
        <w:rPr>
          <w:sz w:val="21"/>
          <w:color w:val="000000"/>
        </w:rPr>
        <w:t>乙方交货时应将所供</w:t>
      </w:r>
      <w:r>
        <w:rPr>
          <w:sz w:val="21"/>
          <w:color w:val="000000"/>
        </w:rPr>
        <w:t>设备</w:t>
      </w:r>
      <w:r>
        <w:rPr>
          <w:sz w:val="21"/>
          <w:color w:val="000000"/>
        </w:rPr>
        <w:t>的产品鉴定证书、使用许可证、用户手册、产品合格证、其它有关资料及配件等一并交付给甲方。</w:t>
      </w:r>
    </w:p>
    <w:p>
      <w:pPr>
        <w:pStyle w:val="null3"/>
        <w:ind w:firstLine="480"/>
        <w:jc w:val="both"/>
      </w:pPr>
      <w:r>
        <w:rPr>
          <w:sz w:val="21"/>
          <w:color w:val="000000"/>
        </w:rPr>
        <w:t>维保要求：</w:t>
      </w:r>
    </w:p>
    <w:p>
      <w:pPr>
        <w:pStyle w:val="null3"/>
        <w:ind w:firstLine="480"/>
        <w:jc w:val="both"/>
      </w:pPr>
      <w:r>
        <w:rPr>
          <w:sz w:val="21"/>
          <w:color w:val="000000"/>
        </w:rPr>
        <w:t>乙方须提供不低于现有设备厂商、原装、符合用户要求的零配件。</w:t>
      </w:r>
    </w:p>
    <w:p>
      <w:pPr>
        <w:pStyle w:val="null3"/>
        <w:ind w:firstLine="480"/>
        <w:jc w:val="both"/>
      </w:pPr>
      <w:r>
        <w:rPr>
          <w:sz w:val="21"/>
          <w:color w:val="000000"/>
        </w:rPr>
        <w:t>设备维保期间产生的更换零配件费用，工程师现场维修等一系列费用，均由乙方承担。</w:t>
      </w:r>
    </w:p>
    <w:p>
      <w:pPr>
        <w:pStyle w:val="null3"/>
        <w:spacing w:before="90"/>
        <w:ind w:left="90"/>
        <w:jc w:val="both"/>
      </w:pPr>
      <w:r>
        <w:rPr>
          <w:sz w:val="21"/>
          <w:b/>
          <w:color w:val="000000"/>
        </w:rPr>
        <w:t>四、详细要求</w:t>
      </w:r>
    </w:p>
    <w:p>
      <w:pPr>
        <w:pStyle w:val="null3"/>
        <w:ind w:firstLine="480"/>
        <w:jc w:val="both"/>
      </w:pPr>
      <w:r>
        <w:rPr>
          <w:sz w:val="21"/>
          <w:color w:val="000000"/>
        </w:rPr>
        <w:t>1.乙方必须保证维保清单内所有设施和设备的正常运转。</w:t>
      </w:r>
    </w:p>
    <w:p>
      <w:pPr>
        <w:pStyle w:val="null3"/>
        <w:ind w:firstLine="480"/>
        <w:jc w:val="both"/>
      </w:pPr>
      <w:r>
        <w:rPr>
          <w:sz w:val="21"/>
          <w:color w:val="000000"/>
        </w:rPr>
        <w:t>2.如果设施和设备出现故障，必须保证随时响应，接纳报告并做出服务安排，—般要求1小时内响应，12小时内工程师携带维修配件上门或维修配件需采购时，于48小时内处理完毕，并在正常维修时间（即在工程师携带维修配件上门之日起的两个工作日）内恢复仪器正常使用，维修维护过程中涉及的仪器备件，应由乙方提供不低于原厂的备件，维修过程中涉及需要更换的耗材部分由乙方提供。</w:t>
      </w:r>
    </w:p>
    <w:p>
      <w:pPr>
        <w:pStyle w:val="null3"/>
        <w:ind w:firstLine="480"/>
        <w:jc w:val="both"/>
      </w:pPr>
      <w:r>
        <w:rPr>
          <w:sz w:val="21"/>
          <w:color w:val="000000"/>
        </w:rPr>
        <w:t>3.所有维护工作的实施必须保证基本不影响实验室的正常工作，根据实际工作情况安排现场服务。</w:t>
      </w:r>
    </w:p>
    <w:p>
      <w:pPr>
        <w:pStyle w:val="null3"/>
        <w:ind w:firstLine="480"/>
        <w:jc w:val="both"/>
      </w:pPr>
      <w:r>
        <w:rPr>
          <w:sz w:val="21"/>
          <w:color w:val="000000"/>
        </w:rPr>
        <w:t>4.每次服务必须提供完整的服务报告，以书面形式提供年度服务汇总。</w:t>
      </w:r>
    </w:p>
    <w:p>
      <w:pPr>
        <w:pStyle w:val="null3"/>
        <w:ind w:firstLine="480"/>
        <w:jc w:val="both"/>
      </w:pPr>
      <w:r>
        <w:rPr>
          <w:sz w:val="21"/>
          <w:color w:val="000000"/>
        </w:rPr>
        <w:t>5.乙方为甲方仪器提供每月一次巡检， 每次至少安排 1 名工程师。</w:t>
      </w:r>
    </w:p>
    <w:p>
      <w:pPr>
        <w:pStyle w:val="null3"/>
        <w:spacing w:before="90"/>
        <w:ind w:left="90"/>
        <w:jc w:val="both"/>
      </w:pPr>
      <w:r>
        <w:rPr>
          <w:sz w:val="21"/>
          <w:b/>
          <w:color w:val="000000"/>
        </w:rPr>
        <w:t>五、执行进度</w:t>
      </w:r>
    </w:p>
    <w:p>
      <w:pPr>
        <w:pStyle w:val="null3"/>
        <w:ind w:firstLine="480"/>
        <w:jc w:val="both"/>
      </w:pPr>
      <w:r>
        <w:rPr>
          <w:sz w:val="21"/>
          <w:color w:val="000000"/>
        </w:rPr>
        <w:t>货物部分：</w:t>
      </w:r>
    </w:p>
    <w:p>
      <w:pPr>
        <w:pStyle w:val="null3"/>
        <w:ind w:firstLine="480"/>
        <w:jc w:val="both"/>
      </w:pPr>
      <w:r>
        <w:rPr>
          <w:sz w:val="21"/>
          <w:color w:val="000000"/>
        </w:rPr>
        <w:t>1.乙方在合同签订之日起的30个工作日内完成供货，将货物送到甲方指定的交货地点（如甲方货物使用地点发生改变，以实际使用地点为准，地点改动仅限于广州市内）。</w:t>
      </w:r>
    </w:p>
    <w:p>
      <w:pPr>
        <w:pStyle w:val="null3"/>
        <w:ind w:firstLine="480"/>
        <w:jc w:val="both"/>
      </w:pPr>
      <w:r>
        <w:rPr>
          <w:sz w:val="21"/>
          <w:color w:val="000000"/>
        </w:rPr>
        <w:t>2.货物送达后的10个工作日内完成硬件设备的安装、调试。</w:t>
      </w:r>
    </w:p>
    <w:p>
      <w:pPr>
        <w:pStyle w:val="null3"/>
        <w:ind w:firstLine="480"/>
        <w:jc w:val="both"/>
      </w:pPr>
      <w:r>
        <w:rPr>
          <w:sz w:val="21"/>
          <w:color w:val="000000"/>
        </w:rPr>
        <w:t>3.按甲方要求在指定时间对设备使用人员进行培训。</w:t>
      </w:r>
    </w:p>
    <w:p>
      <w:pPr>
        <w:pStyle w:val="null3"/>
        <w:ind w:firstLine="480"/>
        <w:jc w:val="both"/>
      </w:pPr>
      <w:r>
        <w:rPr>
          <w:sz w:val="21"/>
          <w:color w:val="000000"/>
        </w:rPr>
        <w:t>维保部分：</w:t>
      </w:r>
    </w:p>
    <w:p>
      <w:pPr>
        <w:pStyle w:val="null3"/>
        <w:ind w:firstLine="480"/>
        <w:jc w:val="both"/>
      </w:pPr>
      <w:r>
        <w:rPr>
          <w:sz w:val="21"/>
          <w:color w:val="000000"/>
        </w:rPr>
        <w:t>1.自货物部分验收之日起的12个月，是升级的设备质保期，乙方对设备在质保期内提供“三包”服务。</w:t>
      </w:r>
    </w:p>
    <w:p>
      <w:pPr>
        <w:pStyle w:val="null3"/>
        <w:ind w:firstLine="480"/>
        <w:jc w:val="both"/>
      </w:pPr>
      <w:r>
        <w:rPr>
          <w:sz w:val="21"/>
          <w:color w:val="000000"/>
        </w:rPr>
        <w:t>2.货物部分质保期12个月到期后，执行合同维保部分，为期24个月，乙方对升级后的整机设备进行维护保养。</w:t>
      </w:r>
    </w:p>
    <w:p>
      <w:pPr>
        <w:pStyle w:val="null3"/>
        <w:spacing w:before="90"/>
        <w:ind w:left="90"/>
        <w:jc w:val="both"/>
      </w:pPr>
      <w:r>
        <w:rPr>
          <w:sz w:val="21"/>
          <w:b/>
          <w:color w:val="000000"/>
        </w:rPr>
        <w:t>六、运输、保管、售后</w:t>
      </w:r>
    </w:p>
    <w:p>
      <w:pPr>
        <w:pStyle w:val="null3"/>
        <w:ind w:firstLine="480"/>
        <w:jc w:val="both"/>
      </w:pPr>
      <w:r>
        <w:rPr>
          <w:sz w:val="21"/>
          <w:color w:val="000000"/>
        </w:rPr>
        <w:t>1.乙方负责设备到现场过程中的全部运输，包括装卸车、货物现场的搬运。</w:t>
      </w:r>
    </w:p>
    <w:p>
      <w:pPr>
        <w:pStyle w:val="null3"/>
        <w:ind w:firstLine="480"/>
        <w:jc w:val="both"/>
      </w:pPr>
      <w:r>
        <w:rPr>
          <w:sz w:val="21"/>
          <w:color w:val="000000"/>
        </w:rPr>
        <w:t>2.设备在现场的保管由乙方负责，直至验收完毕。乙方应按有关标准进行包装并将其运抵交货地点（须提供清单和每个供货批次批签发报告，并加盖企业印章），设备运送至交货地点后，由乙方和甲方进行联合验收。货物的外包装应牢固、完好，符合储存运输要求。在此期间如发现货物有破损或所供设备不符合采购要求或存在质量问题的等，甲方可拒绝接收。乙方应立即予以更换（费用由乙方承担）。</w:t>
      </w:r>
    </w:p>
    <w:p>
      <w:pPr>
        <w:pStyle w:val="null3"/>
        <w:ind w:firstLine="480"/>
        <w:jc w:val="both"/>
      </w:pPr>
      <w:r>
        <w:rPr>
          <w:sz w:val="21"/>
          <w:color w:val="000000"/>
        </w:rPr>
        <w:t>3.质保期为该批次设备验收合格之日起 1 年时间，乙方对设备在质保期内提供“三包”服务。</w:t>
      </w:r>
    </w:p>
    <w:p>
      <w:pPr>
        <w:pStyle w:val="null3"/>
        <w:ind w:firstLine="480"/>
        <w:jc w:val="both"/>
      </w:pPr>
      <w:r>
        <w:rPr>
          <w:sz w:val="21"/>
          <w:color w:val="000000"/>
        </w:rPr>
        <w:t>4.质保期后的维保部分按合同条款执行。</w:t>
      </w:r>
    </w:p>
    <w:p>
      <w:pPr>
        <w:pStyle w:val="null3"/>
        <w:spacing w:before="90"/>
        <w:ind w:left="90"/>
        <w:jc w:val="both"/>
      </w:pPr>
      <w:r>
        <w:rPr>
          <w:sz w:val="21"/>
          <w:b/>
          <w:color w:val="000000"/>
        </w:rPr>
        <w:t>七、验收</w:t>
      </w:r>
    </w:p>
    <w:p>
      <w:pPr>
        <w:pStyle w:val="null3"/>
        <w:ind w:firstLine="480"/>
        <w:jc w:val="both"/>
      </w:pPr>
      <w:r>
        <w:rPr>
          <w:sz w:val="21"/>
          <w:color w:val="000000"/>
        </w:rPr>
        <w:t>货物部分：</w:t>
      </w:r>
    </w:p>
    <w:p>
      <w:pPr>
        <w:pStyle w:val="null3"/>
        <w:ind w:firstLine="480"/>
        <w:jc w:val="both"/>
      </w:pPr>
      <w:r>
        <w:rPr>
          <w:sz w:val="21"/>
          <w:color w:val="000000"/>
        </w:rPr>
        <w:t>1.符合中华人民共和国国家安全质量标准、环保标准或行业标准。</w:t>
      </w:r>
    </w:p>
    <w:p>
      <w:pPr>
        <w:pStyle w:val="null3"/>
        <w:ind w:firstLine="480"/>
        <w:jc w:val="both"/>
      </w:pPr>
      <w:r>
        <w:rPr>
          <w:sz w:val="21"/>
          <w:color w:val="000000"/>
        </w:rPr>
        <w:t>2.符合招标文件中甲方的参数及各项要求。</w:t>
      </w:r>
    </w:p>
    <w:p>
      <w:pPr>
        <w:pStyle w:val="null3"/>
        <w:ind w:firstLine="480"/>
        <w:jc w:val="both"/>
      </w:pPr>
      <w:r>
        <w:rPr>
          <w:sz w:val="21"/>
          <w:color w:val="000000"/>
        </w:rPr>
        <w:t>3.货物为原厂商未启封全新包装，序列号、包装箱号与出厂批号一致，并可追索查阅，所有随设备的附件必须齐全。</w:t>
      </w:r>
    </w:p>
    <w:p>
      <w:pPr>
        <w:pStyle w:val="null3"/>
        <w:ind w:firstLine="480"/>
        <w:jc w:val="both"/>
      </w:pPr>
      <w:r>
        <w:rPr>
          <w:sz w:val="21"/>
          <w:color w:val="000000"/>
        </w:rPr>
        <w:t>4.乙方应将关键设备的用户手册、保修手册、有关单证资料、使用操作及安全须知等资料及配备件、随机工具等交付给甲方。</w:t>
      </w:r>
    </w:p>
    <w:p>
      <w:pPr>
        <w:pStyle w:val="null3"/>
        <w:ind w:firstLine="480"/>
        <w:jc w:val="both"/>
      </w:pPr>
      <w:r>
        <w:rPr>
          <w:sz w:val="21"/>
          <w:color w:val="000000"/>
        </w:rPr>
        <w:t>5.甲方组成验收小组按国家有关规定、规范进行验收。因货物质量问题发生争议时，由广州市质量监督部门鉴定。货物符合质量技术标准的，鉴定费由甲方承担，否则鉴定费由乙方承担。</w:t>
      </w:r>
    </w:p>
    <w:p>
      <w:pPr>
        <w:pStyle w:val="null3"/>
        <w:ind w:firstLine="480"/>
        <w:jc w:val="both"/>
      </w:pPr>
      <w:r>
        <w:rPr>
          <w:sz w:val="21"/>
          <w:color w:val="000000"/>
        </w:rPr>
        <w:t>维保部分：</w:t>
      </w:r>
    </w:p>
    <w:p>
      <w:pPr>
        <w:pStyle w:val="null3"/>
        <w:ind w:firstLine="480"/>
        <w:jc w:val="both"/>
      </w:pPr>
      <w:r>
        <w:rPr>
          <w:sz w:val="21"/>
          <w:color w:val="000000"/>
        </w:rPr>
        <w:t>1.①维保服务作业应符合国家、地方、行业规范，确保仪器设备处于技术状态良好、安全、稳定、持续运行的要求；②乙方按照约定完成维保服务，并提交设备维护保养报告和服务验收报告，并提出验收申请，甲方同意并于7日内组织验收、签署服务验收报告，服务验收以双方共同确认的仪器设备处于正常工作状态为准。</w:t>
      </w:r>
    </w:p>
    <w:p>
      <w:pPr>
        <w:pStyle w:val="null3"/>
        <w:ind w:firstLine="480"/>
        <w:jc w:val="both"/>
      </w:pPr>
      <w:r>
        <w:rPr>
          <w:sz w:val="21"/>
          <w:color w:val="000000"/>
        </w:rPr>
        <w:t>2.阶段性验收、最终验收时需查验每次服务的服务报告（包含巡检、保养、维修），由甲、乙双方共同进行。</w:t>
      </w:r>
    </w:p>
    <w:p>
      <w:pPr>
        <w:pStyle w:val="null3"/>
        <w:ind w:firstLine="480"/>
        <w:jc w:val="both"/>
      </w:pPr>
      <w:r>
        <w:rPr>
          <w:sz w:val="21"/>
          <w:color w:val="000000"/>
        </w:rPr>
        <w:t>3.乙方提供的维护保养服务需满足招标文件的要求、投标文件的承诺及合同条款要求。</w:t>
      </w:r>
    </w:p>
    <w:p>
      <w:pPr>
        <w:pStyle w:val="null3"/>
        <w:spacing w:before="90"/>
        <w:ind w:left="90"/>
        <w:jc w:val="both"/>
      </w:pPr>
      <w:r>
        <w:rPr>
          <w:sz w:val="21"/>
          <w:b/>
          <w:color w:val="000000"/>
        </w:rPr>
        <w:t>八、支付方式</w:t>
      </w:r>
    </w:p>
    <w:p>
      <w:pPr>
        <w:pStyle w:val="null3"/>
        <w:ind w:firstLine="480"/>
        <w:jc w:val="both"/>
      </w:pPr>
      <w:r>
        <w:rPr>
          <w:sz w:val="21"/>
          <w:color w:val="000000"/>
        </w:rPr>
        <w:t>货物部分：</w:t>
      </w:r>
    </w:p>
    <w:p>
      <w:pPr>
        <w:pStyle w:val="null3"/>
        <w:ind w:firstLine="480"/>
        <w:jc w:val="both"/>
      </w:pPr>
      <w:r>
        <w:rPr>
          <w:sz w:val="21"/>
          <w:color w:val="000000"/>
        </w:rPr>
        <w:t>1.签订合同后5个工作日内，甲方支付合同货物部分金额的30%给乙方作为预付款。</w:t>
      </w:r>
    </w:p>
    <w:p>
      <w:pPr>
        <w:pStyle w:val="null3"/>
        <w:ind w:firstLine="480"/>
        <w:jc w:val="both"/>
      </w:pPr>
      <w:r>
        <w:rPr>
          <w:sz w:val="21"/>
          <w:color w:val="000000"/>
        </w:rPr>
        <w:t>2.货物到达交货地点安装调试后，甲方进行验收，甲方在收到乙方发票后10个工作日内，向乙方支付至货物结算金额的100%。</w:t>
      </w:r>
    </w:p>
    <w:p>
      <w:pPr>
        <w:pStyle w:val="null3"/>
        <w:ind w:firstLine="480"/>
        <w:jc w:val="both"/>
      </w:pPr>
      <w:r>
        <w:rPr>
          <w:sz w:val="21"/>
          <w:color w:val="000000"/>
        </w:rPr>
        <w:t>维保部分：</w:t>
      </w:r>
    </w:p>
    <w:p>
      <w:pPr>
        <w:pStyle w:val="null3"/>
        <w:ind w:firstLine="480"/>
        <w:jc w:val="both"/>
      </w:pPr>
      <w:r>
        <w:rPr>
          <w:sz w:val="21"/>
          <w:color w:val="000000"/>
        </w:rPr>
        <w:t>1.采购项目中维修保养部分，</w:t>
      </w:r>
      <w:r>
        <w:rPr>
          <w:sz w:val="21"/>
        </w:rPr>
        <w:t>签订合同后</w:t>
      </w:r>
      <w:r>
        <w:rPr>
          <w:sz w:val="21"/>
        </w:rPr>
        <w:t>5个工作日内</w:t>
      </w:r>
      <w:r>
        <w:rPr>
          <w:sz w:val="21"/>
          <w:color w:val="000000"/>
        </w:rPr>
        <w:t>，甲方支付维保部分金额的</w:t>
      </w:r>
      <w:r>
        <w:rPr>
          <w:sz w:val="21"/>
          <w:color w:val="000000"/>
        </w:rPr>
        <w:t>30%给乙方作为预付款。</w:t>
      </w:r>
    </w:p>
    <w:p>
      <w:pPr>
        <w:pStyle w:val="null3"/>
        <w:ind w:firstLine="480"/>
        <w:jc w:val="both"/>
      </w:pPr>
      <w:r>
        <w:rPr>
          <w:sz w:val="21"/>
          <w:color w:val="000000"/>
        </w:rPr>
        <w:t>2.维修保养第1年结束后，进行阶段性验收，验收通过后，甲方在收到发票后10个工作日内，向乙方支付合同维保部分金额的40%。</w:t>
      </w:r>
    </w:p>
    <w:p>
      <w:pPr>
        <w:pStyle w:val="null3"/>
        <w:ind w:firstLine="480"/>
        <w:jc w:val="both"/>
      </w:pPr>
      <w:r>
        <w:rPr>
          <w:sz w:val="21"/>
          <w:color w:val="000000"/>
        </w:rPr>
        <w:t>3.维护保养期到期后，进行最终验收，验收通过后，甲方在收到发票后10个工作日内，向乙方支付至合同维保部分结算金额的100%。</w:t>
      </w:r>
    </w:p>
    <w:p>
      <w:pPr>
        <w:pStyle w:val="null3"/>
        <w:ind w:firstLine="480"/>
        <w:jc w:val="both"/>
      </w:pPr>
      <w:r>
        <w:rPr>
          <w:sz w:val="21"/>
          <w:color w:val="000000"/>
        </w:rPr>
        <w:t>4.甲方以银行转帐方式支付乙方货款。</w:t>
      </w:r>
    </w:p>
    <w:p>
      <w:pPr>
        <w:pStyle w:val="null3"/>
        <w:ind w:firstLine="480"/>
        <w:jc w:val="both"/>
      </w:pPr>
      <w:r>
        <w:rPr>
          <w:sz w:val="21"/>
          <w:color w:val="000000"/>
        </w:rPr>
        <w:t>5.合同所指的付款时间为甲方向政府采购支付部门提出支付申请的时间（不含政府采购支付部门的审查时间和支付时间），在规定时间内提交付款申请即视甲方已履行付款义务，乙方不得以资金付款期限已过为由向甲方索赔或要求支付违约金。</w:t>
      </w:r>
    </w:p>
    <w:p>
      <w:pPr>
        <w:pStyle w:val="null3"/>
        <w:ind w:firstLine="480"/>
        <w:jc w:val="both"/>
      </w:pPr>
      <w:r>
        <w:rPr>
          <w:sz w:val="21"/>
          <w:color w:val="000000"/>
        </w:rPr>
        <w:t>6.申请支付合同款项时，乙方必须向甲方提供与当期支付款项金额等值的中华人民共和国大陆地区合法有效发票。</w:t>
      </w:r>
    </w:p>
    <w:p>
      <w:pPr>
        <w:pStyle w:val="null3"/>
        <w:spacing w:before="90"/>
        <w:ind w:left="90"/>
        <w:jc w:val="both"/>
      </w:pPr>
      <w:r>
        <w:rPr>
          <w:sz w:val="21"/>
          <w:b/>
          <w:color w:val="000000"/>
        </w:rPr>
        <w:t>九、违约责任</w:t>
      </w:r>
    </w:p>
    <w:p>
      <w:pPr>
        <w:pStyle w:val="null3"/>
        <w:ind w:firstLine="480"/>
        <w:jc w:val="both"/>
      </w:pPr>
      <w:r>
        <w:rPr>
          <w:sz w:val="21"/>
          <w:color w:val="000000"/>
        </w:rPr>
        <w:t>1.乙方逾期交货，每逾期 1 天按逾期交货部分合同价款 5‰支付违约金给甲方。如超过合同规定交货期限 10 天仍不能交货完毕，则视为乙方不能交货。甲方有权单方面解除合同，乙方除应按合同预算总额的5%向甲方支付违约金，还应赔偿因此给甲方造成的全部损失。</w:t>
      </w:r>
    </w:p>
    <w:p>
      <w:pPr>
        <w:pStyle w:val="null3"/>
        <w:ind w:firstLine="480"/>
        <w:jc w:val="both"/>
      </w:pPr>
      <w:r>
        <w:rPr>
          <w:sz w:val="21"/>
          <w:color w:val="000000"/>
        </w:rPr>
        <w:t>2.乙方提供的货物存在质量问题无法正常使用的，则甲方同意由乙方予以整改，并在第一次使用结束之日起 5 天内重新供货；经 2 次供货仍不合格的，视为乙方向甲方供货有质量问题，并在下一次向乙方结算货款时扣除违约金 3000 元；在合同期内供货有质量问题达 3 次以上的，甲方有权单方面解除合同。乙方除应按合同预算总额的5%向甲方支付违约金，还应赔偿因此给甲方造成的全部损失。</w:t>
      </w:r>
    </w:p>
    <w:p>
      <w:pPr>
        <w:pStyle w:val="null3"/>
        <w:ind w:firstLine="480"/>
        <w:jc w:val="both"/>
      </w:pPr>
      <w:r>
        <w:rPr>
          <w:sz w:val="21"/>
          <w:color w:val="000000"/>
        </w:rPr>
        <w:t>3.甲方应在合同规定时间内向乙方支付货款，每逾期 1 天甲方向乙方偿付欠款总额的 5‰的违约金，累计违约金总额不超过欠款总额的5%。但由于财政拨款不到位而导致甲方逾期付款的，甲方不承担违约责任，并且此情况不能成为乙方延期交货及服务的理由。</w:t>
      </w:r>
    </w:p>
    <w:p>
      <w:pPr>
        <w:pStyle w:val="null3"/>
        <w:spacing w:before="90"/>
        <w:ind w:left="90"/>
        <w:jc w:val="both"/>
      </w:pPr>
      <w:r>
        <w:rPr>
          <w:sz w:val="21"/>
          <w:b/>
          <w:color w:val="000000"/>
        </w:rPr>
        <w:t>十</w:t>
      </w:r>
      <w:r>
        <w:rPr>
          <w:sz w:val="21"/>
          <w:b/>
          <w:color w:val="000000"/>
        </w:rPr>
        <w:t>、不可抗力</w:t>
      </w:r>
    </w:p>
    <w:p>
      <w:pPr>
        <w:pStyle w:val="null3"/>
        <w:ind w:firstLine="480"/>
        <w:jc w:val="both"/>
      </w:pPr>
      <w:r>
        <w:rPr>
          <w:sz w:val="21"/>
          <w:color w:val="000000"/>
        </w:rPr>
        <w:t>1.由于不可预见、不可避免、不可克服等不可抗力的原因，一方不能履行合同义务的，应当在不可抗力发生之日起 5 天内以书面形式通知对方，证明不可抗力事件的存在。</w:t>
      </w:r>
    </w:p>
    <w:p>
      <w:pPr>
        <w:pStyle w:val="null3"/>
        <w:ind w:firstLine="480"/>
        <w:jc w:val="both"/>
      </w:pPr>
      <w:r>
        <w:rPr>
          <w:sz w:val="21"/>
          <w:color w:val="000000"/>
        </w:rPr>
        <w:t>2.不可抗力事件发生后，甲方和乙方应当积极寻求以合理的方式履行本合同。如不可抗力无法消除，致使合同目的无法实现的，双方均有权解除合同，且均不互相索赔。</w:t>
      </w:r>
    </w:p>
    <w:p>
      <w:pPr>
        <w:pStyle w:val="null3"/>
        <w:spacing w:before="90"/>
        <w:ind w:left="90"/>
        <w:jc w:val="both"/>
      </w:pPr>
      <w:r>
        <w:rPr>
          <w:sz w:val="21"/>
          <w:b/>
          <w:color w:val="000000"/>
        </w:rPr>
        <w:t>十</w:t>
      </w:r>
      <w:r>
        <w:rPr>
          <w:sz w:val="21"/>
          <w:b/>
          <w:color w:val="000000"/>
        </w:rPr>
        <w:t>一</w:t>
      </w:r>
      <w:r>
        <w:rPr>
          <w:sz w:val="21"/>
          <w:b/>
          <w:color w:val="000000"/>
        </w:rPr>
        <w:t>、争议解决方式</w:t>
      </w:r>
    </w:p>
    <w:p>
      <w:pPr>
        <w:pStyle w:val="null3"/>
        <w:ind w:firstLine="480"/>
        <w:jc w:val="both"/>
      </w:pPr>
      <w:r>
        <w:rPr>
          <w:sz w:val="21"/>
          <w:color w:val="000000"/>
        </w:rPr>
        <w:t>1.凡与本合同有关的一切争议，甲乙双方应首先通过友好协商解决；如经协商后仍不能达成一致时，双方同意采取以下第 2 种方式解决：</w:t>
      </w:r>
    </w:p>
    <w:p>
      <w:pPr>
        <w:pStyle w:val="null3"/>
        <w:ind w:firstLine="480"/>
        <w:jc w:val="both"/>
      </w:pPr>
      <w:r>
        <w:rPr>
          <w:sz w:val="21"/>
          <w:color w:val="000000"/>
        </w:rPr>
        <w:t>（</w:t>
      </w:r>
      <w:r>
        <w:rPr>
          <w:sz w:val="21"/>
          <w:color w:val="000000"/>
        </w:rPr>
        <w:t>1）向广州仲裁委员会申请仲裁；</w:t>
      </w:r>
    </w:p>
    <w:p>
      <w:pPr>
        <w:pStyle w:val="null3"/>
        <w:ind w:firstLine="480"/>
        <w:jc w:val="both"/>
      </w:pPr>
      <w:r>
        <w:rPr>
          <w:sz w:val="21"/>
          <w:color w:val="000000"/>
        </w:rPr>
        <w:t>（</w:t>
      </w:r>
      <w:r>
        <w:rPr>
          <w:sz w:val="21"/>
          <w:color w:val="000000"/>
        </w:rPr>
        <w:t>2）向有管辖权的法院提出诉讼。</w:t>
      </w:r>
    </w:p>
    <w:p>
      <w:pPr>
        <w:pStyle w:val="null3"/>
        <w:ind w:firstLine="480"/>
        <w:jc w:val="both"/>
      </w:pPr>
      <w:r>
        <w:rPr>
          <w:sz w:val="21"/>
          <w:color w:val="000000"/>
        </w:rPr>
        <w:t>在仲裁或诉讼期间，除有争议部分的事项外，合同其他部分仍应继续履行。</w:t>
      </w:r>
    </w:p>
    <w:p>
      <w:pPr>
        <w:pStyle w:val="null3"/>
        <w:spacing w:before="90"/>
        <w:ind w:left="90"/>
        <w:jc w:val="both"/>
      </w:pPr>
      <w:r>
        <w:rPr>
          <w:sz w:val="21"/>
          <w:b/>
          <w:color w:val="000000"/>
        </w:rPr>
        <w:t>十</w:t>
      </w:r>
      <w:r>
        <w:rPr>
          <w:sz w:val="21"/>
          <w:b/>
          <w:color w:val="000000"/>
        </w:rPr>
        <w:t>二</w:t>
      </w:r>
      <w:r>
        <w:rPr>
          <w:sz w:val="21"/>
          <w:b/>
          <w:color w:val="000000"/>
        </w:rPr>
        <w:t>、合同生效</w:t>
      </w:r>
    </w:p>
    <w:p>
      <w:pPr>
        <w:pStyle w:val="null3"/>
        <w:ind w:firstLine="480"/>
        <w:jc w:val="both"/>
      </w:pPr>
      <w:r>
        <w:rPr>
          <w:sz w:val="21"/>
          <w:color w:val="000000"/>
        </w:rPr>
        <w:t>本合同经双方授权代表签字并加盖合同专用章或公章之日起生效，合同生效日期以最后一个签字日为准。</w:t>
      </w:r>
    </w:p>
    <w:p>
      <w:pPr>
        <w:pStyle w:val="null3"/>
        <w:spacing w:before="90"/>
        <w:ind w:left="90"/>
        <w:jc w:val="both"/>
      </w:pPr>
      <w:r>
        <w:rPr>
          <w:sz w:val="21"/>
          <w:b/>
          <w:color w:val="000000"/>
        </w:rPr>
        <w:t>十</w:t>
      </w:r>
      <w:r>
        <w:rPr>
          <w:sz w:val="21"/>
          <w:b/>
          <w:color w:val="000000"/>
        </w:rPr>
        <w:t>三</w:t>
      </w:r>
      <w:r>
        <w:rPr>
          <w:sz w:val="21"/>
          <w:b/>
          <w:color w:val="000000"/>
        </w:rPr>
        <w:t>、其他</w:t>
      </w:r>
    </w:p>
    <w:p>
      <w:pPr>
        <w:pStyle w:val="null3"/>
        <w:ind w:firstLine="480"/>
        <w:jc w:val="both"/>
      </w:pPr>
      <w:r>
        <w:rPr>
          <w:sz w:val="21"/>
          <w:color w:val="000000"/>
        </w:rPr>
        <w:t>1.本项目中标通知书、招标文件、投标文件及附件均是本合同不可分割的部分，解释的顺序除特别说明外，以文件生成时间在后的为准。</w:t>
      </w:r>
    </w:p>
    <w:p>
      <w:pPr>
        <w:pStyle w:val="null3"/>
        <w:ind w:firstLine="480"/>
        <w:jc w:val="both"/>
      </w:pPr>
      <w:r>
        <w:rPr>
          <w:sz w:val="21"/>
          <w:color w:val="000000"/>
        </w:rPr>
        <w:t>2.在执行合同过程中，所有经甲乙双方签署确认的文件（包括会议纪要、补充协议、往来信函）即成为本合同的有效组成部分，其生效日期为双方签字盖章确认的日期。</w:t>
      </w:r>
    </w:p>
    <w:p>
      <w:pPr>
        <w:pStyle w:val="null3"/>
        <w:ind w:firstLine="480"/>
        <w:jc w:val="both"/>
      </w:pPr>
      <w:r>
        <w:rPr>
          <w:sz w:val="21"/>
          <w:color w:val="000000"/>
        </w:rPr>
        <w:t>3.除甲方事先书面同意外，乙方不得部分或全部转让其应履行的合同项下的义务。</w:t>
      </w:r>
    </w:p>
    <w:p>
      <w:pPr>
        <w:pStyle w:val="null3"/>
        <w:ind w:firstLine="480"/>
        <w:jc w:val="both"/>
      </w:pPr>
      <w:r>
        <w:rPr>
          <w:sz w:val="21"/>
          <w:color w:val="000000"/>
        </w:rPr>
        <w:t>4.本合同一式叁份，甲方执壹份，乙方执壹份，采购代理机构壹份，均具有同等法律效力。</w:t>
      </w:r>
    </w:p>
    <w:p>
      <w:pPr>
        <w:pStyle w:val="null3"/>
        <w:spacing w:before="90"/>
        <w:ind w:left="90"/>
        <w:jc w:val="both"/>
      </w:pPr>
      <w:r>
        <w:rPr>
          <w:sz w:val="21"/>
          <w:b/>
          <w:color w:val="000000"/>
        </w:rPr>
        <w:t>十</w:t>
      </w:r>
      <w:r>
        <w:rPr>
          <w:sz w:val="21"/>
          <w:b/>
          <w:color w:val="000000"/>
        </w:rPr>
        <w:t>四</w:t>
      </w:r>
      <w:r>
        <w:rPr>
          <w:sz w:val="21"/>
          <w:b/>
          <w:color w:val="000000"/>
        </w:rPr>
        <w:t>、合同附件</w:t>
      </w:r>
    </w:p>
    <w:p>
      <w:pPr>
        <w:pStyle w:val="null3"/>
        <w:ind w:firstLine="480"/>
        <w:jc w:val="both"/>
      </w:pPr>
      <w:r>
        <w:rPr>
          <w:sz w:val="21"/>
          <w:color w:val="000000"/>
        </w:rPr>
        <w:t>附件</w:t>
      </w:r>
      <w:r>
        <w:rPr>
          <w:sz w:val="21"/>
          <w:color w:val="000000"/>
        </w:rPr>
        <w:t>1液相设备升级详细参数</w:t>
      </w:r>
    </w:p>
    <w:tbl>
      <w:tblPr>
        <w:tblW w:w="0" w:type="auto"/>
        <w:tblBorders>
          <w:top w:val="none" w:color="000000" w:sz="4"/>
          <w:left w:val="none" w:color="000000" w:sz="4"/>
          <w:bottom w:val="none" w:color="000000" w:sz="4"/>
          <w:right w:val="none" w:color="000000" w:sz="4"/>
          <w:insideH w:val="none"/>
          <w:insideV w:val="none"/>
        </w:tblBorders>
      </w:tblPr>
      <w:tblGrid>
        <w:gridCol w:w="3583"/>
        <w:gridCol w:w="4499"/>
        <w:gridCol w:w="223"/>
      </w:tblGrid>
      <w:tr>
        <w:tc>
          <w:tcPr>
            <w:tcW w:type="dxa" w:w="3583"/>
            <w:tcBorders>
              <w:top w:val="none" w:color="000000" w:sz="4"/>
              <w:left w:val="none" w:color="000000" w:sz="4"/>
              <w:bottom w:val="none" w:color="000000" w:sz="4"/>
              <w:right w:val="dashed" w:color="000000" w:sz="4"/>
            </w:tcBorders>
            <w:tcMar>
              <w:top w:type="dxa" w:w="0"/>
              <w:left w:type="dxa" w:w="105"/>
              <w:bottom w:type="dxa" w:w="0"/>
              <w:right w:type="dxa" w:w="105"/>
            </w:tcMar>
            <w:vAlign w:val="top"/>
          </w:tcPr>
          <w:p>
            <w:pPr>
              <w:pStyle w:val="null3"/>
            </w:pPr>
            <w:r>
              <w:rPr>
                <w:sz w:val="21"/>
                <w:b/>
                <w:color w:val="000000"/>
              </w:rPr>
              <w:t>甲方（盖章）：</w:t>
            </w:r>
          </w:p>
          <w:p>
            <w:pPr>
              <w:pStyle w:val="null3"/>
            </w:pPr>
            <w:r>
              <w:rPr>
                <w:sz w:val="21"/>
                <w:color w:val="000000"/>
              </w:rPr>
              <w:t>地址</w:t>
            </w:r>
            <w:r>
              <w:rPr>
                <w:sz w:val="21"/>
                <w:color w:val="000000"/>
              </w:rPr>
              <w:t>：</w:t>
            </w:r>
          </w:p>
          <w:p>
            <w:pPr>
              <w:pStyle w:val="null3"/>
            </w:pPr>
            <w:r>
              <w:rPr>
                <w:sz w:val="21"/>
                <w:color w:val="000000"/>
              </w:rPr>
              <w:t>法定代表人</w:t>
            </w:r>
            <w:r>
              <w:rPr>
                <w:sz w:val="21"/>
                <w:color w:val="000000"/>
              </w:rPr>
              <w:t>：</w:t>
            </w:r>
          </w:p>
          <w:p>
            <w:pPr>
              <w:pStyle w:val="null3"/>
            </w:pPr>
            <w:r>
              <w:rPr>
                <w:sz w:val="21"/>
                <w:color w:val="000000"/>
              </w:rPr>
              <w:t>签约代表</w:t>
            </w:r>
            <w:r>
              <w:rPr>
                <w:sz w:val="21"/>
                <w:color w:val="000000"/>
              </w:rPr>
              <w:t>：</w:t>
            </w:r>
          </w:p>
          <w:p>
            <w:pPr>
              <w:pStyle w:val="null3"/>
            </w:pPr>
            <w:r>
              <w:rPr>
                <w:sz w:val="21"/>
                <w:color w:val="000000"/>
              </w:rPr>
              <w:t>联系人</w:t>
            </w:r>
            <w:r>
              <w:rPr>
                <w:sz w:val="21"/>
                <w:color w:val="000000"/>
              </w:rPr>
              <w:t>：</w:t>
            </w:r>
          </w:p>
          <w:p>
            <w:pPr>
              <w:pStyle w:val="null3"/>
            </w:pPr>
            <w:r>
              <w:rPr>
                <w:sz w:val="21"/>
                <w:color w:val="000000"/>
              </w:rPr>
              <w:t>电话：</w:t>
            </w:r>
          </w:p>
          <w:p>
            <w:pPr>
              <w:pStyle w:val="null3"/>
            </w:pPr>
            <w:r>
              <w:rPr>
                <w:sz w:val="21"/>
                <w:color w:val="000000"/>
              </w:rPr>
              <w:t>传真：</w:t>
            </w:r>
          </w:p>
          <w:p>
            <w:pPr>
              <w:pStyle w:val="null3"/>
            </w:pPr>
            <w:r>
              <w:rPr>
                <w:sz w:val="21"/>
                <w:color w:val="000000"/>
              </w:rPr>
              <w:t>电子邮件：</w:t>
            </w:r>
          </w:p>
          <w:p>
            <w:pPr>
              <w:pStyle w:val="null3"/>
            </w:pPr>
            <w:r>
              <w:rPr>
                <w:sz w:val="21"/>
                <w:color w:val="000000"/>
              </w:rPr>
              <w:t>签约时间</w:t>
            </w:r>
            <w:r>
              <w:rPr>
                <w:sz w:val="21"/>
                <w:color w:val="000000"/>
              </w:rPr>
              <w:t>：</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19"/>
              </w:rPr>
              <w:t xml:space="preserve"> </w:t>
            </w:r>
            <w:r>
              <w:rPr>
                <w:sz w:val="21"/>
                <w:color w:val="000000"/>
              </w:rPr>
              <w:t>日</w:t>
            </w:r>
          </w:p>
          <w:p>
            <w:pPr>
              <w:pStyle w:val="null3"/>
            </w:pPr>
            <w:r>
              <w:rPr>
                <w:sz w:val="21"/>
                <w:color w:val="000000"/>
              </w:rPr>
              <w:t>签约地点：</w:t>
            </w:r>
          </w:p>
        </w:tc>
        <w:tc>
          <w:tcPr>
            <w:tcW w:type="dxa" w:w="4499"/>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21"/>
                <w:b/>
                <w:color w:val="000000"/>
              </w:rPr>
              <w:t>乙方（盖章）：</w:t>
            </w:r>
          </w:p>
          <w:p>
            <w:pPr>
              <w:pStyle w:val="null3"/>
            </w:pPr>
            <w:r>
              <w:rPr>
                <w:sz w:val="21"/>
                <w:color w:val="000000"/>
              </w:rPr>
              <w:t>地址</w:t>
            </w:r>
            <w:r>
              <w:rPr>
                <w:sz w:val="21"/>
                <w:color w:val="000000"/>
              </w:rPr>
              <w:t>：</w:t>
            </w:r>
          </w:p>
          <w:p>
            <w:pPr>
              <w:pStyle w:val="null3"/>
            </w:pPr>
            <w:r>
              <w:rPr>
                <w:sz w:val="21"/>
                <w:color w:val="000000"/>
              </w:rPr>
              <w:t>法定代表人</w:t>
            </w:r>
            <w:r>
              <w:rPr>
                <w:sz w:val="21"/>
                <w:color w:val="000000"/>
              </w:rPr>
              <w:t>：</w:t>
            </w:r>
          </w:p>
          <w:p>
            <w:pPr>
              <w:pStyle w:val="null3"/>
            </w:pPr>
            <w:r>
              <w:rPr>
                <w:sz w:val="21"/>
                <w:color w:val="000000"/>
              </w:rPr>
              <w:t>签约代表（注：需提供授权委托书）</w:t>
            </w:r>
            <w:r>
              <w:rPr>
                <w:sz w:val="21"/>
                <w:color w:val="000000"/>
              </w:rPr>
              <w:t>：</w:t>
            </w:r>
          </w:p>
          <w:p>
            <w:pPr>
              <w:pStyle w:val="null3"/>
            </w:pPr>
            <w:r>
              <w:rPr>
                <w:sz w:val="21"/>
                <w:color w:val="000000"/>
              </w:rPr>
              <w:t>联系人</w:t>
            </w:r>
          </w:p>
          <w:p>
            <w:pPr>
              <w:pStyle w:val="null3"/>
            </w:pPr>
            <w:r>
              <w:rPr>
                <w:sz w:val="21"/>
                <w:color w:val="000000"/>
              </w:rPr>
              <w:t>电话</w:t>
            </w:r>
            <w:r>
              <w:rPr>
                <w:sz w:val="21"/>
                <w:color w:val="000000"/>
              </w:rPr>
              <w:t>：</w:t>
            </w:r>
          </w:p>
          <w:p>
            <w:pPr>
              <w:pStyle w:val="null3"/>
            </w:pPr>
            <w:r>
              <w:rPr>
                <w:sz w:val="21"/>
                <w:color w:val="000000"/>
              </w:rPr>
              <w:t>传真：</w:t>
            </w:r>
          </w:p>
          <w:p>
            <w:pPr>
              <w:pStyle w:val="null3"/>
            </w:pPr>
            <w:r>
              <w:rPr>
                <w:sz w:val="21"/>
                <w:color w:val="000000"/>
              </w:rPr>
              <w:t>电子邮箱：</w:t>
            </w:r>
          </w:p>
          <w:p>
            <w:pPr>
              <w:pStyle w:val="null3"/>
            </w:pPr>
            <w:r>
              <w:rPr>
                <w:sz w:val="21"/>
                <w:color w:val="000000"/>
              </w:rPr>
              <w:t>开户名称：</w:t>
            </w:r>
          </w:p>
          <w:p>
            <w:pPr>
              <w:pStyle w:val="null3"/>
            </w:pPr>
            <w:r>
              <w:rPr>
                <w:sz w:val="21"/>
                <w:color w:val="000000"/>
              </w:rPr>
              <w:t>银行账号：</w:t>
            </w:r>
          </w:p>
          <w:p>
            <w:pPr>
              <w:pStyle w:val="null3"/>
            </w:pPr>
            <w:r>
              <w:rPr>
                <w:sz w:val="21"/>
                <w:color w:val="000000"/>
              </w:rPr>
              <w:t>开户行：</w:t>
            </w:r>
          </w:p>
          <w:p>
            <w:pPr>
              <w:pStyle w:val="null3"/>
            </w:pPr>
            <w:r>
              <w:rPr>
                <w:sz w:val="21"/>
                <w:color w:val="000000"/>
              </w:rPr>
              <w:t>签约时间</w:t>
            </w:r>
            <w:r>
              <w:rPr>
                <w:sz w:val="21"/>
                <w:color w:val="000000"/>
              </w:rPr>
              <w:t>：</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19"/>
              </w:rPr>
              <w:t xml:space="preserve"> </w:t>
            </w:r>
            <w:r>
              <w:rPr>
                <w:sz w:val="21"/>
                <w:color w:val="000000"/>
              </w:rPr>
              <w:t>日</w:t>
            </w:r>
          </w:p>
          <w:p>
            <w:pPr>
              <w:pStyle w:val="null3"/>
            </w:pPr>
          </w:p>
        </w:tc>
        <w:tc>
          <w:tcPr>
            <w:tcW w:type="dxa" w:w="22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sz w:val="19"/>
              </w:rPr>
              <w:t xml:space="preserve"> </w:t>
            </w:r>
          </w:p>
        </w:tc>
      </w:tr>
    </w:tbl>
    <w:p>
      <w:pPr>
        <w:pStyle w:val="null3"/>
        <w:jc w:val="both"/>
      </w:pPr>
      <w:r>
        <w:rPr/>
        <w:t xml:space="preserve">  </w:t>
      </w:r>
    </w:p>
    <w:p>
      <w:pPr>
        <w:pStyle w:val="null3"/>
        <w:jc w:val="both"/>
      </w:pPr>
      <w:r>
        <w:rPr/>
        <w:t xml:space="preserve">  </w:t>
      </w:r>
    </w:p>
    <w:p>
      <w:pPr>
        <w:pStyle w:val="null3"/>
        <w:outlineLvl w:val="1"/>
      </w:pPr>
      <w:r>
        <w:rPr>
          <w:sz w:val="36"/>
          <w:b/>
        </w:rPr>
        <w:t>第六章 响应文件格式与要求</w:t>
      </w:r>
    </w:p>
    <w:p>
      <w:pPr>
        <w:pStyle w:val="null3"/>
        <w:ind w:firstLine="480"/>
      </w:pPr>
      <w:r>
        <w:rPr/>
        <w:t>供应商应提交证明其有资格参加响应和成交后有能力履行合同的相关文件，并作为其响应文件的一部分，所有文件必须真实可靠、不得伪造，否则将按相关规定予以处罚。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 xml:space="preserve"> 6. 按照谈判文件要求，供应商应当提交的资格、资信证明文件。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440001-2025-48893</w:t>
      </w:r>
    </w:p>
    <w:p>
      <w:pPr>
        <w:pStyle w:val="null3"/>
        <w:jc w:val="center"/>
        <w:outlineLvl w:val="3"/>
      </w:pPr>
      <w:r>
        <w:rPr>
          <w:sz w:val="24"/>
          <w:b/>
        </w:rPr>
        <w:t>采购项目编号：</w:t>
      </w:r>
      <w:r>
        <w:rPr>
          <w:sz w:val="24"/>
          <w:b/>
        </w:rPr>
        <w:t>HXGZ202511A235</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响应承诺函</w:t>
      </w:r>
    </w:p>
    <w:p>
      <w:pPr>
        <w:pStyle w:val="null3"/>
        <w:ind w:firstLine="480"/>
      </w:pPr>
      <w:r>
        <w:rPr/>
        <w:t>致：</w:t>
      </w:r>
      <w:r>
        <w:rPr>
          <w:u w:val="single"/>
        </w:rPr>
        <w:t>广东华信招标有限公司</w:t>
      </w:r>
    </w:p>
    <w:p>
      <w:pPr>
        <w:pStyle w:val="null3"/>
        <w:ind w:firstLine="480"/>
      </w:pPr>
      <w:r>
        <w:rPr/>
        <w:t>你方组织的</w:t>
      </w:r>
      <w:r>
        <w:rPr>
          <w:u w:val="single"/>
        </w:rPr>
        <w:t>“</w:t>
      </w:r>
      <w:r>
        <w:rPr>
          <w:u w:val="single"/>
        </w:rPr>
        <w:t>广东省毒品实验技术中心2025-86液相设备升级项目</w:t>
      </w:r>
      <w:r>
        <w:rPr>
          <w:u w:val="single"/>
        </w:rPr>
        <w:t>”</w:t>
      </w:r>
      <w:r>
        <w:rPr/>
        <w:t>项目的竞争性谈判[采购项目编号为：</w:t>
      </w:r>
      <w:r>
        <w:rPr>
          <w:u w:val="single"/>
        </w:rPr>
        <w:t>HXGZ202511A235</w:t>
      </w:r>
      <w:r>
        <w:rPr/>
        <w:t>]，我方愿参与谈判。</w:t>
      </w:r>
    </w:p>
    <w:p>
      <w:pPr>
        <w:pStyle w:val="null3"/>
        <w:ind w:firstLine="480"/>
      </w:pPr>
      <w:r>
        <w:rPr/>
        <w:t>我方确认收到贵方提供的</w:t>
      </w:r>
      <w:r>
        <w:rPr>
          <w:u w:val="single"/>
        </w:rPr>
        <w:t>“</w:t>
      </w:r>
      <w:r>
        <w:rPr>
          <w:u w:val="single"/>
        </w:rPr>
        <w:t>广东省毒品实验技术中心2025-86液相设备升级项目</w:t>
      </w:r>
      <w:r>
        <w:rPr>
          <w:u w:val="single"/>
        </w:rPr>
        <w:t>”</w:t>
      </w:r>
      <w:r>
        <w:rPr/>
        <w:t>项目的谈判文件的全部内容。</w:t>
      </w:r>
    </w:p>
    <w:p>
      <w:pPr>
        <w:pStyle w:val="null3"/>
        <w:ind w:firstLine="480"/>
      </w:pPr>
      <w:r>
        <w:rPr/>
        <w:t xml:space="preserve"> 我方在参与响应前已详细研究了谈判文件的所有内容，包括澄清、修改文件（如果有）和所有已提供的参考资料以及有关附件。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我方已完全明白谈判文件的所有条款要求，并申明如下：</w:t>
      </w:r>
    </w:p>
    <w:p>
      <w:pPr>
        <w:pStyle w:val="null3"/>
        <w:ind w:firstLine="480"/>
      </w:pPr>
      <w:r>
        <w:rPr/>
        <w:t>（一）按谈判文件提供全部标的的谈判总价详见《首轮报价表》。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（三）我方明白并同意，在规定的开启日之后，响应有效期之内撤销响应或成交后不按规定与采购人签订合同或不提交履约保证金, 则贵方将不予退还响应保证金。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（五）我方如果成交，将保证履行谈判文件及其澄清、修改文件（如果有）中的全部责任和义务，按质、按量、按期完成《采购需求》及《合同书》中的全部任务。</w:t>
      </w:r>
    </w:p>
    <w:p>
      <w:pPr>
        <w:pStyle w:val="null3"/>
        <w:ind w:firstLine="480"/>
      </w:pPr>
      <w:r>
        <w:rPr/>
        <w:t>（六）我方作为法律、财务和运作上独立于采购人、采购代理机构的供应商，在此保证所提交的所有文件和全部说明是真实的和正确的。</w:t>
      </w:r>
    </w:p>
    <w:p>
      <w:pPr>
        <w:pStyle w:val="null3"/>
        <w:ind w:firstLine="480"/>
      </w:pPr>
      <w:r>
        <w:rPr/>
        <w:t>（七）我方谈判报价已包含应向知识产权所有权人支付的所有相关税费，并保证采购人在中国使用我方提供的标的，如有第三方提出侵犯其知识产权主张的，责任由我方承担。</w:t>
      </w:r>
    </w:p>
    <w:p>
      <w:pPr>
        <w:pStyle w:val="null3"/>
        <w:ind w:firstLine="480"/>
      </w:pPr>
      <w:r>
        <w:rPr/>
        <w:t>（八）我方接受采购人委托向贵方支付代理服务费，项目总报价已包含代理服务费，如果被确定为成交供应商，承诺向贵方足额支付。（若采购人支付代理服务费，则此条不适用）</w:t>
      </w:r>
    </w:p>
    <w:p>
      <w:pPr>
        <w:pStyle w:val="null3"/>
        <w:ind w:firstLine="480"/>
      </w:pPr>
      <w:r>
        <w:rPr/>
        <w:t>（九）我方承诺遵守《中华人民共和国民法典》有关规定和《中华人民共和国妇女权益保障法》中关于“劳动和社会保障权益”的有关要求。</w:t>
      </w:r>
    </w:p>
    <w:p>
      <w:pPr>
        <w:pStyle w:val="null3"/>
        <w:ind w:firstLine="480"/>
      </w:pPr>
      <w:r>
        <w:rPr/>
        <w:t>（十）我方与其他供应商不存在单位负责人为同一人或者存在直接控股、管理关系。</w:t>
      </w:r>
    </w:p>
    <w:p>
      <w:pPr>
        <w:pStyle w:val="null3"/>
        <w:ind w:firstLine="480"/>
      </w:pPr>
      <w:r>
        <w:rPr/>
        <w:t>(十一）供应商未存在《政府采购法实施条例》第十八条第二款规定的情形：</w:t>
      </w:r>
    </w:p>
    <w:p>
      <w:pPr>
        <w:pStyle w:val="null3"/>
        <w:ind w:firstLine="480"/>
      </w:pPr>
      <w:r>
        <w:rPr/>
        <w:t>（1）对于除整体设计、规范编制或者项目管理、监理、检测等服务以外的采购项目： 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三）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（十四）以上内容如有虚假或与事实不符的，竞争性谈判小组可将我方做无效响应处理，我方愿意承担相应的法律责任。</w:t>
      </w:r>
    </w:p>
    <w:p>
      <w:pPr>
        <w:pStyle w:val="null3"/>
        <w:ind w:firstLine="480"/>
      </w:pPr>
      <w:r>
        <w:rPr/>
        <w:t>（十五）我方对在本函及响应文件中所作的所有承诺承担法律责任。</w:t>
      </w:r>
    </w:p>
    <w:p>
      <w:pPr>
        <w:pStyle w:val="null3"/>
        <w:ind w:firstLine="480"/>
      </w:pPr>
      <w:r>
        <w:rPr/>
        <w:t>（十六）所有与本谈判有关的函件请发往下列地址：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供应商法定代表人（或法定代表人授权代表）签字或盖章：__________________</w:t>
      </w:r>
    </w:p>
    <w:p>
      <w:pPr>
        <w:pStyle w:val="null3"/>
        <w:jc w:val="right"/>
      </w:pPr>
      <w:r>
        <w:rPr/>
        <w:t xml:space="preserve"> 供应商名称（盖章）：__________________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w:t>
      </w:r>
    </w:p>
    <w:p>
      <w:pPr>
        <w:pStyle w:val="null3"/>
        <w:jc w:val="right"/>
      </w:pPr>
      <w:r>
        <w:rPr/>
        <w:t xml:space="preserve"> 供应商名称（盖章）：__________________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广东华信招标有限公司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作为我公司的全权代理人，就“</w:t>
      </w:r>
      <w:r>
        <w:rPr/>
        <w:t>广东省毒品实验技术中心2025-86液相设备升级项目</w:t>
      </w:r>
      <w:r>
        <w:rPr/>
        <w:t>”项目采购[采购项目编号为</w:t>
      </w:r>
      <w:r>
        <w:rPr/>
        <w:t>HXGZ202511A235</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被授权人（签字或盖章）：__________________</w:t>
      </w:r>
    </w:p>
    <w:p>
      <w:pPr>
        <w:pStyle w:val="null3"/>
        <w:jc w:val="right"/>
      </w:pPr>
      <w:r>
        <w:rPr/>
        <w:t xml:space="preserve"> 职务：__________________</w:t>
      </w:r>
    </w:p>
    <w:p>
      <w:pPr>
        <w:pStyle w:val="null3"/>
        <w:jc w:val="right"/>
      </w:pPr>
      <w:r>
        <w:rPr/>
        <w:t xml:space="preserve"> 日期：____年____月____日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谈判文件要求递交响应保证金的，供应商应在此提供保证金的凭证的复印件。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广东省毒品实验技术中心（国家毒品实验室广东分中心）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中小企业声明函（所响应产品制造商为中小企业时提交本函，所属行业应符合谈判文件中明确的本项目所属行业）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1.（标的名称），属于（谈判文件中明确的所属行业）行业；制造商为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2.（标的名称），属于（谈判文件中明确的所属行业）行业；制造商为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中小企业声明函（承建本项目工程为中小企业或者承接本项目服务为中小企业时提交本函，所属行业应符合谈判文件中明确的本项目所属行业）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1.（标的名称），属于（谈判文件中明确的所属行业）行业；承建（承接）企业为（企业名称），从业人员__________________人，营业收入为__________________万元，资产总额为__________________万元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2.（标的名称），属于（谈判文件中明确的所属行业）行业；承建（承接）企业为（企业名称），从业人员__________________人，营业收入为__________________万元，资产总额为__________________万元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 xml:space="preserve"> 单位名称（盖章）：__________________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w:t>
      </w:r>
      <w:r>
        <w:rPr>
          <w:u w:val="single"/>
        </w:rPr>
        <w:t>（采购项目名称）（采购项目编号）</w:t>
      </w:r>
      <w:r>
        <w:rPr/>
        <w:t>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w:t>
      </w:r>
      <w:r>
        <w:rPr>
          <w:u w:val="single"/>
        </w:rPr>
        <w:t>（甲公司全称）、（乙公司全称）、（……公司全称）</w:t>
      </w:r>
      <w:r>
        <w:rPr/>
        <w:t>作为联合体成员，若成交，联合体各方共同与（采购人）签订政府采购合同。</w:t>
      </w:r>
    </w:p>
    <w:p>
      <w:pPr>
        <w:pStyle w:val="null3"/>
        <w:ind w:firstLine="480"/>
      </w:pPr>
      <w:r>
        <w:rPr/>
        <w:t>二、联合体内部有关事项约定如下：</w:t>
      </w:r>
    </w:p>
    <w:p>
      <w:pPr>
        <w:pStyle w:val="null3"/>
        <w:ind w:firstLine="480"/>
      </w:pPr>
      <w:r>
        <w:rPr/>
        <w:t>1.</w:t>
      </w:r>
      <w:r>
        <w:rPr>
          <w:u w:val="single"/>
        </w:rPr>
        <w:t>（甲公司全称）</w:t>
      </w:r>
      <w:r>
        <w:rPr/>
        <w:t>作为联合体的牵头单位，代表联合体双方负责谈判和合同实施阶段的主办、协调工作。</w:t>
      </w:r>
    </w:p>
    <w:p>
      <w:pPr>
        <w:pStyle w:val="null3"/>
        <w:ind w:firstLine="480"/>
      </w:pPr>
      <w:r>
        <w:rPr/>
        <w:t>2.联合体将严格按照文件的各项要求，递交谈判文件，切实执行一切合同文件，共同承担合同规定的一切义务和责任，同时按照内部职责的划分，承担自身所负的责任和风险，在法律上承担连带责任。</w:t>
      </w:r>
    </w:p>
    <w:p>
      <w:pPr>
        <w:pStyle w:val="null3"/>
        <w:ind w:firstLine="480"/>
      </w:pPr>
      <w:r>
        <w:rPr/>
        <w:t>3.如果本联合体成交，</w:t>
      </w:r>
      <w:r>
        <w:rPr>
          <w:u w:val="single"/>
        </w:rPr>
        <w:t>（甲公司全称）</w:t>
      </w:r>
      <w:r>
        <w:rPr/>
        <w:t>负责本项目___________部分，</w:t>
      </w:r>
      <w:r>
        <w:rPr>
          <w:u w:val="single"/>
        </w:rPr>
        <w:t>（乙公司全称）</w:t>
      </w:r>
      <w:r>
        <w:rPr/>
        <w:t>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w:t>
      </w:r>
      <w:r>
        <w:rPr>
          <w:u w:val="single"/>
        </w:rPr>
        <w:t>（公司全称）</w:t>
      </w:r>
      <w:r>
        <w:rPr/>
        <w:t>为</w:t>
      </w:r>
      <w:r>
        <w:rPr>
          <w:u w:val="single"/>
        </w:rPr>
        <w:t>（请填写：小型、微型）</w:t>
      </w:r>
      <w:r>
        <w:rPr/>
        <w:t>企业，将承担合同总金额的_____%工作内容（联合体成员中有小型、微型企业时适用）。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六、本协议书正本一式_____份，随谈判文件装订_____份，送采购人_____份，联合体成员各一份；副本一式_____份，联合体成员各执_____份。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根据上述业绩情况，按谈判文件要求附销售或服务合同复印件。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技术参数响应表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谈判文件规定的技术和服务要求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谈判文件规定的技术和服务要求”项下填写的内容应与谈判文件中采购需求的“技术要求”的内容保持一致。供应商应当如实填写上表“响应文件响应的具体内容”处内容，对谈判文件提出的要求和条件作出明确响应，并列明具体响应数值或内容，只注明符合、满足等无具体内容表述的，将视为未实质性满足谈判文件要求。供应商需要说明的内容若需特殊表达，应先在本表中进行相应说明，再另页应答，否则响应无效。</w:t>
      </w:r>
    </w:p>
    <w:p>
      <w:pPr>
        <w:pStyle w:val="null3"/>
        <w:ind w:firstLine="480"/>
      </w:pPr>
      <w:r>
        <w:rPr/>
        <w:t xml:space="preserve"> 2.参数性质栏目按谈判文件有标注的“★”、“▲”号条款进行填写，打“★”号条款为实质性条款，若有任何一条负偏离或不满足则导致响应无效。打“▲”号条款为重要技术参数（如有），若有部分“▲”条款未响应或不满足，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谈判文件规定的商务条件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1.“谈判文件规定的商务条件”项下填写的内容应与谈判文件中采购需求的“商务要求”的内容保持一致。</w:t>
      </w:r>
    </w:p>
    <w:p>
      <w:pPr>
        <w:pStyle w:val="null3"/>
        <w:ind w:firstLine="480"/>
      </w:pPr>
      <w:r>
        <w:rPr/>
        <w:t>2. 供应商应当如实填写上表“响应文件响应的具体内容”处内容，对谈判文件规定的商务条件作出明确响应，并列明具体响应数值或内容，只注明符合、满足等无具体内容表述的，将视为未实质性满足谈判文件要求。供应商需要说明的内容若需特殊表达，应先在本表中进行相应说明，再另页应答，否则响应无效。</w:t>
      </w:r>
    </w:p>
    <w:p>
      <w:pPr>
        <w:pStyle w:val="null3"/>
        <w:ind w:firstLine="480"/>
      </w:pPr>
      <w:r>
        <w:rPr/>
        <w:t>3. 打“★”号条款为实质性条款，若有任何一条负偏离或不满足则导致响应无效。打“▲”号条款为重要技术参数（如有），若有部分“▲”条款未响应或不满足，不作为无效响应条款。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jc w:val="center"/>
        <w:outlineLvl w:val="3"/>
      </w:pPr>
      <w:r>
        <w:rPr>
          <w:sz w:val="24"/>
          <w:b/>
        </w:rPr>
        <w:t>各类证明材料</w:t>
      </w:r>
    </w:p>
    <w:p>
      <w:pPr>
        <w:pStyle w:val="null3"/>
        <w:ind w:firstLine="480"/>
      </w:pPr>
      <w:r>
        <w:rPr/>
        <w:t>1.谈判文件要求提供的其他资料。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代理服务费支付承诺书</w:t>
      </w:r>
    </w:p>
    <w:p>
      <w:pPr>
        <w:pStyle w:val="null3"/>
        <w:ind w:firstLine="480"/>
      </w:pPr>
      <w:r>
        <w:rPr/>
        <w:t>致：</w:t>
      </w:r>
      <w:r>
        <w:rPr/>
        <w:t>广东华信招标有限公司</w:t>
      </w:r>
    </w:p>
    <w:p>
      <w:pPr>
        <w:pStyle w:val="null3"/>
        <w:ind w:firstLine="480"/>
      </w:pPr>
      <w:r>
        <w:rPr/>
        <w:t>1、完全响应谈判文件中要求的条款，若提供虚假资料将作为无效响应处理，并接受相关部门的处罚。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谈判、评审、确定成交供应商，以及提供采购前期咨询、协调合同的签订等服务，按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广东华信招标有限公司</w:t>
      </w:r>
    </w:p>
    <w:p>
      <w:pPr>
        <w:pStyle w:val="null3"/>
        <w:ind w:firstLine="480"/>
      </w:pPr>
      <w:r>
        <w:rPr/>
        <w:t>我单位已登记并准备参与“</w:t>
      </w:r>
      <w:r>
        <w:rPr/>
        <w:t>广东省毒品实验技术中心2025-86液相设备升级项目</w:t>
      </w:r>
      <w:r>
        <w:rPr/>
        <w:t>”项目（采购项目编号：</w:t>
      </w:r>
      <w:r>
        <w:rPr/>
        <w:t>HXGZ202511A235</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jc w:val="right"/>
      </w:pPr>
      <w:r>
        <w:rPr/>
        <w:t>询问人（公章）：_____________________</w:t>
      </w:r>
    </w:p>
    <w:p>
      <w:pPr>
        <w:pStyle w:val="null3"/>
        <w:jc w:val="right"/>
      </w:pPr>
      <w:r>
        <w:rPr/>
        <w:t>法定代表人或授权代表（签字或盖章）：_____________________</w:t>
      </w:r>
    </w:p>
    <w:p>
      <w:pPr>
        <w:pStyle w:val="null3"/>
        <w:jc w:val="right"/>
      </w:pPr>
      <w:r>
        <w:rPr/>
        <w:t>地址/邮编：_____________________</w:t>
      </w:r>
    </w:p>
    <w:p>
      <w:pPr>
        <w:pStyle w:val="null3"/>
        <w:jc w:val="right"/>
      </w:pPr>
      <w:r>
        <w:rPr/>
        <w:t>电话/传真：_____________________</w:t>
      </w:r>
    </w:p>
    <w:p>
      <w:pPr>
        <w:pStyle w:val="null3"/>
        <w:jc w:val="right"/>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谈判文件获取日期：_____________________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jc w:val="right"/>
      </w:pPr>
      <w:r>
        <w:rPr/>
        <w:t xml:space="preserve"> 签字(签章)： 公章：</w:t>
      </w:r>
    </w:p>
    <w:p>
      <w:pPr>
        <w:pStyle w:val="null3"/>
        <w:jc w:val="right"/>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谈判文件公告: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w:t>
      </w:r>
    </w:p>
    <w:p>
      <w:pPr>
        <w:pStyle w:val="null3"/>
        <w:ind w:firstLine="480"/>
      </w:pPr>
      <w:r>
        <w:rPr/>
        <w:t xml:space="preserve"> 采购人/代理机构于____年____月____日,就质疑事项作出了答复/没有在法定期限内作出答复。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jc w:val="right"/>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outlineLvl w:val="2"/>
      </w:pPr>
      <w:r>
        <w:rPr>
          <w:sz w:val="28"/>
          <w:b/>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outlineLvl w:val="2"/>
      </w:pPr>
      <w:r>
        <w:rPr>
          <w:sz w:val="28"/>
          <w:b/>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outlineLvl w:val="2"/>
      </w:pPr>
      <w:r>
        <w:rPr>
          <w:sz w:val="28"/>
          <w:b/>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outlineLvl w:val="2"/>
      </w:pPr>
      <w:r>
        <w:rPr>
          <w:sz w:val="28"/>
          <w:b/>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outlineLvl w:val="2"/>
      </w:pPr>
      <w:r>
        <w:rPr>
          <w:sz w:val="28"/>
          <w:b/>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outlineLvl w:val="2"/>
      </w:pPr>
      <w:r>
        <w:rPr>
          <w:sz w:val="28"/>
          <w:b/>
        </w:rPr>
        <w:t>六、争议的解决</w:t>
      </w:r>
    </w:p>
    <w:p>
      <w:pPr>
        <w:pStyle w:val="null3"/>
        <w:ind w:firstLine="480"/>
      </w:pPr>
      <w:r>
        <w:rPr/>
        <w:t>因本保函发生的纠纷，由你我双方协商解决，协商不成的，通过诉讼程序解决，诉讼管辖地法院为___________法院。</w:t>
      </w:r>
    </w:p>
    <w:p>
      <w:pPr>
        <w:pStyle w:val="null3"/>
        <w:outlineLvl w:val="2"/>
      </w:pPr>
      <w:r>
        <w:rPr>
          <w:sz w:val="28"/>
          <w:b/>
        </w:rPr>
        <w:t>七、保函的生效</w:t>
      </w:r>
    </w:p>
    <w:p>
      <w:pPr>
        <w:pStyle w:val="null3"/>
        <w:ind w:firstLine="480"/>
      </w:pPr>
      <w:r>
        <w:rPr/>
        <w:t>本保函自我方加盖公章之日起生效。</w:t>
      </w:r>
    </w:p>
    <w:p>
      <w:pPr>
        <w:pStyle w:val="null3"/>
        <w:jc w:val="right"/>
      </w:pPr>
      <w:r>
        <w:rPr/>
        <w:t>保证人：_______（公章）_______</w:t>
      </w:r>
    </w:p>
    <w:p>
      <w:pPr>
        <w:pStyle w:val="null3"/>
        <w:jc w:val="right"/>
      </w:pPr>
      <w:r>
        <w:rPr/>
        <w:t>联系人：____________________联系电话：____________________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