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C94CE5">
      <w:pPr>
        <w:jc w:val="center"/>
        <w:outlineLvl w:val="1"/>
        <w:rPr>
          <w:rFonts w:hint="eastAsia" w:ascii="Calibri" w:hAnsi="Calibri" w:eastAsia="宋体" w:cs="Times New Roman"/>
          <w:lang w:val="en-US" w:eastAsia="zh-Hans"/>
        </w:rPr>
      </w:pPr>
      <w:r>
        <w:rPr>
          <w:rFonts w:hint="eastAsia" w:ascii="仿宋_GB2312" w:hAnsi="仿宋_GB2312" w:eastAsia="仿宋_GB2312" w:cs="仿宋_GB2312"/>
          <w:b/>
          <w:sz w:val="36"/>
          <w:lang w:val="en-US" w:eastAsia="zh-Hans"/>
        </w:rPr>
        <w:t>技术、服务及其他要求</w:t>
      </w:r>
    </w:p>
    <w:p w14:paraId="6E4B95BD">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（注：本章的技术、服务及其他要求中，带“★”的要求为实质性要求。采购人、代理机构应当根据项目实际要求合理设定，并在第五章符合性审查中明确响应要求。）</w:t>
      </w:r>
    </w:p>
    <w:p w14:paraId="35105618">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3.1.采购内容</w:t>
      </w:r>
    </w:p>
    <w:p w14:paraId="2494EB6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35D288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328,000.00</w:t>
      </w:r>
    </w:p>
    <w:p w14:paraId="4DB424D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328,000.00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4DECBB3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2ED095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5E2383D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D90E8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328F67B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31CB07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1748180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732BC7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341EDF7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669E66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27F0140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6289252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26D218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3E7D2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5BCE6B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A02320800 物理治疗、康复及体育治疗仪器设备</w:t>
            </w:r>
          </w:p>
        </w:tc>
        <w:tc>
          <w:tcPr>
            <w:tcW w:w="821" w:type="dxa"/>
          </w:tcPr>
          <w:p w14:paraId="0A2749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气囊式体外反搏装置</w:t>
            </w:r>
          </w:p>
        </w:tc>
        <w:tc>
          <w:tcPr>
            <w:tcW w:w="821" w:type="dxa"/>
          </w:tcPr>
          <w:p w14:paraId="580712F8">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821" w:type="dxa"/>
          </w:tcPr>
          <w:p w14:paraId="30231315">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328,000.00</w:t>
            </w:r>
          </w:p>
        </w:tc>
        <w:tc>
          <w:tcPr>
            <w:tcW w:w="821" w:type="dxa"/>
          </w:tcPr>
          <w:p w14:paraId="62E27F7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6BC3F72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51D4F58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507BC34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7E261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6B6E1F2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46E282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5ECDE4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4E94E3D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采购包预算金额（元）: 190,000.00</w:t>
      </w:r>
    </w:p>
    <w:p w14:paraId="0FBBAD6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采购包最高限价（元）: 160,000.00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9"/>
        <w:gridCol w:w="1116"/>
        <w:gridCol w:w="745"/>
        <w:gridCol w:w="820"/>
        <w:gridCol w:w="1216"/>
        <w:gridCol w:w="745"/>
        <w:gridCol w:w="745"/>
        <w:gridCol w:w="745"/>
        <w:gridCol w:w="745"/>
        <w:gridCol w:w="598"/>
        <w:gridCol w:w="598"/>
      </w:tblGrid>
      <w:tr w14:paraId="0A0B13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97450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821" w:type="dxa"/>
          </w:tcPr>
          <w:p w14:paraId="4C9FF5C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821" w:type="dxa"/>
          </w:tcPr>
          <w:p w14:paraId="55112C3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821" w:type="dxa"/>
          </w:tcPr>
          <w:p w14:paraId="7625807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w:t>
            </w:r>
            <w:r>
              <w:rPr>
                <w:rFonts w:hint="eastAsia" w:ascii="Calibri" w:hAnsi="Calibri" w:eastAsia="宋体" w:cs="Times New Roman"/>
                <w:lang w:val="en-US" w:eastAsia="zh-Hans"/>
              </w:rPr>
              <w:br w:type="textWrapping"/>
            </w:r>
            <w:r>
              <w:rPr>
                <w:rFonts w:hint="eastAsia" w:ascii="仿宋_GB2312" w:hAnsi="仿宋_GB2312" w:eastAsia="仿宋_GB2312" w:cs="仿宋_GB2312"/>
                <w:lang w:val="en-US" w:eastAsia="zh-Hans"/>
              </w:rPr>
              <w:t>(计量单位)</w:t>
            </w:r>
          </w:p>
        </w:tc>
        <w:tc>
          <w:tcPr>
            <w:tcW w:w="821" w:type="dxa"/>
          </w:tcPr>
          <w:p w14:paraId="38C6682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标的金额 （元）</w:t>
            </w:r>
          </w:p>
        </w:tc>
        <w:tc>
          <w:tcPr>
            <w:tcW w:w="821" w:type="dxa"/>
          </w:tcPr>
          <w:p w14:paraId="0B91A9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所属行业</w:t>
            </w:r>
          </w:p>
        </w:tc>
        <w:tc>
          <w:tcPr>
            <w:tcW w:w="821" w:type="dxa"/>
          </w:tcPr>
          <w:p w14:paraId="41E733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是否涉及核心产品</w:t>
            </w:r>
          </w:p>
        </w:tc>
        <w:tc>
          <w:tcPr>
            <w:tcW w:w="821" w:type="dxa"/>
          </w:tcPr>
          <w:p w14:paraId="48C44F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是否涉及采购进口产品</w:t>
            </w:r>
          </w:p>
        </w:tc>
        <w:tc>
          <w:tcPr>
            <w:tcW w:w="821" w:type="dxa"/>
          </w:tcPr>
          <w:p w14:paraId="1E168DD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是否涉及强制采购节能产品</w:t>
            </w:r>
          </w:p>
        </w:tc>
        <w:tc>
          <w:tcPr>
            <w:tcW w:w="639" w:type="dxa"/>
          </w:tcPr>
          <w:p w14:paraId="68F3CE3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是否涉及优先采购节能产品</w:t>
            </w:r>
          </w:p>
        </w:tc>
        <w:tc>
          <w:tcPr>
            <w:tcW w:w="639" w:type="dxa"/>
          </w:tcPr>
          <w:p w14:paraId="0B37F54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是否涉及优先采购环境标志产品</w:t>
            </w:r>
          </w:p>
        </w:tc>
      </w:tr>
      <w:tr w14:paraId="7D0562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338899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821" w:type="dxa"/>
          </w:tcPr>
          <w:p w14:paraId="6C06E2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A02320300 医用电子生理参数检测仪器设备</w:t>
            </w:r>
          </w:p>
        </w:tc>
        <w:tc>
          <w:tcPr>
            <w:tcW w:w="821" w:type="dxa"/>
          </w:tcPr>
          <w:p w14:paraId="23933D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硬性电子输尿管肾镜</w:t>
            </w:r>
          </w:p>
        </w:tc>
        <w:tc>
          <w:tcPr>
            <w:tcW w:w="821" w:type="dxa"/>
          </w:tcPr>
          <w:p w14:paraId="5FAA9DD1">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821" w:type="dxa"/>
          </w:tcPr>
          <w:p w14:paraId="73AE5DA9">
            <w:pPr>
              <w:jc w:val="righ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160,000.00</w:t>
            </w:r>
          </w:p>
        </w:tc>
        <w:tc>
          <w:tcPr>
            <w:tcW w:w="821" w:type="dxa"/>
          </w:tcPr>
          <w:p w14:paraId="78F1B0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工业</w:t>
            </w:r>
          </w:p>
        </w:tc>
        <w:tc>
          <w:tcPr>
            <w:tcW w:w="821" w:type="dxa"/>
          </w:tcPr>
          <w:p w14:paraId="4BF4AD9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w:t>
            </w:r>
          </w:p>
        </w:tc>
        <w:tc>
          <w:tcPr>
            <w:tcW w:w="821" w:type="dxa"/>
          </w:tcPr>
          <w:p w14:paraId="1FA0E38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821" w:type="dxa"/>
          </w:tcPr>
          <w:p w14:paraId="49E0AC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1F44360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c>
          <w:tcPr>
            <w:tcW w:w="639" w:type="dxa"/>
          </w:tcPr>
          <w:p w14:paraId="313BE7B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否</w:t>
            </w:r>
          </w:p>
        </w:tc>
      </w:tr>
    </w:tbl>
    <w:p w14:paraId="7860A6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是否适用本国产品标准：是</w:t>
      </w:r>
    </w:p>
    <w:p w14:paraId="1830BFF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报价要求</w:t>
      </w:r>
    </w:p>
    <w:p w14:paraId="1447169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7AA9C7B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600273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51A5661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440F426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47BB225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299502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4F62EA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4067B3F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068F5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58A081D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气囊式体外反搏装置</w:t>
            </w:r>
          </w:p>
        </w:tc>
        <w:tc>
          <w:tcPr>
            <w:tcW w:w="1138" w:type="dxa"/>
          </w:tcPr>
          <w:p w14:paraId="55C8527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1.00（套）</w:t>
            </w:r>
          </w:p>
        </w:tc>
        <w:tc>
          <w:tcPr>
            <w:tcW w:w="1365" w:type="dxa"/>
          </w:tcPr>
          <w:p w14:paraId="60359A2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328,000.00</w:t>
            </w:r>
          </w:p>
        </w:tc>
        <w:tc>
          <w:tcPr>
            <w:tcW w:w="1138" w:type="dxa"/>
          </w:tcPr>
          <w:p w14:paraId="389CC1E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3868488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16A9024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2826AB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5D98D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1707" w:type="dxa"/>
          </w:tcPr>
          <w:p w14:paraId="786556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报价内容</w:t>
            </w:r>
          </w:p>
        </w:tc>
        <w:tc>
          <w:tcPr>
            <w:tcW w:w="1138" w:type="dxa"/>
          </w:tcPr>
          <w:p w14:paraId="19B2287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数量（计量单位）</w:t>
            </w:r>
          </w:p>
        </w:tc>
        <w:tc>
          <w:tcPr>
            <w:tcW w:w="1365" w:type="dxa"/>
          </w:tcPr>
          <w:p w14:paraId="2A53EF0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最高限价</w:t>
            </w:r>
          </w:p>
        </w:tc>
        <w:tc>
          <w:tcPr>
            <w:tcW w:w="1138" w:type="dxa"/>
          </w:tcPr>
          <w:p w14:paraId="25F07FA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价款形式</w:t>
            </w:r>
          </w:p>
        </w:tc>
        <w:tc>
          <w:tcPr>
            <w:tcW w:w="1934" w:type="dxa"/>
          </w:tcPr>
          <w:p w14:paraId="2F1601F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报价说明</w:t>
            </w:r>
          </w:p>
        </w:tc>
      </w:tr>
      <w:tr w14:paraId="3EE185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6144C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1707" w:type="dxa"/>
          </w:tcPr>
          <w:p w14:paraId="6F8EEC0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硬性电子输尿管肾镜</w:t>
            </w:r>
          </w:p>
        </w:tc>
        <w:tc>
          <w:tcPr>
            <w:tcW w:w="1138" w:type="dxa"/>
          </w:tcPr>
          <w:p w14:paraId="484EFC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2.00（套）</w:t>
            </w:r>
          </w:p>
        </w:tc>
        <w:tc>
          <w:tcPr>
            <w:tcW w:w="1365" w:type="dxa"/>
          </w:tcPr>
          <w:p w14:paraId="6DCFDE3D">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160,000.00</w:t>
            </w:r>
          </w:p>
        </w:tc>
        <w:tc>
          <w:tcPr>
            <w:tcW w:w="1138" w:type="dxa"/>
          </w:tcPr>
          <w:p w14:paraId="7E4983D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总价</w:t>
            </w:r>
          </w:p>
        </w:tc>
        <w:tc>
          <w:tcPr>
            <w:tcW w:w="1934" w:type="dxa"/>
          </w:tcPr>
          <w:p w14:paraId="199242E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无</w:t>
            </w:r>
          </w:p>
        </w:tc>
      </w:tr>
    </w:tbl>
    <w:p w14:paraId="2A90D12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★注：投标人响应产品应当明确品牌和规格型号并指向唯一产品，不能指向唯一产品的，应通过报价表唯一产品说明栏补充说明。</w:t>
      </w:r>
    </w:p>
    <w:p w14:paraId="5A182519">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本项目涉及核心产品：</w:t>
      </w:r>
    </w:p>
    <w:p w14:paraId="0E1816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7259A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F4A8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F75DC0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116986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534D49B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69F1CE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BD19A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24EC27A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A02320800 物理治疗、康复及体育治疗仪器设备</w:t>
            </w:r>
          </w:p>
        </w:tc>
        <w:tc>
          <w:tcPr>
            <w:tcW w:w="2492" w:type="dxa"/>
          </w:tcPr>
          <w:p w14:paraId="18BCC85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气囊式体外反搏装置</w:t>
            </w:r>
          </w:p>
        </w:tc>
        <w:tc>
          <w:tcPr>
            <w:tcW w:w="2492" w:type="dxa"/>
          </w:tcPr>
          <w:p w14:paraId="6A760A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气囊式体外反搏装置</w:t>
            </w:r>
          </w:p>
        </w:tc>
      </w:tr>
    </w:tbl>
    <w:p w14:paraId="41C85F9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3576C5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80D92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3D82E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2A7848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ADDB3A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2993D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A0A5C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492" w:type="dxa"/>
          </w:tcPr>
          <w:p w14:paraId="0A36B6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A02320300 医用电子生理参数检测仪器设备</w:t>
            </w:r>
          </w:p>
        </w:tc>
        <w:tc>
          <w:tcPr>
            <w:tcW w:w="2492" w:type="dxa"/>
          </w:tcPr>
          <w:p w14:paraId="4C0AFE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硬性电子输尿管肾镜</w:t>
            </w:r>
          </w:p>
        </w:tc>
        <w:tc>
          <w:tcPr>
            <w:tcW w:w="2492" w:type="dxa"/>
          </w:tcPr>
          <w:p w14:paraId="5171B17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硬性电子输尿管肾镜</w:t>
            </w:r>
          </w:p>
        </w:tc>
      </w:tr>
    </w:tbl>
    <w:p w14:paraId="562A881B">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注：涉及核心产品的，具体评审规定见第五章。</w:t>
      </w:r>
    </w:p>
    <w:p w14:paraId="6E4D5EA5">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本项目涉及采购进口产品：</w:t>
      </w:r>
    </w:p>
    <w:p w14:paraId="6C0A81C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1117F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34E6DB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41720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263B76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3B6EB38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B0925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0F9AD9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049988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568B908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711882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6AC8588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80CA51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06C500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5E7ED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8291DA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19BAAF6">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★注：不涉及采购进口产品时，投标人不得提供进口产品进行响应；涉及采购进口产品时，如国产产品满足采购需求，也可提供国产产品进行响应。</w:t>
      </w:r>
    </w:p>
    <w:p w14:paraId="13FD267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本项目涉及强制采购节能产品：</w:t>
      </w:r>
    </w:p>
    <w:p w14:paraId="3B7AB1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990A1A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BB0C2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F1FEB3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2D3025E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6B6A405F">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A4527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4FA925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64D44F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CDEB3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04E4DB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4450900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46A33F4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C28058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0039260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0171757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2EE25374">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6C2D4F87">
      <w:pPr>
        <w:jc w:val="left"/>
        <w:rPr>
          <w:rFonts w:hint="eastAsia" w:ascii="Calibri" w:hAnsi="Calibri" w:eastAsia="宋体" w:cs="Times New Roman"/>
          <w:lang w:val="en-US" w:eastAsia="zh-Hans"/>
        </w:rPr>
      </w:pPr>
      <w:r>
        <w:rPr>
          <w:rFonts w:hint="eastAsia" w:ascii="仿宋_GB2312" w:hAnsi="仿宋_GB2312" w:eastAsia="仿宋_GB2312" w:cs="仿宋_GB2312"/>
          <w:b/>
          <w:lang w:val="en-US" w:eastAsia="zh-Hans"/>
        </w:rPr>
        <w:t>本项目涉及优先采购节能产品：</w:t>
      </w:r>
    </w:p>
    <w:p w14:paraId="19164C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318B4F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E08A4F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162EE61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7DE4C1B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B8247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4006B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3DFF942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39E32DE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2665E32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E920AC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7E65BEA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7F4C2C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55A28F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5A74EA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1DDA66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790261F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4D018FBD">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本项目涉及优先采购环境标志产品：</w:t>
      </w:r>
    </w:p>
    <w:p w14:paraId="4B89B84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49D36D2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17F8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32A3315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36E1FDE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2F5A83A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7F0FEE3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4923FCB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5AF356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4A891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7BA97DB">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492" w:type="dxa"/>
          </w:tcPr>
          <w:p w14:paraId="5042F995">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采购品目名称</w:t>
            </w:r>
          </w:p>
        </w:tc>
        <w:tc>
          <w:tcPr>
            <w:tcW w:w="2492" w:type="dxa"/>
          </w:tcPr>
          <w:p w14:paraId="07025A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w:t>
            </w:r>
          </w:p>
        </w:tc>
        <w:tc>
          <w:tcPr>
            <w:tcW w:w="2492" w:type="dxa"/>
          </w:tcPr>
          <w:p w14:paraId="18FD054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产品名称</w:t>
            </w:r>
          </w:p>
        </w:tc>
      </w:tr>
      <w:tr w14:paraId="40EA0E2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62F8F6B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不涉及</w:t>
            </w:r>
          </w:p>
        </w:tc>
      </w:tr>
    </w:tbl>
    <w:p w14:paraId="18134B39">
      <w:pPr>
        <w:ind w:firstLine="480"/>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3E86B163">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3.2.技术要求</w:t>
      </w:r>
    </w:p>
    <w:p w14:paraId="3D44575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p w14:paraId="128AFF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标的名称：气囊式体外反搏装置</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7D4CB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33616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72B71FF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6C23555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7332115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C6D87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607AD0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6AA62C19">
            <w:pPr>
              <w:rPr>
                <w:rFonts w:ascii="Calibri" w:hAnsi="Calibri" w:eastAsia="宋体" w:cs="Times New Roman"/>
              </w:rPr>
            </w:pPr>
          </w:p>
        </w:tc>
        <w:tc>
          <w:tcPr>
            <w:tcW w:w="1495" w:type="dxa"/>
          </w:tcPr>
          <w:p w14:paraId="2EDCF1F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c>
          <w:tcPr>
            <w:tcW w:w="5814" w:type="dxa"/>
          </w:tcPr>
          <w:p w14:paraId="2EBD3D45">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1.压力部分</w:t>
            </w:r>
          </w:p>
          <w:p w14:paraId="30D850A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1.1</w:t>
            </w:r>
            <w:r>
              <w:rPr>
                <w:rFonts w:hint="eastAsia" w:ascii="仿宋_GB2312" w:hAnsi="仿宋_GB2312" w:eastAsia="仿宋_GB2312" w:cs="仿宋_GB2312"/>
                <w:lang w:val="en-US" w:eastAsia="zh-Hans"/>
              </w:rPr>
              <w:t xml:space="preserve"> </w:t>
            </w:r>
            <w:r>
              <w:rPr>
                <w:rFonts w:hint="eastAsia" w:ascii="仿宋_GB2312" w:hAnsi="仿宋_GB2312" w:eastAsia="仿宋_GB2312" w:cs="仿宋_GB2312"/>
                <w:sz w:val="20"/>
                <w:lang w:val="en-US" w:eastAsia="zh-Hans"/>
              </w:rPr>
              <w:t>在心率为80bpm 时，最大工作压力值</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43kPa。</w:t>
            </w:r>
          </w:p>
          <w:p w14:paraId="2BD870EF">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w:t>
            </w:r>
            <w:r>
              <w:rPr>
                <w:rFonts w:hint="eastAsia" w:ascii="仿宋_GB2312" w:hAnsi="仿宋_GB2312" w:eastAsia="仿宋_GB2312" w:cs="仿宋_GB2312"/>
                <w:sz w:val="20"/>
                <w:lang w:val="en-US" w:eastAsia="zh-Hans"/>
              </w:rPr>
              <w:t>1.2</w:t>
            </w:r>
            <w:r>
              <w:rPr>
                <w:rFonts w:hint="eastAsia" w:ascii="仿宋_GB2312" w:hAnsi="仿宋_GB2312" w:eastAsia="仿宋_GB2312" w:cs="仿宋_GB2312"/>
                <w:lang w:val="en-US" w:eastAsia="zh-Hans"/>
              </w:rPr>
              <w:t xml:space="preserve"> </w:t>
            </w:r>
            <w:r>
              <w:rPr>
                <w:rFonts w:hint="eastAsia" w:ascii="仿宋_GB2312" w:hAnsi="仿宋_GB2312" w:eastAsia="仿宋_GB2312" w:cs="仿宋_GB2312"/>
                <w:sz w:val="20"/>
                <w:lang w:val="en-US" w:eastAsia="zh-Hans"/>
              </w:rPr>
              <w:t>实际工作压力与设定工作压力的误差-1kPa～+1kPa</w:t>
            </w:r>
          </w:p>
          <w:p w14:paraId="3891BF0D">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2.脉搏部分</w:t>
            </w:r>
          </w:p>
          <w:p w14:paraId="7672D6A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★2.1脉搏血氧部分符合YY 9706.261-2023的要求。</w:t>
            </w:r>
          </w:p>
          <w:p w14:paraId="0F9CCBA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2.2</w:t>
            </w:r>
            <w:r>
              <w:rPr>
                <w:rFonts w:hint="eastAsia" w:ascii="仿宋_GB2312" w:hAnsi="仿宋_GB2312" w:eastAsia="仿宋_GB2312" w:cs="仿宋_GB2312"/>
                <w:lang w:val="en-US" w:eastAsia="zh-Hans"/>
              </w:rPr>
              <w:t xml:space="preserve"> </w:t>
            </w:r>
            <w:r>
              <w:rPr>
                <w:rFonts w:hint="eastAsia" w:ascii="仿宋_GB2312" w:hAnsi="仿宋_GB2312" w:eastAsia="仿宋_GB2312" w:cs="仿宋_GB2312"/>
                <w:sz w:val="20"/>
                <w:lang w:val="en-US" w:eastAsia="zh-Hans"/>
              </w:rPr>
              <w:t>血氧饱和度波形增益实现多级调节，调节范围：1～32级。</w:t>
            </w:r>
          </w:p>
          <w:p w14:paraId="2ECF67D3">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3.心电部分</w:t>
            </w:r>
          </w:p>
          <w:p w14:paraId="0E8CE7D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3.1心率测量和显示范围：35bpm～165bpm，测量误差≤±1bpm。</w:t>
            </w:r>
          </w:p>
          <w:p w14:paraId="1FA0717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3.2心电波形增益实现多级调节，调节范围：1～32级。</w:t>
            </w:r>
          </w:p>
          <w:p w14:paraId="4C969DF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3.3患者电缆、所有的内部电路和输出显示部分产生的噪声不超过 15μV(p-v) RTI。</w:t>
            </w:r>
          </w:p>
          <w:p w14:paraId="4F0399A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4.软件部分</w:t>
            </w:r>
          </w:p>
          <w:p w14:paraId="18A2DCD9">
            <w:pPr>
              <w:jc w:val="both"/>
              <w:rPr>
                <w:rFonts w:hint="eastAsia" w:ascii="Calibri" w:hAnsi="Calibri" w:eastAsia="宋体" w:cs="Times New Roman"/>
                <w:lang w:val="en-US" w:eastAsia="zh-Hans"/>
              </w:rPr>
            </w:pPr>
            <w:r>
              <w:rPr>
                <w:rFonts w:hint="eastAsia" w:ascii="仿宋_GB2312" w:hAnsi="仿宋_GB2312" w:eastAsia="仿宋_GB2312" w:cs="仿宋_GB2312"/>
                <w:sz w:val="24"/>
                <w:lang w:val="en-US" w:eastAsia="zh-Hans"/>
              </w:rPr>
              <w:t>▲</w:t>
            </w:r>
            <w:r>
              <w:rPr>
                <w:rFonts w:hint="eastAsia" w:ascii="仿宋_GB2312" w:hAnsi="仿宋_GB2312" w:eastAsia="仿宋_GB2312" w:cs="仿宋_GB2312"/>
                <w:sz w:val="20"/>
                <w:lang w:val="en-US" w:eastAsia="zh-Hans"/>
              </w:rPr>
              <w:t>4.1显示界面上有控制电磁阀信号的独立图形</w:t>
            </w:r>
            <w:r>
              <w:rPr>
                <w:rFonts w:hint="eastAsia" w:ascii="仿宋_GB2312" w:hAnsi="仿宋_GB2312" w:eastAsia="仿宋_GB2312" w:cs="仿宋_GB2312"/>
                <w:b/>
                <w:sz w:val="20"/>
                <w:lang w:val="en-US" w:eastAsia="zh-Hans"/>
              </w:rPr>
              <w:t>（</w:t>
            </w:r>
            <w:r>
              <w:rPr>
                <w:rFonts w:hint="eastAsia" w:ascii="仿宋_GB2312" w:hAnsi="仿宋_GB2312" w:eastAsia="仿宋_GB2312" w:cs="仿宋_GB2312"/>
                <w:b/>
                <w:lang w:val="en-US" w:eastAsia="zh-Hans"/>
              </w:rPr>
              <w:t>提供生产厂家公开发布的产品彩页或产品说明书或国家认可的第三方检测机构出具的检测报告或系统功能截图佐证</w:t>
            </w:r>
            <w:r>
              <w:rPr>
                <w:rFonts w:hint="eastAsia" w:ascii="仿宋_GB2312" w:hAnsi="仿宋_GB2312" w:eastAsia="仿宋_GB2312" w:cs="仿宋_GB2312"/>
                <w:b/>
                <w:sz w:val="20"/>
                <w:lang w:val="en-US" w:eastAsia="zh-Hans"/>
              </w:rPr>
              <w:t>）。</w:t>
            </w:r>
          </w:p>
          <w:p w14:paraId="13C1669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4.2序贯模式手动可调。</w:t>
            </w:r>
          </w:p>
          <w:p w14:paraId="35833FC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4.3具有演示模式功能，并在界面有“禁止用于治疗”明确的警示信息。</w:t>
            </w:r>
          </w:p>
          <w:p w14:paraId="34136BB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4.4治疗时间设置范围：1min～60min；设置步进：1min。</w:t>
            </w:r>
          </w:p>
          <w:p w14:paraId="59A9F24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4.5配备病员信息管理软件，数据库存储治疗者心电、血氧、治疗压力数据，可增加数据回放功能。</w:t>
            </w:r>
          </w:p>
          <w:p w14:paraId="7A74CE40">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5.机械部分</w:t>
            </w:r>
          </w:p>
          <w:p w14:paraId="4AAEB908">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5.1采用反搏装置专用充排气阀，电磁阀响应时间不大于40ms。</w:t>
            </w:r>
          </w:p>
          <w:p w14:paraId="00C52AD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5.2采用具有体外反搏气路系统。</w:t>
            </w:r>
          </w:p>
          <w:p w14:paraId="3858D222">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5.3采用具有体外反搏装置专用外囊套与气囊袋组合的囊套。</w:t>
            </w:r>
          </w:p>
          <w:p w14:paraId="1466D93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5.4囊套覆盖面积不小于0.3㎡。</w:t>
            </w:r>
          </w:p>
          <w:p w14:paraId="6E9CC85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5.5气囊能承受 59kPa 的压力，保压10s，不破损，且其压降应≤2kPa。</w:t>
            </w:r>
          </w:p>
          <w:p w14:paraId="440665CA">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6.安全部分</w:t>
            </w:r>
          </w:p>
          <w:p w14:paraId="40C6DFD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6.1反搏装置正常工作时，反搏装置对触发波以外的波形不响应反搏。</w:t>
            </w:r>
          </w:p>
          <w:p w14:paraId="3B5D6DB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6.2反搏装置在心率低于 40bpm 或高于 120bpm 时可自动停止反搏。</w:t>
            </w:r>
          </w:p>
          <w:p w14:paraId="48256E7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6.3早搏能触发反搏装置排气。</w:t>
            </w:r>
          </w:p>
          <w:p w14:paraId="2824889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6.4反搏装置正常工作时，当工作压力大于59kPa时，有压力泄气功能。</w:t>
            </w:r>
          </w:p>
          <w:p w14:paraId="00A9A3B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6.5采用隔离变压器，将电源与用电回路作电气上的全隔离。</w:t>
            </w:r>
          </w:p>
          <w:p w14:paraId="7983F3D4">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6.6采用谐波专用滤波器。</w:t>
            </w:r>
          </w:p>
          <w:p w14:paraId="7CEEC664">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7.压缩机</w:t>
            </w:r>
          </w:p>
          <w:p w14:paraId="2FFC160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▲7.1压缩机额定功率≥1700W。</w:t>
            </w:r>
          </w:p>
          <w:p w14:paraId="71F4B7B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▲7.2压缩机最大流量≥45m³/h。</w:t>
            </w:r>
          </w:p>
          <w:p w14:paraId="2193E18F">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8.其它</w:t>
            </w:r>
          </w:p>
          <w:p w14:paraId="114C328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▲8.1整机最大功率≥2200VA。</w:t>
            </w:r>
          </w:p>
          <w:p w14:paraId="2ECB2D93">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▲8.2使用期限不小于9 年。</w:t>
            </w:r>
          </w:p>
        </w:tc>
      </w:tr>
    </w:tbl>
    <w:p w14:paraId="7A11C60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p w14:paraId="48962BF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标的名称：硬性电子输尿管肾镜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EB88EF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20AB7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581" w:type="dxa"/>
          </w:tcPr>
          <w:p w14:paraId="016DB13A">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1495" w:type="dxa"/>
          </w:tcPr>
          <w:p w14:paraId="5CE86E6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技术要求名称</w:t>
            </w:r>
          </w:p>
        </w:tc>
        <w:tc>
          <w:tcPr>
            <w:tcW w:w="5814" w:type="dxa"/>
          </w:tcPr>
          <w:p w14:paraId="4E0DAF1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技术参数与性能指标</w:t>
            </w:r>
          </w:p>
        </w:tc>
      </w:tr>
      <w:tr w14:paraId="70AC07D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840829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50829D10">
            <w:pPr>
              <w:rPr>
                <w:rFonts w:ascii="Calibri" w:hAnsi="Calibri" w:eastAsia="宋体" w:cs="Times New Roman"/>
              </w:rPr>
            </w:pPr>
          </w:p>
        </w:tc>
        <w:tc>
          <w:tcPr>
            <w:tcW w:w="1495" w:type="dxa"/>
          </w:tcPr>
          <w:p w14:paraId="348E86D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技术要求</w:t>
            </w:r>
          </w:p>
        </w:tc>
        <w:tc>
          <w:tcPr>
            <w:tcW w:w="5814" w:type="dxa"/>
          </w:tcPr>
          <w:p w14:paraId="567D77E9">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一、硬性电子输尿管肾镜技术参数（成人）</w:t>
            </w:r>
          </w:p>
          <w:p w14:paraId="30296EB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★1.外径</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7.5/9Fr.</w:t>
            </w:r>
          </w:p>
          <w:p w14:paraId="5924E2F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★2.器械通道≤φ1.8mm</w:t>
            </w:r>
          </w:p>
          <w:p w14:paraId="237A754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3.工作长度</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425mm</w:t>
            </w:r>
          </w:p>
          <w:p w14:paraId="252AA946">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4.视向角</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0°</w:t>
            </w:r>
          </w:p>
          <w:p w14:paraId="46D6F73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5.视场角</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75°</w:t>
            </w:r>
          </w:p>
          <w:p w14:paraId="7F79D01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6.输出像素</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1920x1080</w:t>
            </w:r>
          </w:p>
          <w:p w14:paraId="5E7E46D7">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7.输出接口：SDI、DVI、HDMI</w:t>
            </w:r>
          </w:p>
          <w:p w14:paraId="6FC33B07">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二、电子内窥镜控制器参数</w:t>
            </w:r>
          </w:p>
          <w:p w14:paraId="6EFB479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1.输入电压：～110-220V，输入频率：50Hz/60Hz，输入功率：≤120VA。</w:t>
            </w:r>
          </w:p>
          <w:p w14:paraId="6A1B2A3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2.防电击类型：I类，防电击的程度：BF型应用部分，运行模式：连续运行。</w:t>
            </w:r>
          </w:p>
          <w:p w14:paraId="4D56E3E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3.显示屏尺寸：</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21英寸，长宽比例：16:9，分辨率：</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1920×1080，亮度：250 cd/m2。对比度：1000:1，屏幕视角：R/L 178 (typ.)，U/D 178 (typ.)。</w:t>
            </w:r>
          </w:p>
          <w:p w14:paraId="29D5650B">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4.白平衡：手动调节。</w:t>
            </w:r>
          </w:p>
          <w:p w14:paraId="2CB71DD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5.光源控制：手动点灯，自动亮度调节。</w:t>
            </w:r>
          </w:p>
          <w:p w14:paraId="43A6D18C">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6.特殊图像：方形/圆形图像显示。</w:t>
            </w:r>
          </w:p>
          <w:p w14:paraId="14C03A20">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7.视频输出端口：DVI、HDMI。</w:t>
            </w:r>
          </w:p>
          <w:p w14:paraId="3815BF4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8.灯泡：</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80W (LED)，色温：5000K-6500K，寿命：</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1万小时。</w:t>
            </w:r>
          </w:p>
          <w:p w14:paraId="2B90B7A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9.外接存储设备：USB （内存≥64G）。</w:t>
            </w:r>
          </w:p>
          <w:p w14:paraId="363F4FF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10.采用HDR处理技术，图像明亮清晰。</w:t>
            </w:r>
          </w:p>
          <w:p w14:paraId="77FC81DF">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11.可对电子内窥镜进行自动识别，自动匹配最佳图像模式。</w:t>
            </w:r>
          </w:p>
          <w:p w14:paraId="1EEC029E">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12.具有录像和拍照存储功能，可接USB2.0或USB3.0 U盘。</w:t>
            </w:r>
          </w:p>
          <w:p w14:paraId="1DFBDFA3">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13.无级自动连续可调光源控制，能自动输出所需光源亮度。</w:t>
            </w:r>
          </w:p>
          <w:p w14:paraId="78A6BE08">
            <w:pPr>
              <w:jc w:val="both"/>
              <w:rPr>
                <w:rFonts w:hint="eastAsia" w:ascii="Calibri" w:hAnsi="Calibri" w:eastAsia="宋体" w:cs="Times New Roman"/>
                <w:lang w:val="en-US" w:eastAsia="zh-Hans"/>
              </w:rPr>
            </w:pPr>
            <w:r>
              <w:rPr>
                <w:rFonts w:hint="eastAsia" w:ascii="仿宋_GB2312" w:hAnsi="仿宋_GB2312" w:eastAsia="仿宋_GB2312" w:cs="仿宋_GB2312"/>
                <w:b/>
                <w:sz w:val="20"/>
                <w:lang w:val="en-US" w:eastAsia="zh-Hans"/>
              </w:rPr>
              <w:t>三、硬性电子输尿管肾镜技术参数（小儿）</w:t>
            </w:r>
          </w:p>
          <w:p w14:paraId="134EDC5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★1.外径</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6/7.5Fr.</w:t>
            </w:r>
          </w:p>
          <w:p w14:paraId="4401202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★2.器械通道</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φ1.3mm</w:t>
            </w:r>
          </w:p>
          <w:p w14:paraId="448BD3F5">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3.工作长度</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425mm</w:t>
            </w:r>
          </w:p>
          <w:p w14:paraId="5304B241">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4.视向角</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0°</w:t>
            </w:r>
          </w:p>
          <w:p w14:paraId="2FA9EA9D">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5.视场角</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75°</w:t>
            </w:r>
          </w:p>
          <w:p w14:paraId="14BB0A59">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6.输出像素</w:t>
            </w:r>
            <w:r>
              <w:rPr>
                <w:rFonts w:hint="eastAsia" w:ascii="仿宋_GB2312" w:hAnsi="仿宋_GB2312" w:eastAsia="仿宋_GB2312" w:cs="仿宋_GB2312"/>
                <w:lang w:val="en-US" w:eastAsia="zh-Hans"/>
              </w:rPr>
              <w:t>≥</w:t>
            </w:r>
            <w:r>
              <w:rPr>
                <w:rFonts w:hint="eastAsia" w:ascii="仿宋_GB2312" w:hAnsi="仿宋_GB2312" w:eastAsia="仿宋_GB2312" w:cs="仿宋_GB2312"/>
                <w:sz w:val="20"/>
                <w:lang w:val="en-US" w:eastAsia="zh-Hans"/>
              </w:rPr>
              <w:t>1920x1080</w:t>
            </w:r>
          </w:p>
          <w:p w14:paraId="4002CABA">
            <w:pPr>
              <w:jc w:val="both"/>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7.输出接口：SDI、DVI、HDMI</w:t>
            </w:r>
          </w:p>
          <w:p w14:paraId="0EC45414">
            <w:pPr>
              <w:jc w:val="left"/>
              <w:rPr>
                <w:rFonts w:hint="eastAsia" w:ascii="Calibri" w:hAnsi="Calibri" w:eastAsia="宋体" w:cs="Times New Roman"/>
                <w:lang w:val="en-US" w:eastAsia="zh-Hans"/>
              </w:rPr>
            </w:pPr>
            <w:r>
              <w:rPr>
                <w:rFonts w:hint="eastAsia" w:ascii="仿宋_GB2312" w:hAnsi="仿宋_GB2312" w:eastAsia="仿宋_GB2312" w:cs="仿宋_GB2312"/>
                <w:sz w:val="20"/>
                <w:lang w:val="en-US" w:eastAsia="zh-Hans"/>
              </w:rPr>
              <w:t>★</w:t>
            </w:r>
            <w:r>
              <w:rPr>
                <w:rFonts w:hint="eastAsia" w:ascii="仿宋_GB2312" w:hAnsi="仿宋_GB2312" w:eastAsia="仿宋_GB2312" w:cs="仿宋_GB2312"/>
                <w:b/>
                <w:sz w:val="20"/>
                <w:lang w:val="en-US" w:eastAsia="zh-Hans"/>
              </w:rPr>
              <w:t>四、配置清单：</w:t>
            </w:r>
            <w:r>
              <w:rPr>
                <w:rFonts w:hint="eastAsia" w:ascii="仿宋_GB2312" w:hAnsi="仿宋_GB2312" w:eastAsia="仿宋_GB2312" w:cs="仿宋_GB2312"/>
                <w:sz w:val="20"/>
                <w:lang w:val="en-US" w:eastAsia="zh-Hans"/>
              </w:rPr>
              <w:t>硬性电子输尿管肾镜（小儿）1支 ，密封帽（小儿）5粒，电子内窥镜控制器1台，台车1台，硬性电子输尿管肾镜（成人）1支 ，密封帽（成人）5粒。</w:t>
            </w:r>
          </w:p>
        </w:tc>
      </w:tr>
    </w:tbl>
    <w:p w14:paraId="2CD24EF3">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3.3.服务要求</w:t>
      </w:r>
    </w:p>
    <w:p w14:paraId="7B8561E6">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3.3.1.服务内容要求</w:t>
      </w:r>
    </w:p>
    <w:p w14:paraId="376B53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D4FCA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17B8BAD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7F008897">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72F010B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1F60220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71E830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F0899C0">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166B8969">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08627D3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w:t>
            </w:r>
          </w:p>
        </w:tc>
        <w:tc>
          <w:tcPr>
            <w:tcW w:w="5814" w:type="dxa"/>
          </w:tcPr>
          <w:p w14:paraId="528D03B1">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1、在设备使用期间，供应商应保证国内零配件送达时间不超过7天。如果设备停产，其备件的供应期应达到10年及以上，并以优惠的价格提供该设备所需的维修零配件。</w:t>
            </w:r>
          </w:p>
          <w:p w14:paraId="6768C364">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2、供应商须安排对操作人员进行现场培训，直至采购人技术人员能独立操作，同时能完成软件、硬件的操作和日常维护工作以及一般常见故障的维修工作。</w:t>
            </w:r>
          </w:p>
          <w:p w14:paraId="7A40EAA8">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3、供应商设有24小时维修电话。</w:t>
            </w:r>
          </w:p>
          <w:p w14:paraId="1734BA23">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质保期内如设备出现故障，供应商应在接到采购人通知后1小时内做出响应，4小时内给予技术支持（技术支持所涉及费用包含本次报价中，采购人不另行支付），并在24小时内到达现场进行维修或更换。质保期内供应商未按上述约定延迟服务给采购人造成的所有损失均由供应商独立承担；质保期届满后，供应商仍有义务对采购人反馈的设备故障问题提供及时的技术咨询，并给出解决方案。</w:t>
            </w:r>
          </w:p>
          <w:p w14:paraId="79DDA7C5">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5、所投产品支持与院方信息系统互通，供应商应对采购人永久免费开放设备的信息系统接口，不得对医院信息系统的使用设置时间及授权限制。</w:t>
            </w:r>
          </w:p>
          <w:p w14:paraId="6A87C5D4">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6、具备整机备用机，在设备维修期间根据科室需求提供设备使用。</w:t>
            </w:r>
          </w:p>
          <w:p w14:paraId="515F855C">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7、在质保期内，同一个致使设备（产品）无法正常使用的故障（不正当使用造成的除外）连续出现三次，投标人应无条件更换相同品牌的新机器。</w:t>
            </w:r>
          </w:p>
          <w:p w14:paraId="033B0E59">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8、如硬件许可条件下的软件升级服务，所产生费用包含在本次报价中。</w:t>
            </w:r>
          </w:p>
        </w:tc>
      </w:tr>
      <w:tr w14:paraId="5747732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93D7DA8">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2259AEC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559CFA0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755B2DB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3.3.2.商务要求中“付款进度安排”不适用于本采购包，本包“付款进度安排”以此为准（供应商应答“付款进度安排”时仅需应答此条要求即可，无需再应答3.3.2.商务要求中“付款进度安排”】</w:t>
            </w:r>
          </w:p>
          <w:p w14:paraId="3710638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设备安装调试完成后，经采购人验收合格（中标方需提供产品合格证、保修卡、说明书、国家要求的计量检定证书或校准证书（若涉及）等资料的原件及电子扫描件），双方签署验收表，采购人收到中标人出具的合法票据后，达到付款条件起10日内以银行转账方式向中标人支付全额货款。</w:t>
            </w:r>
          </w:p>
        </w:tc>
      </w:tr>
    </w:tbl>
    <w:p w14:paraId="7B9C52D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A8A778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0F7AD3">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序号</w:t>
            </w:r>
          </w:p>
        </w:tc>
        <w:tc>
          <w:tcPr>
            <w:tcW w:w="581" w:type="dxa"/>
          </w:tcPr>
          <w:p w14:paraId="2F9BB242">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符号标识</w:t>
            </w:r>
          </w:p>
        </w:tc>
        <w:tc>
          <w:tcPr>
            <w:tcW w:w="1495" w:type="dxa"/>
          </w:tcPr>
          <w:p w14:paraId="24651BF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服务要求名称</w:t>
            </w:r>
          </w:p>
        </w:tc>
        <w:tc>
          <w:tcPr>
            <w:tcW w:w="5814" w:type="dxa"/>
          </w:tcPr>
          <w:p w14:paraId="77948D46">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 xml:space="preserve"> 服务要求内容</w:t>
            </w:r>
          </w:p>
        </w:tc>
      </w:tr>
      <w:tr w14:paraId="3A0BDB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B299754">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581" w:type="dxa"/>
          </w:tcPr>
          <w:p w14:paraId="2939AC3C">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3275F9E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售后服务</w:t>
            </w:r>
          </w:p>
        </w:tc>
        <w:tc>
          <w:tcPr>
            <w:tcW w:w="5814" w:type="dxa"/>
          </w:tcPr>
          <w:p w14:paraId="73C94719">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1、在设备使用期间，供应商应保证国内零配件送达时间不超过7天。如果设备停产，其备件的供应期应达到10年及以上，并以优惠的价格提供该设备所需的维修零配件。</w:t>
            </w:r>
          </w:p>
          <w:p w14:paraId="59EC52D0">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2、供应商须安排对操作人员进行现场培训，直至采购人技术人员能独立操作，同时能完成软件、硬件的操作和日常维护工作以及一般常见故障的维修工作。</w:t>
            </w:r>
          </w:p>
          <w:p w14:paraId="70ED1A4A">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3、供应商设有24小时维修电话。</w:t>
            </w:r>
          </w:p>
          <w:p w14:paraId="2AF53570">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质保期内如设备出现故障，供应商应在接到采购人通知后1小时内做出响应，4小时内给予技术支持（技术支持所涉及费用包含本次报价中，采购人不另行支付），并在24小时内到达现场进行维修或更换。质保期内供应商未按上述约定延迟服务给采购人造成的所有损失均由供应商独立承担；质保期届满后，供应商仍有义务对采购人反馈的设备故障问题提供及时的技术咨询，并给出解决方案。</w:t>
            </w:r>
          </w:p>
          <w:p w14:paraId="18C0D9BB">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5、所投产品支持与院方信息系统互通，供应商应对采购人永久免费开放设备的信息系统接口，不得对医院信息系统的使用设置时间及授权限制。</w:t>
            </w:r>
          </w:p>
          <w:p w14:paraId="09FA7090">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6、具备整机备用机，在设备维修期间根据科室需求提供设备使用。</w:t>
            </w:r>
          </w:p>
          <w:p w14:paraId="78E7251C">
            <w:pPr>
              <w:jc w:val="both"/>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7、在质保期内，同一个致使设备（产品）无法正常使用的故障（不正当使用造成的除外）连续出现三次，投标人应无条件更换相同品牌的新机器。</w:t>
            </w:r>
          </w:p>
          <w:p w14:paraId="79D735BC">
            <w:pPr>
              <w:jc w:val="left"/>
              <w:rPr>
                <w:rFonts w:hint="eastAsia" w:ascii="Calibri" w:hAnsi="Calibri" w:eastAsia="宋体" w:cs="Times New Roman"/>
                <w:lang w:val="en-US" w:eastAsia="zh-Hans"/>
              </w:rPr>
            </w:pPr>
            <w:r>
              <w:rPr>
                <w:rFonts w:hint="eastAsia" w:ascii="仿宋_GB2312" w:hAnsi="仿宋_GB2312" w:eastAsia="仿宋_GB2312" w:cs="仿宋_GB2312"/>
                <w:sz w:val="21"/>
                <w:lang w:val="en-US" w:eastAsia="zh-Hans"/>
              </w:rPr>
              <w:t>8、如硬件许可条件下的软件升级服务，所产生费用包含在本次报价中。</w:t>
            </w:r>
          </w:p>
        </w:tc>
      </w:tr>
      <w:tr w14:paraId="5316D97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8CD1EE">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581" w:type="dxa"/>
          </w:tcPr>
          <w:p w14:paraId="341CD841">
            <w:pPr>
              <w:jc w:val="center"/>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1495" w:type="dxa"/>
          </w:tcPr>
          <w:p w14:paraId="44B2E33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5814" w:type="dxa"/>
          </w:tcPr>
          <w:p w14:paraId="12248B1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3.3.2.商务要求中“付款进度安排”不适用于本采购包，本包“付款进度安排”以此为准（供应商应答“付款进度安排”时仅需应答此条要求即可，无需再应答3.3.2.商务要求中“付款进度安排”】</w:t>
            </w:r>
          </w:p>
          <w:p w14:paraId="083C5D2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设备安装调试完成后，经采购人验收合格（中标方需提供产品合格证、保修卡、说明书、国家要求的计量检定证书或校准证书（若涉及）等资料的原件及电子扫描件），双方签署验收表，采购人收到中标人出具的合法票据后，达到付款条件起10日内以银行转账方式向中标人支付全额货款。</w:t>
            </w:r>
          </w:p>
        </w:tc>
      </w:tr>
    </w:tbl>
    <w:p w14:paraId="575EC6B7">
      <w:pPr>
        <w:jc w:val="left"/>
        <w:outlineLvl w:val="3"/>
        <w:rPr>
          <w:rFonts w:hint="eastAsia" w:ascii="Calibri" w:hAnsi="Calibri" w:eastAsia="宋体" w:cs="Times New Roman"/>
          <w:lang w:val="en-US" w:eastAsia="zh-Hans"/>
        </w:rPr>
      </w:pPr>
      <w:r>
        <w:rPr>
          <w:rFonts w:hint="eastAsia" w:ascii="仿宋_GB2312" w:hAnsi="仿宋_GB2312" w:eastAsia="仿宋_GB2312" w:cs="仿宋_GB2312"/>
          <w:b/>
          <w:sz w:val="24"/>
          <w:lang w:val="en-US" w:eastAsia="zh-Hans"/>
        </w:rPr>
        <w:t>3.3.2.商务要求</w:t>
      </w:r>
    </w:p>
    <w:p w14:paraId="69161E0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1A5A93C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4B4500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33E70FA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35AC7A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6EC5670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138292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6F774C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7A5C497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4D1550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36073E3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自合同签订之日起20个工作日内完成交货及安装调试</w:t>
            </w:r>
          </w:p>
        </w:tc>
      </w:tr>
      <w:tr w14:paraId="7AC020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0D19997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0ADAC89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13E9462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25B15E1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四川省第五人民医院指定地点</w:t>
            </w:r>
          </w:p>
        </w:tc>
      </w:tr>
      <w:tr w14:paraId="1E2B2AB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ED6937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52D6DB5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6CDE0B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38E2DBC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一次付清</w:t>
            </w:r>
          </w:p>
        </w:tc>
      </w:tr>
      <w:tr w14:paraId="6C5218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79E878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6D45CAA7">
            <w:pPr>
              <w:rPr>
                <w:rFonts w:ascii="Calibri" w:hAnsi="Calibri" w:eastAsia="宋体" w:cs="Times New Roman"/>
              </w:rPr>
            </w:pPr>
          </w:p>
        </w:tc>
        <w:tc>
          <w:tcPr>
            <w:tcW w:w="2076" w:type="dxa"/>
          </w:tcPr>
          <w:p w14:paraId="0B70614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403ED65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设备安装调试完成后，经采购人验收合格（中标方需提供产品合格证、保修卡、说明书、国家要求的计量检定证书或校准证书（若涉及）等资料的原件及电子扫描件），双方签署验收表，采购人收到中标人出具的合法票据后，达到付款条件起10日内，支付合同总金额的100.00%</w:t>
            </w:r>
          </w:p>
        </w:tc>
      </w:tr>
      <w:tr w14:paraId="511A0A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6F1093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6E09FE5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EFA0B9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3FDA834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【因系统固化原因，招标文件第二章“2.6.6.履约验收方案”中内容与此处不一致的，以此处要求为准】 一、验收组织方式：自行验收 二、是否邀请本项目的其他供应商：否 三、是否邀请专家：否 四、是否邀请服务对象：否 五、是否邀请第三方检测机构：否 六、履约验收程序：一次性验收 七、履约验收时间：验收条件说明：供应商提出验收申请，达到验收条件起7日内，验收合同总金额的100%； 八、验收组织的其他事项：无 九、技术履约验收内容：按照本项目招标文件中“技术、服务要求”及中标供应商投标文件进行验收。 十、商务履约验收内容：按照本项目招标文件中“商务要求”及中标供应商投标文件进行验收。 十一、履约验收标准：按国家有关规定以及招标文件的质量要求和技术指标、供应商的投标文件及承诺与合同约定标准进行验收；双方如对质量要求和技术指标的约定标准存在相互抵触或异议事项，按招标文件与投标文件中该项质量要求和技术指标比较优胜的原则确定验收标准；供应商在投标文件中已明确负偏离且经评审认可的，该项标准以其投标文件载明的负偏离内容为准，不再适用前述优胜比较原则。验收时如发现所交付的货物有短装、次品、损坏或其它不符合验收标准情形时，采购人应做出详尽的现场记录，或由采购人和供应商双方签署备忘录，此现场记录或备忘录可用作补充、缺失和更换损坏部件的有效证据，由此产生的时间延误与有关费用由供应商承担，验收期限相应顺延，但不免除供应商应承担的违约责任或赔偿责任。 十二、履约验收其他事项：1、验收主体：采购人 2、履约验收时间【因系统固化，本项七履约验收时间不适用本采购包，本包履约验收时间以此为准】：供应商提出验收申请之日起7日内组织验收。</w:t>
            </w:r>
          </w:p>
        </w:tc>
      </w:tr>
      <w:tr w14:paraId="66FC3CC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54466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4703925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FCCB96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6A66A42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1）质量保证期：自采购人验收合格之日后3年； 2）质保范围：整机质保。在质保期内，出现的质量问题能及时得到解决，若交付的货物与投标文件不符的，由中标方在7天内无条件、无偿更换，所造成的经济损失概由中标方全部负责。</w:t>
            </w:r>
          </w:p>
        </w:tc>
      </w:tr>
      <w:tr w14:paraId="678CA5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032AFB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40AFE1F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E1DF13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40DF8E1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【以下甲方指采购人，乙方指中标人】 1、甲方违约责任 （1）若乙方已完全履行合同约定的全部前置义务，且所交付货物完全符合合同约定的数量、质量、规格和交付时间，甲方无正当理由拒收货物的，甲方应偿付合同总价百分之十五的违约金。正当理由包括但不限于：乙方交付的货物不符合合同约定的数量、质量、规格，或未按约定时间交付等情形。 （2）甲方逾期支付货款的，除应及时付足货款外，应向乙方偿付欠款总额万分之五/天的违约金；逾期付款超过【15】天，且乙方已向甲方发出书面催告，且自催告送达之日起【7】日内甲方仍未支付货款的，乙方有权终止合同。 （3）甲方偿付的违约金不足以弥补乙方损失的，除非该等未弥补的损失系由甲方的故意或重大过失直接造成，甲方才就超出违约金部分承担赔偿责任；在非故意或重大过失情形下，甲方已支付的违约金应视为对乙方因该违约行为所受损失的足额补偿，双方不得就该部分另行主张赔偿。 2、乙方违约责任 （1）乙方交付的货物质量不符合合同规定的，乙方应向甲方支付合同总价的百分之十五的违约金，并须在甲方向乙方发出不合格通知之日起15日内更换合格的货物给甲方；逾期未更换的，视为乙方根本违约，甲方有权直接依据下述第（2）项关于乙方不能交付货物的约定追究乙方的违约责任并请求相应赔偿。 （2）乙方不能交付货物或逾期交付货物而违约的，除应及时交足货物外，应向甲方偿付逾期交货部分货款总额的万分之五/天的违约金；逾期交货超过15天，甲方有权终止合同，乙方则应按合同总价的15%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15天内无条件更换合格的货物，如逾期不能更换合格的货物，按照本 条本款第（2）项的约定承担违约责任。 （4）乙方保证本合同货物的权利无瑕疵，包括货物所有权及知识产权等权利无瑕疵。如任何第三方裁决有权对上述货物主张权利或国家机关依法对货物进行没收查处的，甲方有权选择解除合同或要求乙方在30日内排除权利障碍；甲方选择解除合同的，乙方除应向甲方返还已收款项外，还应另按合同总价的百分之二十向甲方支付违约金并赔偿因此给甲方造成的一切损失；甲方选择继续履行的，乙方应在30日内排除权利障碍，并按合同总价的20%向甲方支付违约金，因权利瑕疵造成的损失不足以弥补的，乙方仍应继续赔偿。 （5）乙方偿付的违约金不足以弥补甲方损失的，还应按甲方损失尚未弥补的部分，支付赔偿金给甲方。 3、争议解决办法 （1）因货物的质量问题发生争议，由质量技术监督部门或其指定的质量鉴定机构进行质量鉴定。货物符合标准的，鉴定费由甲方承担；货物不符合质量标准的，鉴定费由乙方承担。 （2）因本合同引起的或与本合同有关的任何争议，双方应协商解决；协商不成的，任何一方均有权向甲方所在地有管辖权的人民法院提起诉讼。</w:t>
            </w:r>
          </w:p>
        </w:tc>
      </w:tr>
      <w:tr w14:paraId="5F216D1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4F4E6B8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5BDA021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4AEC18F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3FD2301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供应商负责办理运输和装卸等，费用由供应商承担；若出现验收不合格的情况，供应商应无条件退货、返工，相关运输及装卸费用仍由供应商承担。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46A4790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采购包2：</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2076"/>
        <w:gridCol w:w="2076"/>
        <w:gridCol w:w="2076"/>
        <w:gridCol w:w="2076"/>
      </w:tblGrid>
      <w:tr w14:paraId="7B3781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39CE9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序号</w:t>
            </w:r>
          </w:p>
        </w:tc>
        <w:tc>
          <w:tcPr>
            <w:tcW w:w="2076" w:type="dxa"/>
          </w:tcPr>
          <w:p w14:paraId="7C7BBBC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符号标识</w:t>
            </w:r>
          </w:p>
        </w:tc>
        <w:tc>
          <w:tcPr>
            <w:tcW w:w="2076" w:type="dxa"/>
          </w:tcPr>
          <w:p w14:paraId="610BD7CA">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商务要求名称</w:t>
            </w:r>
          </w:p>
        </w:tc>
        <w:tc>
          <w:tcPr>
            <w:tcW w:w="2076" w:type="dxa"/>
          </w:tcPr>
          <w:p w14:paraId="3DBC7BDF">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商务要求内容</w:t>
            </w:r>
          </w:p>
        </w:tc>
      </w:tr>
      <w:tr w14:paraId="3E4F4F8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D6C284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w:t>
            </w:r>
          </w:p>
        </w:tc>
        <w:tc>
          <w:tcPr>
            <w:tcW w:w="2076" w:type="dxa"/>
          </w:tcPr>
          <w:p w14:paraId="088DA5A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1DF6E3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交货时间</w:t>
            </w:r>
          </w:p>
        </w:tc>
        <w:tc>
          <w:tcPr>
            <w:tcW w:w="2076" w:type="dxa"/>
          </w:tcPr>
          <w:p w14:paraId="53B4C3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自合同签订之日起20个工作日内完成交货及安装调试</w:t>
            </w:r>
          </w:p>
        </w:tc>
      </w:tr>
      <w:tr w14:paraId="7DC919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CC7E20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2</w:t>
            </w:r>
          </w:p>
        </w:tc>
        <w:tc>
          <w:tcPr>
            <w:tcW w:w="2076" w:type="dxa"/>
          </w:tcPr>
          <w:p w14:paraId="5B5C778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A9BBF73">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交货地点</w:t>
            </w:r>
          </w:p>
        </w:tc>
        <w:tc>
          <w:tcPr>
            <w:tcW w:w="2076" w:type="dxa"/>
          </w:tcPr>
          <w:p w14:paraId="747F093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四川省第五人民医院指定地点</w:t>
            </w:r>
          </w:p>
        </w:tc>
      </w:tr>
      <w:tr w14:paraId="61EE93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4776D6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3</w:t>
            </w:r>
          </w:p>
        </w:tc>
        <w:tc>
          <w:tcPr>
            <w:tcW w:w="2076" w:type="dxa"/>
          </w:tcPr>
          <w:p w14:paraId="46864CB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398269E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支付方式</w:t>
            </w:r>
          </w:p>
        </w:tc>
        <w:tc>
          <w:tcPr>
            <w:tcW w:w="2076" w:type="dxa"/>
          </w:tcPr>
          <w:p w14:paraId="61DF88B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一次付清</w:t>
            </w:r>
          </w:p>
        </w:tc>
      </w:tr>
      <w:tr w14:paraId="02C94F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1BDB2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4</w:t>
            </w:r>
          </w:p>
        </w:tc>
        <w:tc>
          <w:tcPr>
            <w:tcW w:w="2076" w:type="dxa"/>
          </w:tcPr>
          <w:p w14:paraId="0A257761">
            <w:pPr>
              <w:rPr>
                <w:rFonts w:ascii="Calibri" w:hAnsi="Calibri" w:eastAsia="宋体" w:cs="Times New Roman"/>
              </w:rPr>
            </w:pPr>
          </w:p>
        </w:tc>
        <w:tc>
          <w:tcPr>
            <w:tcW w:w="2076" w:type="dxa"/>
          </w:tcPr>
          <w:p w14:paraId="1B4ABAB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付款进度安排</w:t>
            </w:r>
          </w:p>
        </w:tc>
        <w:tc>
          <w:tcPr>
            <w:tcW w:w="2076" w:type="dxa"/>
          </w:tcPr>
          <w:p w14:paraId="2FA6FBA4">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设备安装调试完成后，经采购人验收合格（中标方需提供产品合格证、保修卡、说明书、国家要求的计量检定证书或校准证书（若涉及）等资料的原件及电子扫描件），双方签署验收表，采购人收到中标人出具的合法票据后，达到付款条件起10日内，支付合同总金额的100.00%</w:t>
            </w:r>
          </w:p>
        </w:tc>
      </w:tr>
      <w:tr w14:paraId="61A8A21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5E34D6D2">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5</w:t>
            </w:r>
          </w:p>
        </w:tc>
        <w:tc>
          <w:tcPr>
            <w:tcW w:w="2076" w:type="dxa"/>
          </w:tcPr>
          <w:p w14:paraId="22895AC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05B0477B">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验收、交付标准和方法</w:t>
            </w:r>
          </w:p>
        </w:tc>
        <w:tc>
          <w:tcPr>
            <w:tcW w:w="2076" w:type="dxa"/>
          </w:tcPr>
          <w:p w14:paraId="3327347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【因系统固化原因，招标文件第二章“2.6.6.履约验收方案”中内容与此处不一致的，以此处要求为准】 一、验收组织方式：自行验收 二、是否邀请本项目的其他供应商：否 三、是否邀请专家：否 四、是否邀请服务对象：否 五、是否邀请第三方检测机构：否 六、履约验收程序：一次性验收 七、履约验收时间：验收条件说明：供应商提出验收申请，达到验收条件起7日内，验收合同总金额的100%； 八、验收组织的其他事项：无 九、技术履约验收内容：按照本项目招标文件中“技术、服务要求”及中标供应商投标文件进行验收。 十、商务履约验收内容：按照本项目招标文件中“商务要求”及中标供应商投标文件进行验收。 十一、履约验收标准：按国家有关规定以及招标文件的质量要求和技术指标、供应商的投标文件及承诺与合同约定标准进行验收；双方如对质量要求和技术指标的约定标准存在相互抵触或异议事项，按招标文件与投标文件中该项质量要求和技术指标比较优胜的原则确定验收标准；供应商在投标文件中已明确负偏离且经评审认可的，该项标准以其投标文件载明的负偏离内容为准，不再适用前述优胜比较原则。验收时如发现所交付的货物有短装、次品、损坏或其它不符合验收标准情形时，采购人应做出详尽的现场记录，或由采购人和供应商双方签署备忘录，此现场记录或备忘录可用作补充、缺失和更换损坏部件的有效证据，由此产生的时间延误与有关费用由供应商承担，验收期限相应顺延，但不免除供应商应承担的违约责任或赔偿责任。 十二、履约验收其他事项：1、验收主体：采购人 2、履约验收时间【因系统固化，本项七履约验收时间不适用本采购包，本包履约验收时间以此为准】：供应商提出验收申请之日起7日内组织验收。</w:t>
            </w:r>
          </w:p>
        </w:tc>
      </w:tr>
      <w:tr w14:paraId="5846DE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22DAA6A0">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6</w:t>
            </w:r>
          </w:p>
        </w:tc>
        <w:tc>
          <w:tcPr>
            <w:tcW w:w="2076" w:type="dxa"/>
          </w:tcPr>
          <w:p w14:paraId="51C7477E">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7F0D7CF8">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质量保修范围和保修期</w:t>
            </w:r>
          </w:p>
        </w:tc>
        <w:tc>
          <w:tcPr>
            <w:tcW w:w="2076" w:type="dxa"/>
          </w:tcPr>
          <w:p w14:paraId="3ECCEDF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1）质量保证期：自采购人验收合格之日后2年； 2）质保范围：整机质保。在质保期内，出现的质量问题能及时得到解决，若交付的货物与投标文件不符的，由中标方在7天内无条件、无偿更换，所造成的经济损失概由中标方全部负责。</w:t>
            </w:r>
          </w:p>
        </w:tc>
      </w:tr>
      <w:tr w14:paraId="474305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2076" w:type="dxa"/>
          </w:tcPr>
          <w:p w14:paraId="049F1DAD">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7</w:t>
            </w:r>
          </w:p>
        </w:tc>
        <w:tc>
          <w:tcPr>
            <w:tcW w:w="2076" w:type="dxa"/>
          </w:tcPr>
          <w:p w14:paraId="408C99A7">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53F37E75">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违约责任与解决争议的方法</w:t>
            </w:r>
          </w:p>
        </w:tc>
        <w:tc>
          <w:tcPr>
            <w:tcW w:w="2076" w:type="dxa"/>
          </w:tcPr>
          <w:p w14:paraId="7E948B39">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【以下甲方指采购人，乙方指中标人】 1、甲方违约责任 （1）若乙方已完全履行合同约定的全部前置义务，且所交付货物完全符合合同约定的数量、质量、规格和交付时间，甲方无正当理由拒收货物的，甲方应偿付合同总价百分之十五的违约金。正当理由包括但不限于：乙方交付的货物不符合合同约定的数量、质量、规格，或未按约定时间交付等情形。 （2）甲方逾期支付货款的，除应及时付足货款外，应向乙方偿付欠款总额万分之五/天的违约金；逾期付款超过【15】天，且乙方已向甲方发出书面催告，且自催告送达之日起【7】日内甲方仍未支付货款的，乙方有权终止合同。 （3）甲方偿付的违约金不足以弥补乙方损失的，除非该等未弥补的损失系由甲方的故意或重大过失直接造成，甲方才就超出违约金部分承担赔偿责任；在非故意或重大过失情形下，甲方已支付的违约金应视为对乙方因该违约行为所受损失的足额补偿，双方不得就该部分另行主张赔偿。 2、乙方违约责任 （1）乙方交付的货物质量不符合合同规定的，乙方应向甲方支付合同总价的百分之十五的违约金，并须在甲方向乙方发出不合格通知之日起15日内更换合格的货物给甲方；逾期未更换的，视为乙方根本违约，甲方有权直接依据下述第（2）项关于乙方不能交付货物的约定追究乙方的违约责任并请求相应赔偿。 （2）乙方不能交付货物或逾期交付货物而违约的，除应及时交足货物外，应向甲方偿付逾期交货部分货款总额的万分之五/天的违约金；逾期交货超过15天，甲方有权终止合同，乙方则应按合同总价的15%的款额向甲方偿付赔偿金，并须全额退还甲方已经付给乙方的货款及其利息。 （3）乙方货物经甲方送交具有法定资格条件的质量技术监督机构检测后，如检测结果认定货物质量不符合本合同规定标准的，则视为乙方没有按时交货而违约，乙方须在15天内无条件更换合格的货物，如逾期不能更换合格的货物，按照本 条本款第（2）项的约定承担违约责任。 （4）乙方保证本合同货物的权利无瑕疵，包括货物所有权及知识产权等权利无瑕疵。如任何第三方裁决有权对上述货物主张权利或国家机关依法对货物进行没收查处的，甲方有权选择解除合同或要求乙方在30日内排除权利障碍；甲方选择解除合同的，乙方除应向甲方返还已收款项外，还应另按合同总价的百分之二十向甲方支付违约金并赔偿因此给甲方造成的一切损失；甲方选择继续履行的，乙方应在30日内排除权利障碍，并按合同总价的20%向甲方支付违约金，因权利瑕疵造成的损失不足以弥补的，乙方仍应继续赔偿。 （5）乙方偿付的违约金不足以弥补甲方损失的，还应按甲方损失尚未弥补的部分，支付赔偿金给甲方。 3、争议解决办法 （1）因货物的质量问题发生争议，由质量技术监督部门或其指定的质量鉴定机构进行质量鉴定。货物符合标准的，鉴定费由甲方承担；货物不符合质量标准的，鉴定费由乙方承担。 （2）因本合同引起的或与本合同有关的任何争议，双方应协商解决；协商不成的，任何一方均有权向甲方所在地有管辖权的人民法院提起诉讼。</w:t>
            </w:r>
          </w:p>
        </w:tc>
      </w:tr>
      <w:tr w14:paraId="41A48A2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2076" w:type="dxa"/>
          </w:tcPr>
          <w:p w14:paraId="35DE9E0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8</w:t>
            </w:r>
          </w:p>
        </w:tc>
        <w:tc>
          <w:tcPr>
            <w:tcW w:w="2076" w:type="dxa"/>
          </w:tcPr>
          <w:p w14:paraId="7CA92546">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w:t>
            </w:r>
          </w:p>
        </w:tc>
        <w:tc>
          <w:tcPr>
            <w:tcW w:w="2076" w:type="dxa"/>
          </w:tcPr>
          <w:p w14:paraId="6FC7745C">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包装方式及运输</w:t>
            </w:r>
          </w:p>
        </w:tc>
        <w:tc>
          <w:tcPr>
            <w:tcW w:w="2076" w:type="dxa"/>
          </w:tcPr>
          <w:p w14:paraId="2F0DECB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由供应商负责办理运输和装卸等，费用由供应商承担；若出现验收不合格的情况，供应商应无条件退货、返工，相关运输及装卸费用仍由供应商承担。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2C99BCB6">
      <w:pPr>
        <w:jc w:val="left"/>
        <w:outlineLvl w:val="2"/>
        <w:rPr>
          <w:rFonts w:hint="eastAsia" w:ascii="Calibri" w:hAnsi="Calibri" w:eastAsia="宋体" w:cs="Times New Roman"/>
          <w:lang w:val="en-US" w:eastAsia="zh-Hans"/>
        </w:rPr>
      </w:pPr>
      <w:r>
        <w:rPr>
          <w:rFonts w:hint="eastAsia" w:ascii="仿宋_GB2312" w:hAnsi="仿宋_GB2312" w:eastAsia="仿宋_GB2312" w:cs="仿宋_GB2312"/>
          <w:b/>
          <w:sz w:val="28"/>
          <w:lang w:val="en-US" w:eastAsia="zh-Hans"/>
        </w:rPr>
        <w:t>3.4.其他要求</w:t>
      </w:r>
    </w:p>
    <w:p w14:paraId="1D33AC91">
      <w:pPr>
        <w:jc w:val="left"/>
        <w:rPr>
          <w:rFonts w:hint="eastAsia" w:ascii="Calibri" w:hAnsi="Calibri" w:eastAsia="宋体" w:cs="Times New Roman"/>
          <w:lang w:val="en-US" w:eastAsia="zh-Hans"/>
        </w:rPr>
      </w:pPr>
      <w:r>
        <w:rPr>
          <w:rFonts w:hint="eastAsia" w:ascii="仿宋_GB2312" w:hAnsi="仿宋_GB2312" w:eastAsia="仿宋_GB2312" w:cs="仿宋_GB2312"/>
          <w:lang w:val="en-US" w:eastAsia="zh-Hans"/>
        </w:rPr>
        <w:t>【因系统固化原因，此处内容仅作告知说明，供应商无需单独应答，按要求制作投标文件内容即可】 1、未载明或者载明的标的名称、数量、计量单位及其他政府采购合同实质性内容与采购文件要求不一致，且采购单位无法接受的，属于无效响应。 2、非特定美国企业生产产品（实质性要求）：根据《关于在政府采购活动中对有关美国企业采取相关措施的通知》（财库〔2026〕10号）规定，供应商不得提供该通知中所列46家美国企业（不包括在华美资企业）生产的产品，否则投标（响应）无效。</w:t>
      </w:r>
    </w:p>
    <w:p w14:paraId="7ABF411E">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CE35F1"/>
    <w:rsid w:val="55CE35F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19</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2026-06-25T06:32:00Z</dcterms:created>
  <dc:creator>Lucky</dc:creator>
  <cp:lastModifiedBy>Lucky</cp:lastModifiedBy>
  <dcterms:modified xsi:type="dcterms:W3CDTF">2026-06-25T06:33:32Z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039C0839AF7C4F2EAB5136CA33DFA769_11</vt:lpwstr>
  </property>
  <property fmtid="{D5CDD505-2E9C-101B-9397-08002B2CF9AE}" pid="4" name="KSOTemplateDocerSaveRecord">
    <vt:lpwstr>eyJoZGlkIjoiZGU3MGRmMjY3NmY4OWQ0OGMyYWY3ODE1NGExNWEzY2IiLCJ1c2VySWQiOiIxMTMxNDMyOTI1In0=</vt:lpwstr>
  </property>
</Properties>
</file>