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DDF78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kern w:val="44"/>
          <w:sz w:val="48"/>
          <w:szCs w:val="20"/>
          <w:highlight w:val="none"/>
        </w:rPr>
      </w:pPr>
      <w:bookmarkStart w:id="0" w:name="_Toc129880039"/>
      <w:r>
        <w:rPr>
          <w:rFonts w:hint="eastAsia" w:ascii="宋体" w:hAnsi="宋体"/>
          <w:b/>
          <w:sz w:val="30"/>
          <w:szCs w:val="30"/>
          <w:highlight w:val="none"/>
        </w:rPr>
        <w:t>第八部分 采购需求</w:t>
      </w:r>
      <w:bookmarkEnd w:id="0"/>
    </w:p>
    <w:p w14:paraId="5C7DEB3A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货物需求一览表</w:t>
      </w:r>
    </w:p>
    <w:p w14:paraId="124C4149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tbl>
      <w:tblPr>
        <w:tblStyle w:val="4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67C6E7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68255B86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1B79E89C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1D59A4FA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3F98D900">
            <w:pPr>
              <w:jc w:val="center"/>
              <w:rPr>
                <w:rFonts w:hint="default" w:ascii="宋体" w:hAnsi="Bookman Old Style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Bookman Old Style"/>
                <w:sz w:val="24"/>
                <w:highlight w:val="none"/>
                <w:lang w:val="en-US" w:eastAsia="zh-CN"/>
              </w:rPr>
              <w:t>是否接受进口</w:t>
            </w:r>
          </w:p>
        </w:tc>
      </w:tr>
      <w:tr w14:paraId="4F5E66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62A02466">
            <w:pPr>
              <w:jc w:val="center"/>
              <w:rPr>
                <w:rFonts w:hint="eastAsia" w:asci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36A857DD">
            <w:pPr>
              <w:jc w:val="center"/>
              <w:rPr>
                <w:rFonts w:hint="eastAsia" w:ascii="Bookman Old Style" w:hAnsi="Bookman Old Style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Bookman Old Style" w:hAnsi="Bookman Old Style"/>
                <w:sz w:val="24"/>
                <w:highlight w:val="none"/>
                <w:lang w:eastAsia="zh-CN"/>
              </w:rPr>
              <w:t>自动化后处理系统</w:t>
            </w:r>
          </w:p>
        </w:tc>
        <w:tc>
          <w:tcPr>
            <w:tcW w:w="1329" w:type="dxa"/>
            <w:noWrap w:val="0"/>
            <w:vAlign w:val="center"/>
          </w:tcPr>
          <w:p w14:paraId="0A5B8F0D">
            <w:pPr>
              <w:jc w:val="center"/>
              <w:rPr>
                <w:rFonts w:hint="default" w:ascii="宋体" w:hAnsi="Bookman Old Style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Bookman Old Style"/>
                <w:sz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3687E1B5">
            <w:pPr>
              <w:jc w:val="center"/>
              <w:rPr>
                <w:rFonts w:hint="default" w:ascii="宋体" w:hAnsi="Bookman Old Style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Bookman Old Style"/>
                <w:sz w:val="24"/>
                <w:highlight w:val="none"/>
                <w:lang w:val="en-US" w:eastAsia="zh-CN"/>
              </w:rPr>
              <w:t>否</w:t>
            </w:r>
          </w:p>
        </w:tc>
      </w:tr>
    </w:tbl>
    <w:p w14:paraId="5D511323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p w14:paraId="33A6877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p w14:paraId="6F22E7B3">
      <w:pPr>
        <w:rPr>
          <w:rFonts w:hint="eastAsia" w:ascii="Bookman Old Style" w:hAnsi="Bookman Old Style"/>
          <w:sz w:val="24"/>
          <w:highlight w:val="none"/>
        </w:rPr>
      </w:pPr>
      <w:r>
        <w:rPr>
          <w:rFonts w:hint="eastAsia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  <w:highlight w:val="none"/>
        </w:rPr>
        <w:t>不完整的投标将视为非响应性投标予以拒绝。</w:t>
      </w:r>
    </w:p>
    <w:p w14:paraId="5B4787B9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1E9FEC49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13AD509C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02923AA4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一、总则</w:t>
      </w:r>
    </w:p>
    <w:p w14:paraId="793A1E13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szCs w:val="28"/>
          <w:highlight w:val="none"/>
        </w:rPr>
        <w:t>1</w:t>
      </w:r>
      <w:r>
        <w:rPr>
          <w:rFonts w:hint="eastAsia" w:ascii="宋体" w:hAnsi="宋体"/>
          <w:b/>
          <w:sz w:val="28"/>
          <w:szCs w:val="28"/>
          <w:highlight w:val="none"/>
        </w:rPr>
        <w:t>、投标要求</w:t>
      </w:r>
    </w:p>
    <w:p w14:paraId="01290C84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 xml:space="preserve">1.1 </w:t>
      </w:r>
      <w:r>
        <w:rPr>
          <w:rFonts w:hint="eastAsia" w:ascii="宋体" w:hAnsi="宋体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37EBCEE0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5A0EBBAC">
      <w:pPr>
        <w:spacing w:line="360" w:lineRule="auto"/>
        <w:ind w:left="554" w:hanging="554" w:hangingChars="231"/>
        <w:rPr>
          <w:rFonts w:hint="eastAsia" w:asci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1.3  </w:t>
      </w:r>
      <w:r>
        <w:rPr>
          <w:rFonts w:hint="eastAsia"/>
          <w:sz w:val="24"/>
          <w:highlight w:val="none"/>
        </w:rPr>
        <w:t>投标人提供的</w:t>
      </w:r>
      <w:r>
        <w:rPr>
          <w:rFonts w:hint="eastAsia" w:ascii="宋体"/>
          <w:sz w:val="24"/>
          <w:highlight w:val="none"/>
        </w:rPr>
        <w:t>产品</w:t>
      </w:r>
      <w:r>
        <w:rPr>
          <w:rFonts w:hint="eastAsia"/>
          <w:sz w:val="24"/>
          <w:highlight w:val="none"/>
        </w:rPr>
        <w:t>样本，必须是“原件”而非复印件，</w:t>
      </w:r>
      <w:r>
        <w:rPr>
          <w:rFonts w:hint="eastAsia" w:ascii="宋体"/>
          <w:sz w:val="24"/>
          <w:highlight w:val="none"/>
        </w:rPr>
        <w:t>图表、简图、电路图以及印刷电路板图等都应</w:t>
      </w:r>
      <w:r>
        <w:rPr>
          <w:rFonts w:hint="eastAsia"/>
          <w:sz w:val="24"/>
          <w:highlight w:val="none"/>
        </w:rPr>
        <w:t>清晰易读。买方有权</w:t>
      </w:r>
      <w:r>
        <w:rPr>
          <w:rFonts w:hint="eastAsia" w:ascii="宋体"/>
          <w:sz w:val="24"/>
          <w:highlight w:val="none"/>
        </w:rPr>
        <w:t>不付任何附加费用</w:t>
      </w:r>
      <w:r>
        <w:rPr>
          <w:rFonts w:hint="eastAsia"/>
          <w:sz w:val="24"/>
          <w:highlight w:val="none"/>
        </w:rPr>
        <w:t>复制这些资料</w:t>
      </w:r>
      <w:r>
        <w:rPr>
          <w:rFonts w:hint="eastAsia" w:ascii="宋体"/>
          <w:sz w:val="24"/>
          <w:highlight w:val="none"/>
        </w:rPr>
        <w:t>以供参考。</w:t>
      </w:r>
    </w:p>
    <w:p w14:paraId="6E5B80C6">
      <w:pPr>
        <w:spacing w:line="360" w:lineRule="auto"/>
        <w:ind w:left="554" w:hanging="554" w:hangingChars="231"/>
        <w:rPr>
          <w:rFonts w:hint="eastAsia"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1.4  投标人的投标产品应符合国家有关部门规定的相应技术、</w:t>
      </w:r>
      <w:r>
        <w:rPr>
          <w:rFonts w:hint="eastAsia" w:ascii="宋体"/>
          <w:sz w:val="24"/>
          <w:highlight w:val="none"/>
          <w:lang w:val="en-US" w:eastAsia="zh-CN"/>
        </w:rPr>
        <w:t>计量、</w:t>
      </w:r>
      <w:r>
        <w:rPr>
          <w:rFonts w:hint="eastAsia" w:ascii="宋体"/>
          <w:sz w:val="24"/>
          <w:highlight w:val="none"/>
        </w:rPr>
        <w:t>节能、安全和环保</w:t>
      </w:r>
      <w:r>
        <w:rPr>
          <w:rFonts w:hint="eastAsia" w:ascii="宋体"/>
          <w:sz w:val="24"/>
          <w:highlight w:val="none"/>
          <w:lang w:val="en-US" w:eastAsia="zh-CN"/>
        </w:rPr>
        <w:t>法规及</w:t>
      </w:r>
      <w:r>
        <w:rPr>
          <w:rFonts w:hint="eastAsia" w:ascii="宋体"/>
          <w:sz w:val="24"/>
          <w:highlight w:val="none"/>
        </w:rPr>
        <w:t>标准；如国家有关部门对投标人的投标产品有强制性规定或要求的，则投标人的投标产品必须符合相应规定或要求</w:t>
      </w:r>
      <w:r>
        <w:rPr>
          <w:rFonts w:hint="eastAsia" w:ascii="宋体"/>
          <w:sz w:val="24"/>
          <w:highlight w:val="none"/>
          <w:lang w:eastAsia="zh-CN"/>
        </w:rPr>
        <w:t>，</w:t>
      </w:r>
      <w:r>
        <w:rPr>
          <w:rFonts w:hint="eastAsia" w:ascii="宋体"/>
          <w:sz w:val="24"/>
          <w:highlight w:val="none"/>
          <w:lang w:val="en-US" w:eastAsia="zh-CN"/>
        </w:rPr>
        <w:t>投标人须提供相关证明文件的复印件</w:t>
      </w:r>
      <w:r>
        <w:rPr>
          <w:rFonts w:hint="eastAsia" w:ascii="宋体"/>
          <w:sz w:val="24"/>
          <w:highlight w:val="none"/>
        </w:rPr>
        <w:t>。</w:t>
      </w:r>
    </w:p>
    <w:p w14:paraId="395F14CD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2、评标标准</w:t>
      </w:r>
    </w:p>
    <w:p w14:paraId="586F0FCC">
      <w:pPr>
        <w:spacing w:line="360" w:lineRule="auto"/>
        <w:ind w:left="554" w:hanging="554" w:hangingChars="231"/>
        <w:rPr>
          <w:rFonts w:hint="eastAsia" w:asci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 xml:space="preserve">1  </w:t>
      </w:r>
      <w:r>
        <w:rPr>
          <w:rFonts w:hint="eastAsia"/>
          <w:sz w:val="24"/>
          <w:highlight w:val="none"/>
        </w:rPr>
        <w:t>除招标文件中指定的附件和专用工具外，</w:t>
      </w:r>
      <w:r>
        <w:rPr>
          <w:rFonts w:hint="eastAsia" w:ascii="宋体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sz w:val="24"/>
          <w:highlight w:val="none"/>
        </w:rPr>
        <w:t>和消耗品</w:t>
      </w:r>
      <w:r>
        <w:rPr>
          <w:rFonts w:hint="eastAsia" w:ascii="宋体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4006B930">
      <w:pPr>
        <w:spacing w:line="360" w:lineRule="auto"/>
        <w:ind w:left="554" w:hanging="554" w:hangingChars="231"/>
        <w:rPr>
          <w:rFonts w:hint="eastAsia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2.2  </w:t>
      </w:r>
      <w:r>
        <w:rPr>
          <w:rFonts w:hint="eastAsia"/>
          <w:sz w:val="24"/>
          <w:highlight w:val="none"/>
        </w:rPr>
        <w:t>对于标书</w:t>
      </w:r>
      <w:r>
        <w:rPr>
          <w:rFonts w:hint="eastAsia" w:ascii="宋体"/>
          <w:sz w:val="24"/>
          <w:highlight w:val="none"/>
        </w:rPr>
        <w:t>技术规范中已列</w:t>
      </w:r>
      <w:r>
        <w:rPr>
          <w:rFonts w:hint="eastAsia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06260EBC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  <w:highlight w:val="none"/>
        </w:rPr>
        <w:t>60</w:t>
      </w:r>
      <w:r>
        <w:rPr>
          <w:rFonts w:hint="eastAsia" w:ascii="宋体" w:hAnsi="宋体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F9E54DB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</w:t>
      </w:r>
      <w:r>
        <w:rPr>
          <w:rFonts w:ascii="宋体" w:hAnsi="宋体"/>
          <w:sz w:val="24"/>
          <w:highlight w:val="none"/>
        </w:rPr>
        <w:t>.</w:t>
      </w:r>
      <w:r>
        <w:rPr>
          <w:rFonts w:hint="eastAsia" w:ascii="宋体" w:hAnsi="宋体"/>
          <w:sz w:val="24"/>
          <w:highlight w:val="none"/>
        </w:rPr>
        <w:t>4</w:t>
      </w:r>
      <w:r>
        <w:rPr>
          <w:rFonts w:ascii="宋体" w:hAnsi="宋体"/>
          <w:sz w:val="24"/>
          <w:highlight w:val="none"/>
        </w:rPr>
        <w:t xml:space="preserve"> </w:t>
      </w:r>
      <w:r>
        <w:rPr>
          <w:rFonts w:hint="eastAsia" w:ascii="宋体" w:hAnsi="宋体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74C64E1F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7D6C7F6A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3、工作条件</w:t>
      </w:r>
    </w:p>
    <w:p w14:paraId="15F347DA">
      <w:pPr>
        <w:spacing w:after="312" w:afterLines="100"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sz w:val="24"/>
          <w:highlight w:val="none"/>
        </w:rPr>
        <w:t xml:space="preserve"> </w:t>
      </w:r>
    </w:p>
    <w:p w14:paraId="2B52967C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3.1  适于在气温为摄氏</w:t>
      </w:r>
      <w:r>
        <w:rPr>
          <w:rFonts w:ascii="宋体" w:hAnsi="宋体"/>
          <w:b/>
          <w:sz w:val="24"/>
          <w:highlight w:val="none"/>
        </w:rPr>
        <w:t>-40</w:t>
      </w:r>
      <w:r>
        <w:rPr>
          <w:rFonts w:hint="eastAsia" w:ascii="宋体" w:hAnsi="宋体"/>
          <w:b/>
          <w:sz w:val="24"/>
          <w:highlight w:val="none"/>
        </w:rPr>
        <w:t>℃～＋</w:t>
      </w:r>
      <w:r>
        <w:rPr>
          <w:rFonts w:ascii="宋体" w:hAnsi="宋体"/>
          <w:b/>
          <w:sz w:val="24"/>
          <w:highlight w:val="none"/>
        </w:rPr>
        <w:t>50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和相对湿度为</w:t>
      </w:r>
      <w:r>
        <w:rPr>
          <w:rFonts w:ascii="宋体" w:hAnsi="宋体"/>
          <w:b/>
          <w:sz w:val="24"/>
          <w:highlight w:val="none"/>
        </w:rPr>
        <w:t>90</w:t>
      </w:r>
      <w:r>
        <w:rPr>
          <w:rFonts w:hint="eastAsia" w:ascii="宋体" w:hAnsi="宋体"/>
          <w:b/>
          <w:sz w:val="24"/>
          <w:highlight w:val="none"/>
        </w:rPr>
        <w:t>％</w:t>
      </w:r>
      <w:r>
        <w:rPr>
          <w:rFonts w:hint="eastAsia" w:ascii="宋体" w:hAnsi="宋体"/>
          <w:sz w:val="24"/>
          <w:highlight w:val="none"/>
        </w:rPr>
        <w:t>的环境条件下运输和贮存。</w:t>
      </w:r>
    </w:p>
    <w:p w14:paraId="7DD2C664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3.2  适于在电源</w:t>
      </w:r>
      <w:r>
        <w:rPr>
          <w:rFonts w:ascii="宋体" w:hAnsi="宋体"/>
          <w:b/>
          <w:sz w:val="24"/>
          <w:highlight w:val="none"/>
        </w:rPr>
        <w:t>220V</w:t>
      </w:r>
      <w:r>
        <w:rPr>
          <w:rFonts w:hint="eastAsia" w:ascii="宋体" w:hAnsi="宋体"/>
          <w:b/>
          <w:sz w:val="24"/>
          <w:highlight w:val="none"/>
        </w:rPr>
        <w:t>（</w:t>
      </w:r>
      <w:r>
        <w:rPr>
          <w:rFonts w:ascii="宋体" w:hAnsi="宋体"/>
          <w:b/>
          <w:sz w:val="24"/>
          <w:highlight w:val="none"/>
        </w:rPr>
        <w:sym w:font="Symbol" w:char="F0B1"/>
      </w:r>
      <w:r>
        <w:rPr>
          <w:rFonts w:ascii="宋体" w:hAnsi="宋体"/>
          <w:b/>
          <w:sz w:val="24"/>
          <w:highlight w:val="none"/>
        </w:rPr>
        <w:t>10</w:t>
      </w:r>
      <w:r>
        <w:rPr>
          <w:rFonts w:hint="eastAsia" w:ascii="宋体" w:hAnsi="宋体"/>
          <w:b/>
          <w:sz w:val="24"/>
          <w:highlight w:val="none"/>
        </w:rPr>
        <w:t>％）</w:t>
      </w:r>
      <w:r>
        <w:rPr>
          <w:rFonts w:ascii="宋体" w:hAnsi="宋体"/>
          <w:b/>
          <w:sz w:val="24"/>
          <w:highlight w:val="none"/>
        </w:rPr>
        <w:t>/50Hz</w:t>
      </w:r>
      <w:r>
        <w:rPr>
          <w:rFonts w:hint="eastAsia" w:ascii="宋体" w:hAnsi="宋体"/>
          <w:sz w:val="24"/>
          <w:highlight w:val="none"/>
        </w:rPr>
        <w:t>、气温摄氏</w:t>
      </w:r>
      <w:r>
        <w:rPr>
          <w:rFonts w:hint="eastAsia" w:ascii="宋体" w:hAnsi="宋体"/>
          <w:b/>
          <w:sz w:val="24"/>
          <w:highlight w:val="none"/>
        </w:rPr>
        <w:t>+1</w:t>
      </w:r>
      <w:r>
        <w:rPr>
          <w:rFonts w:ascii="宋体" w:hAnsi="宋体"/>
          <w:b/>
          <w:sz w:val="24"/>
          <w:highlight w:val="none"/>
        </w:rPr>
        <w:t>5</w:t>
      </w:r>
      <w:r>
        <w:rPr>
          <w:rFonts w:hint="eastAsia" w:ascii="宋体" w:hAnsi="宋体"/>
          <w:b/>
          <w:sz w:val="24"/>
          <w:highlight w:val="none"/>
        </w:rPr>
        <w:t>℃～＋3</w:t>
      </w:r>
      <w:r>
        <w:rPr>
          <w:rFonts w:ascii="宋体" w:hAnsi="宋体"/>
          <w:b/>
          <w:sz w:val="24"/>
          <w:highlight w:val="none"/>
        </w:rPr>
        <w:t>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和相对湿度小于</w:t>
      </w:r>
      <w:r>
        <w:rPr>
          <w:rFonts w:ascii="宋体" w:hAnsi="宋体"/>
          <w:b/>
          <w:sz w:val="24"/>
          <w:highlight w:val="none"/>
        </w:rPr>
        <w:t>8</w:t>
      </w:r>
      <w:r>
        <w:rPr>
          <w:rFonts w:hint="eastAsia" w:ascii="宋体" w:hAnsi="宋体"/>
          <w:b/>
          <w:sz w:val="24"/>
          <w:highlight w:val="none"/>
        </w:rPr>
        <w:t>0％</w:t>
      </w:r>
      <w:r>
        <w:rPr>
          <w:rFonts w:hint="eastAsia" w:ascii="宋体" w:hAnsi="宋体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sz w:val="24"/>
          <w:highlight w:val="none"/>
        </w:rPr>
        <w:t>能够连续正常工作。</w:t>
      </w:r>
    </w:p>
    <w:p w14:paraId="52C9CA54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sz w:val="24"/>
          <w:highlight w:val="none"/>
        </w:rPr>
        <w:t>提供适当的转</w:t>
      </w:r>
      <w:r>
        <w:rPr>
          <w:rFonts w:hint="eastAsia" w:ascii="宋体" w:hAnsi="宋体"/>
          <w:sz w:val="24"/>
          <w:highlight w:val="none"/>
        </w:rPr>
        <w:t>换插座。</w:t>
      </w:r>
    </w:p>
    <w:p w14:paraId="33FC5BB4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3D8A238">
      <w:pPr>
        <w:rPr>
          <w:rFonts w:hint="eastAsia" w:eastAsia="黑体"/>
          <w:b/>
          <w:bCs/>
          <w:kern w:val="44"/>
          <w:sz w:val="24"/>
          <w:highlight w:val="none"/>
        </w:rPr>
      </w:pPr>
    </w:p>
    <w:p w14:paraId="12C2E89D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4、验收标准</w:t>
      </w:r>
    </w:p>
    <w:p w14:paraId="3A28B74D">
      <w:pPr>
        <w:spacing w:after="312" w:afterLines="100"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sz w:val="24"/>
          <w:highlight w:val="none"/>
        </w:rPr>
        <w:t xml:space="preserve"> </w:t>
      </w:r>
    </w:p>
    <w:p w14:paraId="7F25593C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如卖方届时不派人来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买方有权要求卖方负责更换。</w:t>
      </w:r>
    </w:p>
    <w:p w14:paraId="3E45C34F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4.2  </w:t>
      </w:r>
      <w:r>
        <w:rPr>
          <w:rFonts w:hint="eastAsia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5BD350F9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4.3  </w:t>
      </w:r>
      <w:r>
        <w:rPr>
          <w:rFonts w:ascii="宋体" w:hAnsi="宋体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550C8065">
      <w:pPr>
        <w:pStyle w:val="3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  <w:highlight w:val="none"/>
        </w:rPr>
      </w:pPr>
    </w:p>
    <w:p w14:paraId="68E80087">
      <w:pPr>
        <w:adjustRightInd w:val="0"/>
        <w:snapToGrid w:val="0"/>
        <w:spacing w:line="360" w:lineRule="auto"/>
        <w:rPr>
          <w:rFonts w:hint="eastAsia" w:hAnsi="宋体"/>
          <w:b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5、本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val="en-US" w:eastAsia="zh-CN"/>
        </w:rPr>
        <w:t>采购需求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书中标注“★”号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val="en-US" w:eastAsia="zh-CN"/>
        </w:rPr>
        <w:t>技术条款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的为实质性要求，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val="en-US" w:eastAsia="zh-CN"/>
        </w:rPr>
        <w:t>不满足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其</w:t>
      </w:r>
      <w:r>
        <w:rPr>
          <w:rFonts w:hint="eastAsia"/>
          <w:b/>
          <w:bCs/>
          <w:sz w:val="24"/>
          <w:highlight w:val="none"/>
        </w:rPr>
        <w:t>投标</w:t>
      </w:r>
      <w:r>
        <w:rPr>
          <w:rFonts w:hint="eastAsia"/>
          <w:b/>
          <w:bCs/>
          <w:sz w:val="24"/>
          <w:highlight w:val="none"/>
          <w:lang w:val="en-US" w:eastAsia="zh-CN"/>
        </w:rPr>
        <w:t>将视为无效投标被</w:t>
      </w:r>
      <w:r>
        <w:rPr>
          <w:rFonts w:hint="eastAsia"/>
          <w:b/>
          <w:bCs/>
          <w:sz w:val="24"/>
          <w:highlight w:val="none"/>
        </w:rPr>
        <w:t>拒绝。</w:t>
      </w:r>
    </w:p>
    <w:p w14:paraId="3D0986D5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  <w:highlight w:val="none"/>
        </w:rPr>
      </w:pPr>
    </w:p>
    <w:p w14:paraId="388B713A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6、如在具体技术规格中有本总则不一致之处，以具体技术规格中的要求为准。</w:t>
      </w:r>
    </w:p>
    <w:p w14:paraId="24F54BB1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二、具体技术规格</w:t>
      </w:r>
    </w:p>
    <w:p w14:paraId="091203A4">
      <w:pPr>
        <w:jc w:val="center"/>
        <w:rPr>
          <w:rFonts w:hint="eastAsia" w:eastAsia="宋体"/>
          <w:b/>
          <w:sz w:val="24"/>
          <w:highlight w:val="none"/>
          <w:lang w:eastAsia="zh-CN"/>
        </w:rPr>
      </w:pPr>
      <w:r>
        <w:rPr>
          <w:rFonts w:hint="eastAsia"/>
          <w:b/>
          <w:sz w:val="24"/>
          <w:highlight w:val="none"/>
          <w:lang w:val="en-US" w:eastAsia="zh-CN"/>
        </w:rPr>
        <w:t xml:space="preserve">第1包 </w:t>
      </w:r>
      <w:r>
        <w:rPr>
          <w:rFonts w:hint="eastAsia"/>
          <w:b/>
          <w:sz w:val="24"/>
          <w:highlight w:val="none"/>
          <w:lang w:eastAsia="zh-CN"/>
        </w:rPr>
        <w:t>自动化后处理系统</w:t>
      </w:r>
    </w:p>
    <w:p w14:paraId="43AD3264">
      <w:pPr>
        <w:rPr>
          <w:rFonts w:hint="eastAsia"/>
          <w:b/>
          <w:sz w:val="24"/>
          <w:highlight w:val="none"/>
        </w:rPr>
      </w:pPr>
    </w:p>
    <w:p w14:paraId="13CBF2C0">
      <w:pPr>
        <w:rPr>
          <w:rFonts w:hint="eastAsia"/>
          <w:b/>
          <w:sz w:val="24"/>
          <w:highlight w:val="none"/>
        </w:rPr>
      </w:pPr>
    </w:p>
    <w:p w14:paraId="359E85A1">
      <w:pPr>
        <w:numPr>
          <w:ilvl w:val="0"/>
          <w:numId w:val="1"/>
        </w:numPr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技术要求：</w:t>
      </w:r>
    </w:p>
    <w:p w14:paraId="444C22AD">
      <w:pPr>
        <w:rPr>
          <w:b/>
          <w:sz w:val="24"/>
          <w:highlight w:val="none"/>
        </w:rPr>
      </w:pPr>
    </w:p>
    <w:p w14:paraId="3161CCB6">
      <w:pPr>
        <w:numPr>
          <w:ilvl w:val="0"/>
          <w:numId w:val="2"/>
        </w:num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工作条件：</w:t>
      </w:r>
    </w:p>
    <w:p w14:paraId="71E8561A">
      <w:pPr>
        <w:spacing w:line="360" w:lineRule="auto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1</w:t>
      </w:r>
      <w:r>
        <w:rPr>
          <w:sz w:val="24"/>
          <w:highlight w:val="none"/>
        </w:rPr>
        <w:t>.1</w:t>
      </w:r>
      <w:r>
        <w:rPr>
          <w:rFonts w:hint="eastAsia"/>
          <w:sz w:val="24"/>
          <w:highlight w:val="none"/>
        </w:rPr>
        <w:t xml:space="preserve"> 见总则第3条。</w:t>
      </w:r>
    </w:p>
    <w:p w14:paraId="7762D860">
      <w:pPr>
        <w:spacing w:line="360" w:lineRule="auto"/>
        <w:ind w:left="435" w:firstLine="240"/>
        <w:rPr>
          <w:rFonts w:hint="eastAsia"/>
          <w:sz w:val="24"/>
          <w:highlight w:val="none"/>
        </w:rPr>
      </w:pPr>
    </w:p>
    <w:p w14:paraId="5BC1F994">
      <w:pPr>
        <w:numPr>
          <w:ilvl w:val="0"/>
          <w:numId w:val="2"/>
        </w:num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设备用途：</w:t>
      </w:r>
    </w:p>
    <w:p w14:paraId="47BFA03C">
      <w:pPr>
        <w:spacing w:line="360" w:lineRule="auto"/>
        <w:rPr>
          <w:rFonts w:hint="default"/>
          <w:sz w:val="24"/>
          <w:highlight w:val="none"/>
        </w:rPr>
      </w:pPr>
      <w:bookmarkStart w:id="1" w:name="_GoBack"/>
      <w:bookmarkEnd w:id="1"/>
      <w:r>
        <w:rPr>
          <w:rFonts w:hint="eastAsia"/>
          <w:sz w:val="24"/>
          <w:highlight w:val="none"/>
        </w:rPr>
        <w:t xml:space="preserve">   </w:t>
      </w:r>
      <w:r>
        <w:rPr>
          <w:rFonts w:hint="default"/>
          <w:sz w:val="24"/>
          <w:highlight w:val="none"/>
        </w:rPr>
        <w:t>用于聚酰亚胺智能创制的后处理步骤升级。</w:t>
      </w:r>
    </w:p>
    <w:p w14:paraId="3E8C875B">
      <w:pPr>
        <w:spacing w:line="360" w:lineRule="auto"/>
        <w:rPr>
          <w:rFonts w:hint="eastAsia"/>
          <w:sz w:val="24"/>
          <w:highlight w:val="none"/>
        </w:rPr>
      </w:pPr>
    </w:p>
    <w:p w14:paraId="38768472">
      <w:pPr>
        <w:numPr>
          <w:ilvl w:val="0"/>
          <w:numId w:val="2"/>
        </w:numPr>
        <w:spacing w:line="360" w:lineRule="auto"/>
        <w:rPr>
          <w:rFonts w:hint="eastAsia"/>
          <w:b/>
          <w:bCs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技术规格：</w:t>
      </w:r>
    </w:p>
    <w:p w14:paraId="165E8D33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聚合物胶液喷雾析出模块</w:t>
      </w:r>
    </w:p>
    <w:p w14:paraId="5E5351CA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最大允许粘度：&gt;1000cP。</w:t>
      </w:r>
    </w:p>
    <w:p w14:paraId="01B96520">
      <w:pPr>
        <w:numPr>
          <w:ilvl w:val="0"/>
          <w:numId w:val="4"/>
        </w:numPr>
        <w:tabs>
          <w:tab w:val="left" w:pos="0"/>
        </w:tabs>
        <w:spacing w:line="360" w:lineRule="auto"/>
        <w:ind w:left="420" w:hanging="42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真空度：&lt;100Pa。</w:t>
      </w:r>
    </w:p>
    <w:p w14:paraId="4D5AD399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温度控制精度：误差控制在±1℃。</w:t>
      </w:r>
    </w:p>
    <w:p w14:paraId="7F4A0007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★实现实验效果：聚合物胶液以均匀分散的喷雾形式进入高速搅拌中的沉淀剂，生成松散的聚合物粉末，并多次过滤清洗，所得雾化粒径、粒径均匀程度不低于领域博士操作水准；胶液粘度≥10000 mPa·s时，单次胶液残留体积不超过5ml；烘干后，粉末中水分含量小于万分之一</w:t>
      </w:r>
      <w:r>
        <w:rPr>
          <w:rFonts w:hint="default"/>
          <w:b w:val="0"/>
          <w:bCs w:val="0"/>
          <w:sz w:val="24"/>
          <w:highlight w:val="none"/>
        </w:rPr>
        <w:t>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）</w:t>
      </w:r>
    </w:p>
    <w:p w14:paraId="4ECDE15E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★实现实验效果：实验全过程需由智能化后处理系统进行灵活调度，实现全自动化完成；24小时处理通量不小于20</w:t>
      </w:r>
      <w:r>
        <w:rPr>
          <w:rFonts w:hint="default"/>
          <w:b w:val="0"/>
          <w:bCs w:val="0"/>
          <w:sz w:val="24"/>
          <w:highlight w:val="none"/>
        </w:rPr>
        <w:t>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）</w:t>
      </w:r>
    </w:p>
    <w:p w14:paraId="50EE94A5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★实现实验效果：相同样品、相同条件下，粉末出料质量偏差小于2%。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eastAsia"/>
          <w:b w:val="0"/>
          <w:bCs w:val="0"/>
          <w:sz w:val="24"/>
          <w:highlight w:val="none"/>
          <w:lang w:eastAsia="zh-CN"/>
        </w:rPr>
        <w:t>）</w:t>
      </w:r>
    </w:p>
    <w:p w14:paraId="40071E7F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注射泵组件：粘度适应范围10– 10⁴ mPa·s，最大允许粘度不少于10000 mPa·s，单次最大移液体积不小于20mL，吸入误差 ≤ ±1%（体积＜10ml时），与溶液接触材质为铁氟龙。</w:t>
      </w:r>
    </w:p>
    <w:p w14:paraId="23E982EF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喷雾及搅拌组件：雾化粒径20–500 μm，喷头为气液混合雾化喷嘴（Venturi结构）或超声波喷嘴，喷雾角度可调节，有防堵和自清洗设计；</w:t>
      </w:r>
    </w:p>
    <w:p w14:paraId="78F25BF3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搅拌速度范围50～2000 rpm，连续可调，带闭环控制，桨叶设计应使雾化液体均匀分散，如涡轮桨、锚式、螺带式。</w:t>
      </w:r>
    </w:p>
    <w:p w14:paraId="044B0219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负压抽滤组件：最大处理胶液体积需不小于50mL，最大沉淀剂体积需不小于500mL，真空系统-0.08 MPa ～ -0.095 Mpa，最小真空度小于100Pa，压差监测范围0-0.3Mpa，0.5μm≤滤膜孔径≤20μm，与溶液接触材质为铁氟龙。</w:t>
      </w:r>
    </w:p>
    <w:p w14:paraId="2554EB33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真空烘箱组件：最大温度不小于100摄氏度，温度控制精度±1</w:t>
      </w:r>
      <w:r>
        <w:rPr>
          <w:rFonts w:hint="eastAsia"/>
          <w:b w:val="0"/>
          <w:bCs w:val="0"/>
          <w:sz w:val="24"/>
          <w:highlight w:val="none"/>
          <w:lang w:val="en-US" w:eastAsia="zh-CN"/>
        </w:rPr>
        <w:t>℃</w:t>
      </w:r>
      <w:r>
        <w:rPr>
          <w:rFonts w:hint="eastAsia"/>
          <w:b w:val="0"/>
          <w:bCs w:val="0"/>
          <w:sz w:val="24"/>
          <w:highlight w:val="none"/>
        </w:rPr>
        <w:t>，真空环境。</w:t>
      </w:r>
    </w:p>
    <w:p w14:paraId="77BDFED4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物料存放组件：单罐最大容积需不小于500mL，存储工位≥12个，防呆设计。</w:t>
      </w:r>
    </w:p>
    <w:p w14:paraId="4E52FEC7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清洗组件：清洗后残留量不大于0.5μL，支持不少于3种不同的清洗剂和气体按一定顺序清洗管路，清洗管路与阀门材质耐有机溶剂、耐酸碱。</w:t>
      </w:r>
    </w:p>
    <w:p w14:paraId="0B8DA7C4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电爪/夹爪：最大抓取力需达到200N，抓取精度≤0.05mm。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提供产品彩页或产品说明书作为证明材料。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0DA43F14">
      <w:pPr>
        <w:numPr>
          <w:ilvl w:val="0"/>
          <w:numId w:val="4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三轴龙门架：X轴行程≥1000mm，Y轴行程≥800mm，重复定位精度≤±0.05mm，最大运行速度≥1m/s；导轨需具备防尘、防腐蚀涂层或外罩保护。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提供产品彩页或产品说明书作为证明材料。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487E9F75">
      <w:pPr>
        <w:spacing w:line="360" w:lineRule="auto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  <w:lang w:val="en-US" w:eastAsia="zh-CN"/>
        </w:rPr>
        <w:t>3.2</w:t>
      </w:r>
      <w:r>
        <w:rPr>
          <w:rFonts w:hint="eastAsia"/>
          <w:b w:val="0"/>
          <w:bCs w:val="0"/>
          <w:sz w:val="24"/>
          <w:highlight w:val="none"/>
        </w:rPr>
        <w:t>聚合物胶液过滤除泡模块</w:t>
      </w:r>
    </w:p>
    <w:p w14:paraId="7A4EC1D0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正压压强：&gt;0.15MPa。</w:t>
      </w:r>
    </w:p>
    <w:p w14:paraId="54276A71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</w:t>
      </w:r>
      <w:r>
        <w:rPr>
          <w:rFonts w:hint="default"/>
          <w:b w:val="0"/>
          <w:bCs w:val="0"/>
          <w:sz w:val="24"/>
          <w:highlight w:val="none"/>
        </w:rPr>
        <w:t>：</w:t>
      </w:r>
      <w:r>
        <w:rPr>
          <w:rFonts w:hint="eastAsia"/>
          <w:b w:val="0"/>
          <w:bCs w:val="0"/>
          <w:sz w:val="24"/>
          <w:highlight w:val="none"/>
        </w:rPr>
        <w:t>去除聚合物胶液中的悬浮颗粒和气泡，适应高粘度（不小于10000 mPa·s）、大体积（不小于500mL）的胶液体系</w:t>
      </w:r>
      <w:r>
        <w:rPr>
          <w:rFonts w:hint="default"/>
          <w:b w:val="0"/>
          <w:bCs w:val="0"/>
          <w:sz w:val="24"/>
          <w:highlight w:val="none"/>
        </w:rPr>
        <w:t>。（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3DCFC260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★实现实验效果：在粘度设计范围内，单次胶液残留体积不超过5ml；正压过滤时，胶液损失小于5mL；实验全过程需由智能化后处理系统进行灵活调度，实现全自动化完成</w:t>
      </w:r>
      <w:r>
        <w:rPr>
          <w:rFonts w:hint="default"/>
          <w:b w:val="0"/>
          <w:bCs w:val="0"/>
          <w:sz w:val="24"/>
          <w:highlight w:val="none"/>
        </w:rPr>
        <w:t>。（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7097AF12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★实现实验效果：24小时处理通量不小于16；相同样品、相同条件下，胶液出料量偏差小于0.5%。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64A2571C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移液组件：粘度适应范围10–10⁴mPa·s，最大允许粘度不小于10000 mPa·s，单次最大移液体积不小于20mL，吸入误差不大于±1%（体积不大于10ml时），与溶液接触材质为铁氟龙/四氟管路/304不锈钢。</w:t>
      </w:r>
    </w:p>
    <w:p w14:paraId="3594FE7C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正压过滤组件：最大正压压强大于0.15Mpa，滤膜可更换。</w:t>
      </w:r>
    </w:p>
    <w:p w14:paraId="6F7033A9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真空除泡组件：存储工位≥12个，真空度低于0.05大气压，具备自动开关门功能。</w:t>
      </w:r>
    </w:p>
    <w:p w14:paraId="40066090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物料存放组件：单罐最大容积不小于500mL，存储工位≥12个，防呆设计。</w:t>
      </w:r>
    </w:p>
    <w:p w14:paraId="75E5BBFA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清洗组件：清洗后残留量不大于0.5μL，支持不小于3种不同的清洗剂和气体按一定顺序清洗管路，清洗管路与阀门材质耐有机溶剂、耐酸碱。</w:t>
      </w:r>
    </w:p>
    <w:p w14:paraId="2688A076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电爪/夹爪：最大抓取力不小于100N，抓取精度≤0.05mm。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提供产品彩页或产品说明书作为证明材料。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665A9D4D">
      <w:pPr>
        <w:numPr>
          <w:ilvl w:val="0"/>
          <w:numId w:val="5"/>
        </w:numPr>
        <w:tabs>
          <w:tab w:val="left" w:pos="0"/>
        </w:tabs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六轴机械臂：负载能力不小于5kg，臂展范围不小于900mm，重复定位精度不大于±0.02mm，防水保护等级≥IP54。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提供产品彩页或产品说明书作为证明材料。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5BD042CB">
      <w:pPr>
        <w:spacing w:line="360" w:lineRule="auto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  <w:lang w:val="en-US" w:eastAsia="zh-CN"/>
        </w:rPr>
        <w:t>3.3</w:t>
      </w:r>
      <w:r>
        <w:rPr>
          <w:rFonts w:hint="eastAsia"/>
          <w:b w:val="0"/>
          <w:bCs w:val="0"/>
          <w:sz w:val="24"/>
          <w:highlight w:val="none"/>
        </w:rPr>
        <w:t>旋涂制膜模块</w:t>
      </w:r>
    </w:p>
    <w:p w14:paraId="5D152118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★实现实验效果：将聚合物胶液以旋涂的方式均匀涂布在基片上，并在充氮烘箱中经过可控的程序升温，得到聚合物薄膜，所得薄膜最小厚度、均匀程度不低于领域博士操作水准；同时兼容2-6英寸基片</w:t>
      </w:r>
      <w:r>
        <w:rPr>
          <w:rFonts w:hint="default"/>
          <w:b w:val="0"/>
          <w:bCs w:val="0"/>
          <w:sz w:val="24"/>
          <w:highlight w:val="none"/>
        </w:rPr>
        <w:t>。（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20827022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★实现实验效果：实验全过程需由智能化后处理系统进行灵活调度，实现全自动化完成</w:t>
      </w:r>
      <w:r>
        <w:rPr>
          <w:rFonts w:hint="default"/>
          <w:b w:val="0"/>
          <w:bCs w:val="0"/>
          <w:sz w:val="24"/>
          <w:highlight w:val="none"/>
        </w:rPr>
        <w:t>。（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7D64F81A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★实现实验效果：24小时处理通量不小于20；相同样品、相同条件下，出料膜厚偏差小于0.5%。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0AAA2CFE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充氮烘箱：氧含量不大于20ppm，温度控制精度不大于±0.5℃，最高温度不小于450℃，氧含量传感器精度不大于1ppm，传感器点位不少于4个，具备自动开关门功能。</w:t>
      </w:r>
    </w:p>
    <w:p w14:paraId="6832C1D7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旋涂组件：最大转速不小于10000rpm，最大加速度不小于50000rpm/s，转速精度偏差不大于±1rpm，最大胶液粘度不小于20000cp，膜厚均匀性偏差不大于5%（面内 100 mm × 100 mm），允许更换液体且无交叉污染风险，兼容2～6英寸基片，涂布厚度 5～500 µm。</w:t>
      </w:r>
    </w:p>
    <w:p w14:paraId="58C5C284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机械臂：负载能力不小于4kg，臂展范围不小于900mm，重复定位精度≤±0.05mm。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提供产品彩页或产品说明书作为证明材料。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615F2B74">
      <w:pPr>
        <w:numPr>
          <w:ilvl w:val="0"/>
          <w:numId w:val="6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电爪/夹爪：最大抓取力不小于200N，抓取精度≤0.05mm，兼容2~6英寸基片。</w:t>
      </w:r>
    </w:p>
    <w:p w14:paraId="6A58C9E4">
      <w:pPr>
        <w:spacing w:line="360" w:lineRule="auto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  <w:lang w:val="en-US" w:eastAsia="zh-CN"/>
        </w:rPr>
        <w:t>3.4</w:t>
      </w:r>
      <w:r>
        <w:rPr>
          <w:rFonts w:hint="eastAsia"/>
          <w:b w:val="0"/>
          <w:bCs w:val="0"/>
          <w:sz w:val="24"/>
          <w:highlight w:val="none"/>
        </w:rPr>
        <w:t>智能化软硬件协同模块</w:t>
      </w:r>
    </w:p>
    <w:p w14:paraId="33365DE8">
      <w:pPr>
        <w:numPr>
          <w:ilvl w:val="0"/>
          <w:numId w:val="7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</w:rPr>
        <w:t>★支持与智能化实验控制与整合系统打通，依据该系统的设计要求，提供动作指令下发、状态监控、物料追踪、增删改查的标准接口。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提供承诺函（格式自拟）作为证明资料，承诺内容要求满足上述参数。承诺函应加盖公章，并由法定代表人或授权代表签署以确保法律效力。未提供承诺函或承诺内容不满足要求的作投标无效处理。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0CDDCC08">
      <w:pPr>
        <w:numPr>
          <w:ilvl w:val="0"/>
          <w:numId w:val="7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  <w:lang w:eastAsia="zh-CN"/>
        </w:rPr>
        <w:t>#</w:t>
      </w:r>
      <w:r>
        <w:rPr>
          <w:rFonts w:hint="eastAsia"/>
          <w:b w:val="0"/>
          <w:bCs w:val="0"/>
          <w:sz w:val="24"/>
          <w:highlight w:val="none"/>
        </w:rPr>
        <w:t>支持</w:t>
      </w:r>
      <w:r>
        <w:rPr>
          <w:rFonts w:hint="default"/>
          <w:b w:val="0"/>
          <w:bCs w:val="0"/>
          <w:sz w:val="24"/>
          <w:highlight w:val="none"/>
        </w:rPr>
        <w:t>数据存储：</w:t>
      </w:r>
      <w:r>
        <w:rPr>
          <w:rFonts w:hint="eastAsia"/>
          <w:b w:val="0"/>
          <w:bCs w:val="0"/>
          <w:sz w:val="24"/>
          <w:highlight w:val="none"/>
        </w:rPr>
        <w:t>数据库预置不少于200万条分子数据信息，并支持绘制分子结构后直接检索数据库全库；数据库支持柱状图、饼图可视化，支持分子Smiles结构可视化；数据库支持不少于3种大语言模型进行检索问答。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提供系统功能截图作为证明。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3985F8A7">
      <w:pPr>
        <w:numPr>
          <w:ilvl w:val="0"/>
          <w:numId w:val="7"/>
        </w:numPr>
        <w:spacing w:line="360" w:lineRule="auto"/>
        <w:ind w:left="420" w:leftChars="0" w:hanging="420" w:firstLineChars="0"/>
        <w:rPr>
          <w:rFonts w:hint="eastAsia"/>
          <w:b w:val="0"/>
          <w:bCs w:val="0"/>
          <w:sz w:val="24"/>
          <w:highlight w:val="none"/>
        </w:rPr>
      </w:pPr>
      <w:r>
        <w:rPr>
          <w:rFonts w:hint="eastAsia"/>
          <w:b w:val="0"/>
          <w:bCs w:val="0"/>
          <w:sz w:val="24"/>
          <w:highlight w:val="none"/>
          <w:lang w:eastAsia="zh-CN"/>
        </w:rPr>
        <w:t>#</w:t>
      </w:r>
      <w:r>
        <w:rPr>
          <w:rFonts w:hint="eastAsia"/>
          <w:b w:val="0"/>
          <w:bCs w:val="0"/>
          <w:sz w:val="24"/>
          <w:highlight w:val="none"/>
        </w:rPr>
        <w:t>支持将聚合物胶液喷雾析出模块、聚合物胶液过滤除泡模块、旋涂制膜模块抽象为MCP工具并被智能体系统调用。</w:t>
      </w:r>
      <w:r>
        <w:rPr>
          <w:rFonts w:hint="default"/>
          <w:b w:val="0"/>
          <w:bCs w:val="0"/>
          <w:sz w:val="24"/>
          <w:highlight w:val="none"/>
        </w:rPr>
        <w:t>（</w:t>
      </w:r>
      <w:r>
        <w:rPr>
          <w:rFonts w:hint="eastAsia"/>
          <w:b w:val="0"/>
          <w:bCs w:val="0"/>
          <w:sz w:val="24"/>
          <w:highlight w:val="none"/>
        </w:rPr>
        <w:t>提供智能体系统调用自动化设备抽象成的MCP工具的截图作为证明材料。</w:t>
      </w:r>
      <w:r>
        <w:rPr>
          <w:rFonts w:hint="default"/>
          <w:b w:val="0"/>
          <w:bCs w:val="0"/>
          <w:sz w:val="24"/>
          <w:highlight w:val="none"/>
        </w:rPr>
        <w:t>）</w:t>
      </w:r>
    </w:p>
    <w:p w14:paraId="07014390">
      <w:pPr>
        <w:spacing w:line="360" w:lineRule="auto"/>
        <w:rPr>
          <w:rFonts w:hint="eastAsia"/>
          <w:b/>
          <w:bCs/>
          <w:sz w:val="24"/>
          <w:highlight w:val="none"/>
        </w:rPr>
      </w:pPr>
    </w:p>
    <w:p w14:paraId="28E568C2">
      <w:pPr>
        <w:spacing w:line="360" w:lineRule="auto"/>
        <w:rPr>
          <w:rFonts w:hint="eastAsia"/>
          <w:b/>
          <w:bCs/>
          <w:sz w:val="24"/>
          <w:highlight w:val="none"/>
        </w:rPr>
      </w:pPr>
    </w:p>
    <w:p w14:paraId="7716977F">
      <w:pPr>
        <w:numPr>
          <w:ilvl w:val="0"/>
          <w:numId w:val="2"/>
        </w:num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产品配置要求</w:t>
      </w:r>
    </w:p>
    <w:p w14:paraId="6DACB39B">
      <w:pPr>
        <w:numPr>
          <w:ilvl w:val="1"/>
          <w:numId w:val="8"/>
        </w:numPr>
        <w:spacing w:line="360" w:lineRule="auto"/>
        <w:rPr>
          <w:rFonts w:hint="eastAsia"/>
          <w:sz w:val="24"/>
          <w:highlight w:val="none"/>
        </w:rPr>
      </w:pPr>
      <w:r>
        <w:rPr>
          <w:rFonts w:hint="eastAsia"/>
          <w:sz w:val="24"/>
          <w:highlight w:val="none"/>
          <w:lang w:eastAsia="zh-CN"/>
        </w:rPr>
        <w:t>自动化后处理系统</w:t>
      </w:r>
      <w:r>
        <w:rPr>
          <w:rFonts w:hint="eastAsia"/>
          <w:sz w:val="24"/>
          <w:highlight w:val="none"/>
          <w:lang w:val="en-US" w:eastAsia="zh-CN"/>
        </w:rPr>
        <w:t xml:space="preserve"> 1套</w:t>
      </w:r>
    </w:p>
    <w:p w14:paraId="7A63A471">
      <w:pPr>
        <w:spacing w:line="360" w:lineRule="auto"/>
        <w:ind w:left="523" w:hanging="523" w:hangingChars="218"/>
        <w:rPr>
          <w:rFonts w:hint="eastAsia" w:ascii="宋体"/>
          <w:sz w:val="24"/>
          <w:highlight w:val="none"/>
        </w:rPr>
      </w:pPr>
      <w:r>
        <w:rPr>
          <w:rFonts w:hint="eastAsia"/>
          <w:sz w:val="24"/>
          <w:highlight w:val="none"/>
        </w:rPr>
        <w:t>4.</w:t>
      </w:r>
      <w:r>
        <w:rPr>
          <w:rFonts w:hint="eastAsia"/>
          <w:sz w:val="24"/>
          <w:highlight w:val="none"/>
          <w:lang w:val="en-US" w:eastAsia="zh-CN"/>
        </w:rPr>
        <w:t>2 其它保证仪器设备的正常运行和常规保养所需的附件、专用工具和消耗品。</w:t>
      </w:r>
    </w:p>
    <w:p w14:paraId="1BB4EE3A">
      <w:pPr>
        <w:spacing w:line="360" w:lineRule="auto"/>
        <w:ind w:left="420" w:firstLine="240"/>
        <w:rPr>
          <w:rFonts w:hint="eastAsia"/>
          <w:sz w:val="24"/>
          <w:highlight w:val="none"/>
        </w:rPr>
      </w:pPr>
    </w:p>
    <w:p w14:paraId="40B37A1B">
      <w:p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5</w:t>
      </w:r>
      <w:r>
        <w:rPr>
          <w:b/>
          <w:sz w:val="24"/>
          <w:highlight w:val="none"/>
        </w:rPr>
        <w:t xml:space="preserve">. </w:t>
      </w:r>
      <w:r>
        <w:rPr>
          <w:rFonts w:hint="eastAsia"/>
          <w:b/>
          <w:sz w:val="24"/>
          <w:highlight w:val="none"/>
        </w:rPr>
        <w:t>选购附件、备件及消耗品</w:t>
      </w:r>
    </w:p>
    <w:p w14:paraId="079F41FA">
      <w:pPr>
        <w:spacing w:line="360" w:lineRule="auto"/>
        <w:rPr>
          <w:rFonts w:hint="eastAsia"/>
          <w:sz w:val="24"/>
          <w:highlight w:val="none"/>
        </w:rPr>
      </w:pPr>
      <w:r>
        <w:rPr>
          <w:rFonts w:hint="eastAsia"/>
          <w:sz w:val="24"/>
          <w:highlight w:val="none"/>
          <w:lang w:val="en-US" w:eastAsia="zh-CN"/>
        </w:rPr>
        <w:t>无</w:t>
      </w:r>
      <w:r>
        <w:rPr>
          <w:rFonts w:hint="eastAsia"/>
          <w:sz w:val="24"/>
          <w:highlight w:val="none"/>
        </w:rPr>
        <w:t xml:space="preserve">        </w:t>
      </w:r>
    </w:p>
    <w:p w14:paraId="74A8FD80">
      <w:pPr>
        <w:tabs>
          <w:tab w:val="left" w:pos="540"/>
        </w:tabs>
        <w:spacing w:line="360" w:lineRule="auto"/>
        <w:rPr>
          <w:rFonts w:hint="eastAsia"/>
          <w:sz w:val="24"/>
          <w:highlight w:val="none"/>
        </w:rPr>
      </w:pPr>
      <w:r>
        <w:rPr>
          <w:rFonts w:hint="eastAsia"/>
          <w:sz w:val="24"/>
          <w:highlight w:val="none"/>
        </w:rPr>
        <w:t xml:space="preserve">   </w:t>
      </w:r>
    </w:p>
    <w:p w14:paraId="0DAD150D">
      <w:pPr>
        <w:tabs>
          <w:tab w:val="left" w:pos="540"/>
        </w:tabs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6.  技术文件：</w:t>
      </w:r>
    </w:p>
    <w:p w14:paraId="66C00041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  <w:lang w:val="en-US" w:eastAsia="zh-CN"/>
        </w:rPr>
        <w:t>无</w:t>
      </w:r>
    </w:p>
    <w:p w14:paraId="59C05B5B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</w:p>
    <w:p w14:paraId="5A6FE2D9">
      <w:p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（二）质保及售后服务：</w:t>
      </w:r>
    </w:p>
    <w:p w14:paraId="292FBCE2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  <w:lang w:val="en-US" w:eastAsia="zh-CN"/>
        </w:rPr>
        <w:t>1.保修期：安装验收通过之日起一年。</w:t>
      </w:r>
    </w:p>
    <w:p w14:paraId="29EB553D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  <w:lang w:val="en-US" w:eastAsia="zh-CN"/>
        </w:rPr>
        <w:t>2.在保修期内，任何由制造商选材和制造不当引起的质量问题，厂家负责免费维修。</w:t>
      </w:r>
    </w:p>
    <w:p w14:paraId="6842CAE4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  <w:lang w:val="en-US" w:eastAsia="zh-CN"/>
        </w:rPr>
        <w:t>3.一年保修期后，每年收取15%服务费</w:t>
      </w:r>
    </w:p>
    <w:p w14:paraId="0F85FB0E">
      <w:pPr>
        <w:spacing w:line="360" w:lineRule="auto"/>
        <w:rPr>
          <w:rFonts w:hint="eastAsia"/>
          <w:sz w:val="24"/>
          <w:highlight w:val="none"/>
          <w:lang w:val="da-DK" w:eastAsia="zh-CN"/>
        </w:rPr>
      </w:pPr>
      <w:r>
        <w:rPr>
          <w:rFonts w:hint="eastAsia"/>
          <w:sz w:val="24"/>
          <w:highlight w:val="none"/>
          <w:lang w:val="en-US" w:eastAsia="zh-CN"/>
        </w:rPr>
        <w:t>4.</w:t>
      </w:r>
      <w:r>
        <w:rPr>
          <w:rFonts w:hint="eastAsia"/>
          <w:sz w:val="24"/>
          <w:highlight w:val="none"/>
          <w:lang w:val="da-DK" w:eastAsia="zh-CN"/>
        </w:rPr>
        <w:t>培训：提供设备操作培训、实验操作培训、软件应用培训等现场免费培训并提供操作手册。</w:t>
      </w:r>
    </w:p>
    <w:p w14:paraId="10AC6221">
      <w:pPr>
        <w:spacing w:line="360" w:lineRule="auto"/>
        <w:rPr>
          <w:rFonts w:hint="eastAsia"/>
          <w:sz w:val="24"/>
          <w:highlight w:val="none"/>
          <w:lang w:val="da-DK" w:eastAsia="zh-CN"/>
        </w:rPr>
      </w:pPr>
      <w:r>
        <w:rPr>
          <w:rFonts w:hint="eastAsia"/>
          <w:sz w:val="24"/>
          <w:highlight w:val="none"/>
          <w:lang w:val="en-US" w:eastAsia="zh-CN"/>
        </w:rPr>
        <w:t>5.</w:t>
      </w:r>
      <w:r>
        <w:rPr>
          <w:rFonts w:hint="eastAsia"/>
          <w:sz w:val="24"/>
          <w:highlight w:val="none"/>
          <w:lang w:val="da-DK" w:eastAsia="zh-CN"/>
        </w:rPr>
        <w:t>售后服务响应时间：工程师2小时内远程响应，48小时内上门服务。</w:t>
      </w:r>
    </w:p>
    <w:p w14:paraId="4FDCF6B1">
      <w:pPr>
        <w:spacing w:line="360" w:lineRule="auto"/>
        <w:rPr>
          <w:rFonts w:hint="eastAsia"/>
          <w:b/>
          <w:sz w:val="24"/>
          <w:highlight w:val="none"/>
        </w:rPr>
      </w:pPr>
    </w:p>
    <w:p w14:paraId="5D4D3173">
      <w:p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（三） 订货数量：</w:t>
      </w:r>
    </w:p>
    <w:p w14:paraId="0EA467F4">
      <w:pPr>
        <w:spacing w:line="360" w:lineRule="auto"/>
        <w:ind w:firstLine="240" w:firstLineChars="100"/>
        <w:rPr>
          <w:rFonts w:hint="default" w:eastAsia="宋体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sz w:val="24"/>
          <w:highlight w:val="none"/>
          <w:lang w:val="en-US" w:eastAsia="zh-CN"/>
        </w:rPr>
        <w:t>1套</w:t>
      </w:r>
    </w:p>
    <w:p w14:paraId="5032D921">
      <w:pPr>
        <w:spacing w:line="360" w:lineRule="auto"/>
        <w:rPr>
          <w:rFonts w:hint="eastAsia"/>
          <w:sz w:val="24"/>
          <w:highlight w:val="none"/>
        </w:rPr>
      </w:pPr>
    </w:p>
    <w:p w14:paraId="301E5EF9">
      <w:p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</w:t>
      </w:r>
      <w:r>
        <w:rPr>
          <w:rFonts w:hint="eastAsia"/>
          <w:b/>
          <w:sz w:val="24"/>
          <w:highlight w:val="none"/>
          <w:lang w:val="en-US" w:eastAsia="zh-CN"/>
        </w:rPr>
        <w:t>四</w:t>
      </w:r>
      <w:r>
        <w:rPr>
          <w:rFonts w:hint="eastAsia"/>
          <w:b/>
          <w:sz w:val="24"/>
          <w:highlight w:val="none"/>
        </w:rPr>
        <w:t>）交货日期</w:t>
      </w:r>
      <w:r>
        <w:rPr>
          <w:rFonts w:hint="eastAsia"/>
          <w:b/>
          <w:sz w:val="24"/>
          <w:highlight w:val="none"/>
          <w:lang w:val="en-US" w:eastAsia="zh-CN"/>
        </w:rPr>
        <w:t>和交货地点（项目现场）</w:t>
      </w:r>
      <w:r>
        <w:rPr>
          <w:rFonts w:hint="eastAsia"/>
          <w:b/>
          <w:sz w:val="24"/>
          <w:highlight w:val="none"/>
        </w:rPr>
        <w:t>：</w:t>
      </w:r>
    </w:p>
    <w:p w14:paraId="59A89F2A">
      <w:pPr>
        <w:spacing w:line="360" w:lineRule="auto"/>
        <w:rPr>
          <w:rFonts w:hint="eastAsia" w:eastAsia="宋体"/>
          <w:sz w:val="24"/>
          <w:highlight w:val="none"/>
          <w:lang w:eastAsia="zh-CN"/>
        </w:rPr>
      </w:pPr>
      <w:r>
        <w:rPr>
          <w:rFonts w:hint="eastAsia"/>
          <w:sz w:val="24"/>
          <w:highlight w:val="none"/>
        </w:rPr>
        <w:t xml:space="preserve">  </w:t>
      </w:r>
      <w:r>
        <w:rPr>
          <w:rFonts w:hint="eastAsia"/>
          <w:sz w:val="24"/>
          <w:highlight w:val="none"/>
          <w:lang w:val="en-US" w:eastAsia="zh-CN"/>
        </w:rPr>
        <w:t>交</w:t>
      </w:r>
      <w:r>
        <w:rPr>
          <w:rFonts w:hint="eastAsia"/>
          <w:sz w:val="24"/>
          <w:highlight w:val="none"/>
        </w:rPr>
        <w:t>货时间</w:t>
      </w:r>
      <w:r>
        <w:rPr>
          <w:rFonts w:hint="eastAsia"/>
          <w:sz w:val="24"/>
          <w:highlight w:val="none"/>
          <w:lang w:eastAsia="zh-CN"/>
        </w:rPr>
        <w:t>：收到预付款后</w:t>
      </w:r>
      <w:r>
        <w:rPr>
          <w:rFonts w:hint="eastAsia"/>
          <w:sz w:val="24"/>
          <w:highlight w:val="none"/>
          <w:lang w:val="en-US" w:eastAsia="zh-CN"/>
        </w:rPr>
        <w:t>12</w:t>
      </w:r>
      <w:r>
        <w:rPr>
          <w:rFonts w:hint="eastAsia"/>
          <w:sz w:val="24"/>
          <w:highlight w:val="none"/>
          <w:lang w:eastAsia="zh-CN"/>
        </w:rPr>
        <w:t>个月内</w:t>
      </w:r>
    </w:p>
    <w:p w14:paraId="2956A910">
      <w:pPr>
        <w:spacing w:line="360" w:lineRule="auto"/>
        <w:ind w:firstLine="240" w:firstLineChars="100"/>
        <w:rPr>
          <w:rFonts w:hint="default"/>
          <w:sz w:val="24"/>
          <w:highlight w:val="none"/>
          <w:lang w:val="en-US" w:eastAsia="zh-CN"/>
        </w:rPr>
      </w:pPr>
      <w:r>
        <w:rPr>
          <w:rFonts w:hint="eastAsia"/>
          <w:sz w:val="24"/>
          <w:highlight w:val="none"/>
          <w:lang w:val="en-US" w:eastAsia="zh-CN"/>
        </w:rPr>
        <w:t>交货地点</w:t>
      </w:r>
      <w:r>
        <w:rPr>
          <w:rFonts w:hint="eastAsia"/>
          <w:sz w:val="24"/>
          <w:highlight w:val="none"/>
          <w:lang w:eastAsia="zh-CN"/>
        </w:rPr>
        <w:t>：中国科学院化学研究所</w:t>
      </w:r>
    </w:p>
    <w:p w14:paraId="792AEE83">
      <w:pPr>
        <w:spacing w:line="360" w:lineRule="auto"/>
        <w:rPr>
          <w:rFonts w:hint="eastAsia"/>
          <w:sz w:val="24"/>
          <w:highlight w:val="none"/>
          <w:lang w:eastAsia="zh-CN"/>
        </w:rPr>
      </w:pPr>
    </w:p>
    <w:p w14:paraId="069D1F60">
      <w:pPr>
        <w:spacing w:line="360" w:lineRule="auto"/>
        <w:rPr>
          <w:rFonts w:hint="eastAsia"/>
          <w:sz w:val="24"/>
          <w:highlight w:val="none"/>
        </w:rPr>
      </w:pPr>
      <w:r>
        <w:rPr>
          <w:rFonts w:hint="eastAsia"/>
          <w:b/>
          <w:sz w:val="24"/>
          <w:highlight w:val="none"/>
          <w:lang w:val="en-US" w:eastAsia="zh-CN"/>
        </w:rPr>
        <w:t xml:space="preserve">（五）付款方式：  </w:t>
      </w:r>
      <w:r>
        <w:rPr>
          <w:rFonts w:hint="eastAsia"/>
          <w:sz w:val="24"/>
          <w:highlight w:val="none"/>
        </w:rPr>
        <w:t xml:space="preserve">                                       </w:t>
      </w:r>
    </w:p>
    <w:p w14:paraId="2796677E">
      <w:pPr>
        <w:spacing w:line="360" w:lineRule="auto"/>
        <w:ind w:firstLine="480" w:firstLineChars="200"/>
        <w:rPr>
          <w:rFonts w:hint="eastAsia"/>
          <w:sz w:val="24"/>
          <w:highlight w:val="none"/>
          <w:lang w:eastAsia="zh-CN"/>
        </w:rPr>
      </w:pPr>
      <w:r>
        <w:rPr>
          <w:rFonts w:hint="eastAsia"/>
          <w:sz w:val="24"/>
          <w:highlight w:val="none"/>
          <w:lang w:eastAsia="zh-CN"/>
        </w:rPr>
        <w:t>首付款（签约后）50%，发货款（发货前）40%，验收后（验收报告签字盖章）10%</w:t>
      </w:r>
    </w:p>
    <w:p w14:paraId="2ABDBE67">
      <w:pPr>
        <w:spacing w:line="360" w:lineRule="auto"/>
        <w:ind w:firstLine="480" w:firstLineChars="200"/>
        <w:rPr>
          <w:rFonts w:hint="eastAsia"/>
          <w:sz w:val="24"/>
          <w:highlight w:val="none"/>
          <w:lang w:eastAsia="zh-CN"/>
        </w:rPr>
      </w:pPr>
    </w:p>
    <w:p w14:paraId="2A751E95">
      <w:pPr>
        <w:spacing w:line="360" w:lineRule="auto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</w:t>
      </w:r>
      <w:r>
        <w:rPr>
          <w:rFonts w:hint="eastAsia"/>
          <w:b/>
          <w:sz w:val="24"/>
          <w:highlight w:val="none"/>
          <w:lang w:val="en-US" w:eastAsia="zh-CN"/>
        </w:rPr>
        <w:t>六</w:t>
      </w:r>
      <w:r>
        <w:rPr>
          <w:rFonts w:hint="eastAsia"/>
          <w:b/>
          <w:sz w:val="24"/>
          <w:highlight w:val="none"/>
        </w:rPr>
        <w:t>）执行的相关标准</w:t>
      </w:r>
    </w:p>
    <w:p w14:paraId="2A37C9CF">
      <w:pPr>
        <w:spacing w:line="360" w:lineRule="auto"/>
        <w:rPr>
          <w:rFonts w:hint="eastAsia" w:ascii="宋体" w:hAnsi="宋体"/>
          <w:b/>
          <w:sz w:val="30"/>
          <w:szCs w:val="30"/>
          <w:highlight w:val="none"/>
        </w:rPr>
      </w:pPr>
      <w:r>
        <w:rPr>
          <w:rFonts w:hint="eastAsia" w:ascii="inherit" w:hAnsi="inherit" w:cs="宋体"/>
          <w:kern w:val="0"/>
          <w:sz w:val="24"/>
          <w:highlight w:val="none"/>
        </w:rPr>
        <w:t xml:space="preserve">   产品应满足相关国家标准及行业标准。</w:t>
      </w:r>
    </w:p>
    <w:p w14:paraId="3D567B41"/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Noto Serif SC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oto Serif SC">
    <w:panose1 w:val="02020200000000000000"/>
    <w:charset w:val="86"/>
    <w:family w:val="auto"/>
    <w:pitch w:val="default"/>
    <w:sig w:usb0="2000008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D89897"/>
    <w:multiLevelType w:val="multilevel"/>
    <w:tmpl w:val="93D89897"/>
    <w:lvl w:ilvl="0" w:tentative="0">
      <w:start w:val="1"/>
      <w:numFmt w:val="decimal"/>
      <w:suff w:val="space"/>
      <w:lvlText w:val="3.3.%1"/>
      <w:lvlJc w:val="left"/>
      <w:pPr>
        <w:tabs>
          <w:tab w:val="left" w:pos="0"/>
        </w:tabs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985EC4D3"/>
    <w:multiLevelType w:val="multilevel"/>
    <w:tmpl w:val="985EC4D3"/>
    <w:lvl w:ilvl="0" w:tentative="0">
      <w:start w:val="1"/>
      <w:numFmt w:val="decimal"/>
      <w:suff w:val="space"/>
      <w:lvlText w:val="3.%1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C274E183"/>
    <w:multiLevelType w:val="multilevel"/>
    <w:tmpl w:val="C274E183"/>
    <w:lvl w:ilvl="0" w:tentative="0">
      <w:start w:val="1"/>
      <w:numFmt w:val="decimal"/>
      <w:suff w:val="space"/>
      <w:lvlText w:val="3.2.%1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5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5D11B42E"/>
    <w:multiLevelType w:val="multilevel"/>
    <w:tmpl w:val="5D11B42E"/>
    <w:lvl w:ilvl="0" w:tentative="0">
      <w:start w:val="1"/>
      <w:numFmt w:val="decimal"/>
      <w:suff w:val="space"/>
      <w:lvlText w:val="3.4.%1"/>
      <w:lvlJc w:val="left"/>
      <w:pPr>
        <w:tabs>
          <w:tab w:val="left" w:pos="0"/>
        </w:tabs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A8638AA"/>
    <w:multiLevelType w:val="multilevel"/>
    <w:tmpl w:val="6A8638AA"/>
    <w:lvl w:ilvl="0" w:tentative="0">
      <w:start w:val="1"/>
      <w:numFmt w:val="decimal"/>
      <w:suff w:val="space"/>
      <w:lvlText w:val="3.1.%1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2A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jc w:val="left"/>
    </w:pPr>
    <w:rPr>
      <w:rFonts w:ascii="Cambria" w:hAnsi="Cambria"/>
      <w:szCs w:val="21"/>
    </w:rPr>
  </w:style>
  <w:style w:type="paragraph" w:styleId="3">
    <w:name w:val="Plain Text"/>
    <w:basedOn w:val="1"/>
    <w:qFormat/>
    <w:uiPriority w:val="99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2025-11-14T08:12:36Z</dcterms:created>
  <dc:creator>yzjia</dc:creator>
  <cp:lastModifiedBy>godjiao</cp:lastModifiedBy>
  <dcterms:modified xsi:type="dcterms:W3CDTF">2025-11-14T08:12:50Z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eyJoZGlkIjoiY2IxMDc5ODZkZDE5M2E5MjdjM2ZkNDMyYjY0NzE3YmEiLCJ1c2VySWQiOiIyNDgyNzkwNjcifQ==</vt:lpwstr>
  </property>
  <property fmtid="{D5CDD505-2E9C-101B-9397-08002B2CF9AE}" pid="4" name="ICV">
    <vt:lpwstr>2796AF3BE4EF48FBAF2DB67FBB201BAF_12</vt:lpwstr>
  </property>
</Properties>
</file>