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B6C2C6">
      <w:pPr>
        <w:pStyle w:val="2"/>
        <w:jc w:val="center"/>
        <w:rPr>
          <w:rFonts w:hAnsi="Calibri"/>
          <w:color w:val="auto"/>
          <w:sz w:val="32"/>
          <w:szCs w:val="22"/>
          <w:lang w:val="en-US" w:eastAsia="en-US" w:bidi="ar-SA"/>
        </w:rPr>
      </w:pPr>
      <w:bookmarkStart w:id="0" w:name="_Toc14290"/>
      <w:r>
        <w:rPr>
          <w:rFonts w:ascii="宋体" w:hAnsi="宋体" w:cs="宋体" w:eastAsiaTheme="minorEastAsia"/>
          <w:color w:val="auto"/>
          <w:spacing w:val="2"/>
          <w:sz w:val="32"/>
          <w:szCs w:val="22"/>
          <w:lang w:val="en-US" w:eastAsia="en-US" w:bidi="ar-SA"/>
        </w:rPr>
        <w:t>磋商邀请</w:t>
      </w:r>
      <w:bookmarkEnd w:id="0"/>
    </w:p>
    <w:p w14:paraId="58C0F088">
      <w:pPr>
        <w:keepNext w:val="0"/>
        <w:keepLines w:val="0"/>
        <w:pageBreakBefore w:val="0"/>
        <w:widowControl/>
        <w:kinsoku/>
        <w:wordWrap/>
        <w:overflowPunct/>
        <w:topLinePunct w:val="0"/>
        <w:autoSpaceDE/>
        <w:autoSpaceDN/>
        <w:bidi w:val="0"/>
        <w:adjustRightInd/>
        <w:snapToGrid w:val="0"/>
        <w:spacing w:line="360" w:lineRule="auto"/>
        <w:ind w:left="0" w:right="0" w:firstLine="0"/>
        <w:jc w:val="left"/>
        <w:textAlignment w:val="auto"/>
        <w:rPr>
          <w:rFonts w:hAnsi="Calibri"/>
          <w:color w:val="auto"/>
          <w:szCs w:val="22"/>
          <w:lang w:val="en-US" w:eastAsia="en-US" w:bidi="ar-SA"/>
        </w:rPr>
      </w:pPr>
      <w:r>
        <w:rPr>
          <w:rFonts w:ascii="宋体" w:hAnsi="宋体" w:cs="宋体" w:eastAsiaTheme="minorEastAsia"/>
          <w:color w:val="auto"/>
          <w:spacing w:val="1"/>
          <w:szCs w:val="22"/>
          <w:lang w:val="en-US" w:eastAsia="en-US" w:bidi="ar-SA"/>
        </w:rPr>
        <w:t>项目概况</w:t>
      </w:r>
    </w:p>
    <w:p w14:paraId="79D9B6ED">
      <w:pPr>
        <w:keepNext w:val="0"/>
        <w:keepLines w:val="0"/>
        <w:pageBreakBefore w:val="0"/>
        <w:widowControl/>
        <w:kinsoku/>
        <w:wordWrap/>
        <w:overflowPunct/>
        <w:topLinePunct w:val="0"/>
        <w:autoSpaceDE/>
        <w:autoSpaceDN/>
        <w:bidi w:val="0"/>
        <w:adjustRightInd/>
        <w:snapToGrid w:val="0"/>
        <w:spacing w:line="360" w:lineRule="auto"/>
        <w:ind w:left="0" w:right="0" w:firstLine="480" w:firstLineChars="200"/>
        <w:jc w:val="left"/>
        <w:textAlignment w:val="auto"/>
        <w:rPr>
          <w:rFonts w:hAnsi="Calibri"/>
          <w:color w:val="auto"/>
          <w:szCs w:val="22"/>
          <w:lang w:val="en-US" w:eastAsia="en-US" w:bidi="ar-SA"/>
        </w:rPr>
      </w:pPr>
      <w:r>
        <w:rPr>
          <w:rFonts w:hint="eastAsia" w:ascii="宋体" w:hAnsi="宋体" w:cs="宋体" w:eastAsiaTheme="minorEastAsia"/>
          <w:color w:val="auto"/>
          <w:szCs w:val="22"/>
          <w:lang w:val="en-US" w:eastAsia="zh-CN" w:bidi="ar-SA"/>
        </w:rPr>
        <w:t>江西省农产品质量安全检测中心试剂耗材采购及配送服务项目</w:t>
      </w:r>
      <w:r>
        <w:rPr>
          <w:rFonts w:hint="eastAsia" w:ascii="宋体" w:hAnsi="宋体" w:cs="宋体" w:eastAsiaTheme="minorEastAsia"/>
          <w:color w:val="auto"/>
          <w:szCs w:val="22"/>
          <w:lang w:val="en-US" w:eastAsia="en-US" w:bidi="ar-SA"/>
        </w:rPr>
        <w:t>的潜在</w:t>
      </w:r>
      <w:r>
        <w:rPr>
          <w:rFonts w:hint="eastAsia" w:ascii="宋体" w:hAnsi="宋体" w:cs="宋体" w:eastAsiaTheme="minorEastAsia"/>
          <w:color w:val="auto"/>
          <w:szCs w:val="22"/>
          <w:lang w:val="en-US" w:eastAsia="zh-CN" w:bidi="ar-SA"/>
        </w:rPr>
        <w:t>供应商</w:t>
      </w:r>
      <w:r>
        <w:rPr>
          <w:rFonts w:hint="eastAsia" w:ascii="宋体" w:hAnsi="宋体" w:cs="宋体" w:eastAsiaTheme="minorEastAsia"/>
          <w:color w:val="auto"/>
          <w:szCs w:val="22"/>
          <w:lang w:val="en-US" w:eastAsia="en-US" w:bidi="ar-SA"/>
        </w:rPr>
        <w:t>应在</w:t>
      </w:r>
      <w:r>
        <w:rPr>
          <w:rFonts w:hint="eastAsia" w:ascii="宋体" w:hAnsi="宋体" w:cs="宋体" w:eastAsiaTheme="minorEastAsia"/>
          <w:color w:val="auto"/>
          <w:szCs w:val="22"/>
          <w:lang w:val="en-US" w:eastAsia="zh-CN" w:bidi="ar-SA"/>
        </w:rPr>
        <w:t xml:space="preserve"> 江西省南昌市二七北路185号东晖育才苑6栋1602室</w:t>
      </w:r>
      <w:r>
        <w:rPr>
          <w:rFonts w:hint="eastAsia" w:ascii="宋体" w:hAnsi="宋体" w:cs="宋体" w:eastAsiaTheme="minorEastAsia"/>
          <w:color w:val="auto"/>
          <w:szCs w:val="22"/>
          <w:lang w:val="en-US" w:eastAsia="en-US" w:bidi="ar-SA"/>
        </w:rPr>
        <w:t>获取</w:t>
      </w:r>
      <w:r>
        <w:rPr>
          <w:rFonts w:hint="eastAsia" w:ascii="宋体" w:hAnsi="宋体" w:cs="宋体" w:eastAsiaTheme="minorEastAsia"/>
          <w:color w:val="auto"/>
          <w:szCs w:val="22"/>
          <w:lang w:val="en-US" w:eastAsia="zh-CN" w:bidi="ar-SA"/>
        </w:rPr>
        <w:t>磋商</w:t>
      </w:r>
      <w:r>
        <w:rPr>
          <w:rFonts w:hint="eastAsia" w:ascii="宋体" w:hAnsi="宋体" w:cs="宋体" w:eastAsiaTheme="minorEastAsia"/>
          <w:color w:val="auto"/>
          <w:szCs w:val="22"/>
          <w:lang w:val="en-US" w:eastAsia="en-US" w:bidi="ar-SA"/>
        </w:rPr>
        <w:t>文件，并于</w:t>
      </w:r>
      <w:r>
        <w:rPr>
          <w:rFonts w:hint="eastAsia" w:ascii="宋体" w:hAnsi="宋体" w:cs="宋体" w:eastAsiaTheme="minorEastAsia"/>
          <w:color w:val="auto"/>
          <w:szCs w:val="22"/>
          <w:lang w:val="en-US" w:eastAsia="en-US" w:bidi="ar-SA"/>
        </w:rPr>
        <w:t xml:space="preserve"> 202</w:t>
      </w:r>
      <w:r>
        <w:rPr>
          <w:rFonts w:hint="eastAsia" w:ascii="宋体" w:hAnsi="宋体" w:cs="宋体" w:eastAsiaTheme="minorEastAsia"/>
          <w:color w:val="auto"/>
          <w:szCs w:val="22"/>
          <w:lang w:val="en-US" w:eastAsia="zh-CN" w:bidi="ar-SA"/>
        </w:rPr>
        <w:t>4</w:t>
      </w:r>
      <w:r>
        <w:rPr>
          <w:rFonts w:hint="eastAsia" w:ascii="宋体" w:hAnsi="宋体" w:cs="宋体" w:eastAsiaTheme="minorEastAsia"/>
          <w:color w:val="auto"/>
          <w:szCs w:val="22"/>
          <w:lang w:val="en-US" w:eastAsia="en-US" w:bidi="ar-SA"/>
        </w:rPr>
        <w:t>年</w:t>
      </w:r>
      <w:r>
        <w:rPr>
          <w:rFonts w:hint="eastAsia" w:ascii="宋体" w:hAnsi="宋体" w:cs="宋体" w:eastAsiaTheme="minorEastAsia"/>
          <w:color w:val="auto"/>
          <w:szCs w:val="22"/>
          <w:lang w:val="en-US" w:eastAsia="zh-CN" w:bidi="ar-SA"/>
        </w:rPr>
        <w:t>11</w:t>
      </w:r>
      <w:r>
        <w:rPr>
          <w:rFonts w:hint="eastAsia" w:ascii="宋体" w:hAnsi="宋体" w:cs="宋体" w:eastAsiaTheme="minorEastAsia"/>
          <w:color w:val="auto"/>
          <w:szCs w:val="22"/>
          <w:lang w:val="en-US" w:eastAsia="en-US" w:bidi="ar-SA"/>
        </w:rPr>
        <w:t>月</w:t>
      </w:r>
      <w:r>
        <w:rPr>
          <w:rFonts w:hint="eastAsia" w:ascii="宋体" w:hAnsi="宋体" w:cs="宋体" w:eastAsiaTheme="minorEastAsia"/>
          <w:color w:val="auto"/>
          <w:szCs w:val="22"/>
          <w:lang w:val="en-US" w:eastAsia="zh-CN" w:bidi="ar-SA"/>
        </w:rPr>
        <w:t>11</w:t>
      </w:r>
      <w:r>
        <w:rPr>
          <w:rFonts w:hint="eastAsia" w:ascii="宋体" w:hAnsi="宋体" w:cs="宋体" w:eastAsiaTheme="minorEastAsia"/>
          <w:color w:val="auto"/>
          <w:szCs w:val="22"/>
          <w:lang w:val="en-US" w:eastAsia="en-US" w:bidi="ar-SA"/>
        </w:rPr>
        <w:t>日</w:t>
      </w:r>
      <w:r>
        <w:rPr>
          <w:rFonts w:hint="eastAsia" w:ascii="宋体" w:hAnsi="宋体" w:cs="宋体" w:eastAsiaTheme="minorEastAsia"/>
          <w:color w:val="auto"/>
          <w:szCs w:val="22"/>
          <w:lang w:val="en-US" w:eastAsia="en-US" w:bidi="ar-SA"/>
        </w:rPr>
        <w:t>09点30分（北京时间）前递交</w:t>
      </w:r>
      <w:r>
        <w:rPr>
          <w:rFonts w:hint="eastAsia" w:ascii="宋体" w:hAnsi="宋体" w:cs="宋体" w:eastAsiaTheme="minorEastAsia"/>
          <w:color w:val="auto"/>
          <w:szCs w:val="22"/>
          <w:lang w:val="en-US" w:eastAsia="zh-CN" w:bidi="ar-SA"/>
        </w:rPr>
        <w:t>响应</w:t>
      </w:r>
      <w:r>
        <w:rPr>
          <w:rFonts w:hint="eastAsia" w:ascii="宋体" w:hAnsi="宋体" w:cs="宋体" w:eastAsiaTheme="minorEastAsia"/>
          <w:color w:val="auto"/>
          <w:szCs w:val="22"/>
          <w:lang w:val="en-US" w:eastAsia="en-US" w:bidi="ar-SA"/>
        </w:rPr>
        <w:t>文件。</w:t>
      </w:r>
    </w:p>
    <w:p w14:paraId="582AF2E9">
      <w:pPr>
        <w:keepNext w:val="0"/>
        <w:keepLines w:val="0"/>
        <w:pageBreakBefore w:val="0"/>
        <w:widowControl/>
        <w:kinsoku/>
        <w:wordWrap/>
        <w:overflowPunct/>
        <w:topLinePunct w:val="0"/>
        <w:autoSpaceDE/>
        <w:autoSpaceDN/>
        <w:bidi w:val="0"/>
        <w:adjustRightInd/>
        <w:snapToGrid w:val="0"/>
        <w:spacing w:line="360" w:lineRule="auto"/>
        <w:ind w:left="0" w:right="0" w:firstLine="0"/>
        <w:jc w:val="left"/>
        <w:textAlignment w:val="auto"/>
        <w:outlineLvl w:val="1"/>
        <w:rPr>
          <w:rFonts w:hAnsi="Calibri"/>
          <w:color w:val="auto"/>
          <w:szCs w:val="22"/>
          <w:lang w:val="en-US" w:eastAsia="en-US" w:bidi="ar-SA"/>
        </w:rPr>
      </w:pPr>
      <w:bookmarkStart w:id="1" w:name="_Toc22032"/>
      <w:r>
        <w:rPr>
          <w:rFonts w:ascii="宋体" w:hAnsi="宋体" w:cs="宋体" w:eastAsiaTheme="minorEastAsia"/>
          <w:color w:val="auto"/>
          <w:spacing w:val="1"/>
          <w:szCs w:val="22"/>
          <w:lang w:val="en-US" w:eastAsia="en-US" w:bidi="ar-SA"/>
        </w:rPr>
        <w:t>一、项目基本情况</w:t>
      </w:r>
      <w:bookmarkEnd w:id="1"/>
    </w:p>
    <w:p w14:paraId="588046C6">
      <w:pPr>
        <w:keepNext w:val="0"/>
        <w:keepLines w:val="0"/>
        <w:pageBreakBefore w:val="0"/>
        <w:widowControl/>
        <w:kinsoku/>
        <w:wordWrap/>
        <w:overflowPunct/>
        <w:topLinePunct w:val="0"/>
        <w:autoSpaceDE/>
        <w:autoSpaceDN/>
        <w:bidi w:val="0"/>
        <w:adjustRightInd/>
        <w:snapToGrid w:val="0"/>
        <w:spacing w:line="360" w:lineRule="auto"/>
        <w:ind w:left="0" w:right="0" w:firstLine="0"/>
        <w:jc w:val="left"/>
        <w:textAlignment w:val="auto"/>
        <w:rPr>
          <w:rFonts w:hint="default" w:hAnsi="Calibri" w:eastAsiaTheme="minorEastAsia"/>
          <w:color w:val="auto"/>
          <w:szCs w:val="22"/>
          <w:lang w:val="en-US" w:eastAsia="zh-CN" w:bidi="ar-SA"/>
        </w:rPr>
      </w:pPr>
      <w:r>
        <w:rPr>
          <w:rFonts w:ascii="宋体" w:hAnsi="宋体" w:cs="宋体" w:eastAsiaTheme="minorEastAsia"/>
          <w:color w:val="auto"/>
          <w:szCs w:val="22"/>
          <w:lang w:val="en-US" w:eastAsia="en-US" w:bidi="ar-SA"/>
        </w:rPr>
        <w:t>项目编号：</w:t>
      </w:r>
      <w:r>
        <w:rPr>
          <w:rFonts w:hint="eastAsia" w:ascii="宋体" w:hAnsi="宋体" w:cs="宋体" w:eastAsiaTheme="minorEastAsia"/>
          <w:color w:val="auto"/>
          <w:szCs w:val="22"/>
          <w:lang w:val="en-US" w:eastAsia="en-US" w:bidi="ar-SA"/>
        </w:rPr>
        <w:t>JX</w:t>
      </w:r>
      <w:r>
        <w:rPr>
          <w:rFonts w:hint="eastAsia" w:ascii="宋体" w:hAnsi="宋体" w:cs="宋体" w:eastAsiaTheme="minorEastAsia"/>
          <w:color w:val="auto"/>
          <w:szCs w:val="22"/>
          <w:lang w:val="en-US" w:eastAsia="zh-CN" w:bidi="ar-SA"/>
        </w:rPr>
        <w:t>BT</w:t>
      </w:r>
      <w:r>
        <w:rPr>
          <w:rFonts w:hint="eastAsia" w:ascii="宋体" w:hAnsi="宋体" w:cs="宋体" w:eastAsiaTheme="minorEastAsia"/>
          <w:color w:val="auto"/>
          <w:szCs w:val="22"/>
          <w:lang w:val="en-US" w:eastAsia="en-US" w:bidi="ar-SA"/>
        </w:rPr>
        <w:t>202</w:t>
      </w:r>
      <w:r>
        <w:rPr>
          <w:rFonts w:hint="eastAsia" w:ascii="宋体" w:hAnsi="宋体" w:cs="宋体" w:eastAsiaTheme="minorEastAsia"/>
          <w:color w:val="auto"/>
          <w:szCs w:val="22"/>
          <w:lang w:val="en-US" w:eastAsia="zh-CN" w:bidi="ar-SA"/>
        </w:rPr>
        <w:t>41023</w:t>
      </w:r>
    </w:p>
    <w:p w14:paraId="35B19871">
      <w:pPr>
        <w:keepNext w:val="0"/>
        <w:keepLines w:val="0"/>
        <w:pageBreakBefore w:val="0"/>
        <w:widowControl/>
        <w:kinsoku/>
        <w:wordWrap/>
        <w:overflowPunct/>
        <w:topLinePunct w:val="0"/>
        <w:autoSpaceDE/>
        <w:autoSpaceDN/>
        <w:bidi w:val="0"/>
        <w:adjustRightInd/>
        <w:snapToGrid w:val="0"/>
        <w:spacing w:line="360" w:lineRule="auto"/>
        <w:ind w:left="0" w:right="0" w:firstLine="0"/>
        <w:jc w:val="left"/>
        <w:textAlignment w:val="auto"/>
        <w:rPr>
          <w:rFonts w:hAnsi="Calibri"/>
          <w:color w:val="auto"/>
          <w:szCs w:val="22"/>
          <w:lang w:val="en-US" w:eastAsia="en-US" w:bidi="ar-SA"/>
        </w:rPr>
      </w:pPr>
      <w:r>
        <w:rPr>
          <w:rFonts w:ascii="宋体" w:hAnsi="宋体" w:cs="宋体" w:eastAsiaTheme="minorEastAsia"/>
          <w:color w:val="auto"/>
          <w:szCs w:val="22"/>
          <w:lang w:val="en-US" w:eastAsia="en-US" w:bidi="ar-SA"/>
        </w:rPr>
        <w:t>项目名称：</w:t>
      </w:r>
      <w:r>
        <w:rPr>
          <w:rFonts w:hint="eastAsia" w:ascii="宋体" w:hAnsi="宋体" w:cs="宋体" w:eastAsiaTheme="minorEastAsia"/>
          <w:color w:val="auto"/>
          <w:szCs w:val="22"/>
          <w:lang w:val="en-US" w:eastAsia="zh-CN" w:bidi="ar-SA"/>
        </w:rPr>
        <w:t>江西省农产品质量安全检测中心试剂耗材采购及配送服务项目</w:t>
      </w:r>
    </w:p>
    <w:p w14:paraId="6075DBB0">
      <w:pPr>
        <w:keepNext w:val="0"/>
        <w:keepLines w:val="0"/>
        <w:pageBreakBefore w:val="0"/>
        <w:widowControl/>
        <w:kinsoku/>
        <w:wordWrap/>
        <w:overflowPunct/>
        <w:topLinePunct w:val="0"/>
        <w:autoSpaceDE/>
        <w:autoSpaceDN/>
        <w:bidi w:val="0"/>
        <w:adjustRightInd/>
        <w:snapToGrid w:val="0"/>
        <w:spacing w:line="360" w:lineRule="auto"/>
        <w:ind w:left="0" w:right="0" w:firstLine="0"/>
        <w:jc w:val="left"/>
        <w:textAlignment w:val="auto"/>
        <w:rPr>
          <w:rFonts w:hAnsi="Calibri"/>
          <w:color w:val="auto"/>
          <w:szCs w:val="22"/>
          <w:lang w:val="en-US" w:eastAsia="en-US" w:bidi="ar-SA"/>
        </w:rPr>
      </w:pPr>
      <w:r>
        <w:rPr>
          <w:rFonts w:ascii="宋体" w:hAnsi="宋体" w:cs="宋体" w:eastAsiaTheme="minorEastAsia"/>
          <w:color w:val="auto"/>
          <w:szCs w:val="22"/>
          <w:lang w:val="en-US" w:eastAsia="en-US" w:bidi="ar-SA"/>
        </w:rPr>
        <w:t>预算金额：</w:t>
      </w:r>
      <w:r>
        <w:rPr>
          <w:rFonts w:hint="eastAsia" w:ascii="宋体" w:hAnsi="宋体" w:cs="宋体" w:eastAsiaTheme="minorEastAsia"/>
          <w:color w:val="auto"/>
          <w:szCs w:val="22"/>
          <w:lang w:val="en-US" w:eastAsia="zh-CN" w:bidi="ar-SA"/>
        </w:rPr>
        <w:t>860000.00</w:t>
      </w:r>
      <w:r>
        <w:rPr>
          <w:rFonts w:ascii="宋体" w:hAnsi="宋体" w:cs="宋体" w:eastAsiaTheme="minorEastAsia"/>
          <w:color w:val="auto"/>
          <w:szCs w:val="22"/>
          <w:lang w:val="en-US" w:eastAsia="en-US" w:bidi="ar-SA"/>
        </w:rPr>
        <w:t>元</w:t>
      </w:r>
      <w:bookmarkStart w:id="13" w:name="_GoBack"/>
      <w:bookmarkEnd w:id="13"/>
    </w:p>
    <w:p w14:paraId="749508A4">
      <w:pPr>
        <w:keepNext w:val="0"/>
        <w:keepLines w:val="0"/>
        <w:pageBreakBefore w:val="0"/>
        <w:widowControl/>
        <w:kinsoku/>
        <w:wordWrap/>
        <w:overflowPunct/>
        <w:topLinePunct w:val="0"/>
        <w:autoSpaceDE/>
        <w:autoSpaceDN/>
        <w:bidi w:val="0"/>
        <w:adjustRightInd/>
        <w:snapToGrid w:val="0"/>
        <w:spacing w:line="360" w:lineRule="auto"/>
        <w:ind w:left="0" w:right="0" w:firstLine="0"/>
        <w:jc w:val="left"/>
        <w:textAlignment w:val="auto"/>
        <w:rPr>
          <w:rFonts w:ascii="宋体" w:hAnsi="宋体" w:cs="宋体" w:eastAsiaTheme="minorEastAsia"/>
          <w:color w:val="auto"/>
          <w:szCs w:val="22"/>
          <w:lang w:val="en-US" w:eastAsia="en-US" w:bidi="ar-SA"/>
        </w:rPr>
      </w:pPr>
      <w:r>
        <w:rPr>
          <w:rFonts w:ascii="宋体" w:hAnsi="宋体" w:cs="宋体" w:eastAsiaTheme="minorEastAsia"/>
          <w:color w:val="auto"/>
          <w:szCs w:val="22"/>
          <w:lang w:val="en-US" w:eastAsia="en-US" w:bidi="ar-SA"/>
        </w:rPr>
        <w:t>采购需求：</w:t>
      </w:r>
    </w:p>
    <w:tbl>
      <w:tblPr>
        <w:tblStyle w:val="17"/>
        <w:tblW w:w="79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51"/>
        <w:gridCol w:w="785"/>
        <w:gridCol w:w="773"/>
        <w:gridCol w:w="3196"/>
      </w:tblGrid>
      <w:tr w14:paraId="359DD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3151" w:type="dxa"/>
            <w:vAlign w:val="center"/>
          </w:tcPr>
          <w:p w14:paraId="0A5DA621">
            <w:pPr>
              <w:keepNext w:val="0"/>
              <w:keepLines w:val="0"/>
              <w:pageBreakBefore w:val="0"/>
              <w:widowControl/>
              <w:kinsoku/>
              <w:wordWrap/>
              <w:overflowPunct/>
              <w:topLinePunct w:val="0"/>
              <w:autoSpaceDE/>
              <w:autoSpaceDN/>
              <w:bidi w:val="0"/>
              <w:adjustRightInd/>
              <w:snapToGrid w:val="0"/>
              <w:spacing w:line="360" w:lineRule="auto"/>
              <w:ind w:left="0" w:right="0"/>
              <w:jc w:val="center"/>
              <w:textAlignment w:val="auto"/>
              <w:rPr>
                <w:rFonts w:hint="eastAsia" w:ascii="宋体" w:hAnsi="宋体" w:cs="宋体" w:eastAsiaTheme="minorEastAsia"/>
                <w:color w:val="auto"/>
                <w:szCs w:val="22"/>
                <w:vertAlign w:val="baseline"/>
                <w:lang w:val="en-US" w:eastAsia="zh-CN" w:bidi="ar-SA"/>
              </w:rPr>
            </w:pPr>
            <w:r>
              <w:rPr>
                <w:rFonts w:hint="eastAsia" w:ascii="宋体" w:hAnsi="宋体" w:cs="宋体" w:eastAsiaTheme="minorEastAsia"/>
                <w:color w:val="auto"/>
                <w:szCs w:val="22"/>
                <w:vertAlign w:val="baseline"/>
                <w:lang w:val="en-US" w:eastAsia="zh-CN" w:bidi="ar-SA"/>
              </w:rPr>
              <w:t>采购名称</w:t>
            </w:r>
          </w:p>
        </w:tc>
        <w:tc>
          <w:tcPr>
            <w:tcW w:w="785" w:type="dxa"/>
            <w:vAlign w:val="center"/>
          </w:tcPr>
          <w:p w14:paraId="322AF63F">
            <w:pPr>
              <w:keepNext w:val="0"/>
              <w:keepLines w:val="0"/>
              <w:pageBreakBefore w:val="0"/>
              <w:widowControl/>
              <w:kinsoku/>
              <w:wordWrap/>
              <w:overflowPunct/>
              <w:topLinePunct w:val="0"/>
              <w:autoSpaceDE/>
              <w:autoSpaceDN/>
              <w:bidi w:val="0"/>
              <w:adjustRightInd/>
              <w:snapToGrid w:val="0"/>
              <w:spacing w:line="360" w:lineRule="auto"/>
              <w:ind w:left="0" w:right="0"/>
              <w:jc w:val="center"/>
              <w:textAlignment w:val="auto"/>
              <w:rPr>
                <w:rFonts w:hint="eastAsia" w:ascii="宋体" w:hAnsi="宋体" w:cs="宋体" w:eastAsiaTheme="minorEastAsia"/>
                <w:color w:val="auto"/>
                <w:szCs w:val="22"/>
                <w:vertAlign w:val="baseline"/>
                <w:lang w:val="en-US" w:eastAsia="zh-CN" w:bidi="ar-SA"/>
              </w:rPr>
            </w:pPr>
            <w:r>
              <w:rPr>
                <w:rFonts w:hint="eastAsia" w:ascii="宋体" w:hAnsi="宋体" w:cs="宋体" w:eastAsiaTheme="minorEastAsia"/>
                <w:color w:val="auto"/>
                <w:szCs w:val="22"/>
                <w:vertAlign w:val="baseline"/>
                <w:lang w:val="en-US" w:eastAsia="zh-CN" w:bidi="ar-SA"/>
              </w:rPr>
              <w:t>数量</w:t>
            </w:r>
          </w:p>
        </w:tc>
        <w:tc>
          <w:tcPr>
            <w:tcW w:w="773" w:type="dxa"/>
            <w:vAlign w:val="center"/>
          </w:tcPr>
          <w:p w14:paraId="50282630">
            <w:pPr>
              <w:keepNext w:val="0"/>
              <w:keepLines w:val="0"/>
              <w:pageBreakBefore w:val="0"/>
              <w:widowControl/>
              <w:kinsoku/>
              <w:wordWrap/>
              <w:overflowPunct/>
              <w:topLinePunct w:val="0"/>
              <w:autoSpaceDE/>
              <w:autoSpaceDN/>
              <w:bidi w:val="0"/>
              <w:adjustRightInd/>
              <w:snapToGrid w:val="0"/>
              <w:spacing w:line="360" w:lineRule="auto"/>
              <w:ind w:left="0" w:right="0"/>
              <w:jc w:val="center"/>
              <w:textAlignment w:val="auto"/>
              <w:rPr>
                <w:rFonts w:hint="eastAsia" w:ascii="宋体" w:hAnsi="宋体" w:cs="宋体" w:eastAsiaTheme="minorEastAsia"/>
                <w:color w:val="auto"/>
                <w:szCs w:val="22"/>
                <w:vertAlign w:val="baseline"/>
                <w:lang w:val="en-US" w:eastAsia="zh-CN" w:bidi="ar-SA"/>
              </w:rPr>
            </w:pPr>
            <w:r>
              <w:rPr>
                <w:rFonts w:hint="eastAsia" w:ascii="宋体" w:hAnsi="宋体" w:cs="宋体" w:eastAsiaTheme="minorEastAsia"/>
                <w:color w:val="auto"/>
                <w:szCs w:val="22"/>
                <w:vertAlign w:val="baseline"/>
                <w:lang w:val="en-US" w:eastAsia="zh-CN" w:bidi="ar-SA"/>
              </w:rPr>
              <w:t>单位</w:t>
            </w:r>
          </w:p>
        </w:tc>
        <w:tc>
          <w:tcPr>
            <w:tcW w:w="3196" w:type="dxa"/>
            <w:vAlign w:val="center"/>
          </w:tcPr>
          <w:p w14:paraId="7085195F">
            <w:pPr>
              <w:keepNext w:val="0"/>
              <w:keepLines w:val="0"/>
              <w:pageBreakBefore w:val="0"/>
              <w:widowControl/>
              <w:kinsoku/>
              <w:wordWrap/>
              <w:overflowPunct/>
              <w:topLinePunct w:val="0"/>
              <w:autoSpaceDE/>
              <w:autoSpaceDN/>
              <w:bidi w:val="0"/>
              <w:adjustRightInd/>
              <w:snapToGrid w:val="0"/>
              <w:spacing w:line="360" w:lineRule="auto"/>
              <w:ind w:left="0" w:right="0"/>
              <w:jc w:val="center"/>
              <w:textAlignment w:val="auto"/>
              <w:rPr>
                <w:rFonts w:hint="eastAsia" w:ascii="宋体" w:hAnsi="宋体" w:cs="宋体" w:eastAsiaTheme="minorEastAsia"/>
                <w:color w:val="auto"/>
                <w:szCs w:val="22"/>
                <w:vertAlign w:val="baseline"/>
                <w:lang w:val="en-US" w:eastAsia="en-US" w:bidi="ar-SA"/>
              </w:rPr>
            </w:pPr>
            <w:r>
              <w:rPr>
                <w:rFonts w:hint="eastAsia" w:ascii="宋体" w:hAnsi="宋体" w:cs="宋体" w:eastAsiaTheme="minorEastAsia"/>
                <w:color w:val="auto"/>
                <w:szCs w:val="22"/>
                <w:vertAlign w:val="baseline"/>
                <w:lang w:val="en-US" w:eastAsia="zh-CN" w:bidi="ar-SA"/>
              </w:rPr>
              <w:t>规格及技术参数</w:t>
            </w:r>
          </w:p>
        </w:tc>
      </w:tr>
      <w:tr w14:paraId="7657D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trPr>
        <w:tc>
          <w:tcPr>
            <w:tcW w:w="3151" w:type="dxa"/>
            <w:vAlign w:val="center"/>
          </w:tcPr>
          <w:p w14:paraId="5EFBBD88">
            <w:pPr>
              <w:keepNext w:val="0"/>
              <w:keepLines w:val="0"/>
              <w:pageBreakBefore w:val="0"/>
              <w:widowControl/>
              <w:kinsoku/>
              <w:wordWrap/>
              <w:overflowPunct/>
              <w:topLinePunct w:val="0"/>
              <w:autoSpaceDE/>
              <w:autoSpaceDN/>
              <w:bidi w:val="0"/>
              <w:adjustRightInd/>
              <w:snapToGrid w:val="0"/>
              <w:spacing w:line="240" w:lineRule="auto"/>
              <w:ind w:left="0" w:right="0"/>
              <w:jc w:val="left"/>
              <w:textAlignment w:val="auto"/>
              <w:rPr>
                <w:rFonts w:ascii="宋体" w:hAnsi="宋体" w:cs="宋体" w:eastAsiaTheme="minorEastAsia"/>
                <w:color w:val="auto"/>
                <w:szCs w:val="22"/>
                <w:vertAlign w:val="baseline"/>
                <w:lang w:val="en-US" w:eastAsia="en-US" w:bidi="ar-SA"/>
              </w:rPr>
            </w:pPr>
            <w:r>
              <w:rPr>
                <w:rFonts w:hint="eastAsia" w:ascii="宋体" w:hAnsi="宋体" w:cs="宋体" w:eastAsiaTheme="minorEastAsia"/>
                <w:color w:val="auto"/>
                <w:szCs w:val="22"/>
                <w:lang w:val="en-US" w:eastAsia="zh-CN" w:bidi="ar-SA"/>
              </w:rPr>
              <w:t>江西省农产品质量安全检测中心试剂耗材采购及配送服务项目</w:t>
            </w:r>
          </w:p>
        </w:tc>
        <w:tc>
          <w:tcPr>
            <w:tcW w:w="785" w:type="dxa"/>
            <w:vAlign w:val="center"/>
          </w:tcPr>
          <w:p w14:paraId="71B3E7BD">
            <w:pPr>
              <w:keepNext w:val="0"/>
              <w:keepLines w:val="0"/>
              <w:pageBreakBefore w:val="0"/>
              <w:widowControl/>
              <w:kinsoku/>
              <w:wordWrap/>
              <w:overflowPunct/>
              <w:topLinePunct w:val="0"/>
              <w:autoSpaceDE/>
              <w:autoSpaceDN/>
              <w:bidi w:val="0"/>
              <w:adjustRightInd/>
              <w:snapToGrid w:val="0"/>
              <w:spacing w:line="360" w:lineRule="auto"/>
              <w:ind w:left="0" w:right="0"/>
              <w:jc w:val="center"/>
              <w:textAlignment w:val="auto"/>
              <w:rPr>
                <w:rFonts w:hint="eastAsia" w:ascii="宋体" w:hAnsi="宋体" w:cs="宋体" w:eastAsiaTheme="minorEastAsia"/>
                <w:color w:val="auto"/>
                <w:szCs w:val="22"/>
                <w:vertAlign w:val="baseline"/>
                <w:lang w:val="en-US" w:eastAsia="zh-CN" w:bidi="ar-SA"/>
              </w:rPr>
            </w:pPr>
            <w:r>
              <w:rPr>
                <w:rFonts w:hint="eastAsia" w:ascii="宋体" w:hAnsi="宋体" w:cs="宋体" w:eastAsiaTheme="minorEastAsia"/>
                <w:color w:val="auto"/>
                <w:szCs w:val="22"/>
                <w:vertAlign w:val="baseline"/>
                <w:lang w:val="en-US" w:eastAsia="zh-CN" w:bidi="ar-SA"/>
              </w:rPr>
              <w:t>1</w:t>
            </w:r>
          </w:p>
        </w:tc>
        <w:tc>
          <w:tcPr>
            <w:tcW w:w="773" w:type="dxa"/>
            <w:vAlign w:val="center"/>
          </w:tcPr>
          <w:p w14:paraId="52B1A7B0">
            <w:pPr>
              <w:keepNext w:val="0"/>
              <w:keepLines w:val="0"/>
              <w:pageBreakBefore w:val="0"/>
              <w:widowControl/>
              <w:kinsoku/>
              <w:wordWrap/>
              <w:overflowPunct/>
              <w:topLinePunct w:val="0"/>
              <w:autoSpaceDE/>
              <w:autoSpaceDN/>
              <w:bidi w:val="0"/>
              <w:adjustRightInd/>
              <w:snapToGrid w:val="0"/>
              <w:spacing w:line="360" w:lineRule="auto"/>
              <w:ind w:left="0" w:right="0"/>
              <w:jc w:val="center"/>
              <w:textAlignment w:val="auto"/>
              <w:rPr>
                <w:rFonts w:hint="eastAsia" w:ascii="宋体" w:hAnsi="宋体" w:cs="宋体" w:eastAsiaTheme="minorEastAsia"/>
                <w:color w:val="auto"/>
                <w:szCs w:val="22"/>
                <w:vertAlign w:val="baseline"/>
                <w:lang w:val="en-US" w:eastAsia="zh-CN" w:bidi="ar-SA"/>
              </w:rPr>
            </w:pPr>
            <w:r>
              <w:rPr>
                <w:rFonts w:hint="eastAsia" w:ascii="宋体" w:hAnsi="宋体" w:cs="宋体" w:eastAsiaTheme="minorEastAsia"/>
                <w:color w:val="auto"/>
                <w:szCs w:val="22"/>
                <w:vertAlign w:val="baseline"/>
                <w:lang w:val="en-US" w:eastAsia="zh-CN" w:bidi="ar-SA"/>
              </w:rPr>
              <w:t>项</w:t>
            </w:r>
          </w:p>
        </w:tc>
        <w:tc>
          <w:tcPr>
            <w:tcW w:w="3196" w:type="dxa"/>
            <w:vAlign w:val="center"/>
          </w:tcPr>
          <w:p w14:paraId="33D9EC47">
            <w:pPr>
              <w:keepNext w:val="0"/>
              <w:keepLines w:val="0"/>
              <w:pageBreakBefore w:val="0"/>
              <w:widowControl/>
              <w:kinsoku/>
              <w:wordWrap/>
              <w:overflowPunct/>
              <w:topLinePunct w:val="0"/>
              <w:autoSpaceDE/>
              <w:autoSpaceDN/>
              <w:bidi w:val="0"/>
              <w:adjustRightInd/>
              <w:snapToGrid w:val="0"/>
              <w:spacing w:line="240" w:lineRule="auto"/>
              <w:ind w:left="0" w:right="0"/>
              <w:jc w:val="left"/>
              <w:textAlignment w:val="auto"/>
              <w:rPr>
                <w:rFonts w:hint="eastAsia" w:ascii="宋体" w:hAnsi="宋体" w:cs="宋体" w:eastAsiaTheme="minorEastAsia"/>
                <w:color w:val="auto"/>
                <w:szCs w:val="22"/>
                <w:lang w:val="en-US" w:eastAsia="zh-CN" w:bidi="ar-SA"/>
              </w:rPr>
            </w:pPr>
            <w:r>
              <w:rPr>
                <w:rFonts w:hint="eastAsia" w:ascii="宋体" w:hAnsi="宋体" w:cs="宋体" w:eastAsiaTheme="minorEastAsia"/>
                <w:color w:val="auto"/>
                <w:szCs w:val="22"/>
                <w:lang w:val="en-US" w:eastAsia="zh-CN" w:bidi="ar-SA"/>
              </w:rPr>
              <w:t>采购标准品及试剂耗材，详见磋商文件</w:t>
            </w:r>
          </w:p>
          <w:p w14:paraId="180FC16B">
            <w:pPr>
              <w:keepNext w:val="0"/>
              <w:keepLines w:val="0"/>
              <w:pageBreakBefore w:val="0"/>
              <w:widowControl/>
              <w:kinsoku/>
              <w:wordWrap/>
              <w:overflowPunct/>
              <w:topLinePunct w:val="0"/>
              <w:autoSpaceDE/>
              <w:autoSpaceDN/>
              <w:bidi w:val="0"/>
              <w:adjustRightInd/>
              <w:snapToGrid w:val="0"/>
              <w:spacing w:line="360" w:lineRule="auto"/>
              <w:ind w:left="0" w:right="0"/>
              <w:jc w:val="center"/>
              <w:textAlignment w:val="auto"/>
              <w:rPr>
                <w:rFonts w:hint="eastAsia" w:ascii="宋体" w:hAnsi="宋体" w:cs="宋体" w:eastAsiaTheme="minorEastAsia"/>
                <w:color w:val="auto"/>
                <w:szCs w:val="22"/>
                <w:vertAlign w:val="baseline"/>
                <w:lang w:val="en-US" w:eastAsia="en-US" w:bidi="ar-SA"/>
              </w:rPr>
            </w:pPr>
          </w:p>
        </w:tc>
      </w:tr>
    </w:tbl>
    <w:p w14:paraId="15BB880D">
      <w:pPr>
        <w:keepNext w:val="0"/>
        <w:keepLines w:val="0"/>
        <w:widowControl/>
        <w:suppressLineNumbers w:val="0"/>
        <w:jc w:val="left"/>
        <w:rPr>
          <w:rFonts w:hAnsi="Calibri"/>
          <w:color w:val="auto"/>
          <w:szCs w:val="22"/>
          <w:lang w:val="en-US" w:eastAsia="en-US" w:bidi="ar-SA"/>
        </w:rPr>
      </w:pPr>
      <w:r>
        <w:rPr>
          <w:rFonts w:ascii="宋体" w:hAnsi="宋体" w:cs="宋体" w:eastAsiaTheme="minorEastAsia"/>
          <w:color w:val="auto"/>
          <w:spacing w:val="1"/>
          <w:szCs w:val="22"/>
          <w:lang w:val="en-US" w:eastAsia="en-US" w:bidi="ar-SA"/>
        </w:rPr>
        <w:t>合同履行期限：</w:t>
      </w:r>
      <w:r>
        <w:rPr>
          <w:rFonts w:ascii="宋体" w:hAnsi="宋体" w:cs="宋体" w:eastAsiaTheme="minorEastAsia"/>
          <w:color w:val="auto"/>
          <w:spacing w:val="1"/>
          <w:szCs w:val="22"/>
          <w:lang w:val="en-US" w:eastAsia="zh-CN" w:bidi="ar-SA"/>
        </w:rPr>
        <w:t>自双方正式签订合同之日起20个日历日内一次性交付</w:t>
      </w:r>
      <w:r>
        <w:rPr>
          <w:rFonts w:hint="eastAsia" w:ascii="宋体" w:hAnsi="宋体" w:cs="宋体" w:eastAsiaTheme="minorEastAsia"/>
          <w:color w:val="auto"/>
          <w:spacing w:val="1"/>
          <w:szCs w:val="22"/>
          <w:lang w:val="en-US" w:eastAsia="zh-CN" w:bidi="ar-SA"/>
        </w:rPr>
        <w:t>全部产品。</w:t>
      </w:r>
    </w:p>
    <w:p w14:paraId="5357D959">
      <w:pPr>
        <w:keepNext w:val="0"/>
        <w:keepLines w:val="0"/>
        <w:pageBreakBefore w:val="0"/>
        <w:widowControl/>
        <w:kinsoku/>
        <w:wordWrap/>
        <w:overflowPunct/>
        <w:topLinePunct w:val="0"/>
        <w:autoSpaceDE/>
        <w:autoSpaceDN/>
        <w:bidi w:val="0"/>
        <w:adjustRightInd/>
        <w:snapToGrid w:val="0"/>
        <w:spacing w:line="360" w:lineRule="auto"/>
        <w:ind w:left="0" w:right="0" w:firstLine="0"/>
        <w:jc w:val="left"/>
        <w:textAlignment w:val="auto"/>
        <w:rPr>
          <w:rFonts w:hAnsi="Calibri"/>
          <w:color w:val="auto"/>
          <w:szCs w:val="22"/>
          <w:lang w:val="en-US" w:eastAsia="en-US" w:bidi="ar-SA"/>
        </w:rPr>
      </w:pPr>
      <w:r>
        <w:rPr>
          <w:rFonts w:ascii="宋体" w:hAnsi="宋体" w:cs="宋体" w:eastAsiaTheme="minorEastAsia"/>
          <w:color w:val="auto"/>
          <w:spacing w:val="1"/>
          <w:szCs w:val="22"/>
          <w:lang w:val="en-US" w:eastAsia="en-US" w:bidi="ar-SA"/>
        </w:rPr>
        <w:t>本项目</w:t>
      </w:r>
      <w:r>
        <w:rPr>
          <w:rFonts w:hint="eastAsia" w:ascii="宋体" w:hAnsi="宋体" w:cs="宋体" w:eastAsiaTheme="minorEastAsia"/>
          <w:color w:val="auto"/>
          <w:spacing w:val="1"/>
          <w:szCs w:val="22"/>
          <w:lang w:val="en-US" w:eastAsia="zh-CN" w:bidi="ar-SA"/>
        </w:rPr>
        <w:t>不</w:t>
      </w:r>
      <w:r>
        <w:rPr>
          <w:rFonts w:ascii="宋体" w:hAnsi="宋体" w:cs="宋体" w:eastAsiaTheme="minorEastAsia"/>
          <w:color w:val="auto"/>
          <w:spacing w:val="1"/>
          <w:szCs w:val="22"/>
          <w:lang w:val="en-US" w:eastAsia="en-US" w:bidi="ar-SA"/>
        </w:rPr>
        <w:t>接受联合体。</w:t>
      </w:r>
    </w:p>
    <w:p w14:paraId="5BC9E091">
      <w:pPr>
        <w:keepNext w:val="0"/>
        <w:keepLines w:val="0"/>
        <w:pageBreakBefore w:val="0"/>
        <w:widowControl/>
        <w:kinsoku/>
        <w:wordWrap/>
        <w:overflowPunct/>
        <w:topLinePunct w:val="0"/>
        <w:autoSpaceDE/>
        <w:autoSpaceDN/>
        <w:bidi w:val="0"/>
        <w:adjustRightInd/>
        <w:snapToGrid w:val="0"/>
        <w:spacing w:line="360" w:lineRule="auto"/>
        <w:ind w:left="0" w:right="0" w:firstLine="0"/>
        <w:jc w:val="left"/>
        <w:textAlignment w:val="auto"/>
        <w:outlineLvl w:val="1"/>
        <w:rPr>
          <w:rFonts w:hAnsi="Calibri"/>
          <w:color w:val="auto"/>
          <w:szCs w:val="22"/>
          <w:lang w:val="en-US" w:eastAsia="en-US" w:bidi="ar-SA"/>
        </w:rPr>
      </w:pPr>
      <w:bookmarkStart w:id="2" w:name="_Toc12675"/>
      <w:r>
        <w:rPr>
          <w:rFonts w:ascii="宋体" w:hAnsi="宋体" w:cs="宋体" w:eastAsiaTheme="minorEastAsia"/>
          <w:color w:val="auto"/>
          <w:spacing w:val="1"/>
          <w:szCs w:val="22"/>
          <w:lang w:val="en-US" w:eastAsia="en-US" w:bidi="ar-SA"/>
        </w:rPr>
        <w:t>二、申请人的资格要求</w:t>
      </w:r>
      <w:bookmarkEnd w:id="2"/>
    </w:p>
    <w:p w14:paraId="1BE2E16D">
      <w:pPr>
        <w:keepNext w:val="0"/>
        <w:keepLines w:val="0"/>
        <w:pageBreakBefore w:val="0"/>
        <w:widowControl/>
        <w:kinsoku/>
        <w:wordWrap/>
        <w:overflowPunct/>
        <w:topLinePunct w:val="0"/>
        <w:autoSpaceDE/>
        <w:autoSpaceDN/>
        <w:bidi w:val="0"/>
        <w:adjustRightInd/>
        <w:snapToGrid w:val="0"/>
        <w:spacing w:line="360" w:lineRule="auto"/>
        <w:ind w:left="0" w:right="0" w:firstLine="0"/>
        <w:jc w:val="left"/>
        <w:textAlignment w:val="auto"/>
        <w:outlineLvl w:val="2"/>
        <w:rPr>
          <w:rFonts w:hAnsi="Calibri"/>
          <w:color w:val="auto"/>
          <w:szCs w:val="22"/>
          <w:lang w:val="en-US" w:eastAsia="en-US" w:bidi="ar-SA"/>
        </w:rPr>
      </w:pPr>
      <w:r>
        <w:rPr>
          <w:rFonts w:ascii="宋体" w:hAnsi="宋体" w:cs="宋体" w:eastAsiaTheme="minorEastAsia"/>
          <w:color w:val="auto"/>
          <w:szCs w:val="22"/>
          <w:lang w:val="en-US" w:eastAsia="en-US" w:bidi="ar-SA"/>
        </w:rPr>
        <w:t>1.满足《中华人民共和国政府采购法》第二十二条规定；</w:t>
      </w:r>
    </w:p>
    <w:p w14:paraId="31A62500">
      <w:pPr>
        <w:keepNext w:val="0"/>
        <w:keepLines w:val="0"/>
        <w:pageBreakBefore w:val="0"/>
        <w:widowControl/>
        <w:kinsoku/>
        <w:wordWrap/>
        <w:overflowPunct/>
        <w:topLinePunct w:val="0"/>
        <w:autoSpaceDE/>
        <w:autoSpaceDN/>
        <w:bidi w:val="0"/>
        <w:adjustRightInd/>
        <w:snapToGrid w:val="0"/>
        <w:spacing w:line="360" w:lineRule="auto"/>
        <w:ind w:left="0" w:right="0" w:firstLine="0"/>
        <w:jc w:val="left"/>
        <w:textAlignment w:val="auto"/>
        <w:rPr>
          <w:rFonts w:hAnsi="Calibri"/>
          <w:color w:val="auto"/>
          <w:szCs w:val="22"/>
          <w:lang w:val="en-US" w:eastAsia="en-US" w:bidi="ar-SA"/>
        </w:rPr>
      </w:pPr>
      <w:r>
        <w:rPr>
          <w:rFonts w:ascii="宋体" w:hAnsi="宋体" w:cs="宋体" w:eastAsiaTheme="minorEastAsia"/>
          <w:color w:val="auto"/>
          <w:szCs w:val="22"/>
          <w:lang w:val="en-US" w:eastAsia="en-US" w:bidi="ar-SA"/>
        </w:rPr>
        <w:t>（1）具有独立承担民事责任的能力</w:t>
      </w:r>
    </w:p>
    <w:p w14:paraId="3762F03B">
      <w:pPr>
        <w:keepNext w:val="0"/>
        <w:keepLines w:val="0"/>
        <w:pageBreakBefore w:val="0"/>
        <w:widowControl/>
        <w:kinsoku/>
        <w:wordWrap/>
        <w:overflowPunct/>
        <w:topLinePunct w:val="0"/>
        <w:autoSpaceDE/>
        <w:autoSpaceDN/>
        <w:bidi w:val="0"/>
        <w:adjustRightInd/>
        <w:snapToGrid w:val="0"/>
        <w:spacing w:line="360" w:lineRule="auto"/>
        <w:ind w:left="0" w:right="0" w:firstLine="0"/>
        <w:jc w:val="left"/>
        <w:textAlignment w:val="auto"/>
        <w:rPr>
          <w:rFonts w:hAnsi="Calibri"/>
          <w:color w:val="auto"/>
          <w:szCs w:val="22"/>
          <w:lang w:val="en-US" w:eastAsia="en-US" w:bidi="ar-SA"/>
        </w:rPr>
      </w:pPr>
      <w:r>
        <w:rPr>
          <w:rFonts w:ascii="宋体" w:hAnsi="宋体" w:cs="宋体" w:eastAsiaTheme="minorEastAsia"/>
          <w:color w:val="auto"/>
          <w:szCs w:val="22"/>
          <w:lang w:val="en-US" w:eastAsia="en-US" w:bidi="ar-SA"/>
        </w:rPr>
        <w:t>（2）具有良好的商业信誉和健全的财务会计制度</w:t>
      </w:r>
    </w:p>
    <w:p w14:paraId="6E505E8F">
      <w:pPr>
        <w:keepNext w:val="0"/>
        <w:keepLines w:val="0"/>
        <w:pageBreakBefore w:val="0"/>
        <w:widowControl/>
        <w:kinsoku/>
        <w:wordWrap/>
        <w:overflowPunct/>
        <w:topLinePunct w:val="0"/>
        <w:autoSpaceDE/>
        <w:autoSpaceDN/>
        <w:bidi w:val="0"/>
        <w:adjustRightInd/>
        <w:snapToGrid w:val="0"/>
        <w:spacing w:line="360" w:lineRule="auto"/>
        <w:ind w:left="0" w:right="0" w:firstLine="0"/>
        <w:jc w:val="left"/>
        <w:textAlignment w:val="auto"/>
        <w:rPr>
          <w:rFonts w:hAnsi="Calibri"/>
          <w:color w:val="auto"/>
          <w:szCs w:val="22"/>
          <w:lang w:val="en-US" w:eastAsia="en-US" w:bidi="ar-SA"/>
        </w:rPr>
      </w:pPr>
      <w:r>
        <w:rPr>
          <w:rFonts w:ascii="宋体" w:hAnsi="宋体" w:cs="宋体" w:eastAsiaTheme="minorEastAsia"/>
          <w:color w:val="auto"/>
          <w:szCs w:val="22"/>
          <w:lang w:val="en-US" w:eastAsia="en-US" w:bidi="ar-SA"/>
        </w:rPr>
        <w:t>（3）具有履行合同所必需的设备和专业技术能力</w:t>
      </w:r>
    </w:p>
    <w:p w14:paraId="3507598A">
      <w:pPr>
        <w:keepNext w:val="0"/>
        <w:keepLines w:val="0"/>
        <w:pageBreakBefore w:val="0"/>
        <w:widowControl/>
        <w:kinsoku/>
        <w:wordWrap/>
        <w:overflowPunct/>
        <w:topLinePunct w:val="0"/>
        <w:autoSpaceDE/>
        <w:autoSpaceDN/>
        <w:bidi w:val="0"/>
        <w:adjustRightInd/>
        <w:snapToGrid w:val="0"/>
        <w:spacing w:line="360" w:lineRule="auto"/>
        <w:ind w:left="0" w:right="0" w:firstLine="0"/>
        <w:jc w:val="left"/>
        <w:textAlignment w:val="auto"/>
        <w:rPr>
          <w:rFonts w:hAnsi="Calibri"/>
          <w:color w:val="auto"/>
          <w:szCs w:val="22"/>
          <w:lang w:val="en-US" w:eastAsia="en-US" w:bidi="ar-SA"/>
        </w:rPr>
      </w:pPr>
      <w:r>
        <w:rPr>
          <w:rFonts w:ascii="宋体" w:hAnsi="宋体" w:cs="宋体" w:eastAsiaTheme="minorEastAsia"/>
          <w:color w:val="auto"/>
          <w:szCs w:val="22"/>
          <w:lang w:val="en-US" w:eastAsia="en-US" w:bidi="ar-SA"/>
        </w:rPr>
        <w:t>（4）有依法缴纳税收和社会保障资金的良好记录</w:t>
      </w:r>
    </w:p>
    <w:p w14:paraId="646F513D">
      <w:pPr>
        <w:keepNext w:val="0"/>
        <w:keepLines w:val="0"/>
        <w:pageBreakBefore w:val="0"/>
        <w:widowControl/>
        <w:kinsoku/>
        <w:wordWrap/>
        <w:overflowPunct/>
        <w:topLinePunct w:val="0"/>
        <w:autoSpaceDE/>
        <w:autoSpaceDN/>
        <w:bidi w:val="0"/>
        <w:adjustRightInd/>
        <w:snapToGrid w:val="0"/>
        <w:spacing w:line="360" w:lineRule="auto"/>
        <w:ind w:left="0" w:right="0" w:firstLine="0"/>
        <w:jc w:val="left"/>
        <w:textAlignment w:val="auto"/>
        <w:rPr>
          <w:rFonts w:hAnsi="Calibri"/>
          <w:color w:val="auto"/>
          <w:szCs w:val="22"/>
          <w:lang w:val="en-US" w:eastAsia="en-US" w:bidi="ar-SA"/>
        </w:rPr>
      </w:pPr>
      <w:r>
        <w:rPr>
          <w:rFonts w:ascii="宋体" w:hAnsi="宋体" w:cs="宋体" w:eastAsiaTheme="minorEastAsia"/>
          <w:color w:val="auto"/>
          <w:szCs w:val="22"/>
          <w:lang w:val="en-US" w:eastAsia="en-US" w:bidi="ar-SA"/>
        </w:rPr>
        <w:t>（5）参加政府采购活动前三年内,在经营活动中没有重大违法记录</w:t>
      </w:r>
    </w:p>
    <w:p w14:paraId="2E4B644B">
      <w:pPr>
        <w:keepNext w:val="0"/>
        <w:keepLines w:val="0"/>
        <w:pageBreakBefore w:val="0"/>
        <w:widowControl/>
        <w:kinsoku/>
        <w:wordWrap/>
        <w:overflowPunct/>
        <w:topLinePunct w:val="0"/>
        <w:autoSpaceDE/>
        <w:autoSpaceDN/>
        <w:bidi w:val="0"/>
        <w:adjustRightInd/>
        <w:snapToGrid w:val="0"/>
        <w:spacing w:line="360" w:lineRule="auto"/>
        <w:ind w:left="0" w:right="0" w:firstLine="0"/>
        <w:jc w:val="left"/>
        <w:textAlignment w:val="auto"/>
        <w:rPr>
          <w:rFonts w:hAnsi="Calibri"/>
          <w:color w:val="auto"/>
          <w:szCs w:val="22"/>
          <w:lang w:val="en-US" w:eastAsia="en-US" w:bidi="ar-SA"/>
        </w:rPr>
      </w:pPr>
      <w:r>
        <w:rPr>
          <w:rFonts w:ascii="宋体" w:hAnsi="宋体" w:cs="宋体" w:eastAsiaTheme="minorEastAsia"/>
          <w:color w:val="auto"/>
          <w:szCs w:val="22"/>
          <w:lang w:val="en-US" w:eastAsia="en-US" w:bidi="ar-SA"/>
        </w:rPr>
        <w:t>（6）法律、行政法规规定的其他条件。</w:t>
      </w:r>
    </w:p>
    <w:p w14:paraId="4B08B1E7">
      <w:pPr>
        <w:keepNext w:val="0"/>
        <w:keepLines w:val="0"/>
        <w:pageBreakBefore w:val="0"/>
        <w:widowControl/>
        <w:kinsoku/>
        <w:wordWrap/>
        <w:overflowPunct/>
        <w:topLinePunct w:val="0"/>
        <w:autoSpaceDE/>
        <w:autoSpaceDN/>
        <w:bidi w:val="0"/>
        <w:adjustRightInd/>
        <w:snapToGrid w:val="0"/>
        <w:spacing w:line="360" w:lineRule="auto"/>
        <w:ind w:left="0" w:right="0" w:firstLine="0"/>
        <w:jc w:val="left"/>
        <w:textAlignment w:val="auto"/>
        <w:rPr>
          <w:rFonts w:hAnsi="Calibri"/>
          <w:color w:val="auto"/>
          <w:szCs w:val="22"/>
          <w:lang w:val="en-US" w:eastAsia="en-US" w:bidi="ar-SA"/>
        </w:rPr>
      </w:pPr>
      <w:r>
        <w:rPr>
          <w:rFonts w:ascii="宋体" w:hAnsi="宋体" w:cs="宋体" w:eastAsiaTheme="minorEastAsia"/>
          <w:color w:val="auto"/>
          <w:spacing w:val="2"/>
          <w:szCs w:val="22"/>
          <w:lang w:val="en-US" w:eastAsia="en-US" w:bidi="ar-SA"/>
        </w:rPr>
        <w:t>2.单位负责人为同一人或者存在直接控股、管理关系的不同供应商，不得参加同一合同项下的</w:t>
      </w:r>
      <w:r>
        <w:rPr>
          <w:rFonts w:ascii="宋体" w:hAnsi="宋体" w:cs="宋体" w:eastAsiaTheme="minorEastAsia"/>
          <w:color w:val="auto"/>
          <w:szCs w:val="22"/>
          <w:lang w:val="en-US" w:eastAsia="en-US" w:bidi="ar-SA"/>
        </w:rPr>
        <w:t>采购活动。</w:t>
      </w:r>
    </w:p>
    <w:p w14:paraId="46C16F8E">
      <w:pPr>
        <w:keepNext w:val="0"/>
        <w:keepLines w:val="0"/>
        <w:pageBreakBefore w:val="0"/>
        <w:widowControl/>
        <w:kinsoku/>
        <w:wordWrap/>
        <w:overflowPunct/>
        <w:topLinePunct w:val="0"/>
        <w:autoSpaceDE/>
        <w:autoSpaceDN/>
        <w:bidi w:val="0"/>
        <w:adjustRightInd/>
        <w:snapToGrid w:val="0"/>
        <w:spacing w:line="360" w:lineRule="auto"/>
        <w:ind w:left="0" w:right="0" w:firstLine="0"/>
        <w:jc w:val="left"/>
        <w:textAlignment w:val="auto"/>
        <w:rPr>
          <w:rFonts w:hAnsi="Calibri"/>
          <w:color w:val="auto"/>
          <w:szCs w:val="22"/>
          <w:lang w:val="en-US" w:eastAsia="en-US" w:bidi="ar-SA"/>
        </w:rPr>
      </w:pPr>
      <w:r>
        <w:rPr>
          <w:rFonts w:ascii="宋体" w:hAnsi="宋体" w:cs="宋体" w:eastAsiaTheme="minorEastAsia"/>
          <w:color w:val="auto"/>
          <w:spacing w:val="2"/>
          <w:szCs w:val="22"/>
          <w:lang w:val="en-US" w:eastAsia="en-US" w:bidi="ar-SA"/>
        </w:rPr>
        <w:t>3.为本采购项目提供整体设计、规范编制或者项目管理、监理、检测等服务的，不得参加本项</w:t>
      </w:r>
      <w:r>
        <w:rPr>
          <w:rFonts w:ascii="宋体" w:hAnsi="宋体" w:cs="宋体" w:eastAsiaTheme="minorEastAsia"/>
          <w:color w:val="auto"/>
          <w:szCs w:val="22"/>
          <w:lang w:val="en-US" w:eastAsia="en-US" w:bidi="ar-SA"/>
        </w:rPr>
        <w:t>目的政府采购活动。</w:t>
      </w:r>
    </w:p>
    <w:p w14:paraId="77881609">
      <w:pPr>
        <w:keepNext w:val="0"/>
        <w:keepLines w:val="0"/>
        <w:pageBreakBefore w:val="0"/>
        <w:widowControl/>
        <w:kinsoku/>
        <w:wordWrap/>
        <w:overflowPunct/>
        <w:topLinePunct w:val="0"/>
        <w:autoSpaceDE/>
        <w:autoSpaceDN/>
        <w:bidi w:val="0"/>
        <w:adjustRightInd/>
        <w:snapToGrid w:val="0"/>
        <w:spacing w:line="360" w:lineRule="auto"/>
        <w:ind w:left="0" w:right="0" w:firstLine="0"/>
        <w:jc w:val="left"/>
        <w:textAlignment w:val="auto"/>
        <w:rPr>
          <w:rFonts w:hAnsi="Calibri"/>
          <w:color w:val="auto"/>
          <w:szCs w:val="22"/>
          <w:lang w:val="en-US" w:eastAsia="en-US" w:bidi="ar-SA"/>
        </w:rPr>
      </w:pPr>
      <w:r>
        <w:rPr>
          <w:rFonts w:ascii="宋体" w:hAnsi="宋体" w:cs="宋体" w:eastAsiaTheme="minorEastAsia"/>
          <w:color w:val="auto"/>
          <w:spacing w:val="2"/>
          <w:szCs w:val="22"/>
          <w:lang w:val="en-US" w:eastAsia="en-US" w:bidi="ar-SA"/>
        </w:rPr>
        <w:t>4.通过“信用中国”和“中国政府采购网”查询相关主体信用记录，被列入失信被执行人、重</w:t>
      </w:r>
      <w:bookmarkStart w:id="3" w:name="br1_4"/>
      <w:bookmarkEnd w:id="3"/>
      <w:r>
        <w:rPr>
          <w:color w:val="auto"/>
        </w:rPr>
        <w:drawing>
          <wp:anchor distT="0" distB="0" distL="114300" distR="114300" simplePos="0" relativeHeight="251660288" behindDoc="1" locked="0" layoutInCell="1" allowOverlap="1">
            <wp:simplePos x="0" y="0"/>
            <wp:positionH relativeFrom="page">
              <wp:posOffset>-12700</wp:posOffset>
            </wp:positionH>
            <wp:positionV relativeFrom="page">
              <wp:posOffset>-12700</wp:posOffset>
            </wp:positionV>
            <wp:extent cx="38100" cy="38100"/>
            <wp:effectExtent l="0" t="0" r="0" b="0"/>
            <wp:wrapNone/>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9"/>
                    <a:stretch>
                      <a:fillRect/>
                    </a:stretch>
                  </pic:blipFill>
                  <pic:spPr>
                    <a:xfrm>
                      <a:off x="0" y="0"/>
                      <a:ext cx="38100" cy="38100"/>
                    </a:xfrm>
                    <a:prstGeom prst="rect">
                      <a:avLst/>
                    </a:prstGeom>
                    <a:noFill/>
                    <a:ln>
                      <a:noFill/>
                    </a:ln>
                  </pic:spPr>
                </pic:pic>
              </a:graphicData>
            </a:graphic>
          </wp:anchor>
        </w:drawing>
      </w:r>
      <w:bookmarkStart w:id="4" w:name="br1_5"/>
      <w:bookmarkEnd w:id="4"/>
      <w:r>
        <w:rPr>
          <w:rFonts w:ascii="宋体" w:hAnsi="宋体" w:cs="宋体" w:eastAsiaTheme="minorEastAsia"/>
          <w:color w:val="auto"/>
          <w:spacing w:val="-1"/>
          <w:szCs w:val="22"/>
          <w:lang w:val="en-US" w:eastAsia="en-US" w:bidi="ar-SA"/>
        </w:rPr>
        <w:t>大税收违法失信主体、政府采购严重违法失信行为记录名单的供应商（处罚期限尚未届满的），</w:t>
      </w:r>
      <w:r>
        <w:rPr>
          <w:rFonts w:ascii="宋体" w:hAnsi="宋体" w:cs="宋体" w:eastAsiaTheme="minorEastAsia"/>
          <w:color w:val="auto"/>
          <w:szCs w:val="22"/>
          <w:lang w:val="en-US" w:eastAsia="en-US" w:bidi="ar-SA"/>
        </w:rPr>
        <w:t>不得参与本项目的政府采购活动。</w:t>
      </w:r>
    </w:p>
    <w:p w14:paraId="22107002">
      <w:pPr>
        <w:keepNext w:val="0"/>
        <w:keepLines w:val="0"/>
        <w:pageBreakBefore w:val="0"/>
        <w:widowControl/>
        <w:kinsoku/>
        <w:wordWrap/>
        <w:overflowPunct/>
        <w:topLinePunct w:val="0"/>
        <w:autoSpaceDE/>
        <w:autoSpaceDN/>
        <w:bidi w:val="0"/>
        <w:adjustRightInd/>
        <w:snapToGrid w:val="0"/>
        <w:spacing w:line="360" w:lineRule="auto"/>
        <w:ind w:left="0" w:right="0" w:firstLine="0"/>
        <w:jc w:val="left"/>
        <w:textAlignment w:val="auto"/>
        <w:rPr>
          <w:rFonts w:ascii="宋体" w:hAnsi="宋体" w:cs="宋体" w:eastAsiaTheme="minorEastAsia"/>
          <w:color w:val="auto"/>
          <w:spacing w:val="2"/>
          <w:szCs w:val="22"/>
          <w:lang w:val="en-US" w:eastAsia="en-US" w:bidi="ar-SA"/>
        </w:rPr>
      </w:pPr>
      <w:r>
        <w:rPr>
          <w:rFonts w:ascii="宋体" w:hAnsi="宋体" w:cs="宋体" w:eastAsiaTheme="minorEastAsia"/>
          <w:color w:val="auto"/>
          <w:spacing w:val="2"/>
          <w:szCs w:val="22"/>
          <w:lang w:val="en-US" w:eastAsia="en-US" w:bidi="ar-SA"/>
        </w:rPr>
        <w:t>5.落实政府采购政策需满足的资格要求：</w:t>
      </w:r>
      <w:r>
        <w:rPr>
          <w:rFonts w:hint="eastAsia" w:ascii="宋体" w:hAnsi="宋体" w:cs="宋体" w:eastAsiaTheme="minorEastAsia"/>
          <w:color w:val="auto"/>
          <w:spacing w:val="2"/>
          <w:szCs w:val="22"/>
          <w:lang w:val="en-US" w:eastAsia="en-US" w:bidi="ar-SA"/>
        </w:rPr>
        <w:t>本项目专门面向中小企业采购</w:t>
      </w:r>
      <w:r>
        <w:rPr>
          <w:rFonts w:ascii="宋体" w:hAnsi="宋体" w:cs="宋体" w:eastAsiaTheme="minorEastAsia"/>
          <w:color w:val="auto"/>
          <w:spacing w:val="2"/>
          <w:szCs w:val="22"/>
          <w:lang w:val="en-US" w:eastAsia="en-US" w:bidi="ar-SA"/>
        </w:rPr>
        <w:t>。</w:t>
      </w:r>
    </w:p>
    <w:p w14:paraId="3B6D3EA8">
      <w:pPr>
        <w:keepNext w:val="0"/>
        <w:keepLines w:val="0"/>
        <w:pageBreakBefore w:val="0"/>
        <w:widowControl/>
        <w:kinsoku/>
        <w:wordWrap/>
        <w:overflowPunct/>
        <w:topLinePunct w:val="0"/>
        <w:autoSpaceDE/>
        <w:autoSpaceDN/>
        <w:bidi w:val="0"/>
        <w:adjustRightInd/>
        <w:snapToGrid w:val="0"/>
        <w:spacing w:line="360" w:lineRule="auto"/>
        <w:ind w:left="0" w:right="0" w:firstLine="0"/>
        <w:jc w:val="left"/>
        <w:textAlignment w:val="auto"/>
        <w:rPr>
          <w:rFonts w:hAnsi="Calibri"/>
          <w:color w:val="auto"/>
          <w:szCs w:val="22"/>
          <w:lang w:val="en-US" w:eastAsia="en-US" w:bidi="ar-SA"/>
        </w:rPr>
      </w:pPr>
      <w:r>
        <w:rPr>
          <w:rFonts w:ascii="宋体" w:hAnsi="宋体" w:cs="宋体" w:eastAsiaTheme="minorEastAsia"/>
          <w:color w:val="auto"/>
          <w:szCs w:val="22"/>
          <w:lang w:val="en-US" w:eastAsia="en-US" w:bidi="ar-SA"/>
        </w:rPr>
        <w:t>6.本项目的特定资格要求：</w:t>
      </w:r>
      <w:r>
        <w:rPr>
          <w:rFonts w:hint="eastAsia" w:ascii="宋体" w:hAnsi="宋体" w:cs="宋体" w:eastAsiaTheme="minorEastAsia"/>
          <w:color w:val="auto"/>
          <w:spacing w:val="2"/>
          <w:szCs w:val="22"/>
          <w:lang w:val="en-US" w:eastAsia="zh-CN" w:bidi="ar-SA"/>
        </w:rPr>
        <w:t>无。</w:t>
      </w:r>
    </w:p>
    <w:p w14:paraId="309A60C9">
      <w:pPr>
        <w:keepNext w:val="0"/>
        <w:keepLines w:val="0"/>
        <w:pageBreakBefore w:val="0"/>
        <w:widowControl/>
        <w:kinsoku/>
        <w:wordWrap/>
        <w:overflowPunct/>
        <w:topLinePunct w:val="0"/>
        <w:autoSpaceDE/>
        <w:autoSpaceDN/>
        <w:bidi w:val="0"/>
        <w:adjustRightInd/>
        <w:snapToGrid w:val="0"/>
        <w:spacing w:line="360" w:lineRule="auto"/>
        <w:ind w:left="0" w:right="0" w:firstLine="0"/>
        <w:jc w:val="left"/>
        <w:textAlignment w:val="auto"/>
        <w:outlineLvl w:val="1"/>
        <w:rPr>
          <w:rFonts w:ascii="宋体" w:hAnsi="宋体" w:cs="宋体" w:eastAsiaTheme="minorEastAsia"/>
          <w:color w:val="auto"/>
          <w:spacing w:val="1"/>
          <w:szCs w:val="22"/>
          <w:lang w:val="en-US" w:eastAsia="en-US" w:bidi="ar-SA"/>
        </w:rPr>
      </w:pPr>
      <w:bookmarkStart w:id="5" w:name="_Toc12760"/>
      <w:r>
        <w:rPr>
          <w:rFonts w:ascii="宋体" w:hAnsi="宋体" w:cs="宋体" w:eastAsiaTheme="minorEastAsia"/>
          <w:color w:val="auto"/>
          <w:spacing w:val="1"/>
          <w:szCs w:val="22"/>
          <w:lang w:val="en-US" w:eastAsia="en-US" w:bidi="ar-SA"/>
        </w:rPr>
        <w:t>三、获取</w:t>
      </w:r>
      <w:r>
        <w:rPr>
          <w:rFonts w:hint="eastAsia" w:ascii="宋体" w:hAnsi="宋体" w:cs="宋体" w:eastAsiaTheme="minorEastAsia"/>
          <w:color w:val="auto"/>
          <w:spacing w:val="1"/>
          <w:szCs w:val="22"/>
          <w:lang w:val="en-US" w:eastAsia="zh-CN" w:bidi="ar-SA"/>
        </w:rPr>
        <w:t>采购</w:t>
      </w:r>
      <w:r>
        <w:rPr>
          <w:rFonts w:ascii="宋体" w:hAnsi="宋体" w:cs="宋体" w:eastAsiaTheme="minorEastAsia"/>
          <w:color w:val="auto"/>
          <w:spacing w:val="1"/>
          <w:szCs w:val="22"/>
          <w:lang w:val="en-US" w:eastAsia="en-US" w:bidi="ar-SA"/>
        </w:rPr>
        <w:t>文件</w:t>
      </w:r>
      <w:bookmarkEnd w:id="5"/>
    </w:p>
    <w:p w14:paraId="64EC2FB7">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val="0"/>
        <w:spacing w:before="0" w:beforeAutospacing="0" w:after="0" w:afterAutospacing="0" w:line="360" w:lineRule="auto"/>
        <w:ind w:right="0" w:firstLine="480" w:firstLineChars="200"/>
        <w:jc w:val="left"/>
        <w:textAlignment w:val="auto"/>
        <w:rPr>
          <w:rFonts w:hAnsi="Calibri"/>
          <w:color w:val="auto"/>
          <w:szCs w:val="22"/>
          <w:lang w:val="en-US" w:eastAsia="en-US" w:bidi="ar-SA"/>
        </w:rPr>
      </w:pPr>
      <w:r>
        <w:rPr>
          <w:rFonts w:ascii="宋体" w:hAnsi="宋体" w:cs="宋体" w:eastAsiaTheme="minorEastAsia"/>
          <w:color w:val="auto"/>
          <w:szCs w:val="22"/>
          <w:lang w:val="en-US" w:eastAsia="en-US" w:bidi="ar-SA"/>
        </w:rPr>
        <w:t>时间：</w:t>
      </w:r>
      <w:r>
        <w:rPr>
          <w:rFonts w:hint="eastAsia" w:ascii="宋体" w:hAnsi="宋体" w:cs="宋体" w:eastAsiaTheme="minorEastAsia"/>
          <w:color w:val="auto"/>
          <w:sz w:val="24"/>
          <w:szCs w:val="22"/>
          <w:lang w:val="en-US" w:eastAsia="en-US" w:bidi="ar-SA"/>
        </w:rPr>
        <w:t>202</w:t>
      </w:r>
      <w:r>
        <w:rPr>
          <w:rFonts w:hint="eastAsia" w:ascii="宋体" w:hAnsi="宋体" w:cs="宋体" w:eastAsiaTheme="minorEastAsia"/>
          <w:color w:val="auto"/>
          <w:sz w:val="24"/>
          <w:szCs w:val="22"/>
          <w:lang w:val="en-US" w:eastAsia="zh-CN" w:bidi="ar-SA"/>
        </w:rPr>
        <w:t>4</w:t>
      </w:r>
      <w:r>
        <w:rPr>
          <w:rFonts w:hint="eastAsia" w:ascii="宋体" w:hAnsi="宋体" w:cs="宋体" w:eastAsiaTheme="minorEastAsia"/>
          <w:color w:val="auto"/>
          <w:sz w:val="24"/>
          <w:szCs w:val="22"/>
          <w:lang w:val="en-US" w:eastAsia="en-US" w:bidi="ar-SA"/>
        </w:rPr>
        <w:t>年</w:t>
      </w:r>
      <w:r>
        <w:rPr>
          <w:rFonts w:hint="eastAsia" w:ascii="宋体" w:hAnsi="宋体" w:cs="宋体" w:eastAsiaTheme="minorEastAsia"/>
          <w:color w:val="auto"/>
          <w:sz w:val="24"/>
          <w:szCs w:val="22"/>
          <w:lang w:val="en-US" w:eastAsia="zh-CN" w:bidi="ar-SA"/>
        </w:rPr>
        <w:t>10</w:t>
      </w:r>
      <w:r>
        <w:rPr>
          <w:rFonts w:hint="eastAsia" w:ascii="宋体" w:hAnsi="宋体" w:cs="宋体" w:eastAsiaTheme="minorEastAsia"/>
          <w:color w:val="auto"/>
          <w:sz w:val="24"/>
          <w:szCs w:val="22"/>
          <w:lang w:val="en-US" w:eastAsia="en-US" w:bidi="ar-SA"/>
        </w:rPr>
        <w:t>月</w:t>
      </w:r>
      <w:r>
        <w:rPr>
          <w:rFonts w:hint="eastAsia" w:ascii="宋体" w:hAnsi="宋体" w:cs="宋体" w:eastAsiaTheme="minorEastAsia"/>
          <w:color w:val="auto"/>
          <w:sz w:val="24"/>
          <w:szCs w:val="22"/>
          <w:lang w:val="en-US" w:eastAsia="zh-CN" w:bidi="ar-SA"/>
        </w:rPr>
        <w:t>30</w:t>
      </w:r>
      <w:r>
        <w:rPr>
          <w:rFonts w:hint="eastAsia" w:ascii="宋体" w:hAnsi="宋体" w:cs="宋体" w:eastAsiaTheme="minorEastAsia"/>
          <w:color w:val="auto"/>
          <w:sz w:val="24"/>
          <w:szCs w:val="22"/>
          <w:lang w:val="en-US" w:eastAsia="en-US" w:bidi="ar-SA"/>
        </w:rPr>
        <w:t>日至202</w:t>
      </w:r>
      <w:r>
        <w:rPr>
          <w:rFonts w:hint="eastAsia" w:ascii="宋体" w:hAnsi="宋体" w:cs="宋体" w:eastAsiaTheme="minorEastAsia"/>
          <w:color w:val="auto"/>
          <w:sz w:val="24"/>
          <w:szCs w:val="22"/>
          <w:lang w:val="en-US" w:eastAsia="zh-CN" w:bidi="ar-SA"/>
        </w:rPr>
        <w:t>4</w:t>
      </w:r>
      <w:r>
        <w:rPr>
          <w:rFonts w:hint="eastAsia" w:ascii="宋体" w:hAnsi="宋体" w:cs="宋体" w:eastAsiaTheme="minorEastAsia"/>
          <w:color w:val="auto"/>
          <w:sz w:val="24"/>
          <w:szCs w:val="22"/>
          <w:lang w:val="en-US" w:eastAsia="en-US" w:bidi="ar-SA"/>
        </w:rPr>
        <w:t>年</w:t>
      </w:r>
      <w:r>
        <w:rPr>
          <w:rFonts w:hint="eastAsia" w:ascii="宋体" w:hAnsi="宋体" w:cs="宋体" w:eastAsiaTheme="minorEastAsia"/>
          <w:color w:val="auto"/>
          <w:sz w:val="24"/>
          <w:szCs w:val="22"/>
          <w:lang w:val="en-US" w:eastAsia="zh-CN" w:bidi="ar-SA"/>
        </w:rPr>
        <w:t>11</w:t>
      </w:r>
      <w:r>
        <w:rPr>
          <w:rFonts w:hint="eastAsia" w:ascii="宋体" w:hAnsi="宋体" w:cs="宋体" w:eastAsiaTheme="minorEastAsia"/>
          <w:color w:val="auto"/>
          <w:sz w:val="24"/>
          <w:szCs w:val="22"/>
          <w:lang w:val="en-US" w:eastAsia="en-US" w:bidi="ar-SA"/>
        </w:rPr>
        <w:t>月</w:t>
      </w:r>
      <w:r>
        <w:rPr>
          <w:rFonts w:hint="eastAsia" w:ascii="宋体" w:hAnsi="宋体" w:cs="宋体" w:eastAsiaTheme="minorEastAsia"/>
          <w:color w:val="auto"/>
          <w:sz w:val="24"/>
          <w:szCs w:val="22"/>
          <w:lang w:val="en-US" w:eastAsia="zh-CN" w:bidi="ar-SA"/>
        </w:rPr>
        <w:t>5</w:t>
      </w:r>
      <w:r>
        <w:rPr>
          <w:rFonts w:hint="eastAsia" w:ascii="宋体" w:hAnsi="宋体" w:cs="宋体" w:eastAsiaTheme="minorEastAsia"/>
          <w:color w:val="auto"/>
          <w:sz w:val="24"/>
          <w:szCs w:val="22"/>
          <w:lang w:val="en-US" w:eastAsia="en-US" w:bidi="ar-SA"/>
        </w:rPr>
        <w:t>日</w:t>
      </w:r>
      <w:r>
        <w:rPr>
          <w:rFonts w:hint="eastAsia" w:ascii="宋体" w:hAnsi="宋体" w:cs="宋体" w:eastAsiaTheme="minorEastAsia"/>
          <w:color w:val="auto"/>
          <w:sz w:val="24"/>
          <w:szCs w:val="22"/>
          <w:lang w:val="en-US" w:eastAsia="en-US" w:bidi="ar-SA"/>
        </w:rPr>
        <w:t>，每天上午</w:t>
      </w:r>
      <w:r>
        <w:rPr>
          <w:rFonts w:hint="eastAsia" w:ascii="宋体" w:hAnsi="宋体" w:cs="宋体" w:eastAsiaTheme="minorEastAsia"/>
          <w:color w:val="auto"/>
          <w:sz w:val="24"/>
          <w:szCs w:val="22"/>
          <w:lang w:val="en-US" w:eastAsia="zh-CN" w:bidi="ar-SA"/>
        </w:rPr>
        <w:t>9</w:t>
      </w:r>
      <w:r>
        <w:rPr>
          <w:rFonts w:hint="eastAsia" w:ascii="宋体" w:hAnsi="宋体" w:cs="宋体" w:eastAsiaTheme="minorEastAsia"/>
          <w:color w:val="auto"/>
          <w:sz w:val="24"/>
          <w:szCs w:val="22"/>
          <w:lang w:val="en-US" w:eastAsia="en-US" w:bidi="ar-SA"/>
        </w:rPr>
        <w:t>:</w:t>
      </w:r>
      <w:r>
        <w:rPr>
          <w:rFonts w:hint="eastAsia" w:ascii="宋体" w:hAnsi="宋体" w:cs="宋体" w:eastAsiaTheme="minorEastAsia"/>
          <w:color w:val="auto"/>
          <w:sz w:val="24"/>
          <w:szCs w:val="22"/>
          <w:lang w:val="en-US" w:eastAsia="zh-CN" w:bidi="ar-SA"/>
        </w:rPr>
        <w:t>3</w:t>
      </w:r>
      <w:r>
        <w:rPr>
          <w:rFonts w:hint="eastAsia" w:ascii="宋体" w:hAnsi="宋体" w:cs="宋体" w:eastAsiaTheme="minorEastAsia"/>
          <w:color w:val="auto"/>
          <w:sz w:val="24"/>
          <w:szCs w:val="22"/>
          <w:lang w:val="en-US" w:eastAsia="en-US" w:bidi="ar-SA"/>
        </w:rPr>
        <w:t>0至1</w:t>
      </w:r>
      <w:r>
        <w:rPr>
          <w:rFonts w:hint="eastAsia" w:ascii="宋体" w:hAnsi="宋体" w:cs="宋体" w:eastAsiaTheme="minorEastAsia"/>
          <w:color w:val="auto"/>
          <w:sz w:val="24"/>
          <w:szCs w:val="22"/>
          <w:lang w:val="en-US" w:eastAsia="zh-CN" w:bidi="ar-SA"/>
        </w:rPr>
        <w:t>1</w:t>
      </w:r>
      <w:r>
        <w:rPr>
          <w:rFonts w:hint="eastAsia" w:ascii="宋体" w:hAnsi="宋体" w:cs="宋体" w:eastAsiaTheme="minorEastAsia"/>
          <w:color w:val="auto"/>
          <w:sz w:val="24"/>
          <w:szCs w:val="22"/>
          <w:lang w:val="en-US" w:eastAsia="en-US" w:bidi="ar-SA"/>
        </w:rPr>
        <w:t>:</w:t>
      </w:r>
      <w:r>
        <w:rPr>
          <w:rFonts w:hint="eastAsia" w:ascii="宋体" w:hAnsi="宋体" w:cs="宋体" w:eastAsiaTheme="minorEastAsia"/>
          <w:color w:val="auto"/>
          <w:sz w:val="24"/>
          <w:szCs w:val="22"/>
          <w:lang w:val="en-US" w:eastAsia="zh-CN" w:bidi="ar-SA"/>
        </w:rPr>
        <w:t>3</w:t>
      </w:r>
      <w:r>
        <w:rPr>
          <w:rFonts w:hint="eastAsia" w:ascii="宋体" w:hAnsi="宋体" w:cs="宋体" w:eastAsiaTheme="minorEastAsia"/>
          <w:color w:val="auto"/>
          <w:sz w:val="24"/>
          <w:szCs w:val="22"/>
          <w:lang w:val="en-US" w:eastAsia="en-US" w:bidi="ar-SA"/>
        </w:rPr>
        <w:t>0，下午1</w:t>
      </w:r>
      <w:r>
        <w:rPr>
          <w:rFonts w:hint="eastAsia" w:ascii="宋体" w:hAnsi="宋体" w:cs="宋体" w:eastAsiaTheme="minorEastAsia"/>
          <w:color w:val="auto"/>
          <w:sz w:val="24"/>
          <w:szCs w:val="22"/>
          <w:lang w:val="en-US" w:eastAsia="zh-CN" w:bidi="ar-SA"/>
        </w:rPr>
        <w:t>4</w:t>
      </w:r>
      <w:r>
        <w:rPr>
          <w:rFonts w:hint="eastAsia" w:ascii="宋体" w:hAnsi="宋体" w:cs="宋体" w:eastAsiaTheme="minorEastAsia"/>
          <w:color w:val="auto"/>
          <w:sz w:val="24"/>
          <w:szCs w:val="22"/>
          <w:lang w:val="en-US" w:eastAsia="en-US" w:bidi="ar-SA"/>
        </w:rPr>
        <w:t>:</w:t>
      </w:r>
      <w:r>
        <w:rPr>
          <w:rFonts w:hint="eastAsia" w:ascii="宋体" w:hAnsi="宋体" w:cs="宋体" w:eastAsiaTheme="minorEastAsia"/>
          <w:color w:val="auto"/>
          <w:sz w:val="24"/>
          <w:szCs w:val="22"/>
          <w:lang w:val="en-US" w:eastAsia="zh-CN" w:bidi="ar-SA"/>
        </w:rPr>
        <w:t>3</w:t>
      </w:r>
      <w:r>
        <w:rPr>
          <w:rFonts w:hint="eastAsia" w:ascii="宋体" w:hAnsi="宋体" w:cs="宋体" w:eastAsiaTheme="minorEastAsia"/>
          <w:color w:val="auto"/>
          <w:sz w:val="24"/>
          <w:szCs w:val="22"/>
          <w:lang w:val="en-US" w:eastAsia="en-US" w:bidi="ar-SA"/>
        </w:rPr>
        <w:t>0至</w:t>
      </w:r>
      <w:r>
        <w:rPr>
          <w:rFonts w:hint="eastAsia" w:ascii="宋体" w:hAnsi="宋体" w:cs="宋体" w:eastAsiaTheme="minorEastAsia"/>
          <w:color w:val="auto"/>
          <w:sz w:val="24"/>
          <w:szCs w:val="22"/>
          <w:lang w:val="en-US" w:eastAsia="zh-CN" w:bidi="ar-SA"/>
        </w:rPr>
        <w:t>16</w:t>
      </w:r>
      <w:r>
        <w:rPr>
          <w:rFonts w:hint="eastAsia" w:ascii="宋体" w:hAnsi="宋体" w:cs="宋体" w:eastAsiaTheme="minorEastAsia"/>
          <w:color w:val="auto"/>
          <w:sz w:val="24"/>
          <w:szCs w:val="22"/>
          <w:lang w:val="en-US" w:eastAsia="en-US" w:bidi="ar-SA"/>
        </w:rPr>
        <w:t>:30（北京时间，法定节假日除外）（磋商文件的发售期限自开始之日起不得少于5个工作日）</w:t>
      </w:r>
      <w:r>
        <w:rPr>
          <w:rFonts w:ascii="宋体" w:hAnsi="宋体" w:cs="宋体" w:eastAsiaTheme="minorEastAsia"/>
          <w:color w:val="auto"/>
          <w:szCs w:val="22"/>
          <w:lang w:val="en-US" w:eastAsia="en-US" w:bidi="ar-SA"/>
        </w:rPr>
        <w:t>；</w:t>
      </w:r>
    </w:p>
    <w:p w14:paraId="070578B0">
      <w:pPr>
        <w:keepNext w:val="0"/>
        <w:keepLines w:val="0"/>
        <w:pageBreakBefore w:val="0"/>
        <w:widowControl/>
        <w:kinsoku/>
        <w:wordWrap/>
        <w:overflowPunct/>
        <w:topLinePunct w:val="0"/>
        <w:autoSpaceDE/>
        <w:autoSpaceDN/>
        <w:bidi w:val="0"/>
        <w:adjustRightInd/>
        <w:snapToGrid w:val="0"/>
        <w:spacing w:line="360" w:lineRule="auto"/>
        <w:ind w:left="0" w:right="0" w:firstLine="480" w:firstLineChars="200"/>
        <w:jc w:val="left"/>
        <w:textAlignment w:val="auto"/>
        <w:rPr>
          <w:rFonts w:hAnsi="Calibri"/>
          <w:color w:val="auto"/>
          <w:szCs w:val="22"/>
          <w:lang w:val="en-US" w:eastAsia="en-US" w:bidi="ar-SA"/>
        </w:rPr>
      </w:pPr>
      <w:r>
        <w:rPr>
          <w:rFonts w:ascii="宋体" w:hAnsi="宋体" w:cs="宋体" w:eastAsiaTheme="minorEastAsia"/>
          <w:color w:val="auto"/>
          <w:szCs w:val="22"/>
          <w:lang w:val="en-US" w:eastAsia="en-US" w:bidi="ar-SA"/>
        </w:rPr>
        <w:t>地点：</w:t>
      </w:r>
      <w:r>
        <w:rPr>
          <w:rFonts w:hint="eastAsia" w:ascii="宋体" w:hAnsi="宋体" w:cs="宋体" w:eastAsiaTheme="minorEastAsia"/>
          <w:color w:val="auto"/>
          <w:szCs w:val="22"/>
          <w:lang w:val="en-US" w:eastAsia="zh-CN" w:bidi="ar-SA"/>
        </w:rPr>
        <w:t>南昌市二七北路185号东晖育才苑6栋1602室</w:t>
      </w:r>
    </w:p>
    <w:p w14:paraId="12934135">
      <w:pPr>
        <w:keepNext w:val="0"/>
        <w:keepLines w:val="0"/>
        <w:pageBreakBefore w:val="0"/>
        <w:widowControl/>
        <w:kinsoku/>
        <w:wordWrap/>
        <w:overflowPunct/>
        <w:topLinePunct w:val="0"/>
        <w:autoSpaceDE/>
        <w:autoSpaceDN/>
        <w:bidi w:val="0"/>
        <w:adjustRightInd/>
        <w:snapToGrid w:val="0"/>
        <w:spacing w:line="360" w:lineRule="auto"/>
        <w:ind w:left="0" w:right="0" w:firstLine="480" w:firstLineChars="200"/>
        <w:jc w:val="left"/>
        <w:textAlignment w:val="auto"/>
        <w:rPr>
          <w:rFonts w:ascii="宋体" w:hAnsi="宋体" w:cs="宋体" w:eastAsiaTheme="minorEastAsia"/>
          <w:color w:val="auto"/>
          <w:szCs w:val="22"/>
          <w:lang w:val="en-US" w:eastAsia="en-US" w:bidi="ar-SA"/>
        </w:rPr>
      </w:pPr>
      <w:r>
        <w:rPr>
          <w:rFonts w:hint="eastAsia" w:ascii="宋体" w:hAnsi="宋体" w:cs="宋体" w:eastAsiaTheme="minorEastAsia"/>
          <w:color w:val="auto"/>
          <w:szCs w:val="22"/>
          <w:lang w:val="en-US" w:eastAsia="en-US" w:bidi="ar-SA"/>
        </w:rPr>
        <w:t>售价：</w:t>
      </w:r>
      <w:r>
        <w:rPr>
          <w:rFonts w:hint="eastAsia" w:ascii="宋体" w:hAnsi="宋体" w:cs="宋体" w:eastAsiaTheme="minorEastAsia"/>
          <w:color w:val="auto"/>
          <w:szCs w:val="22"/>
          <w:lang w:val="en-US" w:eastAsia="zh-CN" w:bidi="ar-SA"/>
        </w:rPr>
        <w:t>200</w:t>
      </w:r>
      <w:r>
        <w:rPr>
          <w:rFonts w:hint="eastAsia" w:ascii="宋体" w:hAnsi="宋体" w:cs="宋体" w:eastAsiaTheme="minorEastAsia"/>
          <w:color w:val="auto"/>
          <w:szCs w:val="22"/>
          <w:lang w:val="en-US" w:eastAsia="en-US" w:bidi="ar-SA"/>
        </w:rPr>
        <w:t>元</w:t>
      </w:r>
    </w:p>
    <w:p w14:paraId="412F9B22">
      <w:pPr>
        <w:keepNext w:val="0"/>
        <w:keepLines w:val="0"/>
        <w:pageBreakBefore w:val="0"/>
        <w:widowControl/>
        <w:kinsoku/>
        <w:wordWrap/>
        <w:overflowPunct/>
        <w:topLinePunct w:val="0"/>
        <w:autoSpaceDE/>
        <w:autoSpaceDN/>
        <w:bidi w:val="0"/>
        <w:adjustRightInd/>
        <w:snapToGrid/>
        <w:spacing w:line="360" w:lineRule="auto"/>
        <w:ind w:left="0" w:right="0" w:firstLine="0"/>
        <w:jc w:val="left"/>
        <w:textAlignment w:val="auto"/>
        <w:outlineLvl w:val="1"/>
        <w:rPr>
          <w:rFonts w:hint="default" w:hAnsi="Calibri" w:eastAsiaTheme="minorEastAsia"/>
          <w:color w:val="auto"/>
          <w:szCs w:val="22"/>
          <w:lang w:val="en-US" w:eastAsia="zh-CN" w:bidi="ar-SA"/>
        </w:rPr>
      </w:pPr>
      <w:bookmarkStart w:id="6" w:name="_Toc13386"/>
      <w:bookmarkStart w:id="7" w:name="_Toc6464"/>
      <w:r>
        <w:rPr>
          <w:rFonts w:hint="eastAsia" w:ascii="宋体" w:hAnsi="宋体" w:cs="宋体" w:eastAsiaTheme="minorEastAsia"/>
          <w:color w:val="auto"/>
          <w:spacing w:val="1"/>
          <w:szCs w:val="22"/>
          <w:lang w:val="en-US" w:eastAsia="zh-CN" w:bidi="ar-SA"/>
        </w:rPr>
        <w:t>四</w:t>
      </w:r>
      <w:r>
        <w:rPr>
          <w:rFonts w:ascii="宋体" w:hAnsi="宋体" w:cs="宋体" w:eastAsiaTheme="minorEastAsia"/>
          <w:color w:val="auto"/>
          <w:spacing w:val="1"/>
          <w:szCs w:val="22"/>
          <w:lang w:val="en-US" w:eastAsia="en-US" w:bidi="ar-SA"/>
        </w:rPr>
        <w:t>、</w:t>
      </w:r>
      <w:bookmarkEnd w:id="6"/>
      <w:r>
        <w:rPr>
          <w:rFonts w:hint="eastAsia" w:ascii="宋体" w:hAnsi="宋体" w:cs="宋体" w:eastAsiaTheme="minorEastAsia"/>
          <w:color w:val="auto"/>
          <w:spacing w:val="1"/>
          <w:szCs w:val="22"/>
          <w:lang w:val="en-US" w:eastAsia="zh-CN" w:bidi="ar-SA"/>
        </w:rPr>
        <w:t>响应文件提交</w:t>
      </w:r>
      <w:bookmarkEnd w:id="7"/>
      <w:r>
        <w:rPr>
          <w:rFonts w:hint="eastAsia" w:ascii="宋体" w:hAnsi="宋体" w:cs="宋体" w:eastAsiaTheme="minorEastAsia"/>
          <w:color w:val="auto"/>
          <w:spacing w:val="1"/>
          <w:szCs w:val="22"/>
          <w:lang w:val="en-US" w:eastAsia="zh-CN" w:bidi="ar-SA"/>
        </w:rPr>
        <w:t>及开启</w:t>
      </w:r>
    </w:p>
    <w:p w14:paraId="248C68FA">
      <w:pPr>
        <w:keepNext w:val="0"/>
        <w:keepLines w:val="0"/>
        <w:pageBreakBefore w:val="0"/>
        <w:widowControl/>
        <w:kinsoku/>
        <w:wordWrap/>
        <w:overflowPunct/>
        <w:topLinePunct w:val="0"/>
        <w:autoSpaceDE/>
        <w:autoSpaceDN/>
        <w:bidi w:val="0"/>
        <w:adjustRightInd/>
        <w:snapToGrid/>
        <w:spacing w:line="360" w:lineRule="auto"/>
        <w:ind w:left="-2" w:leftChars="0" w:right="0" w:firstLine="484" w:firstLineChars="200"/>
        <w:jc w:val="left"/>
        <w:textAlignment w:val="auto"/>
        <w:rPr>
          <w:rFonts w:hint="eastAsia" w:ascii="宋体" w:hAnsi="宋体" w:cs="宋体" w:eastAsiaTheme="minorEastAsia"/>
          <w:color w:val="auto"/>
          <w:spacing w:val="1"/>
          <w:szCs w:val="22"/>
          <w:lang w:val="en-US" w:eastAsia="zh-CN" w:bidi="ar-SA"/>
        </w:rPr>
      </w:pPr>
      <w:r>
        <w:rPr>
          <w:rFonts w:hint="eastAsia" w:ascii="宋体" w:hAnsi="宋体" w:cs="宋体" w:eastAsiaTheme="minorEastAsia"/>
          <w:color w:val="auto"/>
          <w:spacing w:val="1"/>
          <w:szCs w:val="22"/>
          <w:lang w:val="en-US" w:eastAsia="zh-CN" w:bidi="ar-SA"/>
        </w:rPr>
        <w:t>2024年11月11日09点30分</w:t>
      </w:r>
      <w:r>
        <w:rPr>
          <w:rFonts w:hint="eastAsia" w:ascii="宋体" w:hAnsi="宋体" w:cs="宋体" w:eastAsiaTheme="minorEastAsia"/>
          <w:color w:val="auto"/>
          <w:spacing w:val="1"/>
          <w:szCs w:val="22"/>
          <w:lang w:val="en-US" w:eastAsia="zh-CN" w:bidi="ar-SA"/>
        </w:rPr>
        <w:t xml:space="preserve">（北京时间）（从磋商文件开始发出之日起至供应商提交首次响应文件截止之日止不得少于10日） </w:t>
      </w:r>
    </w:p>
    <w:p w14:paraId="1FE432BE">
      <w:pPr>
        <w:keepNext w:val="0"/>
        <w:keepLines w:val="0"/>
        <w:pageBreakBefore w:val="0"/>
        <w:widowControl/>
        <w:suppressLineNumbers w:val="0"/>
        <w:kinsoku/>
        <w:wordWrap/>
        <w:overflowPunct/>
        <w:topLinePunct w:val="0"/>
        <w:autoSpaceDE/>
        <w:autoSpaceDN/>
        <w:bidi w:val="0"/>
        <w:adjustRightInd/>
        <w:snapToGrid/>
        <w:ind w:firstLine="484" w:firstLineChars="200"/>
        <w:jc w:val="left"/>
        <w:textAlignment w:val="auto"/>
        <w:rPr>
          <w:rFonts w:hint="eastAsia" w:ascii="宋体" w:hAnsi="宋体" w:cs="宋体" w:eastAsiaTheme="minorEastAsia"/>
          <w:color w:val="auto"/>
          <w:spacing w:val="1"/>
          <w:szCs w:val="22"/>
          <w:lang w:val="en-US" w:eastAsia="zh-CN" w:bidi="ar-SA"/>
        </w:rPr>
      </w:pPr>
      <w:r>
        <w:rPr>
          <w:rFonts w:hint="eastAsia" w:ascii="宋体" w:hAnsi="宋体" w:cs="宋体" w:eastAsiaTheme="minorEastAsia"/>
          <w:color w:val="auto"/>
          <w:spacing w:val="1"/>
          <w:szCs w:val="22"/>
          <w:lang w:val="en-US" w:eastAsia="zh-CN" w:bidi="ar-SA"/>
        </w:rPr>
        <w:t>地点：</w:t>
      </w:r>
      <w:r>
        <w:rPr>
          <w:rFonts w:hint="eastAsia" w:ascii="宋体" w:hAnsi="宋体" w:cs="宋体" w:eastAsiaTheme="minorEastAsia"/>
          <w:color w:val="auto"/>
          <w:szCs w:val="22"/>
          <w:lang w:val="en-US" w:eastAsia="zh-CN" w:bidi="ar-SA"/>
        </w:rPr>
        <w:t>南昌市二七北路185号东晖育才苑6栋1611室</w:t>
      </w:r>
    </w:p>
    <w:p w14:paraId="283542AF">
      <w:pPr>
        <w:keepNext w:val="0"/>
        <w:keepLines w:val="0"/>
        <w:pageBreakBefore w:val="0"/>
        <w:widowControl/>
        <w:kinsoku/>
        <w:wordWrap/>
        <w:overflowPunct/>
        <w:topLinePunct w:val="0"/>
        <w:autoSpaceDE/>
        <w:autoSpaceDN/>
        <w:bidi w:val="0"/>
        <w:adjustRightInd/>
        <w:snapToGrid/>
        <w:spacing w:line="360" w:lineRule="auto"/>
        <w:ind w:left="0" w:right="0" w:firstLine="0"/>
        <w:jc w:val="left"/>
        <w:textAlignment w:val="auto"/>
        <w:outlineLvl w:val="1"/>
        <w:rPr>
          <w:rFonts w:hAnsi="Calibri"/>
          <w:color w:val="auto"/>
          <w:szCs w:val="22"/>
          <w:lang w:val="en-US" w:eastAsia="en-US" w:bidi="ar-SA"/>
        </w:rPr>
      </w:pPr>
      <w:bookmarkStart w:id="8" w:name="_Toc28232"/>
      <w:r>
        <w:rPr>
          <w:rFonts w:hint="eastAsia" w:ascii="宋体" w:hAnsi="宋体" w:cs="宋体" w:eastAsiaTheme="minorEastAsia"/>
          <w:color w:val="auto"/>
          <w:spacing w:val="1"/>
          <w:szCs w:val="22"/>
          <w:lang w:val="en-US" w:eastAsia="zh-CN" w:bidi="ar-SA"/>
        </w:rPr>
        <w:t>五</w:t>
      </w:r>
      <w:r>
        <w:rPr>
          <w:rFonts w:ascii="宋体" w:hAnsi="宋体" w:cs="宋体" w:eastAsiaTheme="minorEastAsia"/>
          <w:color w:val="auto"/>
          <w:spacing w:val="1"/>
          <w:szCs w:val="22"/>
          <w:lang w:val="en-US" w:eastAsia="en-US" w:bidi="ar-SA"/>
        </w:rPr>
        <w:t>、公告期限</w:t>
      </w:r>
      <w:bookmarkEnd w:id="8"/>
    </w:p>
    <w:p w14:paraId="3AD61C52">
      <w:pPr>
        <w:keepNext w:val="0"/>
        <w:keepLines w:val="0"/>
        <w:pageBreakBefore w:val="0"/>
        <w:widowControl/>
        <w:kinsoku/>
        <w:wordWrap/>
        <w:overflowPunct/>
        <w:topLinePunct w:val="0"/>
        <w:autoSpaceDE/>
        <w:autoSpaceDN/>
        <w:bidi w:val="0"/>
        <w:adjustRightInd/>
        <w:snapToGrid/>
        <w:spacing w:line="360" w:lineRule="auto"/>
        <w:ind w:left="0" w:right="0" w:firstLine="480" w:firstLineChars="200"/>
        <w:jc w:val="left"/>
        <w:textAlignment w:val="auto"/>
        <w:rPr>
          <w:rFonts w:hAnsi="Calibri"/>
          <w:color w:val="auto"/>
          <w:szCs w:val="22"/>
          <w:lang w:val="en-US" w:eastAsia="en-US" w:bidi="ar-SA"/>
        </w:rPr>
      </w:pPr>
      <w:r>
        <w:rPr>
          <w:rFonts w:ascii="宋体" w:hAnsi="宋体" w:cs="宋体" w:eastAsiaTheme="minorEastAsia"/>
          <w:color w:val="auto"/>
          <w:szCs w:val="22"/>
          <w:lang w:val="en-US" w:eastAsia="en-US" w:bidi="ar-SA"/>
        </w:rPr>
        <w:t>自本公告发布之日起</w:t>
      </w:r>
      <w:r>
        <w:rPr>
          <w:rFonts w:ascii="宋体" w:hAnsi="Calibri" w:eastAsiaTheme="minorEastAsia" w:cstheme="minorBidi"/>
          <w:color w:val="auto"/>
          <w:szCs w:val="22"/>
          <w:lang w:val="en-US" w:eastAsia="en-US" w:bidi="ar-SA"/>
        </w:rPr>
        <w:t>3</w:t>
      </w:r>
      <w:r>
        <w:rPr>
          <w:rFonts w:ascii="宋体" w:hAnsi="宋体" w:cs="宋体" w:eastAsiaTheme="minorEastAsia"/>
          <w:color w:val="auto"/>
          <w:szCs w:val="22"/>
          <w:lang w:val="en-US" w:eastAsia="en-US" w:bidi="ar-SA"/>
        </w:rPr>
        <w:t>个工作日。</w:t>
      </w:r>
    </w:p>
    <w:p w14:paraId="77BEE5AA">
      <w:pPr>
        <w:keepNext w:val="0"/>
        <w:keepLines w:val="0"/>
        <w:pageBreakBefore w:val="0"/>
        <w:widowControl/>
        <w:kinsoku/>
        <w:wordWrap/>
        <w:overflowPunct/>
        <w:topLinePunct w:val="0"/>
        <w:autoSpaceDE/>
        <w:autoSpaceDN/>
        <w:bidi w:val="0"/>
        <w:adjustRightInd/>
        <w:snapToGrid/>
        <w:spacing w:line="360" w:lineRule="auto"/>
        <w:ind w:left="0" w:right="0" w:firstLine="0"/>
        <w:jc w:val="left"/>
        <w:textAlignment w:val="auto"/>
        <w:outlineLvl w:val="1"/>
        <w:rPr>
          <w:rFonts w:ascii="宋体" w:hAnsi="宋体" w:cs="宋体" w:eastAsiaTheme="minorEastAsia"/>
          <w:color w:val="auto"/>
          <w:spacing w:val="1"/>
          <w:szCs w:val="22"/>
          <w:lang w:val="en-US" w:eastAsia="en-US" w:bidi="ar-SA"/>
        </w:rPr>
      </w:pPr>
      <w:bookmarkStart w:id="9" w:name="_Toc30346"/>
      <w:r>
        <w:rPr>
          <w:rFonts w:hint="eastAsia" w:ascii="宋体" w:hAnsi="宋体" w:cs="宋体" w:eastAsiaTheme="minorEastAsia"/>
          <w:color w:val="auto"/>
          <w:spacing w:val="1"/>
          <w:szCs w:val="22"/>
          <w:lang w:val="en-US" w:eastAsia="zh-CN" w:bidi="ar-SA"/>
        </w:rPr>
        <w:t>六</w:t>
      </w:r>
      <w:r>
        <w:rPr>
          <w:rFonts w:ascii="宋体" w:hAnsi="宋体" w:cs="宋体" w:eastAsiaTheme="minorEastAsia"/>
          <w:color w:val="auto"/>
          <w:spacing w:val="1"/>
          <w:szCs w:val="22"/>
          <w:lang w:val="en-US" w:eastAsia="en-US" w:bidi="ar-SA"/>
        </w:rPr>
        <w:t>、其他补充事宜</w:t>
      </w:r>
      <w:bookmarkEnd w:id="9"/>
    </w:p>
    <w:p w14:paraId="11C50205">
      <w:pPr>
        <w:keepNext w:val="0"/>
        <w:keepLines w:val="0"/>
        <w:pageBreakBefore w:val="0"/>
        <w:widowControl/>
        <w:kinsoku/>
        <w:wordWrap/>
        <w:overflowPunct/>
        <w:topLinePunct w:val="0"/>
        <w:autoSpaceDE/>
        <w:autoSpaceDN/>
        <w:bidi w:val="0"/>
        <w:adjustRightInd/>
        <w:snapToGrid w:val="0"/>
        <w:spacing w:line="360" w:lineRule="auto"/>
        <w:ind w:right="0"/>
        <w:jc w:val="left"/>
        <w:textAlignment w:val="auto"/>
        <w:rPr>
          <w:color w:val="auto"/>
        </w:rPr>
      </w:pPr>
      <w:bookmarkStart w:id="10" w:name="br1_6"/>
      <w:bookmarkEnd w:id="10"/>
      <w:bookmarkStart w:id="11" w:name="_Toc29797"/>
      <w:r>
        <w:rPr>
          <w:rFonts w:hint="eastAsia" w:ascii="宋体" w:hAnsi="宋体" w:cs="宋体" w:eastAsiaTheme="minorEastAsia"/>
          <w:color w:val="auto"/>
          <w:szCs w:val="22"/>
          <w:lang w:val="en-US" w:eastAsia="zh-CN" w:bidi="ar-SA"/>
        </w:rPr>
        <w:t>1.本项目采购代理服务费由成交供应商在领取中标通知书时支付。</w:t>
      </w:r>
    </w:p>
    <w:p w14:paraId="1B25C274">
      <w:pPr>
        <w:keepNext w:val="0"/>
        <w:keepLines w:val="0"/>
        <w:pageBreakBefore w:val="0"/>
        <w:widowControl/>
        <w:kinsoku/>
        <w:wordWrap/>
        <w:overflowPunct/>
        <w:topLinePunct w:val="0"/>
        <w:autoSpaceDE/>
        <w:autoSpaceDN/>
        <w:bidi w:val="0"/>
        <w:adjustRightInd/>
        <w:snapToGrid w:val="0"/>
        <w:spacing w:line="360" w:lineRule="auto"/>
        <w:ind w:left="0" w:right="0" w:firstLine="0"/>
        <w:jc w:val="left"/>
        <w:textAlignment w:val="auto"/>
        <w:outlineLvl w:val="1"/>
        <w:rPr>
          <w:rFonts w:hAnsi="Calibri"/>
          <w:color w:val="auto"/>
          <w:szCs w:val="22"/>
          <w:lang w:val="en-US" w:eastAsia="en-US" w:bidi="ar-SA"/>
        </w:rPr>
      </w:pPr>
      <w:r>
        <w:rPr>
          <w:rFonts w:hint="eastAsia" w:ascii="宋体" w:hAnsi="宋体" w:cs="宋体" w:eastAsiaTheme="minorEastAsia"/>
          <w:color w:val="auto"/>
          <w:spacing w:val="1"/>
          <w:szCs w:val="22"/>
          <w:lang w:val="en-US" w:eastAsia="zh-CN" w:bidi="ar-SA"/>
        </w:rPr>
        <w:t>七</w:t>
      </w:r>
      <w:r>
        <w:rPr>
          <w:rFonts w:ascii="宋体" w:hAnsi="宋体" w:cs="宋体" w:eastAsiaTheme="minorEastAsia"/>
          <w:color w:val="auto"/>
          <w:spacing w:val="1"/>
          <w:szCs w:val="22"/>
          <w:lang w:val="en-US" w:eastAsia="en-US" w:bidi="ar-SA"/>
        </w:rPr>
        <w:t>、对本次采购提出询问，请按以下方式联系</w:t>
      </w:r>
      <w:bookmarkEnd w:id="11"/>
    </w:p>
    <w:p w14:paraId="586F6A5B">
      <w:pPr>
        <w:keepNext w:val="0"/>
        <w:keepLines w:val="0"/>
        <w:pageBreakBefore w:val="0"/>
        <w:widowControl/>
        <w:kinsoku/>
        <w:wordWrap/>
        <w:overflowPunct/>
        <w:topLinePunct w:val="0"/>
        <w:autoSpaceDE/>
        <w:autoSpaceDN/>
        <w:bidi w:val="0"/>
        <w:adjustRightInd/>
        <w:snapToGrid w:val="0"/>
        <w:spacing w:line="360" w:lineRule="auto"/>
        <w:ind w:left="0" w:right="0" w:firstLine="0"/>
        <w:jc w:val="left"/>
        <w:textAlignment w:val="auto"/>
        <w:outlineLvl w:val="2"/>
        <w:rPr>
          <w:rFonts w:hAnsi="Calibri"/>
          <w:color w:val="auto"/>
          <w:szCs w:val="22"/>
          <w:lang w:val="en-US" w:eastAsia="en-US" w:bidi="ar-SA"/>
        </w:rPr>
      </w:pPr>
      <w:r>
        <w:rPr>
          <w:rFonts w:ascii="宋体" w:hAnsi="宋体" w:cs="宋体" w:eastAsiaTheme="minorEastAsia"/>
          <w:color w:val="auto"/>
          <w:szCs w:val="22"/>
          <w:lang w:val="en-US" w:eastAsia="en-US" w:bidi="ar-SA"/>
        </w:rPr>
        <w:t>1.采购人信息</w:t>
      </w:r>
    </w:p>
    <w:p w14:paraId="5F884B9E">
      <w:pPr>
        <w:keepNext w:val="0"/>
        <w:keepLines w:val="0"/>
        <w:widowControl/>
        <w:suppressLineNumbers w:val="0"/>
        <w:jc w:val="left"/>
        <w:rPr>
          <w:rFonts w:hint="eastAsia" w:ascii="宋体" w:hAnsi="宋体" w:cs="宋体" w:eastAsiaTheme="minorEastAsia"/>
          <w:color w:val="auto"/>
          <w:szCs w:val="22"/>
          <w:lang w:val="en-US" w:eastAsia="en-US" w:bidi="ar-SA"/>
        </w:rPr>
      </w:pPr>
      <w:r>
        <w:rPr>
          <w:rFonts w:hint="eastAsia" w:ascii="宋体" w:hAnsi="宋体" w:cs="宋体" w:eastAsiaTheme="minorEastAsia"/>
          <w:color w:val="auto"/>
          <w:szCs w:val="22"/>
          <w:lang w:val="en-US" w:eastAsia="en-US" w:bidi="ar-SA"/>
        </w:rPr>
        <w:t>名 称：</w:t>
      </w:r>
      <w:r>
        <w:rPr>
          <w:rFonts w:hint="eastAsia" w:ascii="宋体" w:hAnsi="宋体" w:cs="宋体" w:eastAsiaTheme="minorEastAsia"/>
          <w:color w:val="auto"/>
          <w:szCs w:val="22"/>
          <w:lang w:val="en-US" w:eastAsia="zh-CN" w:bidi="ar-SA"/>
        </w:rPr>
        <w:t>江西省农产品质量安全检测中心</w:t>
      </w:r>
    </w:p>
    <w:p w14:paraId="4D4D83CE">
      <w:pPr>
        <w:keepNext w:val="0"/>
        <w:keepLines w:val="0"/>
        <w:widowControl/>
        <w:suppressLineNumbers w:val="0"/>
        <w:jc w:val="left"/>
        <w:rPr>
          <w:rFonts w:hint="eastAsia" w:ascii="宋体" w:hAnsi="宋体" w:cs="宋体" w:eastAsiaTheme="minorEastAsia"/>
          <w:color w:val="auto"/>
          <w:szCs w:val="22"/>
          <w:lang w:val="en-US" w:eastAsia="zh-CN" w:bidi="ar-SA"/>
        </w:rPr>
      </w:pPr>
      <w:r>
        <w:rPr>
          <w:rFonts w:hint="eastAsia" w:ascii="宋体" w:hAnsi="宋体" w:cs="宋体" w:eastAsiaTheme="minorEastAsia"/>
          <w:color w:val="auto"/>
          <w:szCs w:val="22"/>
          <w:lang w:val="en-US" w:eastAsia="en-US" w:bidi="ar-SA"/>
        </w:rPr>
        <w:t>地 址：</w:t>
      </w:r>
      <w:r>
        <w:rPr>
          <w:rFonts w:hint="eastAsia" w:ascii="宋体" w:hAnsi="宋体" w:cs="宋体" w:eastAsiaTheme="minorEastAsia"/>
          <w:color w:val="auto"/>
          <w:szCs w:val="22"/>
          <w:lang w:val="en-US" w:eastAsia="zh-CN" w:bidi="ar-SA"/>
        </w:rPr>
        <w:t xml:space="preserve">江西省南昌市文教路359号 </w:t>
      </w:r>
    </w:p>
    <w:p w14:paraId="229F50F3">
      <w:pPr>
        <w:keepNext w:val="0"/>
        <w:keepLines w:val="0"/>
        <w:widowControl/>
        <w:suppressLineNumbers w:val="0"/>
        <w:jc w:val="left"/>
        <w:rPr>
          <w:color w:val="auto"/>
        </w:rPr>
      </w:pPr>
      <w:r>
        <w:rPr>
          <w:rFonts w:ascii="宋体" w:hAnsi="宋体" w:cs="宋体" w:eastAsiaTheme="minorEastAsia"/>
          <w:color w:val="auto"/>
          <w:szCs w:val="22"/>
          <w:lang w:val="en-US" w:eastAsia="en-US" w:bidi="ar-SA"/>
        </w:rPr>
        <w:t>联系方式：</w:t>
      </w:r>
      <w:r>
        <w:rPr>
          <w:rFonts w:hint="eastAsia" w:ascii="宋体" w:hAnsi="宋体" w:cs="宋体" w:eastAsiaTheme="minorEastAsia"/>
          <w:color w:val="auto"/>
          <w:szCs w:val="22"/>
          <w:lang w:val="en-US" w:eastAsia="zh-CN" w:bidi="ar-SA"/>
        </w:rPr>
        <w:t xml:space="preserve">0791-88509113 </w:t>
      </w:r>
    </w:p>
    <w:p w14:paraId="39ECFA0C">
      <w:pPr>
        <w:keepNext w:val="0"/>
        <w:keepLines w:val="0"/>
        <w:pageBreakBefore w:val="0"/>
        <w:widowControl/>
        <w:kinsoku/>
        <w:wordWrap/>
        <w:overflowPunct/>
        <w:topLinePunct w:val="0"/>
        <w:autoSpaceDE/>
        <w:autoSpaceDN/>
        <w:bidi w:val="0"/>
        <w:adjustRightInd/>
        <w:snapToGrid w:val="0"/>
        <w:spacing w:line="360" w:lineRule="auto"/>
        <w:ind w:left="0" w:right="0" w:firstLine="0"/>
        <w:jc w:val="left"/>
        <w:textAlignment w:val="auto"/>
        <w:outlineLvl w:val="2"/>
        <w:rPr>
          <w:rFonts w:hAnsi="Calibri"/>
          <w:color w:val="auto"/>
          <w:szCs w:val="22"/>
          <w:lang w:val="en-US" w:eastAsia="en-US" w:bidi="ar-SA"/>
        </w:rPr>
      </w:pPr>
      <w:r>
        <w:rPr>
          <w:rFonts w:ascii="宋体" w:hAnsi="宋体" w:cs="宋体" w:eastAsiaTheme="minorEastAsia"/>
          <w:color w:val="auto"/>
          <w:szCs w:val="22"/>
          <w:lang w:val="en-US" w:eastAsia="en-US" w:bidi="ar-SA"/>
        </w:rPr>
        <w:t>2.采购代理机构信息</w:t>
      </w:r>
    </w:p>
    <w:p w14:paraId="62283CCD">
      <w:pPr>
        <w:keepNext w:val="0"/>
        <w:keepLines w:val="0"/>
        <w:pageBreakBefore w:val="0"/>
        <w:widowControl/>
        <w:kinsoku/>
        <w:wordWrap/>
        <w:overflowPunct/>
        <w:topLinePunct w:val="0"/>
        <w:autoSpaceDE/>
        <w:autoSpaceDN/>
        <w:bidi w:val="0"/>
        <w:adjustRightInd/>
        <w:snapToGrid w:val="0"/>
        <w:spacing w:line="360" w:lineRule="auto"/>
        <w:ind w:left="0" w:right="0" w:firstLine="0"/>
        <w:jc w:val="left"/>
        <w:textAlignment w:val="auto"/>
        <w:rPr>
          <w:rFonts w:hint="eastAsia" w:hAnsi="Calibri" w:eastAsiaTheme="minorEastAsia"/>
          <w:color w:val="auto"/>
          <w:szCs w:val="22"/>
          <w:lang w:val="en-US" w:eastAsia="zh-CN" w:bidi="ar-SA"/>
        </w:rPr>
      </w:pPr>
      <w:r>
        <w:rPr>
          <w:rFonts w:ascii="宋体" w:hAnsi="宋体" w:cs="宋体" w:eastAsiaTheme="minorEastAsia"/>
          <w:color w:val="auto"/>
          <w:szCs w:val="22"/>
          <w:lang w:val="en-US" w:eastAsia="en-US" w:bidi="ar-SA"/>
        </w:rPr>
        <w:t>名称：</w:t>
      </w:r>
      <w:r>
        <w:rPr>
          <w:rFonts w:hint="eastAsia" w:ascii="宋体" w:hAnsi="宋体" w:cs="宋体" w:eastAsiaTheme="minorEastAsia"/>
          <w:color w:val="auto"/>
          <w:szCs w:val="22"/>
          <w:lang w:val="en-US" w:eastAsia="zh-CN" w:bidi="ar-SA"/>
        </w:rPr>
        <w:t>江西北涛建设工程咨询有限公司</w:t>
      </w:r>
    </w:p>
    <w:p w14:paraId="7AA0AA91">
      <w:pPr>
        <w:keepNext w:val="0"/>
        <w:keepLines w:val="0"/>
        <w:pageBreakBefore w:val="0"/>
        <w:widowControl/>
        <w:kinsoku/>
        <w:wordWrap/>
        <w:overflowPunct/>
        <w:topLinePunct w:val="0"/>
        <w:autoSpaceDE/>
        <w:autoSpaceDN/>
        <w:bidi w:val="0"/>
        <w:adjustRightInd/>
        <w:snapToGrid w:val="0"/>
        <w:spacing w:line="360" w:lineRule="auto"/>
        <w:ind w:left="0" w:right="0" w:firstLine="0"/>
        <w:jc w:val="left"/>
        <w:textAlignment w:val="auto"/>
        <w:rPr>
          <w:rFonts w:hint="eastAsia" w:ascii="宋体" w:hAnsi="宋体" w:cs="宋体" w:eastAsiaTheme="minorEastAsia"/>
          <w:color w:val="auto"/>
          <w:szCs w:val="22"/>
          <w:lang w:val="en-US" w:eastAsia="zh-CN" w:bidi="ar-SA"/>
        </w:rPr>
      </w:pPr>
      <w:r>
        <w:rPr>
          <w:rFonts w:ascii="宋体" w:hAnsi="宋体" w:cs="宋体" w:eastAsiaTheme="minorEastAsia"/>
          <w:color w:val="auto"/>
          <w:szCs w:val="22"/>
          <w:lang w:val="en-US" w:eastAsia="en-US" w:bidi="ar-SA"/>
        </w:rPr>
        <w:t>地址：</w:t>
      </w:r>
      <w:r>
        <w:rPr>
          <w:rFonts w:hint="eastAsia" w:ascii="宋体" w:hAnsi="宋体" w:cs="宋体" w:eastAsiaTheme="minorEastAsia"/>
          <w:color w:val="auto"/>
          <w:szCs w:val="22"/>
          <w:lang w:val="en-US" w:eastAsia="zh-CN" w:bidi="ar-SA"/>
        </w:rPr>
        <w:t>南昌市二七北路185号东晖育才苑6栋1602</w:t>
      </w:r>
    </w:p>
    <w:p w14:paraId="0ED10F35">
      <w:pPr>
        <w:keepNext w:val="0"/>
        <w:keepLines w:val="0"/>
        <w:pageBreakBefore w:val="0"/>
        <w:widowControl/>
        <w:kinsoku/>
        <w:wordWrap/>
        <w:overflowPunct/>
        <w:topLinePunct w:val="0"/>
        <w:autoSpaceDE/>
        <w:autoSpaceDN/>
        <w:bidi w:val="0"/>
        <w:adjustRightInd/>
        <w:snapToGrid w:val="0"/>
        <w:spacing w:line="360" w:lineRule="auto"/>
        <w:ind w:left="0" w:right="0" w:firstLine="0"/>
        <w:jc w:val="left"/>
        <w:textAlignment w:val="auto"/>
        <w:rPr>
          <w:rFonts w:hint="default" w:ascii="宋体" w:hAnsi="宋体" w:cs="宋体" w:eastAsiaTheme="minorEastAsia"/>
          <w:color w:val="auto"/>
          <w:szCs w:val="22"/>
          <w:lang w:val="en-US" w:eastAsia="zh-CN" w:bidi="ar-SA"/>
        </w:rPr>
      </w:pPr>
      <w:r>
        <w:rPr>
          <w:rFonts w:ascii="宋体" w:hAnsi="宋体" w:cs="宋体" w:eastAsiaTheme="minorEastAsia"/>
          <w:color w:val="auto"/>
          <w:szCs w:val="22"/>
          <w:lang w:val="en-US" w:eastAsia="en-US" w:bidi="ar-SA"/>
        </w:rPr>
        <w:t>联系方式：</w:t>
      </w:r>
      <w:r>
        <w:rPr>
          <w:rFonts w:hint="eastAsia" w:ascii="宋体" w:hAnsi="宋体" w:cs="宋体" w:eastAsiaTheme="minorEastAsia"/>
          <w:color w:val="auto"/>
          <w:szCs w:val="22"/>
          <w:lang w:val="en-US" w:eastAsia="zh-CN" w:bidi="ar-SA"/>
        </w:rPr>
        <w:t>0791-86288217</w:t>
      </w:r>
    </w:p>
    <w:p w14:paraId="7D46C947">
      <w:pPr>
        <w:keepNext w:val="0"/>
        <w:keepLines w:val="0"/>
        <w:pageBreakBefore w:val="0"/>
        <w:widowControl/>
        <w:kinsoku/>
        <w:wordWrap/>
        <w:overflowPunct/>
        <w:topLinePunct w:val="0"/>
        <w:autoSpaceDE/>
        <w:autoSpaceDN/>
        <w:bidi w:val="0"/>
        <w:adjustRightInd/>
        <w:snapToGrid w:val="0"/>
        <w:spacing w:line="360" w:lineRule="auto"/>
        <w:ind w:left="0" w:right="0" w:firstLine="0"/>
        <w:jc w:val="left"/>
        <w:textAlignment w:val="auto"/>
        <w:outlineLvl w:val="2"/>
        <w:rPr>
          <w:rFonts w:hAnsi="Calibri"/>
          <w:color w:val="auto"/>
          <w:szCs w:val="22"/>
          <w:lang w:val="en-US" w:eastAsia="en-US" w:bidi="ar-SA"/>
        </w:rPr>
      </w:pPr>
      <w:r>
        <w:rPr>
          <w:rFonts w:ascii="宋体" w:hAnsi="宋体" w:cs="宋体" w:eastAsiaTheme="minorEastAsia"/>
          <w:color w:val="auto"/>
          <w:szCs w:val="22"/>
          <w:lang w:val="en-US" w:eastAsia="en-US" w:bidi="ar-SA"/>
        </w:rPr>
        <w:t>3.项目联系方式</w:t>
      </w:r>
    </w:p>
    <w:p w14:paraId="5C8902A5">
      <w:pPr>
        <w:keepNext w:val="0"/>
        <w:keepLines w:val="0"/>
        <w:pageBreakBefore w:val="0"/>
        <w:widowControl/>
        <w:kinsoku/>
        <w:wordWrap/>
        <w:overflowPunct/>
        <w:topLinePunct w:val="0"/>
        <w:autoSpaceDE/>
        <w:autoSpaceDN/>
        <w:bidi w:val="0"/>
        <w:adjustRightInd/>
        <w:snapToGrid w:val="0"/>
        <w:spacing w:line="360" w:lineRule="auto"/>
        <w:ind w:left="0" w:right="0" w:firstLine="0"/>
        <w:jc w:val="left"/>
        <w:textAlignment w:val="auto"/>
        <w:rPr>
          <w:rFonts w:hint="eastAsia" w:hAnsi="Calibri" w:eastAsiaTheme="minorEastAsia"/>
          <w:color w:val="auto"/>
          <w:szCs w:val="22"/>
          <w:lang w:val="en-US" w:eastAsia="zh-CN" w:bidi="ar-SA"/>
        </w:rPr>
      </w:pPr>
      <w:r>
        <w:rPr>
          <w:rFonts w:ascii="宋体" w:hAnsi="宋体" w:cs="宋体" w:eastAsiaTheme="minorEastAsia"/>
          <w:color w:val="auto"/>
          <w:szCs w:val="22"/>
          <w:lang w:val="en-US" w:eastAsia="en-US" w:bidi="ar-SA"/>
        </w:rPr>
        <w:t>项目联系人：</w:t>
      </w:r>
      <w:r>
        <w:rPr>
          <w:rFonts w:hint="eastAsia" w:ascii="宋体" w:hAnsi="宋体" w:cs="宋体" w:eastAsiaTheme="minorEastAsia"/>
          <w:color w:val="auto"/>
          <w:szCs w:val="22"/>
          <w:lang w:val="en-US" w:eastAsia="zh-CN" w:bidi="ar-SA"/>
        </w:rPr>
        <w:t>周先生</w:t>
      </w:r>
    </w:p>
    <w:p w14:paraId="70CDBA58">
      <w:pPr>
        <w:keepNext w:val="0"/>
        <w:keepLines w:val="0"/>
        <w:pageBreakBefore w:val="0"/>
        <w:widowControl/>
        <w:kinsoku/>
        <w:wordWrap/>
        <w:overflowPunct/>
        <w:topLinePunct w:val="0"/>
        <w:autoSpaceDE/>
        <w:autoSpaceDN/>
        <w:bidi w:val="0"/>
        <w:adjustRightInd/>
        <w:snapToGrid w:val="0"/>
        <w:spacing w:line="360" w:lineRule="auto"/>
        <w:ind w:left="0" w:right="0" w:firstLine="0"/>
        <w:jc w:val="left"/>
        <w:textAlignment w:val="auto"/>
        <w:rPr>
          <w:rFonts w:hint="default" w:ascii="宋体" w:hAnsi="宋体" w:cs="宋体" w:eastAsiaTheme="minorEastAsia"/>
          <w:color w:val="auto"/>
          <w:spacing w:val="2"/>
          <w:sz w:val="32"/>
          <w:szCs w:val="22"/>
          <w:lang w:val="en-US" w:eastAsia="zh-CN" w:bidi="ar-SA"/>
        </w:rPr>
      </w:pPr>
      <w:r>
        <w:rPr>
          <w:rFonts w:ascii="宋体" w:hAnsi="宋体" w:cs="宋体" w:eastAsiaTheme="minorEastAsia"/>
          <w:color w:val="auto"/>
          <w:szCs w:val="22"/>
          <w:lang w:val="en-US" w:eastAsia="en-US" w:bidi="ar-SA"/>
        </w:rPr>
        <w:t>电话：0791-</w:t>
      </w:r>
      <w:bookmarkStart w:id="12" w:name="br1_7"/>
      <w:bookmarkEnd w:id="12"/>
      <w:r>
        <w:rPr>
          <w:rFonts w:hint="eastAsia" w:ascii="宋体" w:hAnsi="宋体" w:cs="宋体" w:eastAsiaTheme="minorEastAsia"/>
          <w:color w:val="auto"/>
          <w:szCs w:val="22"/>
          <w:lang w:val="en-US" w:eastAsia="zh-CN" w:bidi="ar-SA"/>
        </w:rPr>
        <w:t>86288217</w:t>
      </w:r>
    </w:p>
    <w:p w14:paraId="5F1DB52E">
      <w:pPr>
        <w:spacing w:before="0" w:after="0" w:line="329" w:lineRule="exact"/>
        <w:ind w:left="3514" w:right="0" w:firstLine="0"/>
        <w:jc w:val="left"/>
        <w:rPr>
          <w:rFonts w:ascii="宋体" w:hAnsi="宋体" w:cs="宋体" w:eastAsiaTheme="minorEastAsia"/>
          <w:color w:val="auto"/>
          <w:spacing w:val="2"/>
          <w:sz w:val="32"/>
          <w:szCs w:val="22"/>
          <w:lang w:val="en-US" w:eastAsia="en-US" w:bidi="ar-SA"/>
        </w:rPr>
      </w:pPr>
    </w:p>
    <w:p w14:paraId="6E10D9AD">
      <w:pPr>
        <w:keepNext w:val="0"/>
        <w:keepLines w:val="0"/>
        <w:pageBreakBefore w:val="0"/>
        <w:widowControl w:val="0"/>
        <w:numPr>
          <w:ilvl w:val="0"/>
          <w:numId w:val="0"/>
        </w:numPr>
        <w:kinsoku/>
        <w:wordWrap/>
        <w:overflowPunct/>
        <w:topLinePunct w:val="0"/>
        <w:autoSpaceDE/>
        <w:autoSpaceDN/>
        <w:bidi w:val="0"/>
        <w:adjustRightInd/>
        <w:snapToGrid/>
        <w:spacing w:beforeAutospacing="0" w:line="240" w:lineRule="auto"/>
        <w:ind w:firstLine="0" w:firstLineChars="0"/>
        <w:jc w:val="both"/>
        <w:textAlignment w:val="auto"/>
        <w:rPr>
          <w:rFonts w:hint="eastAsia" w:ascii="宋体" w:hAnsi="宋体" w:eastAsia="宋体" w:cs="宋体"/>
          <w:strike w:val="0"/>
          <w:dstrike w:val="0"/>
          <w:color w:val="auto"/>
          <w:sz w:val="24"/>
          <w:szCs w:val="24"/>
          <w:lang w:val="en-US" w:eastAsia="zh-CN"/>
        </w:rPr>
      </w:pPr>
    </w:p>
    <w:sectPr>
      <w:headerReference r:id="rId5" w:type="first"/>
      <w:footerReference r:id="rId7" w:type="first"/>
      <w:footerReference r:id="rId6" w:type="default"/>
      <w:pgSz w:w="11906" w:h="16838"/>
      <w:pgMar w:top="1440" w:right="1226" w:bottom="1440" w:left="1560" w:header="851" w:footer="992" w:gutter="0"/>
      <w:pgNumType w:fmt="decimal"/>
      <w:cols w:space="425" w:num="1"/>
      <w:titlePg/>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AMGDT"/>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AMGDT">
    <w:panose1 w:val="02000400000000000000"/>
    <w:charset w:val="00"/>
    <w:family w:val="auto"/>
    <w:pitch w:val="default"/>
    <w:sig w:usb0="80000003" w:usb1="1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A62E3B">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A32939">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CA32939">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9EAEEF">
    <w:pPr>
      <w:pStyle w:val="1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52A6AC">
                          <w:pPr>
                            <w:pStyle w:val="10"/>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752A6AC">
                    <w:pPr>
                      <w:pStyle w:val="10"/>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9DBCFD">
    <w:pPr>
      <w:pStyle w:val="1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dlMjMyOTE2NWUzZTIxMDg4MWUwN2JlMjk5ZGE2MGIifQ=="/>
  </w:docVars>
  <w:rsids>
    <w:rsidRoot w:val="116651D7"/>
    <w:rsid w:val="00EE249C"/>
    <w:rsid w:val="020E265C"/>
    <w:rsid w:val="02467A44"/>
    <w:rsid w:val="028469F5"/>
    <w:rsid w:val="02E84975"/>
    <w:rsid w:val="060B49F5"/>
    <w:rsid w:val="06CE0008"/>
    <w:rsid w:val="07014558"/>
    <w:rsid w:val="08B1373D"/>
    <w:rsid w:val="09A9187D"/>
    <w:rsid w:val="0ACE05D7"/>
    <w:rsid w:val="0ADF0A36"/>
    <w:rsid w:val="116651D7"/>
    <w:rsid w:val="11C24C0D"/>
    <w:rsid w:val="11C444E1"/>
    <w:rsid w:val="11D65697"/>
    <w:rsid w:val="125A4EAA"/>
    <w:rsid w:val="141F13AA"/>
    <w:rsid w:val="14DB50B6"/>
    <w:rsid w:val="19CA0B03"/>
    <w:rsid w:val="1EA740DD"/>
    <w:rsid w:val="1F8226DB"/>
    <w:rsid w:val="205D447F"/>
    <w:rsid w:val="207905F8"/>
    <w:rsid w:val="22BC7FAC"/>
    <w:rsid w:val="244F40DF"/>
    <w:rsid w:val="265C2AE3"/>
    <w:rsid w:val="26EC34BD"/>
    <w:rsid w:val="29A67500"/>
    <w:rsid w:val="29FB3AE8"/>
    <w:rsid w:val="2A443FBA"/>
    <w:rsid w:val="2A810D6A"/>
    <w:rsid w:val="2BF65788"/>
    <w:rsid w:val="2CF41CC7"/>
    <w:rsid w:val="2D104F33"/>
    <w:rsid w:val="2EB21578"/>
    <w:rsid w:val="329417F8"/>
    <w:rsid w:val="36FD5C1C"/>
    <w:rsid w:val="3761353F"/>
    <w:rsid w:val="37D53A08"/>
    <w:rsid w:val="3B375BD2"/>
    <w:rsid w:val="3BC250C7"/>
    <w:rsid w:val="3C3B3DA7"/>
    <w:rsid w:val="3C7544A7"/>
    <w:rsid w:val="3D2A34E3"/>
    <w:rsid w:val="3E2023A0"/>
    <w:rsid w:val="3E66054B"/>
    <w:rsid w:val="3EFC2C5D"/>
    <w:rsid w:val="3F4D5188"/>
    <w:rsid w:val="3FE43E1D"/>
    <w:rsid w:val="40750F19"/>
    <w:rsid w:val="421436BB"/>
    <w:rsid w:val="42825E61"/>
    <w:rsid w:val="44473C0D"/>
    <w:rsid w:val="45BE1E92"/>
    <w:rsid w:val="47F54359"/>
    <w:rsid w:val="48114597"/>
    <w:rsid w:val="4B312F21"/>
    <w:rsid w:val="4B72052F"/>
    <w:rsid w:val="4BAF0E4E"/>
    <w:rsid w:val="4C285091"/>
    <w:rsid w:val="4CA32EE3"/>
    <w:rsid w:val="4DA0467A"/>
    <w:rsid w:val="4DFA480C"/>
    <w:rsid w:val="50BA397A"/>
    <w:rsid w:val="50EB0877"/>
    <w:rsid w:val="527A5F1B"/>
    <w:rsid w:val="55D01AD3"/>
    <w:rsid w:val="56272B59"/>
    <w:rsid w:val="5648247B"/>
    <w:rsid w:val="58D72319"/>
    <w:rsid w:val="5A750770"/>
    <w:rsid w:val="5AA059CD"/>
    <w:rsid w:val="5AFA7489"/>
    <w:rsid w:val="5CB12E81"/>
    <w:rsid w:val="62235D6C"/>
    <w:rsid w:val="62442818"/>
    <w:rsid w:val="637C1F2D"/>
    <w:rsid w:val="65EE5D28"/>
    <w:rsid w:val="6A07643F"/>
    <w:rsid w:val="6AAB296F"/>
    <w:rsid w:val="6B581098"/>
    <w:rsid w:val="6C1D65BA"/>
    <w:rsid w:val="6C7C2B64"/>
    <w:rsid w:val="6DEE183F"/>
    <w:rsid w:val="6E166FE8"/>
    <w:rsid w:val="6F400A08"/>
    <w:rsid w:val="701D053B"/>
    <w:rsid w:val="702459EC"/>
    <w:rsid w:val="71AA0173"/>
    <w:rsid w:val="71AC7886"/>
    <w:rsid w:val="76CF5F86"/>
    <w:rsid w:val="776B318C"/>
    <w:rsid w:val="77C31810"/>
    <w:rsid w:val="7B157B32"/>
    <w:rsid w:val="7B786BEC"/>
    <w:rsid w:val="7B7A2964"/>
    <w:rsid w:val="7C354ADD"/>
    <w:rsid w:val="7C5256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semiHidden="0" w:name="heading 3"/>
    <w:lsdException w:qFormat="1"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qFormat="1"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line="360" w:lineRule="auto"/>
    </w:pPr>
    <w:rPr>
      <w:rFonts w:ascii="Times New Roman" w:hAnsi="Times New Roman" w:eastAsia="Times New Roman" w:cs="Times New Roman"/>
      <w:sz w:val="24"/>
      <w:szCs w:val="24"/>
      <w:lang w:val="en-US" w:eastAsia="en-US" w:bidi="ar-SA"/>
    </w:rPr>
  </w:style>
  <w:style w:type="paragraph" w:styleId="3">
    <w:name w:val="heading 1"/>
    <w:basedOn w:val="1"/>
    <w:next w:val="1"/>
    <w:qFormat/>
    <w:uiPriority w:val="99"/>
    <w:pPr>
      <w:keepNext/>
      <w:outlineLvl w:val="0"/>
    </w:pPr>
    <w:rPr>
      <w:kern w:val="2"/>
      <w:sz w:val="28"/>
    </w:rPr>
  </w:style>
  <w:style w:type="paragraph" w:styleId="4">
    <w:name w:val="heading 2"/>
    <w:basedOn w:val="1"/>
    <w:next w:val="1"/>
    <w:link w:val="35"/>
    <w:qFormat/>
    <w:uiPriority w:val="99"/>
    <w:pPr>
      <w:keepNext/>
      <w:keepLines/>
      <w:adjustRightInd w:val="0"/>
      <w:snapToGrid w:val="0"/>
      <w:spacing w:line="360" w:lineRule="auto"/>
      <w:outlineLvl w:val="1"/>
    </w:pPr>
    <w:rPr>
      <w:rFonts w:ascii="Arial" w:hAnsi="Arial" w:eastAsia="宋体"/>
      <w:b/>
      <w:bCs/>
      <w:kern w:val="2"/>
      <w:sz w:val="28"/>
      <w:szCs w:val="32"/>
    </w:rPr>
  </w:style>
  <w:style w:type="paragraph" w:styleId="5">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7">
    <w:name w:val="heading 5"/>
    <w:basedOn w:val="1"/>
    <w:next w:val="1"/>
    <w:unhideWhenUsed/>
    <w:qFormat/>
    <w:uiPriority w:val="0"/>
    <w:pPr>
      <w:keepNext/>
      <w:keepLines/>
      <w:spacing w:before="280" w:beforeLines="0" w:beforeAutospacing="0" w:after="290" w:afterLines="0" w:afterAutospacing="0" w:line="372" w:lineRule="auto"/>
      <w:outlineLvl w:val="4"/>
    </w:pPr>
    <w:rPr>
      <w:b/>
      <w:sz w:val="28"/>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2">
    <w:name w:val="Body Text 2"/>
    <w:basedOn w:val="1"/>
    <w:unhideWhenUsed/>
    <w:qFormat/>
    <w:uiPriority w:val="99"/>
    <w:pPr>
      <w:spacing w:before="100" w:beforeAutospacing="1" w:after="120" w:line="480" w:lineRule="auto"/>
    </w:pPr>
  </w:style>
  <w:style w:type="paragraph" w:styleId="8">
    <w:name w:val="Body Text"/>
    <w:basedOn w:val="1"/>
    <w:next w:val="1"/>
    <w:qFormat/>
    <w:uiPriority w:val="0"/>
    <w:pPr>
      <w:spacing w:after="120"/>
    </w:pPr>
  </w:style>
  <w:style w:type="paragraph" w:styleId="9">
    <w:name w:val="Date"/>
    <w:basedOn w:val="1"/>
    <w:next w:val="1"/>
    <w:qFormat/>
    <w:uiPriority w:val="0"/>
    <w:rPr>
      <w:sz w:val="28"/>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toc 1"/>
    <w:basedOn w:val="1"/>
    <w:next w:val="1"/>
    <w:qFormat/>
    <w:uiPriority w:val="0"/>
  </w:style>
  <w:style w:type="paragraph" w:styleId="13">
    <w:name w:val="toc 2"/>
    <w:basedOn w:val="1"/>
    <w:next w:val="1"/>
    <w:qFormat/>
    <w:uiPriority w:val="0"/>
    <w:pPr>
      <w:ind w:left="420" w:leftChars="200"/>
    </w:pPr>
  </w:style>
  <w:style w:type="paragraph" w:styleId="14">
    <w:name w:val="Normal (Web)"/>
    <w:basedOn w:val="1"/>
    <w:qFormat/>
    <w:uiPriority w:val="0"/>
    <w:rPr>
      <w:sz w:val="24"/>
    </w:rPr>
  </w:style>
  <w:style w:type="paragraph" w:styleId="15">
    <w:name w:val="Body Text First Indent"/>
    <w:basedOn w:val="8"/>
    <w:qFormat/>
    <w:uiPriority w:val="99"/>
    <w:pPr>
      <w:ind w:firstLine="420" w:firstLineChars="100"/>
    </w:p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Strong"/>
    <w:basedOn w:val="18"/>
    <w:qFormat/>
    <w:uiPriority w:val="0"/>
    <w:rPr>
      <w:b/>
      <w:bCs/>
    </w:rPr>
  </w:style>
  <w:style w:type="character" w:styleId="20">
    <w:name w:val="FollowedHyperlink"/>
    <w:basedOn w:val="18"/>
    <w:qFormat/>
    <w:uiPriority w:val="0"/>
    <w:rPr>
      <w:color w:val="800080"/>
      <w:u w:val="none"/>
    </w:rPr>
  </w:style>
  <w:style w:type="character" w:styleId="21">
    <w:name w:val="Emphasis"/>
    <w:basedOn w:val="18"/>
    <w:qFormat/>
    <w:uiPriority w:val="0"/>
    <w:rPr>
      <w:b/>
      <w:bCs/>
    </w:rPr>
  </w:style>
  <w:style w:type="character" w:styleId="22">
    <w:name w:val="HTML Definition"/>
    <w:basedOn w:val="18"/>
    <w:qFormat/>
    <w:uiPriority w:val="0"/>
  </w:style>
  <w:style w:type="character" w:styleId="23">
    <w:name w:val="HTML Typewriter"/>
    <w:basedOn w:val="18"/>
    <w:qFormat/>
    <w:uiPriority w:val="0"/>
    <w:rPr>
      <w:rFonts w:hint="default" w:ascii="monospace" w:hAnsi="monospace" w:eastAsia="monospace" w:cs="monospace"/>
      <w:sz w:val="20"/>
    </w:rPr>
  </w:style>
  <w:style w:type="character" w:styleId="24">
    <w:name w:val="HTML Acronym"/>
    <w:basedOn w:val="18"/>
    <w:qFormat/>
    <w:uiPriority w:val="0"/>
  </w:style>
  <w:style w:type="character" w:styleId="25">
    <w:name w:val="HTML Variable"/>
    <w:basedOn w:val="18"/>
    <w:qFormat/>
    <w:uiPriority w:val="0"/>
  </w:style>
  <w:style w:type="character" w:styleId="26">
    <w:name w:val="Hyperlink"/>
    <w:basedOn w:val="18"/>
    <w:qFormat/>
    <w:uiPriority w:val="0"/>
    <w:rPr>
      <w:color w:val="0000FF"/>
      <w:u w:val="none"/>
    </w:rPr>
  </w:style>
  <w:style w:type="character" w:styleId="27">
    <w:name w:val="HTML Code"/>
    <w:basedOn w:val="18"/>
    <w:qFormat/>
    <w:uiPriority w:val="0"/>
    <w:rPr>
      <w:rFonts w:hint="default" w:ascii="monospace" w:hAnsi="monospace" w:eastAsia="monospace" w:cs="monospace"/>
      <w:vanish/>
      <w:sz w:val="20"/>
    </w:rPr>
  </w:style>
  <w:style w:type="character" w:styleId="28">
    <w:name w:val="HTML Cite"/>
    <w:basedOn w:val="18"/>
    <w:qFormat/>
    <w:uiPriority w:val="0"/>
  </w:style>
  <w:style w:type="character" w:styleId="29">
    <w:name w:val="HTML Keyboard"/>
    <w:basedOn w:val="18"/>
    <w:qFormat/>
    <w:uiPriority w:val="0"/>
    <w:rPr>
      <w:rFonts w:ascii="monospace" w:hAnsi="monospace" w:eastAsia="monospace" w:cs="monospace"/>
      <w:sz w:val="20"/>
    </w:rPr>
  </w:style>
  <w:style w:type="character" w:styleId="30">
    <w:name w:val="HTML Sample"/>
    <w:basedOn w:val="18"/>
    <w:qFormat/>
    <w:uiPriority w:val="0"/>
    <w:rPr>
      <w:rFonts w:hint="default" w:ascii="monospace" w:hAnsi="monospace" w:eastAsia="monospace" w:cs="monospace"/>
    </w:rPr>
  </w:style>
  <w:style w:type="paragraph" w:customStyle="1" w:styleId="31">
    <w:name w:val="WPSOffice手动目录 1"/>
    <w:qFormat/>
    <w:uiPriority w:val="0"/>
    <w:pPr>
      <w:ind w:leftChars="0"/>
    </w:pPr>
    <w:rPr>
      <w:rFonts w:asciiTheme="minorHAnsi" w:hAnsiTheme="minorHAnsi" w:eastAsiaTheme="minorEastAsia" w:cstheme="minorBidi"/>
      <w:sz w:val="20"/>
      <w:szCs w:val="20"/>
    </w:rPr>
  </w:style>
  <w:style w:type="paragraph" w:customStyle="1" w:styleId="32">
    <w:name w:val="WPSOffice手动目录 2"/>
    <w:qFormat/>
    <w:uiPriority w:val="0"/>
    <w:pPr>
      <w:ind w:leftChars="200"/>
    </w:pPr>
    <w:rPr>
      <w:rFonts w:asciiTheme="minorHAnsi" w:hAnsiTheme="minorHAnsi" w:eastAsiaTheme="minorEastAsia" w:cstheme="minorBidi"/>
      <w:sz w:val="20"/>
      <w:szCs w:val="20"/>
    </w:rPr>
  </w:style>
  <w:style w:type="paragraph" w:customStyle="1" w:styleId="33">
    <w:name w:val="WPSOffice手动目录 3"/>
    <w:qFormat/>
    <w:uiPriority w:val="0"/>
    <w:pPr>
      <w:ind w:leftChars="400"/>
    </w:pPr>
    <w:rPr>
      <w:rFonts w:asciiTheme="minorHAnsi" w:hAnsiTheme="minorHAnsi" w:eastAsiaTheme="minorEastAsia" w:cstheme="minorBidi"/>
      <w:sz w:val="20"/>
      <w:szCs w:val="20"/>
    </w:rPr>
  </w:style>
  <w:style w:type="paragraph" w:styleId="34">
    <w:name w:val="List Paragraph"/>
    <w:basedOn w:val="1"/>
    <w:unhideWhenUsed/>
    <w:qFormat/>
    <w:uiPriority w:val="99"/>
    <w:pPr>
      <w:ind w:firstLine="420" w:firstLineChars="200"/>
    </w:pPr>
  </w:style>
  <w:style w:type="character" w:customStyle="1" w:styleId="35">
    <w:name w:val="标题 2 Char"/>
    <w:link w:val="4"/>
    <w:qFormat/>
    <w:uiPriority w:val="99"/>
    <w:rPr>
      <w:rFonts w:ascii="Arial" w:hAnsi="Arial" w:eastAsia="宋体"/>
      <w:b/>
      <w:bCs/>
      <w:kern w:val="2"/>
      <w:sz w:val="28"/>
      <w:szCs w:val="32"/>
    </w:rPr>
  </w:style>
  <w:style w:type="character" w:customStyle="1" w:styleId="36">
    <w:name w:val="font71"/>
    <w:basedOn w:val="18"/>
    <w:qFormat/>
    <w:uiPriority w:val="0"/>
    <w:rPr>
      <w:rFonts w:hint="eastAsia" w:ascii="宋体" w:hAnsi="宋体" w:eastAsia="宋体" w:cs="宋体"/>
      <w:color w:val="000000"/>
      <w:sz w:val="22"/>
      <w:szCs w:val="22"/>
      <w:u w:val="none"/>
    </w:rPr>
  </w:style>
  <w:style w:type="character" w:customStyle="1" w:styleId="37">
    <w:name w:val="font41"/>
    <w:basedOn w:val="18"/>
    <w:qFormat/>
    <w:uiPriority w:val="0"/>
    <w:rPr>
      <w:rFonts w:hint="eastAsia" w:ascii="宋体" w:hAnsi="宋体" w:eastAsia="宋体" w:cs="宋体"/>
      <w:color w:val="000000"/>
      <w:sz w:val="22"/>
      <w:szCs w:val="22"/>
      <w:u w:val="none"/>
    </w:rPr>
  </w:style>
  <w:style w:type="character" w:customStyle="1" w:styleId="38">
    <w:name w:val="font112"/>
    <w:basedOn w:val="18"/>
    <w:qFormat/>
    <w:uiPriority w:val="0"/>
    <w:rPr>
      <w:rFonts w:hint="eastAsia" w:ascii="宋体" w:hAnsi="宋体" w:eastAsia="宋体" w:cs="宋体"/>
      <w:i/>
      <w:iCs/>
      <w:color w:val="000000"/>
      <w:sz w:val="22"/>
      <w:szCs w:val="22"/>
      <w:u w:val="none"/>
    </w:rPr>
  </w:style>
  <w:style w:type="character" w:customStyle="1" w:styleId="39">
    <w:name w:val="font51"/>
    <w:basedOn w:val="18"/>
    <w:qFormat/>
    <w:uiPriority w:val="0"/>
    <w:rPr>
      <w:rFonts w:hint="eastAsia" w:ascii="宋体" w:hAnsi="宋体" w:eastAsia="宋体" w:cs="宋体"/>
      <w:color w:val="000000"/>
      <w:sz w:val="22"/>
      <w:szCs w:val="22"/>
      <w:u w:val="none"/>
    </w:rPr>
  </w:style>
  <w:style w:type="character" w:customStyle="1" w:styleId="40">
    <w:name w:val="font61"/>
    <w:basedOn w:val="18"/>
    <w:uiPriority w:val="0"/>
    <w:rPr>
      <w:rFonts w:hint="eastAsia" w:ascii="宋体" w:hAnsi="宋体" w:eastAsia="宋体" w:cs="宋体"/>
      <w:i/>
      <w:iCs/>
      <w:color w:val="000000"/>
      <w:sz w:val="22"/>
      <w:szCs w:val="22"/>
      <w:u w:val="none"/>
    </w:rPr>
  </w:style>
  <w:style w:type="character" w:customStyle="1" w:styleId="41">
    <w:name w:val="font31"/>
    <w:basedOn w:val="18"/>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13931</Words>
  <Characters>14809</Characters>
  <Lines>0</Lines>
  <Paragraphs>0</Paragraphs>
  <TotalTime>57</TotalTime>
  <ScaleCrop>false</ScaleCrop>
  <LinksUpToDate>false</LinksUpToDate>
  <CharactersWithSpaces>15202</CharactersWithSpaces>
  <Application>WPS Office_12.1.0.18888_F1E327BC-269C-435d-A152-05C5408002CA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2023-04-23T06:32:00Z</dcterms:created>
  <dc:creator>Administrator</dc:creator>
  <cp:lastModifiedBy>Administrator</cp:lastModifiedBy>
  <dcterms:modified xsi:type="dcterms:W3CDTF">2024-10-29T02:52:44Z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2052-12.1.0.18888</vt:lpwstr>
  </property>
  <property fmtid="{D5CDD505-2E9C-101B-9397-08002B2CF9AE}" pid="3" name="ICV">
    <vt:lpwstr>AB186A52805F45A0998273A7C16F77BA_13</vt:lpwstr>
  </property>
</Properties>
</file>