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97F79E">
      <w:pPr>
        <w:pStyle w:val="21"/>
        <w:shd w:val="clear"/>
        <w:ind w:firstLine="0" w:firstLineChars="0"/>
        <w:jc w:val="left"/>
        <w:rPr>
          <w:rFonts w:ascii="黑体"/>
          <w:b w:val="0"/>
          <w:color w:val="auto"/>
          <w:sz w:val="52"/>
          <w:highlight w:val="none"/>
        </w:rPr>
      </w:pPr>
      <w:bookmarkStart w:id="0" w:name="_Toc219467631"/>
      <w:bookmarkStart w:id="1" w:name="_Toc414445718"/>
      <w:bookmarkStart w:id="2" w:name="_Toc216619175"/>
      <w:bookmarkStart w:id="3" w:name="_Toc217996594"/>
      <w:bookmarkStart w:id="4" w:name="_Toc216702787"/>
      <w:bookmarkStart w:id="5" w:name="_Toc195921780"/>
      <w:r>
        <w:rPr>
          <w:rFonts w:hint="eastAsia" w:ascii="宋体" w:hAnsi="宋体" w:eastAsia="宋体" w:cs="宋体"/>
          <w:color w:val="auto"/>
          <w:sz w:val="28"/>
          <w:szCs w:val="28"/>
          <w:highlight w:val="none"/>
        </w:rPr>
        <w:drawing>
          <wp:inline distT="0" distB="0" distL="114300" distR="114300">
            <wp:extent cx="1130300" cy="938530"/>
            <wp:effectExtent l="0" t="0" r="12700" b="6350"/>
            <wp:docPr id="1" name="图片 2" descr="QAV879[C39RW~ZSOT{MBZ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QAV879[C39RW~ZSOT{MBZRR"/>
                    <pic:cNvPicPr>
                      <a:picLocks noChangeAspect="1"/>
                    </pic:cNvPicPr>
                  </pic:nvPicPr>
                  <pic:blipFill>
                    <a:blip r:embed="rId12"/>
                    <a:stretch>
                      <a:fillRect/>
                    </a:stretch>
                  </pic:blipFill>
                  <pic:spPr>
                    <a:xfrm>
                      <a:off x="0" y="0"/>
                      <a:ext cx="1130300" cy="938530"/>
                    </a:xfrm>
                    <a:prstGeom prst="rect">
                      <a:avLst/>
                    </a:prstGeom>
                    <a:noFill/>
                    <a:ln>
                      <a:noFill/>
                    </a:ln>
                  </pic:spPr>
                </pic:pic>
              </a:graphicData>
            </a:graphic>
          </wp:inline>
        </w:drawing>
      </w:r>
    </w:p>
    <w:p w14:paraId="04983FCE">
      <w:pPr>
        <w:shd w:val="clear"/>
        <w:jc w:val="center"/>
        <w:rPr>
          <w:rFonts w:eastAsia="黑体"/>
          <w:b/>
          <w:bCs/>
          <w:color w:val="auto"/>
          <w:sz w:val="84"/>
          <w:highlight w:val="none"/>
        </w:rPr>
      </w:pPr>
    </w:p>
    <w:p w14:paraId="79A826A9">
      <w:pPr>
        <w:shd w:val="clear"/>
        <w:jc w:val="center"/>
        <w:rPr>
          <w:rFonts w:hint="eastAsia" w:ascii="方正大标宋简体" w:hAnsi="方正大标宋简体" w:eastAsia="方正大标宋简体" w:cs="方正大标宋简体"/>
          <w:b/>
          <w:bCs/>
          <w:color w:val="auto"/>
          <w:sz w:val="72"/>
          <w:szCs w:val="72"/>
          <w:highlight w:val="none"/>
        </w:rPr>
      </w:pPr>
    </w:p>
    <w:p w14:paraId="64E0A6CE">
      <w:pPr>
        <w:shd w:val="clear"/>
        <w:jc w:val="center"/>
        <w:rPr>
          <w:rFonts w:hint="eastAsia" w:ascii="方正大标宋简体" w:hAnsi="方正大标宋简体" w:eastAsia="方正大标宋简体" w:cs="方正大标宋简体"/>
          <w:b/>
          <w:bCs/>
          <w:color w:val="auto"/>
          <w:sz w:val="72"/>
          <w:szCs w:val="72"/>
          <w:highlight w:val="none"/>
        </w:rPr>
      </w:pPr>
      <w:r>
        <w:rPr>
          <w:rFonts w:hint="eastAsia" w:ascii="方正大标宋简体" w:hAnsi="方正大标宋简体" w:eastAsia="方正大标宋简体" w:cs="方正大标宋简体"/>
          <w:b/>
          <w:bCs/>
          <w:color w:val="auto"/>
          <w:sz w:val="72"/>
          <w:szCs w:val="72"/>
          <w:highlight w:val="none"/>
        </w:rPr>
        <w:t>竞争性磋商文件</w:t>
      </w:r>
    </w:p>
    <w:p w14:paraId="5E9C0B61">
      <w:pPr>
        <w:shd w:val="clear"/>
        <w:adjustRightInd w:val="0"/>
        <w:jc w:val="center"/>
        <w:textAlignment w:val="baseline"/>
        <w:rPr>
          <w:rFonts w:hint="eastAsia" w:eastAsia="宋体"/>
          <w:b/>
          <w:bCs/>
          <w:color w:val="auto"/>
          <w:sz w:val="36"/>
          <w:highlight w:val="none"/>
          <w:lang w:eastAsia="zh-CN"/>
        </w:rPr>
      </w:pPr>
    </w:p>
    <w:p w14:paraId="1915A282">
      <w:pPr>
        <w:shd w:val="clear"/>
        <w:adjustRightInd w:val="0"/>
        <w:jc w:val="center"/>
        <w:textAlignment w:val="baseline"/>
        <w:rPr>
          <w:rFonts w:hint="eastAsia" w:eastAsia="宋体"/>
          <w:b/>
          <w:bCs/>
          <w:color w:val="auto"/>
          <w:sz w:val="36"/>
          <w:highlight w:val="none"/>
          <w:lang w:eastAsia="zh-CN"/>
        </w:rPr>
      </w:pPr>
    </w:p>
    <w:p w14:paraId="4377CF18">
      <w:pPr>
        <w:shd w:val="clear"/>
        <w:adjustRightInd w:val="0"/>
        <w:jc w:val="center"/>
        <w:textAlignment w:val="baseline"/>
        <w:rPr>
          <w:rFonts w:hint="eastAsia" w:eastAsia="宋体"/>
          <w:b/>
          <w:bCs/>
          <w:color w:val="auto"/>
          <w:sz w:val="36"/>
          <w:highlight w:val="none"/>
          <w:lang w:eastAsia="zh-CN"/>
        </w:rPr>
      </w:pPr>
    </w:p>
    <w:p w14:paraId="3DFDF9D4">
      <w:pPr>
        <w:shd w:val="clear"/>
        <w:adjustRightInd w:val="0"/>
        <w:jc w:val="center"/>
        <w:textAlignment w:val="baseline"/>
        <w:rPr>
          <w:rFonts w:hint="eastAsia" w:eastAsia="宋体"/>
          <w:b/>
          <w:bCs/>
          <w:color w:val="auto"/>
          <w:sz w:val="36"/>
          <w:highlight w:val="none"/>
          <w:lang w:eastAsia="zh-CN"/>
        </w:rPr>
      </w:pPr>
    </w:p>
    <w:p w14:paraId="7C8C9B58">
      <w:pPr>
        <w:shd w:val="clear"/>
        <w:adjustRightInd w:val="0"/>
        <w:jc w:val="center"/>
        <w:textAlignment w:val="baseline"/>
        <w:rPr>
          <w:rFonts w:hint="eastAsia" w:eastAsia="宋体"/>
          <w:b/>
          <w:bCs/>
          <w:color w:val="auto"/>
          <w:sz w:val="36"/>
          <w:highlight w:val="none"/>
          <w:lang w:eastAsia="zh-CN"/>
        </w:rPr>
      </w:pPr>
      <w:r>
        <w:rPr>
          <w:rFonts w:hint="eastAsia" w:eastAsia="宋体"/>
          <w:b/>
          <w:bCs/>
          <w:color w:val="auto"/>
          <w:sz w:val="36"/>
          <w:highlight w:val="none"/>
          <w:lang w:eastAsia="zh-CN"/>
        </w:rPr>
        <w:tab/>
      </w:r>
    </w:p>
    <w:p w14:paraId="69FF2A02">
      <w:pPr>
        <w:pStyle w:val="51"/>
        <w:rPr>
          <w:rFonts w:hint="eastAsia"/>
          <w:color w:val="auto"/>
          <w:highlight w:val="none"/>
          <w:lang w:eastAsia="zh-CN"/>
        </w:rPr>
      </w:pPr>
    </w:p>
    <w:p w14:paraId="1023E1A6">
      <w:pPr>
        <w:adjustRightInd w:val="0"/>
        <w:spacing w:line="480" w:lineRule="auto"/>
        <w:jc w:val="left"/>
        <w:textAlignment w:val="baseline"/>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项目编号（政采云平台系统编号）：ZTZC2026-C2-00882-YNCY-0009</w:t>
      </w:r>
    </w:p>
    <w:p w14:paraId="253834B1">
      <w:pPr>
        <w:adjustRightInd w:val="0"/>
        <w:spacing w:line="480" w:lineRule="auto"/>
        <w:jc w:val="left"/>
        <w:textAlignment w:val="baseline"/>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政府采购计划编号：4530622JH202600732</w:t>
      </w:r>
    </w:p>
    <w:p w14:paraId="1A467AC2">
      <w:pPr>
        <w:adjustRightInd w:val="0"/>
        <w:spacing w:line="480" w:lineRule="auto"/>
        <w:jc w:val="left"/>
        <w:textAlignment w:val="baseline"/>
        <w:rPr>
          <w:rFonts w:hint="default"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采购文件编号：YNCYZB2026053</w:t>
      </w:r>
    </w:p>
    <w:p w14:paraId="41BBCF17">
      <w:pPr>
        <w:adjustRightInd w:val="0"/>
        <w:spacing w:line="480" w:lineRule="auto"/>
        <w:jc w:val="left"/>
        <w:textAlignment w:val="baseline"/>
        <w:rPr>
          <w:rFonts w:hint="default"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项目名称：巧家县人民医院医养结合与康复楼—血透室提升改造项目</w:t>
      </w:r>
    </w:p>
    <w:p w14:paraId="53E3DB23">
      <w:pPr>
        <w:adjustRightInd w:val="0"/>
        <w:spacing w:line="480" w:lineRule="auto"/>
        <w:jc w:val="left"/>
        <w:textAlignment w:val="baseline"/>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采 购 人：巧家县人民医院</w:t>
      </w:r>
    </w:p>
    <w:p w14:paraId="31859921">
      <w:pPr>
        <w:adjustRightInd w:val="0"/>
        <w:spacing w:line="480" w:lineRule="auto"/>
        <w:jc w:val="left"/>
        <w:textAlignment w:val="baseline"/>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采购代理机构：云南辰胤工程项目管理有限公司</w:t>
      </w:r>
    </w:p>
    <w:p w14:paraId="1FE02A9B">
      <w:pPr>
        <w:adjustRightInd w:val="0"/>
        <w:spacing w:line="480" w:lineRule="auto"/>
        <w:jc w:val="left"/>
        <w:textAlignment w:val="baseline"/>
        <w:rPr>
          <w:rFonts w:hint="default"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日    期：2026年7月</w:t>
      </w:r>
    </w:p>
    <w:p w14:paraId="2C89E627">
      <w:pPr>
        <w:widowControl/>
        <w:shd w:val="clear"/>
        <w:jc w:val="left"/>
        <w:rPr>
          <w:rFonts w:hint="eastAsia" w:ascii="宋体" w:hAnsi="宋体" w:eastAsia="宋体" w:cs="黑体"/>
          <w:color w:val="auto"/>
          <w:kern w:val="0"/>
          <w:sz w:val="32"/>
          <w:szCs w:val="32"/>
          <w:highlight w:val="none"/>
          <w:lang w:val="en-US" w:eastAsia="zh-CN"/>
        </w:rPr>
      </w:pPr>
      <w:r>
        <w:rPr>
          <w:rFonts w:ascii="宋体" w:hAnsi="宋体" w:cs="黑体"/>
          <w:color w:val="auto"/>
          <w:kern w:val="0"/>
          <w:sz w:val="32"/>
          <w:szCs w:val="32"/>
          <w:highlight w:val="none"/>
        </w:rPr>
        <w:br w:type="page"/>
      </w:r>
    </w:p>
    <w:p w14:paraId="666FDC24">
      <w:pPr>
        <w:shd w:val="clear"/>
        <w:autoSpaceDE w:val="0"/>
        <w:autoSpaceDN w:val="0"/>
        <w:adjustRightInd w:val="0"/>
        <w:snapToGrid w:val="0"/>
        <w:spacing w:afterLines="50"/>
        <w:jc w:val="center"/>
        <w:outlineLvl w:val="9"/>
        <w:rPr>
          <w:rFonts w:ascii="宋体" w:hAnsi="宋体" w:cs="黑体"/>
          <w:color w:val="auto"/>
          <w:kern w:val="0"/>
          <w:sz w:val="32"/>
          <w:szCs w:val="32"/>
          <w:highlight w:val="none"/>
        </w:rPr>
      </w:pPr>
    </w:p>
    <w:p w14:paraId="04437277">
      <w:pPr>
        <w:shd w:val="clear"/>
        <w:autoSpaceDE w:val="0"/>
        <w:autoSpaceDN w:val="0"/>
        <w:adjustRightInd w:val="0"/>
        <w:snapToGrid w:val="0"/>
        <w:spacing w:afterLines="50"/>
        <w:jc w:val="center"/>
        <w:outlineLvl w:val="9"/>
        <w:rPr>
          <w:rFonts w:ascii="宋体" w:hAnsi="宋体" w:cs="黑体"/>
          <w:color w:val="auto"/>
          <w:kern w:val="0"/>
          <w:sz w:val="32"/>
          <w:szCs w:val="32"/>
          <w:highlight w:val="none"/>
        </w:rPr>
      </w:pPr>
      <w:bookmarkStart w:id="6" w:name="_Toc1715"/>
      <w:r>
        <w:rPr>
          <w:rFonts w:hint="eastAsia" w:ascii="宋体" w:hAnsi="宋体" w:cs="黑体"/>
          <w:b/>
          <w:bCs/>
          <w:color w:val="auto"/>
          <w:kern w:val="0"/>
          <w:sz w:val="32"/>
          <w:szCs w:val="32"/>
          <w:highlight w:val="none"/>
        </w:rPr>
        <w:t>目</w:t>
      </w:r>
      <w:r>
        <w:rPr>
          <w:rFonts w:hint="eastAsia" w:ascii="宋体" w:hAnsi="宋体" w:cs="黑体"/>
          <w:b/>
          <w:bCs/>
          <w:color w:val="auto"/>
          <w:kern w:val="0"/>
          <w:sz w:val="32"/>
          <w:szCs w:val="32"/>
          <w:highlight w:val="none"/>
          <w:lang w:val="en-US" w:eastAsia="zh-CN"/>
        </w:rPr>
        <w:t xml:space="preserve"> </w:t>
      </w:r>
      <w:r>
        <w:rPr>
          <w:rFonts w:hint="eastAsia" w:ascii="宋体" w:hAnsi="宋体" w:cs="黑体"/>
          <w:b/>
          <w:bCs/>
          <w:color w:val="auto"/>
          <w:kern w:val="0"/>
          <w:sz w:val="32"/>
          <w:szCs w:val="32"/>
          <w:highlight w:val="none"/>
        </w:rPr>
        <w:t>录</w:t>
      </w:r>
      <w:bookmarkEnd w:id="6"/>
    </w:p>
    <w:p w14:paraId="407FB033">
      <w:pPr>
        <w:pStyle w:val="435"/>
        <w:shd w:val="clear"/>
        <w:tabs>
          <w:tab w:val="right" w:leader="dot" w:pos="9412"/>
        </w:tabs>
        <w:rPr>
          <w:color w:val="auto"/>
          <w:sz w:val="28"/>
          <w:szCs w:val="28"/>
          <w:highlight w:val="none"/>
        </w:rPr>
      </w:pPr>
      <w:r>
        <w:rPr>
          <w:rFonts w:ascii="宋体" w:hAnsi="宋体" w:cs="黑体"/>
          <w:color w:val="auto"/>
          <w:kern w:val="0"/>
          <w:sz w:val="32"/>
          <w:szCs w:val="32"/>
          <w:highlight w:val="none"/>
        </w:rPr>
        <w:fldChar w:fldCharType="begin"/>
      </w:r>
      <w:r>
        <w:rPr>
          <w:rFonts w:ascii="宋体" w:hAnsi="宋体" w:cs="黑体"/>
          <w:color w:val="auto"/>
          <w:kern w:val="0"/>
          <w:sz w:val="32"/>
          <w:szCs w:val="32"/>
          <w:highlight w:val="none"/>
        </w:rPr>
        <w:instrText xml:space="preserve">TOC \o "1-1" \h \u </w:instrText>
      </w:r>
      <w:r>
        <w:rPr>
          <w:rFonts w:ascii="宋体" w:hAnsi="宋体" w:cs="黑体"/>
          <w:color w:val="auto"/>
          <w:kern w:val="0"/>
          <w:sz w:val="32"/>
          <w:szCs w:val="32"/>
          <w:highlight w:val="none"/>
        </w:rPr>
        <w:fldChar w:fldCharType="separate"/>
      </w:r>
      <w:r>
        <w:rPr>
          <w:rFonts w:ascii="宋体" w:hAnsi="宋体" w:cs="黑体"/>
          <w:color w:val="auto"/>
          <w:kern w:val="0"/>
          <w:sz w:val="28"/>
          <w:szCs w:val="28"/>
          <w:highlight w:val="none"/>
        </w:rPr>
        <w:fldChar w:fldCharType="begin"/>
      </w:r>
      <w:r>
        <w:rPr>
          <w:rFonts w:ascii="宋体" w:hAnsi="宋体" w:cs="黑体"/>
          <w:color w:val="auto"/>
          <w:kern w:val="0"/>
          <w:sz w:val="28"/>
          <w:szCs w:val="28"/>
          <w:highlight w:val="none"/>
        </w:rPr>
        <w:instrText xml:space="preserve"> HYPERLINK \l _Toc9779 </w:instrText>
      </w:r>
      <w:r>
        <w:rPr>
          <w:rFonts w:ascii="宋体" w:hAnsi="宋体" w:cs="黑体"/>
          <w:color w:val="auto"/>
          <w:kern w:val="0"/>
          <w:sz w:val="28"/>
          <w:szCs w:val="28"/>
          <w:highlight w:val="none"/>
        </w:rPr>
        <w:fldChar w:fldCharType="separate"/>
      </w:r>
      <w:r>
        <w:rPr>
          <w:rFonts w:hint="eastAsia"/>
          <w:color w:val="auto"/>
          <w:sz w:val="28"/>
          <w:szCs w:val="28"/>
          <w:highlight w:val="none"/>
          <w:lang w:val="en-US" w:eastAsia="zh-CN"/>
        </w:rPr>
        <w:t>第一章 竞争性磋商公告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_Toc9779 \h </w:instrText>
      </w:r>
      <w:r>
        <w:rPr>
          <w:color w:val="auto"/>
          <w:sz w:val="28"/>
          <w:szCs w:val="28"/>
          <w:highlight w:val="none"/>
        </w:rPr>
        <w:fldChar w:fldCharType="separate"/>
      </w:r>
      <w:r>
        <w:rPr>
          <w:color w:val="auto"/>
          <w:sz w:val="28"/>
          <w:szCs w:val="28"/>
          <w:highlight w:val="none"/>
        </w:rPr>
        <w:t>- 3 -</w:t>
      </w:r>
      <w:r>
        <w:rPr>
          <w:color w:val="auto"/>
          <w:sz w:val="28"/>
          <w:szCs w:val="28"/>
          <w:highlight w:val="none"/>
        </w:rPr>
        <w:fldChar w:fldCharType="end"/>
      </w:r>
      <w:r>
        <w:rPr>
          <w:rFonts w:ascii="宋体" w:hAnsi="宋体" w:cs="黑体"/>
          <w:color w:val="auto"/>
          <w:kern w:val="0"/>
          <w:sz w:val="28"/>
          <w:szCs w:val="28"/>
          <w:highlight w:val="none"/>
        </w:rPr>
        <w:fldChar w:fldCharType="end"/>
      </w:r>
    </w:p>
    <w:p w14:paraId="643D7763">
      <w:pPr>
        <w:pStyle w:val="435"/>
        <w:shd w:val="clear"/>
        <w:tabs>
          <w:tab w:val="right" w:leader="dot" w:pos="9412"/>
        </w:tabs>
        <w:rPr>
          <w:color w:val="auto"/>
          <w:sz w:val="28"/>
          <w:szCs w:val="28"/>
          <w:highlight w:val="none"/>
        </w:rPr>
      </w:pPr>
      <w:r>
        <w:rPr>
          <w:rFonts w:ascii="宋体" w:hAnsi="宋体" w:cs="黑体"/>
          <w:color w:val="auto"/>
          <w:kern w:val="0"/>
          <w:sz w:val="28"/>
          <w:szCs w:val="28"/>
          <w:highlight w:val="none"/>
        </w:rPr>
        <w:fldChar w:fldCharType="begin"/>
      </w:r>
      <w:r>
        <w:rPr>
          <w:rFonts w:ascii="宋体" w:hAnsi="宋体" w:cs="黑体"/>
          <w:color w:val="auto"/>
          <w:kern w:val="0"/>
          <w:sz w:val="28"/>
          <w:szCs w:val="28"/>
          <w:highlight w:val="none"/>
        </w:rPr>
        <w:instrText xml:space="preserve"> HYPERLINK \l _Toc14908 </w:instrText>
      </w:r>
      <w:r>
        <w:rPr>
          <w:rFonts w:ascii="宋体" w:hAnsi="宋体" w:cs="黑体"/>
          <w:color w:val="auto"/>
          <w:kern w:val="0"/>
          <w:sz w:val="28"/>
          <w:szCs w:val="28"/>
          <w:highlight w:val="none"/>
        </w:rPr>
        <w:fldChar w:fldCharType="separate"/>
      </w:r>
      <w:r>
        <w:rPr>
          <w:rFonts w:hint="eastAsia"/>
          <w:color w:val="auto"/>
          <w:sz w:val="28"/>
          <w:szCs w:val="28"/>
          <w:highlight w:val="none"/>
        </w:rPr>
        <w:t>第二章</w:t>
      </w:r>
      <w:r>
        <w:rPr>
          <w:color w:val="auto"/>
          <w:sz w:val="28"/>
          <w:szCs w:val="28"/>
          <w:highlight w:val="none"/>
        </w:rPr>
        <w:t xml:space="preserve"> </w:t>
      </w:r>
      <w:r>
        <w:rPr>
          <w:rFonts w:hint="eastAsia"/>
          <w:color w:val="auto"/>
          <w:sz w:val="28"/>
          <w:szCs w:val="28"/>
          <w:highlight w:val="none"/>
        </w:rPr>
        <w:t>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_Toc14908 \h </w:instrText>
      </w:r>
      <w:r>
        <w:rPr>
          <w:color w:val="auto"/>
          <w:sz w:val="28"/>
          <w:szCs w:val="28"/>
          <w:highlight w:val="none"/>
        </w:rPr>
        <w:fldChar w:fldCharType="separate"/>
      </w:r>
      <w:r>
        <w:rPr>
          <w:color w:val="auto"/>
          <w:sz w:val="28"/>
          <w:szCs w:val="28"/>
          <w:highlight w:val="none"/>
        </w:rPr>
        <w:t>- 7 -</w:t>
      </w:r>
      <w:r>
        <w:rPr>
          <w:color w:val="auto"/>
          <w:sz w:val="28"/>
          <w:szCs w:val="28"/>
          <w:highlight w:val="none"/>
        </w:rPr>
        <w:fldChar w:fldCharType="end"/>
      </w:r>
      <w:r>
        <w:rPr>
          <w:rFonts w:ascii="宋体" w:hAnsi="宋体" w:cs="黑体"/>
          <w:color w:val="auto"/>
          <w:kern w:val="0"/>
          <w:sz w:val="28"/>
          <w:szCs w:val="28"/>
          <w:highlight w:val="none"/>
        </w:rPr>
        <w:fldChar w:fldCharType="end"/>
      </w:r>
    </w:p>
    <w:p w14:paraId="1E760B8F">
      <w:pPr>
        <w:pStyle w:val="435"/>
        <w:shd w:val="clear"/>
        <w:tabs>
          <w:tab w:val="right" w:leader="dot" w:pos="9412"/>
        </w:tabs>
        <w:rPr>
          <w:color w:val="auto"/>
          <w:sz w:val="28"/>
          <w:szCs w:val="28"/>
          <w:highlight w:val="none"/>
        </w:rPr>
      </w:pPr>
      <w:r>
        <w:rPr>
          <w:rFonts w:ascii="宋体" w:hAnsi="宋体" w:cs="黑体"/>
          <w:color w:val="auto"/>
          <w:kern w:val="0"/>
          <w:sz w:val="28"/>
          <w:szCs w:val="28"/>
          <w:highlight w:val="none"/>
        </w:rPr>
        <w:fldChar w:fldCharType="begin"/>
      </w:r>
      <w:r>
        <w:rPr>
          <w:rFonts w:ascii="宋体" w:hAnsi="宋体" w:cs="黑体"/>
          <w:color w:val="auto"/>
          <w:kern w:val="0"/>
          <w:sz w:val="28"/>
          <w:szCs w:val="28"/>
          <w:highlight w:val="none"/>
        </w:rPr>
        <w:instrText xml:space="preserve"> HYPERLINK \l _Toc11216 </w:instrText>
      </w:r>
      <w:r>
        <w:rPr>
          <w:rFonts w:ascii="宋体" w:hAnsi="宋体" w:cs="黑体"/>
          <w:color w:val="auto"/>
          <w:kern w:val="0"/>
          <w:sz w:val="28"/>
          <w:szCs w:val="28"/>
          <w:highlight w:val="none"/>
        </w:rPr>
        <w:fldChar w:fldCharType="separate"/>
      </w:r>
      <w:r>
        <w:rPr>
          <w:rFonts w:hint="eastAsia"/>
          <w:color w:val="auto"/>
          <w:sz w:val="28"/>
          <w:szCs w:val="28"/>
          <w:highlight w:val="none"/>
        </w:rPr>
        <w:t>第三章</w:t>
      </w:r>
      <w:r>
        <w:rPr>
          <w:rFonts w:hint="eastAsia"/>
          <w:color w:val="auto"/>
          <w:sz w:val="28"/>
          <w:szCs w:val="28"/>
          <w:highlight w:val="none"/>
          <w:lang w:val="en-US" w:eastAsia="zh-CN"/>
        </w:rPr>
        <w:t xml:space="preserve"> </w:t>
      </w:r>
      <w:r>
        <w:rPr>
          <w:rFonts w:hint="eastAsia"/>
          <w:color w:val="auto"/>
          <w:sz w:val="28"/>
          <w:szCs w:val="28"/>
          <w:highlight w:val="none"/>
        </w:rPr>
        <w:t>评审办法和标准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_Toc11216 \h </w:instrText>
      </w:r>
      <w:r>
        <w:rPr>
          <w:color w:val="auto"/>
          <w:sz w:val="28"/>
          <w:szCs w:val="28"/>
          <w:highlight w:val="none"/>
        </w:rPr>
        <w:fldChar w:fldCharType="separate"/>
      </w:r>
      <w:r>
        <w:rPr>
          <w:color w:val="auto"/>
          <w:sz w:val="28"/>
          <w:szCs w:val="28"/>
          <w:highlight w:val="none"/>
        </w:rPr>
        <w:t>- 28 -</w:t>
      </w:r>
      <w:r>
        <w:rPr>
          <w:color w:val="auto"/>
          <w:sz w:val="28"/>
          <w:szCs w:val="28"/>
          <w:highlight w:val="none"/>
        </w:rPr>
        <w:fldChar w:fldCharType="end"/>
      </w:r>
      <w:r>
        <w:rPr>
          <w:rFonts w:ascii="宋体" w:hAnsi="宋体" w:cs="黑体"/>
          <w:color w:val="auto"/>
          <w:kern w:val="0"/>
          <w:sz w:val="28"/>
          <w:szCs w:val="28"/>
          <w:highlight w:val="none"/>
        </w:rPr>
        <w:fldChar w:fldCharType="end"/>
      </w:r>
    </w:p>
    <w:p w14:paraId="24208D64">
      <w:pPr>
        <w:pStyle w:val="435"/>
        <w:shd w:val="clear"/>
        <w:tabs>
          <w:tab w:val="right" w:leader="dot" w:pos="9412"/>
        </w:tabs>
        <w:rPr>
          <w:color w:val="auto"/>
          <w:sz w:val="28"/>
          <w:szCs w:val="28"/>
          <w:highlight w:val="none"/>
        </w:rPr>
      </w:pPr>
      <w:r>
        <w:rPr>
          <w:rFonts w:ascii="宋体" w:hAnsi="宋体" w:cs="黑体"/>
          <w:color w:val="auto"/>
          <w:kern w:val="0"/>
          <w:sz w:val="28"/>
          <w:szCs w:val="28"/>
          <w:highlight w:val="none"/>
        </w:rPr>
        <w:fldChar w:fldCharType="begin"/>
      </w:r>
      <w:r>
        <w:rPr>
          <w:rFonts w:ascii="宋体" w:hAnsi="宋体" w:cs="黑体"/>
          <w:color w:val="auto"/>
          <w:kern w:val="0"/>
          <w:sz w:val="28"/>
          <w:szCs w:val="28"/>
          <w:highlight w:val="none"/>
        </w:rPr>
        <w:instrText xml:space="preserve"> HYPERLINK \l _Toc28562 </w:instrText>
      </w:r>
      <w:r>
        <w:rPr>
          <w:rFonts w:ascii="宋体" w:hAnsi="宋体" w:cs="黑体"/>
          <w:color w:val="auto"/>
          <w:kern w:val="0"/>
          <w:sz w:val="28"/>
          <w:szCs w:val="28"/>
          <w:highlight w:val="none"/>
        </w:rPr>
        <w:fldChar w:fldCharType="separate"/>
      </w:r>
      <w:r>
        <w:rPr>
          <w:rFonts w:hint="eastAsia"/>
          <w:color w:val="auto"/>
          <w:sz w:val="28"/>
          <w:szCs w:val="28"/>
          <w:highlight w:val="none"/>
        </w:rPr>
        <w:t>第四章 合同条款</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_Toc28562 \h </w:instrText>
      </w:r>
      <w:r>
        <w:rPr>
          <w:color w:val="auto"/>
          <w:sz w:val="28"/>
          <w:szCs w:val="28"/>
          <w:highlight w:val="none"/>
        </w:rPr>
        <w:fldChar w:fldCharType="separate"/>
      </w:r>
      <w:r>
        <w:rPr>
          <w:color w:val="auto"/>
          <w:sz w:val="28"/>
          <w:szCs w:val="28"/>
          <w:highlight w:val="none"/>
        </w:rPr>
        <w:t>- 40 -</w:t>
      </w:r>
      <w:r>
        <w:rPr>
          <w:color w:val="auto"/>
          <w:sz w:val="28"/>
          <w:szCs w:val="28"/>
          <w:highlight w:val="none"/>
        </w:rPr>
        <w:fldChar w:fldCharType="end"/>
      </w:r>
      <w:r>
        <w:rPr>
          <w:rFonts w:ascii="宋体" w:hAnsi="宋体" w:cs="黑体"/>
          <w:color w:val="auto"/>
          <w:kern w:val="0"/>
          <w:sz w:val="28"/>
          <w:szCs w:val="28"/>
          <w:highlight w:val="none"/>
        </w:rPr>
        <w:fldChar w:fldCharType="end"/>
      </w:r>
    </w:p>
    <w:p w14:paraId="405A529E">
      <w:pPr>
        <w:pStyle w:val="435"/>
        <w:shd w:val="clear"/>
        <w:tabs>
          <w:tab w:val="right" w:leader="dot" w:pos="9412"/>
        </w:tabs>
        <w:rPr>
          <w:color w:val="auto"/>
          <w:sz w:val="28"/>
          <w:szCs w:val="28"/>
          <w:highlight w:val="none"/>
        </w:rPr>
      </w:pPr>
      <w:r>
        <w:rPr>
          <w:rFonts w:ascii="宋体" w:hAnsi="宋体" w:cs="黑体"/>
          <w:color w:val="auto"/>
          <w:kern w:val="0"/>
          <w:sz w:val="28"/>
          <w:szCs w:val="28"/>
          <w:highlight w:val="none"/>
        </w:rPr>
        <w:fldChar w:fldCharType="begin"/>
      </w:r>
      <w:r>
        <w:rPr>
          <w:rFonts w:ascii="宋体" w:hAnsi="宋体" w:cs="黑体"/>
          <w:color w:val="auto"/>
          <w:kern w:val="0"/>
          <w:sz w:val="28"/>
          <w:szCs w:val="28"/>
          <w:highlight w:val="none"/>
        </w:rPr>
        <w:instrText xml:space="preserve"> HYPERLINK \l _Toc3711 </w:instrText>
      </w:r>
      <w:r>
        <w:rPr>
          <w:rFonts w:ascii="宋体" w:hAnsi="宋体" w:cs="黑体"/>
          <w:color w:val="auto"/>
          <w:kern w:val="0"/>
          <w:sz w:val="28"/>
          <w:szCs w:val="28"/>
          <w:highlight w:val="none"/>
        </w:rPr>
        <w:fldChar w:fldCharType="separate"/>
      </w:r>
      <w:r>
        <w:rPr>
          <w:rFonts w:hint="eastAsia"/>
          <w:color w:val="auto"/>
          <w:sz w:val="28"/>
          <w:szCs w:val="28"/>
          <w:highlight w:val="none"/>
        </w:rPr>
        <w:t>第五章</w:t>
      </w:r>
      <w:r>
        <w:rPr>
          <w:color w:val="auto"/>
          <w:sz w:val="28"/>
          <w:szCs w:val="28"/>
          <w:highlight w:val="none"/>
        </w:rPr>
        <w:t xml:space="preserve"> </w:t>
      </w:r>
      <w:r>
        <w:rPr>
          <w:rFonts w:hint="eastAsia"/>
          <w:color w:val="auto"/>
          <w:sz w:val="28"/>
          <w:szCs w:val="28"/>
          <w:highlight w:val="none"/>
        </w:rPr>
        <w:t>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_Toc3711 \h </w:instrText>
      </w:r>
      <w:r>
        <w:rPr>
          <w:color w:val="auto"/>
          <w:sz w:val="28"/>
          <w:szCs w:val="28"/>
          <w:highlight w:val="none"/>
        </w:rPr>
        <w:fldChar w:fldCharType="separate"/>
      </w:r>
      <w:r>
        <w:rPr>
          <w:color w:val="auto"/>
          <w:sz w:val="28"/>
          <w:szCs w:val="28"/>
          <w:highlight w:val="none"/>
        </w:rPr>
        <w:t>- 60 -</w:t>
      </w:r>
      <w:r>
        <w:rPr>
          <w:color w:val="auto"/>
          <w:sz w:val="28"/>
          <w:szCs w:val="28"/>
          <w:highlight w:val="none"/>
        </w:rPr>
        <w:fldChar w:fldCharType="end"/>
      </w:r>
      <w:r>
        <w:rPr>
          <w:rFonts w:ascii="宋体" w:hAnsi="宋体" w:cs="黑体"/>
          <w:color w:val="auto"/>
          <w:kern w:val="0"/>
          <w:sz w:val="28"/>
          <w:szCs w:val="28"/>
          <w:highlight w:val="none"/>
        </w:rPr>
        <w:fldChar w:fldCharType="end"/>
      </w:r>
    </w:p>
    <w:p w14:paraId="1D4AB944">
      <w:pPr>
        <w:pStyle w:val="435"/>
        <w:shd w:val="clear"/>
        <w:tabs>
          <w:tab w:val="right" w:leader="dot" w:pos="9412"/>
        </w:tabs>
        <w:rPr>
          <w:color w:val="auto"/>
          <w:highlight w:val="none"/>
        </w:rPr>
      </w:pPr>
      <w:r>
        <w:rPr>
          <w:rFonts w:ascii="宋体" w:hAnsi="宋体" w:cs="黑体"/>
          <w:color w:val="auto"/>
          <w:kern w:val="0"/>
          <w:sz w:val="28"/>
          <w:szCs w:val="28"/>
          <w:highlight w:val="none"/>
        </w:rPr>
        <w:fldChar w:fldCharType="begin"/>
      </w:r>
      <w:r>
        <w:rPr>
          <w:rFonts w:ascii="宋体" w:hAnsi="宋体" w:cs="黑体"/>
          <w:color w:val="auto"/>
          <w:kern w:val="0"/>
          <w:sz w:val="28"/>
          <w:szCs w:val="28"/>
          <w:highlight w:val="none"/>
        </w:rPr>
        <w:instrText xml:space="preserve"> HYPERLINK \l _Toc19090 </w:instrText>
      </w:r>
      <w:r>
        <w:rPr>
          <w:rFonts w:ascii="宋体" w:hAnsi="宋体" w:cs="黑体"/>
          <w:color w:val="auto"/>
          <w:kern w:val="0"/>
          <w:sz w:val="28"/>
          <w:szCs w:val="28"/>
          <w:highlight w:val="none"/>
        </w:rPr>
        <w:fldChar w:fldCharType="separate"/>
      </w:r>
      <w:r>
        <w:rPr>
          <w:rFonts w:hint="eastAsia"/>
          <w:color w:val="auto"/>
          <w:sz w:val="28"/>
          <w:szCs w:val="28"/>
          <w:highlight w:val="none"/>
        </w:rPr>
        <w:t>第六章</w:t>
      </w:r>
      <w:r>
        <w:rPr>
          <w:color w:val="auto"/>
          <w:sz w:val="28"/>
          <w:szCs w:val="28"/>
          <w:highlight w:val="none"/>
        </w:rPr>
        <w:t xml:space="preserve"> </w:t>
      </w:r>
      <w:r>
        <w:rPr>
          <w:rFonts w:hint="eastAsia"/>
          <w:color w:val="auto"/>
          <w:sz w:val="28"/>
          <w:szCs w:val="28"/>
          <w:highlight w:val="none"/>
        </w:rPr>
        <w:t>响应文件格式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_Toc19090 \h </w:instrText>
      </w:r>
      <w:r>
        <w:rPr>
          <w:color w:val="auto"/>
          <w:sz w:val="28"/>
          <w:szCs w:val="28"/>
          <w:highlight w:val="none"/>
        </w:rPr>
        <w:fldChar w:fldCharType="separate"/>
      </w:r>
      <w:r>
        <w:rPr>
          <w:color w:val="auto"/>
          <w:sz w:val="28"/>
          <w:szCs w:val="28"/>
          <w:highlight w:val="none"/>
        </w:rPr>
        <w:t>- 62 -</w:t>
      </w:r>
      <w:r>
        <w:rPr>
          <w:color w:val="auto"/>
          <w:sz w:val="28"/>
          <w:szCs w:val="28"/>
          <w:highlight w:val="none"/>
        </w:rPr>
        <w:fldChar w:fldCharType="end"/>
      </w:r>
      <w:r>
        <w:rPr>
          <w:rFonts w:ascii="宋体" w:hAnsi="宋体" w:cs="黑体"/>
          <w:color w:val="auto"/>
          <w:kern w:val="0"/>
          <w:sz w:val="28"/>
          <w:szCs w:val="28"/>
          <w:highlight w:val="none"/>
        </w:rPr>
        <w:fldChar w:fldCharType="end"/>
      </w:r>
    </w:p>
    <w:p w14:paraId="30400695">
      <w:pPr>
        <w:shd w:val="clear"/>
        <w:autoSpaceDE w:val="0"/>
        <w:autoSpaceDN w:val="0"/>
        <w:adjustRightInd w:val="0"/>
        <w:snapToGrid w:val="0"/>
        <w:spacing w:afterLines="50"/>
        <w:jc w:val="center"/>
        <w:outlineLvl w:val="9"/>
        <w:rPr>
          <w:rFonts w:ascii="宋体" w:hAnsi="宋体" w:cs="黑体"/>
          <w:color w:val="auto"/>
          <w:kern w:val="0"/>
          <w:sz w:val="32"/>
          <w:szCs w:val="32"/>
          <w:highlight w:val="none"/>
        </w:rPr>
        <w:sectPr>
          <w:headerReference r:id="rId3" w:type="default"/>
          <w:footerReference r:id="rId4" w:type="default"/>
          <w:pgSz w:w="11906" w:h="16838"/>
          <w:pgMar w:top="1440" w:right="1247" w:bottom="1361" w:left="1247" w:header="851" w:footer="992" w:gutter="0"/>
          <w:pgNumType w:fmt="numberInDash"/>
          <w:cols w:space="720" w:num="1"/>
          <w:docGrid w:type="lines" w:linePitch="312" w:charSpace="0"/>
        </w:sectPr>
      </w:pPr>
      <w:r>
        <w:rPr>
          <w:rFonts w:ascii="宋体" w:hAnsi="宋体" w:cs="黑体"/>
          <w:color w:val="auto"/>
          <w:kern w:val="0"/>
          <w:szCs w:val="32"/>
          <w:highlight w:val="none"/>
        </w:rPr>
        <w:fldChar w:fldCharType="end"/>
      </w:r>
    </w:p>
    <w:bookmarkEnd w:id="0"/>
    <w:bookmarkEnd w:id="1"/>
    <w:bookmarkEnd w:id="2"/>
    <w:bookmarkEnd w:id="3"/>
    <w:bookmarkEnd w:id="4"/>
    <w:p w14:paraId="5194564A">
      <w:pPr>
        <w:pStyle w:val="3"/>
        <w:shd w:val="clear"/>
        <w:bidi w:val="0"/>
        <w:jc w:val="center"/>
        <w:rPr>
          <w:rFonts w:hint="eastAsia" w:ascii="黑体" w:hAnsi="黑体" w:eastAsia="黑体" w:cs="黑体"/>
          <w:b/>
          <w:bCs/>
          <w:color w:val="auto"/>
          <w:highlight w:val="none"/>
          <w:lang w:val="en-US" w:eastAsia="zh-CN"/>
        </w:rPr>
      </w:pPr>
      <w:bookmarkStart w:id="7" w:name="_Toc9779"/>
      <w:r>
        <w:rPr>
          <w:rFonts w:hint="eastAsia" w:ascii="黑体" w:hAnsi="黑体" w:eastAsia="黑体" w:cs="黑体"/>
          <w:b/>
          <w:bCs/>
          <w:color w:val="auto"/>
          <w:highlight w:val="none"/>
          <w:lang w:val="en-US" w:eastAsia="zh-CN"/>
        </w:rPr>
        <w:t>第一章  竞争性磋商公告</w:t>
      </w:r>
      <w:bookmarkEnd w:id="7"/>
    </w:p>
    <w:p w14:paraId="3FFD8E16">
      <w:pPr>
        <w:shd w:val="clear"/>
        <w:bidi w:val="0"/>
        <w:jc w:val="cente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巧家县人民医院医养结合与康复楼—血透室提升改造项目</w:t>
      </w:r>
    </w:p>
    <w:p w14:paraId="73250C31">
      <w:pPr>
        <w:shd w:val="clear"/>
        <w:bidi w:val="0"/>
        <w:jc w:val="cente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竞争性</w:t>
      </w:r>
      <w:r>
        <w:rPr>
          <w:rFonts w:hint="eastAsia" w:ascii="黑体" w:hAnsi="黑体" w:eastAsia="黑体" w:cs="黑体"/>
          <w:b/>
          <w:bCs/>
          <w:color w:val="auto"/>
          <w:sz w:val="32"/>
          <w:szCs w:val="32"/>
          <w:highlight w:val="none"/>
          <w:lang w:val="en-US" w:eastAsia="zh-CN"/>
        </w:rPr>
        <w:t>磋商</w:t>
      </w:r>
      <w:r>
        <w:rPr>
          <w:rFonts w:hint="eastAsia" w:ascii="黑体" w:hAnsi="黑体" w:eastAsia="黑体" w:cs="黑体"/>
          <w:b/>
          <w:bCs/>
          <w:color w:val="auto"/>
          <w:sz w:val="32"/>
          <w:szCs w:val="32"/>
          <w:highlight w:val="none"/>
        </w:rPr>
        <w:t>公告</w:t>
      </w:r>
    </w:p>
    <w:p w14:paraId="4622F48E">
      <w:pPr>
        <w:shd w:val="clear"/>
        <w:bidi w:val="0"/>
        <w:jc w:val="center"/>
        <w:rPr>
          <w:rFonts w:hint="eastAsia" w:ascii="黑体" w:hAnsi="黑体" w:eastAsia="黑体" w:cs="黑体"/>
          <w:b/>
          <w:bCs/>
          <w:color w:val="auto"/>
          <w:sz w:val="22"/>
          <w:szCs w:val="22"/>
          <w:highlight w:val="none"/>
          <w:lang w:val="en-US" w:eastAsia="zh-CN"/>
        </w:rPr>
      </w:pPr>
      <w:r>
        <w:rPr>
          <w:rFonts w:hint="eastAsia" w:ascii="黑体" w:hAnsi="黑体" w:eastAsia="黑体" w:cs="黑体"/>
          <w:b/>
          <w:bCs/>
          <w:color w:val="auto"/>
          <w:sz w:val="22"/>
          <w:szCs w:val="22"/>
          <w:highlight w:val="none"/>
          <w:lang w:val="en-US" w:eastAsia="zh-CN"/>
        </w:rPr>
        <w:t>（项目编号：ZTZC2026-C2-00882-YNCY-0009）</w:t>
      </w:r>
    </w:p>
    <w:tbl>
      <w:tblPr>
        <w:tblStyle w:val="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3"/>
      </w:tblGrid>
      <w:tr w14:paraId="1ED98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62" w:type="dxa"/>
            <w:vAlign w:val="top"/>
          </w:tcPr>
          <w:p w14:paraId="749DB923">
            <w:pPr>
              <w:pStyle w:val="6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480" w:firstLineChars="200"/>
              <w:jc w:val="left"/>
              <w:textAlignment w:val="auto"/>
              <w:rPr>
                <w:rFonts w:hint="eastAsia" w:ascii="黑体" w:hAnsi="黑体" w:eastAsia="黑体" w:cs="黑体"/>
                <w:i w:val="0"/>
                <w:iCs w:val="0"/>
                <w:caps w:val="0"/>
                <w:color w:val="auto"/>
                <w:spacing w:val="0"/>
                <w:sz w:val="24"/>
                <w:szCs w:val="24"/>
                <w:highlight w:val="none"/>
                <w:shd w:val="clear" w:fill="FFFFFF"/>
                <w:lang w:val="en-US" w:eastAsia="zh-CN"/>
              </w:rPr>
            </w:pPr>
            <w:r>
              <w:rPr>
                <w:rFonts w:hint="eastAsia" w:ascii="黑体" w:hAnsi="黑体" w:eastAsia="黑体" w:cs="黑体"/>
                <w:i w:val="0"/>
                <w:iCs w:val="0"/>
                <w:caps w:val="0"/>
                <w:color w:val="auto"/>
                <w:spacing w:val="0"/>
                <w:sz w:val="24"/>
                <w:szCs w:val="24"/>
                <w:highlight w:val="none"/>
                <w:shd w:val="clear" w:fill="FFFFFF"/>
                <w:lang w:val="en-US" w:eastAsia="zh-CN"/>
              </w:rPr>
              <w:t>项目概况</w:t>
            </w:r>
          </w:p>
          <w:p w14:paraId="3496DCB2">
            <w:pPr>
              <w:pStyle w:val="6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snapToGrid/>
              <w:spacing w:before="0" w:beforeAutospacing="0" w:after="0" w:afterAutospacing="0" w:line="360" w:lineRule="auto"/>
              <w:ind w:right="0" w:firstLine="480" w:firstLineChars="200"/>
              <w:jc w:val="left"/>
              <w:textAlignment w:val="auto"/>
              <w:rPr>
                <w:rFonts w:hint="eastAsia"/>
                <w:color w:val="auto"/>
                <w:highlight w:val="none"/>
                <w:vertAlign w:val="baseline"/>
                <w:lang w:val="en-US" w:eastAsia="zh-CN"/>
              </w:rPr>
            </w:pPr>
            <w:r>
              <w:rPr>
                <w:rFonts w:hint="eastAsia" w:ascii="黑体" w:hAnsi="黑体" w:eastAsia="黑体" w:cs="黑体"/>
                <w:i w:val="0"/>
                <w:iCs w:val="0"/>
                <w:caps w:val="0"/>
                <w:color w:val="auto"/>
                <w:spacing w:val="0"/>
                <w:sz w:val="24"/>
                <w:szCs w:val="24"/>
                <w:highlight w:val="none"/>
                <w:shd w:val="clear" w:fill="FFFFFF"/>
                <w:lang w:val="en-US" w:eastAsia="zh-CN"/>
              </w:rPr>
              <w:t>巧家县人民医院医养结合与康复楼—血透室提升改造项目采购项目的潜在供应商</w:t>
            </w:r>
            <w:r>
              <w:rPr>
                <w:rFonts w:hint="eastAsia" w:ascii="黑体" w:hAnsi="黑体" w:eastAsia="黑体" w:cs="黑体"/>
                <w:i w:val="0"/>
                <w:iCs w:val="0"/>
                <w:caps w:val="0"/>
                <w:color w:val="auto"/>
                <w:spacing w:val="0"/>
                <w:sz w:val="24"/>
                <w:szCs w:val="24"/>
                <w:highlight w:val="none"/>
                <w:shd w:val="clear" w:fill="FFFFFF"/>
              </w:rPr>
              <w:t>应在云南省政府采购电子交易平台（政采云https://www.zcygov.cn/）地址获取</w:t>
            </w:r>
            <w:r>
              <w:rPr>
                <w:rFonts w:hint="eastAsia" w:ascii="黑体" w:hAnsi="黑体" w:eastAsia="黑体" w:cs="黑体"/>
                <w:i w:val="0"/>
                <w:iCs w:val="0"/>
                <w:caps w:val="0"/>
                <w:color w:val="auto"/>
                <w:spacing w:val="0"/>
                <w:sz w:val="24"/>
                <w:szCs w:val="24"/>
                <w:highlight w:val="none"/>
                <w:shd w:val="clear" w:fill="FFFFFF"/>
                <w:lang w:eastAsia="zh-CN"/>
              </w:rPr>
              <w:t>采购</w:t>
            </w:r>
            <w:r>
              <w:rPr>
                <w:rFonts w:hint="eastAsia" w:ascii="黑体" w:hAnsi="黑体" w:eastAsia="黑体" w:cs="黑体"/>
                <w:i w:val="0"/>
                <w:iCs w:val="0"/>
                <w:caps w:val="0"/>
                <w:color w:val="auto"/>
                <w:spacing w:val="0"/>
                <w:sz w:val="24"/>
                <w:szCs w:val="24"/>
                <w:highlight w:val="none"/>
                <w:shd w:val="clear" w:fill="FFFFFF"/>
              </w:rPr>
              <w:t>文件，并于20</w:t>
            </w:r>
            <w:r>
              <w:rPr>
                <w:rFonts w:hint="eastAsia" w:ascii="黑体" w:hAnsi="黑体" w:eastAsia="黑体" w:cs="黑体"/>
                <w:i w:val="0"/>
                <w:iCs w:val="0"/>
                <w:caps w:val="0"/>
                <w:color w:val="auto"/>
                <w:spacing w:val="0"/>
                <w:sz w:val="24"/>
                <w:szCs w:val="24"/>
                <w:highlight w:val="none"/>
                <w:shd w:val="clear" w:fill="FFFFFF"/>
                <w:lang w:val="en-US" w:eastAsia="zh-CN"/>
              </w:rPr>
              <w:t>26年8月3日09</w:t>
            </w:r>
            <w:r>
              <w:rPr>
                <w:rFonts w:hint="eastAsia" w:ascii="黑体" w:hAnsi="黑体" w:eastAsia="黑体" w:cs="黑体"/>
                <w:i w:val="0"/>
                <w:iCs w:val="0"/>
                <w:caps w:val="0"/>
                <w:color w:val="auto"/>
                <w:spacing w:val="0"/>
                <w:sz w:val="24"/>
                <w:szCs w:val="24"/>
                <w:highlight w:val="none"/>
                <w:shd w:val="clear" w:fill="FFFFFF"/>
              </w:rPr>
              <w:t>:30（北京时间）前</w:t>
            </w:r>
            <w:r>
              <w:rPr>
                <w:rFonts w:hint="eastAsia" w:ascii="黑体" w:hAnsi="黑体" w:eastAsia="黑体" w:cs="黑体"/>
                <w:i w:val="0"/>
                <w:iCs w:val="0"/>
                <w:caps w:val="0"/>
                <w:color w:val="auto"/>
                <w:spacing w:val="0"/>
                <w:sz w:val="24"/>
                <w:szCs w:val="24"/>
                <w:highlight w:val="none"/>
                <w:shd w:val="clear" w:fill="FFFFFF"/>
                <w:lang w:val="en-US" w:eastAsia="zh-CN"/>
              </w:rPr>
              <w:t>递交响应</w:t>
            </w:r>
            <w:r>
              <w:rPr>
                <w:rFonts w:hint="eastAsia" w:ascii="黑体" w:hAnsi="黑体" w:eastAsia="黑体" w:cs="黑体"/>
                <w:i w:val="0"/>
                <w:iCs w:val="0"/>
                <w:caps w:val="0"/>
                <w:color w:val="auto"/>
                <w:spacing w:val="0"/>
                <w:sz w:val="24"/>
                <w:szCs w:val="24"/>
                <w:highlight w:val="none"/>
                <w:shd w:val="clear" w:fill="FFFFFF"/>
              </w:rPr>
              <w:t>文件。</w:t>
            </w:r>
          </w:p>
        </w:tc>
      </w:tr>
    </w:tbl>
    <w:p w14:paraId="34F047D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360" w:right="0" w:firstLine="0"/>
        <w:jc w:val="left"/>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b/>
          <w:bCs/>
          <w:i w:val="0"/>
          <w:iCs w:val="0"/>
          <w:caps w:val="0"/>
          <w:color w:val="auto"/>
          <w:spacing w:val="0"/>
          <w:sz w:val="24"/>
          <w:szCs w:val="24"/>
          <w:highlight w:val="none"/>
          <w:shd w:val="clear" w:fill="FFFFFF"/>
        </w:rPr>
        <w:t>一、项目基本情况</w:t>
      </w:r>
    </w:p>
    <w:p w14:paraId="2B28B9A5">
      <w:pPr>
        <w:keepNext w:val="0"/>
        <w:keepLines w:val="0"/>
        <w:pageBreakBefore w:val="0"/>
        <w:widowControl w:val="0"/>
        <w:shd w:val="clea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项目编号：ZTZC2026-C2-00882-YNCY-0009</w:t>
      </w:r>
    </w:p>
    <w:p w14:paraId="7EB5B69A">
      <w:pPr>
        <w:keepNext w:val="0"/>
        <w:keepLines w:val="0"/>
        <w:pageBreakBefore w:val="0"/>
        <w:widowControl w:val="0"/>
        <w:shd w:val="clea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项目名称：巧家县人民医院医养结合与康复楼—血透室提升改造项目</w:t>
      </w:r>
    </w:p>
    <w:p w14:paraId="495A6E68">
      <w:pPr>
        <w:keepNext w:val="0"/>
        <w:keepLines w:val="0"/>
        <w:pageBreakBefore w:val="0"/>
        <w:widowControl w:val="0"/>
        <w:shd w:val="clear"/>
        <w:kinsoku/>
        <w:wordWrap/>
        <w:overflowPunct/>
        <w:topLinePunct w:val="0"/>
        <w:autoSpaceDE/>
        <w:autoSpaceDN/>
        <w:bidi w:val="0"/>
        <w:adjustRightInd/>
        <w:snapToGrid/>
        <w:spacing w:line="500" w:lineRule="exact"/>
        <w:ind w:firstLine="420" w:firstLineChars="200"/>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预算金额（万元）：127957333</w:t>
      </w:r>
    </w:p>
    <w:p w14:paraId="7FCAD796">
      <w:pPr>
        <w:keepNext w:val="0"/>
        <w:keepLines w:val="0"/>
        <w:pageBreakBefore w:val="0"/>
        <w:widowControl w:val="0"/>
        <w:shd w:val="clea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最高限价（万元）：127.957333</w:t>
      </w:r>
    </w:p>
    <w:p w14:paraId="313B6310">
      <w:pPr>
        <w:keepNext w:val="0"/>
        <w:keepLines w:val="0"/>
        <w:pageBreakBefore w:val="0"/>
        <w:widowControl w:val="0"/>
        <w:shd w:val="clea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采购需求：完成巧家县人民医院医养结合与康复楼—血透室提升改造项目，根据工程量清单和设计图纸内容完成</w:t>
      </w:r>
      <w:r>
        <w:rPr>
          <w:rFonts w:hint="eastAsia" w:ascii="宋体" w:hAnsi="宋体" w:cs="宋体"/>
          <w:b w:val="0"/>
          <w:bCs w:val="0"/>
          <w:color w:val="auto"/>
          <w:sz w:val="21"/>
          <w:szCs w:val="21"/>
          <w:highlight w:val="none"/>
          <w:lang w:val="en-US" w:eastAsia="zh-CN"/>
        </w:rPr>
        <w:t>血透科土建二次装修、给排水、强弱电、消防暖通等。供应商</w:t>
      </w:r>
      <w:r>
        <w:rPr>
          <w:rFonts w:hint="eastAsia" w:ascii="宋体" w:hAnsi="宋体" w:eastAsia="宋体" w:cs="宋体"/>
          <w:b w:val="0"/>
          <w:bCs w:val="0"/>
          <w:color w:val="auto"/>
          <w:sz w:val="21"/>
          <w:szCs w:val="21"/>
          <w:highlight w:val="none"/>
          <w:lang w:val="en-US" w:eastAsia="zh-CN"/>
        </w:rPr>
        <w:t>必须对招标同一标项内所有工程内容进行</w:t>
      </w:r>
      <w:r>
        <w:rPr>
          <w:rFonts w:hint="eastAsia" w:ascii="宋体" w:hAnsi="宋体" w:cs="宋体"/>
          <w:b w:val="0"/>
          <w:bCs w:val="0"/>
          <w:color w:val="auto"/>
          <w:sz w:val="21"/>
          <w:szCs w:val="21"/>
          <w:highlight w:val="none"/>
          <w:lang w:val="en-US" w:eastAsia="zh-CN"/>
        </w:rPr>
        <w:t>磋商</w:t>
      </w:r>
      <w:r>
        <w:rPr>
          <w:rFonts w:hint="eastAsia" w:ascii="宋体" w:hAnsi="宋体" w:eastAsia="宋体" w:cs="宋体"/>
          <w:b w:val="0"/>
          <w:bCs w:val="0"/>
          <w:color w:val="auto"/>
          <w:sz w:val="21"/>
          <w:szCs w:val="21"/>
          <w:highlight w:val="none"/>
          <w:lang w:val="en-US" w:eastAsia="zh-CN"/>
        </w:rPr>
        <w:t>，不允许只</w:t>
      </w:r>
      <w:r>
        <w:rPr>
          <w:rFonts w:hint="eastAsia" w:ascii="宋体" w:hAnsi="宋体" w:cs="宋体"/>
          <w:b w:val="0"/>
          <w:bCs w:val="0"/>
          <w:color w:val="auto"/>
          <w:sz w:val="21"/>
          <w:szCs w:val="21"/>
          <w:highlight w:val="none"/>
          <w:lang w:val="en-US" w:eastAsia="zh-CN"/>
        </w:rPr>
        <w:t>磋商</w:t>
      </w:r>
      <w:r>
        <w:rPr>
          <w:rFonts w:hint="eastAsia" w:ascii="宋体" w:hAnsi="宋体" w:eastAsia="宋体" w:cs="宋体"/>
          <w:b w:val="0"/>
          <w:bCs w:val="0"/>
          <w:color w:val="auto"/>
          <w:sz w:val="21"/>
          <w:szCs w:val="21"/>
          <w:highlight w:val="none"/>
          <w:lang w:val="en-US" w:eastAsia="zh-CN"/>
        </w:rPr>
        <w:t>其中的一部分，否则作为无效</w:t>
      </w:r>
      <w:r>
        <w:rPr>
          <w:rFonts w:hint="eastAsia" w:ascii="宋体" w:hAnsi="宋体" w:cs="宋体"/>
          <w:b w:val="0"/>
          <w:bCs w:val="0"/>
          <w:color w:val="auto"/>
          <w:sz w:val="21"/>
          <w:szCs w:val="21"/>
          <w:highlight w:val="none"/>
          <w:lang w:val="en-US" w:eastAsia="zh-CN"/>
        </w:rPr>
        <w:t>响应</w:t>
      </w:r>
      <w:r>
        <w:rPr>
          <w:rFonts w:hint="eastAsia" w:ascii="宋体" w:hAnsi="宋体" w:eastAsia="宋体" w:cs="宋体"/>
          <w:b w:val="0"/>
          <w:bCs w:val="0"/>
          <w:color w:val="auto"/>
          <w:sz w:val="21"/>
          <w:szCs w:val="21"/>
          <w:highlight w:val="none"/>
          <w:lang w:val="en-US" w:eastAsia="zh-CN"/>
        </w:rPr>
        <w:t>处理。详见竞争性磋商文件第五章。</w:t>
      </w:r>
    </w:p>
    <w:p w14:paraId="101C6FBD">
      <w:pPr>
        <w:keepNext w:val="0"/>
        <w:keepLines w:val="0"/>
        <w:pageBreakBefore w:val="0"/>
        <w:widowControl w:val="0"/>
        <w:shd w:val="clear"/>
        <w:kinsoku/>
        <w:wordWrap/>
        <w:overflowPunct/>
        <w:topLinePunct w:val="0"/>
        <w:autoSpaceDE/>
        <w:autoSpaceDN/>
        <w:bidi w:val="0"/>
        <w:adjustRightInd/>
        <w:snapToGrid/>
        <w:spacing w:line="500" w:lineRule="exact"/>
        <w:ind w:firstLine="420" w:firstLineChars="200"/>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合同履行期限</w:t>
      </w:r>
      <w:r>
        <w:rPr>
          <w:rFonts w:hint="eastAsia" w:ascii="宋体" w:hAnsi="宋体" w:cs="宋体"/>
          <w:b w:val="0"/>
          <w:bCs w:val="0"/>
          <w:color w:val="auto"/>
          <w:sz w:val="21"/>
          <w:szCs w:val="21"/>
          <w:highlight w:val="none"/>
          <w:lang w:val="en-US" w:eastAsia="zh-CN"/>
        </w:rPr>
        <w:t>：开工令下达后90日历天</w:t>
      </w:r>
      <w:r>
        <w:rPr>
          <w:rFonts w:hint="eastAsia" w:ascii="宋体" w:hAnsi="宋体" w:eastAsia="宋体" w:cs="宋体"/>
          <w:b w:val="0"/>
          <w:bCs w:val="0"/>
          <w:color w:val="auto"/>
          <w:sz w:val="21"/>
          <w:szCs w:val="21"/>
          <w:highlight w:val="none"/>
          <w:lang w:val="en-US" w:eastAsia="zh-CN"/>
        </w:rPr>
        <w:t>。</w:t>
      </w:r>
    </w:p>
    <w:p w14:paraId="781942A6">
      <w:pPr>
        <w:keepNext w:val="0"/>
        <w:keepLines w:val="0"/>
        <w:pageBreakBefore w:val="0"/>
        <w:widowControl w:val="0"/>
        <w:shd w:val="clea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本项目（否）接受联合体</w:t>
      </w:r>
      <w:r>
        <w:rPr>
          <w:rFonts w:hint="eastAsia" w:ascii="宋体" w:hAnsi="宋体" w:cs="宋体"/>
          <w:b w:val="0"/>
          <w:bCs w:val="0"/>
          <w:color w:val="auto"/>
          <w:sz w:val="21"/>
          <w:szCs w:val="21"/>
          <w:highlight w:val="none"/>
          <w:lang w:val="en-US" w:eastAsia="zh-CN"/>
        </w:rPr>
        <w:t>磋商</w:t>
      </w:r>
      <w:r>
        <w:rPr>
          <w:rFonts w:hint="eastAsia" w:ascii="宋体" w:hAnsi="宋体" w:eastAsia="宋体" w:cs="宋体"/>
          <w:b w:val="0"/>
          <w:bCs w:val="0"/>
          <w:color w:val="auto"/>
          <w:sz w:val="21"/>
          <w:szCs w:val="21"/>
          <w:highlight w:val="none"/>
          <w:lang w:val="en-US" w:eastAsia="zh-CN"/>
        </w:rPr>
        <w:t>。</w:t>
      </w:r>
    </w:p>
    <w:p w14:paraId="4503CFD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360" w:right="0" w:firstLine="0"/>
        <w:jc w:val="left"/>
        <w:textAlignment w:val="auto"/>
        <w:rPr>
          <w:rFonts w:hint="eastAsia" w:ascii="宋体" w:hAnsi="宋体" w:eastAsia="宋体" w:cs="宋体"/>
          <w:b/>
          <w:bCs/>
          <w:i w:val="0"/>
          <w:iCs w:val="0"/>
          <w:caps w:val="0"/>
          <w:color w:val="auto"/>
          <w:spacing w:val="0"/>
          <w:sz w:val="24"/>
          <w:szCs w:val="24"/>
          <w:highlight w:val="none"/>
          <w:shd w:val="clear" w:fill="FFFFFF"/>
        </w:rPr>
      </w:pPr>
      <w:r>
        <w:rPr>
          <w:rFonts w:hint="eastAsia" w:ascii="宋体" w:hAnsi="宋体" w:eastAsia="宋体" w:cs="宋体"/>
          <w:b/>
          <w:bCs/>
          <w:i w:val="0"/>
          <w:iCs w:val="0"/>
          <w:caps w:val="0"/>
          <w:color w:val="auto"/>
          <w:spacing w:val="0"/>
          <w:sz w:val="24"/>
          <w:szCs w:val="24"/>
          <w:highlight w:val="none"/>
          <w:shd w:val="clear" w:fill="FFFFFF"/>
        </w:rPr>
        <w:t>二、申请人的资格要求</w:t>
      </w:r>
    </w:p>
    <w:p w14:paraId="7784B9EB">
      <w:pPr>
        <w:keepNext w:val="0"/>
        <w:keepLines w:val="0"/>
        <w:pageBreakBefore w:val="0"/>
        <w:widowControl w:val="0"/>
        <w:shd w:val="clea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1.满足《中华人民共和国政府采购法》第二十二条规定；</w:t>
      </w:r>
    </w:p>
    <w:p w14:paraId="4AD2CB1F">
      <w:pPr>
        <w:keepNext w:val="0"/>
        <w:keepLines w:val="0"/>
        <w:pageBreakBefore w:val="0"/>
        <w:widowControl w:val="0"/>
        <w:shd w:val="clea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2.落实政府采购政策需满足的资格要求：根据财政部、工业和信息化部关于印发《政府采购促进中小企业发展管理办法》的通知</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财库〔2020〕46号</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等相关文件要求，本项目专门面向中型企业、小型企业、微型企业、残疾人福利性单位、监狱企业进行采购</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符合要求的供应商须提供《中小企业声明函》或《残疾人福利性单位声明函》或属于监狱企业的证明文件，否则</w:t>
      </w:r>
      <w:r>
        <w:rPr>
          <w:rFonts w:hint="eastAsia" w:ascii="宋体" w:hAnsi="宋体" w:cs="宋体"/>
          <w:b w:val="0"/>
          <w:bCs w:val="0"/>
          <w:color w:val="auto"/>
          <w:sz w:val="21"/>
          <w:szCs w:val="21"/>
          <w:highlight w:val="none"/>
          <w:lang w:val="en-US" w:eastAsia="zh-CN"/>
        </w:rPr>
        <w:t>响应</w:t>
      </w:r>
      <w:r>
        <w:rPr>
          <w:rFonts w:hint="eastAsia" w:ascii="宋体" w:hAnsi="宋体" w:eastAsia="宋体" w:cs="宋体"/>
          <w:b w:val="0"/>
          <w:bCs w:val="0"/>
          <w:color w:val="auto"/>
          <w:sz w:val="21"/>
          <w:szCs w:val="21"/>
          <w:highlight w:val="none"/>
          <w:lang w:val="en-US" w:eastAsia="zh-CN"/>
        </w:rPr>
        <w:t>无效</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w:t>
      </w:r>
    </w:p>
    <w:p w14:paraId="020F0A8D">
      <w:pPr>
        <w:keepNext w:val="0"/>
        <w:keepLines w:val="0"/>
        <w:pageBreakBefore w:val="0"/>
        <w:widowControl w:val="0"/>
        <w:shd w:val="clea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3.本项目的特定资格要求：</w:t>
      </w:r>
    </w:p>
    <w:p w14:paraId="2FF17BAB">
      <w:pPr>
        <w:keepNext w:val="0"/>
        <w:keepLines w:val="0"/>
        <w:pageBreakBefore w:val="0"/>
        <w:widowControl w:val="0"/>
        <w:shd w:val="clea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（1）供应商资质要求：具备建设行政主管部门核发的合法有效的</w:t>
      </w:r>
      <w:r>
        <w:rPr>
          <w:rFonts w:hint="eastAsia" w:ascii="宋体" w:hAnsi="宋体" w:cs="宋体"/>
          <w:b w:val="0"/>
          <w:bCs w:val="0"/>
          <w:color w:val="auto"/>
          <w:sz w:val="21"/>
          <w:szCs w:val="21"/>
          <w:highlight w:val="none"/>
          <w:lang w:val="en-US" w:eastAsia="zh-CN"/>
        </w:rPr>
        <w:t>建筑</w:t>
      </w:r>
      <w:r>
        <w:rPr>
          <w:rFonts w:hint="eastAsia" w:ascii="宋体" w:hAnsi="宋体" w:eastAsia="宋体" w:cs="宋体"/>
          <w:b w:val="0"/>
          <w:bCs w:val="0"/>
          <w:color w:val="auto"/>
          <w:sz w:val="21"/>
          <w:szCs w:val="21"/>
          <w:highlight w:val="none"/>
          <w:lang w:val="en-US" w:eastAsia="zh-CN"/>
        </w:rPr>
        <w:t>工程施工总承包</w:t>
      </w:r>
      <w:r>
        <w:rPr>
          <w:rFonts w:hint="eastAsia" w:ascii="宋体" w:hAnsi="宋体" w:cs="宋体"/>
          <w:b w:val="0"/>
          <w:bCs w:val="0"/>
          <w:color w:val="auto"/>
          <w:sz w:val="21"/>
          <w:szCs w:val="21"/>
          <w:highlight w:val="none"/>
          <w:lang w:val="en-US" w:eastAsia="zh-CN"/>
        </w:rPr>
        <w:t>叁</w:t>
      </w:r>
      <w:r>
        <w:rPr>
          <w:rFonts w:hint="eastAsia" w:ascii="宋体" w:hAnsi="宋体" w:eastAsia="宋体" w:cs="宋体"/>
          <w:b w:val="0"/>
          <w:bCs w:val="0"/>
          <w:color w:val="auto"/>
          <w:sz w:val="21"/>
          <w:szCs w:val="21"/>
          <w:highlight w:val="none"/>
          <w:lang w:val="en-US" w:eastAsia="zh-CN"/>
        </w:rPr>
        <w:t>级及以上资质，具备有效的安全生产许可证（安全生产许可证取消年检的，提供主管部门的证明文件）</w:t>
      </w:r>
      <w:r>
        <w:rPr>
          <w:rFonts w:hint="eastAsia" w:ascii="宋体" w:hAnsi="宋体" w:cs="宋体"/>
          <w:b w:val="0"/>
          <w:bCs w:val="0"/>
          <w:color w:val="auto"/>
          <w:sz w:val="21"/>
          <w:szCs w:val="21"/>
          <w:highlight w:val="none"/>
          <w:lang w:val="en-US" w:eastAsia="zh-CN"/>
        </w:rPr>
        <w:t>。</w:t>
      </w:r>
    </w:p>
    <w:p w14:paraId="49824418">
      <w:pPr>
        <w:keepNext w:val="0"/>
        <w:keepLines w:val="0"/>
        <w:pageBreakBefore w:val="0"/>
        <w:widowControl w:val="0"/>
        <w:shd w:val="clea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（2）供应商拟派项目经理具备建设行政主管部门</w:t>
      </w:r>
      <w:r>
        <w:rPr>
          <w:rFonts w:hint="eastAsia" w:ascii="宋体" w:hAnsi="宋体" w:cs="宋体"/>
          <w:b w:val="0"/>
          <w:bCs w:val="0"/>
          <w:color w:val="auto"/>
          <w:sz w:val="21"/>
          <w:szCs w:val="21"/>
          <w:highlight w:val="none"/>
          <w:lang w:val="en-US" w:eastAsia="zh-CN"/>
        </w:rPr>
        <w:t>核</w:t>
      </w:r>
      <w:r>
        <w:rPr>
          <w:rFonts w:hint="eastAsia" w:ascii="宋体" w:hAnsi="宋体" w:eastAsia="宋体" w:cs="宋体"/>
          <w:b w:val="0"/>
          <w:bCs w:val="0"/>
          <w:color w:val="auto"/>
          <w:sz w:val="21"/>
          <w:szCs w:val="21"/>
          <w:highlight w:val="none"/>
          <w:lang w:val="en-US" w:eastAsia="zh-CN"/>
        </w:rPr>
        <w:t>发的</w:t>
      </w:r>
      <w:r>
        <w:rPr>
          <w:rFonts w:hint="eastAsia" w:ascii="宋体" w:hAnsi="宋体" w:cs="宋体"/>
          <w:b w:val="0"/>
          <w:bCs w:val="0"/>
          <w:color w:val="auto"/>
          <w:sz w:val="21"/>
          <w:szCs w:val="21"/>
          <w:highlight w:val="none"/>
          <w:lang w:val="en-US" w:eastAsia="zh-CN"/>
        </w:rPr>
        <w:t>合格有效的</w:t>
      </w:r>
      <w:r>
        <w:rPr>
          <w:rFonts w:hint="eastAsia" w:ascii="宋体" w:hAnsi="宋体" w:eastAsia="宋体" w:cs="宋体"/>
          <w:b w:val="0"/>
          <w:bCs w:val="0"/>
          <w:color w:val="auto"/>
          <w:sz w:val="21"/>
          <w:szCs w:val="21"/>
          <w:highlight w:val="none"/>
          <w:lang w:val="en-US" w:eastAsia="zh-CN"/>
        </w:rPr>
        <w:t>二级及以上注册建造师</w:t>
      </w:r>
      <w:r>
        <w:rPr>
          <w:rFonts w:hint="eastAsia" w:ascii="宋体" w:hAnsi="宋体" w:cs="宋体"/>
          <w:b w:val="0"/>
          <w:bCs w:val="0"/>
          <w:color w:val="auto"/>
          <w:sz w:val="21"/>
          <w:szCs w:val="21"/>
          <w:highlight w:val="none"/>
          <w:lang w:val="en-US" w:eastAsia="zh-CN"/>
        </w:rPr>
        <w:t>（建筑工程专业）</w:t>
      </w:r>
      <w:r>
        <w:rPr>
          <w:rFonts w:hint="eastAsia" w:ascii="宋体" w:hAnsi="宋体" w:eastAsia="宋体" w:cs="宋体"/>
          <w:b w:val="0"/>
          <w:bCs w:val="0"/>
          <w:color w:val="auto"/>
          <w:sz w:val="21"/>
          <w:szCs w:val="21"/>
          <w:highlight w:val="none"/>
          <w:lang w:val="en-US" w:eastAsia="zh-CN"/>
        </w:rPr>
        <w:t>执业资格，具有有效的安全生产考核合格证书，目前以及项目在建期间不得担任其他在建工程项目的项目经理，并不得兼任本项目或其他项目的其他管理人员</w:t>
      </w:r>
      <w:r>
        <w:rPr>
          <w:rFonts w:hint="eastAsia" w:ascii="宋体" w:hAnsi="宋体" w:cs="宋体"/>
          <w:b w:val="0"/>
          <w:bCs w:val="0"/>
          <w:color w:val="auto"/>
          <w:sz w:val="21"/>
          <w:szCs w:val="21"/>
          <w:highlight w:val="none"/>
          <w:lang w:val="en-US" w:eastAsia="zh-CN"/>
        </w:rPr>
        <w:t>。</w:t>
      </w:r>
    </w:p>
    <w:p w14:paraId="0E536784">
      <w:pPr>
        <w:keepNext w:val="0"/>
        <w:keepLines w:val="0"/>
        <w:pageBreakBefore w:val="0"/>
        <w:widowControl w:val="0"/>
        <w:shd w:val="clear"/>
        <w:kinsoku/>
        <w:wordWrap/>
        <w:overflowPunct/>
        <w:topLinePunct w:val="0"/>
        <w:autoSpaceDE/>
        <w:autoSpaceDN/>
        <w:bidi w:val="0"/>
        <w:adjustRightInd/>
        <w:snapToGrid/>
        <w:spacing w:line="500" w:lineRule="exact"/>
        <w:ind w:firstLine="420" w:firstLineChars="200"/>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（3）按照《建筑施工企业安全生产许可证动态监管暂行办法》</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供应商应提供安全生产许可证，以及企业主要负责人、拟担任该项目经理和专职安全生产管理人员的安全生产考核合格证书。</w:t>
      </w:r>
    </w:p>
    <w:p w14:paraId="0E0FC541">
      <w:pPr>
        <w:keepNext w:val="0"/>
        <w:keepLines w:val="0"/>
        <w:pageBreakBefore w:val="0"/>
        <w:widowControl w:val="0"/>
        <w:shd w:val="clea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（4）未被“信用中国”网站（</w:t>
      </w:r>
      <w:r>
        <w:rPr>
          <w:rFonts w:hint="eastAsia" w:ascii="宋体" w:hAnsi="宋体" w:eastAsia="宋体" w:cs="宋体"/>
          <w:b w:val="0"/>
          <w:bCs w:val="0"/>
          <w:color w:val="auto"/>
          <w:sz w:val="21"/>
          <w:szCs w:val="21"/>
          <w:highlight w:val="none"/>
          <w:u w:val="none"/>
          <w:lang w:val="en-US" w:eastAsia="zh-CN"/>
        </w:rPr>
        <w:t>www.creditchina.gov.cn</w:t>
      </w:r>
      <w:r>
        <w:rPr>
          <w:rFonts w:hint="eastAsia" w:ascii="宋体" w:hAnsi="宋体" w:eastAsia="宋体" w:cs="宋体"/>
          <w:b w:val="0"/>
          <w:bCs w:val="0"/>
          <w:color w:val="auto"/>
          <w:sz w:val="21"/>
          <w:szCs w:val="21"/>
          <w:highlight w:val="none"/>
          <w:lang w:val="en-US" w:eastAsia="zh-CN"/>
        </w:rPr>
        <w:t>）列入失信被执行人、重大税收违法失信主体的供应商；未被中国政府采购网（www.ccgp.gov.cn）列入政府采购严重违法失信行为记录名单中被财政部门禁止参加政府采购活动的供应商（处罚决定规定的时间和地域范围内）。</w:t>
      </w:r>
    </w:p>
    <w:p w14:paraId="2BF7A6A1">
      <w:pPr>
        <w:keepNext w:val="0"/>
        <w:keepLines w:val="0"/>
        <w:pageBreakBefore w:val="0"/>
        <w:widowControl w:val="0"/>
        <w:shd w:val="clea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（5）单位负责人为同一人或者存在直接控股、管理关系的不同供应商，不得参加同一合同项下的政府采购活动。为本项目提供整体设计、规范编制或者项目管理、监理、检测等服务的</w:t>
      </w:r>
      <w:r>
        <w:rPr>
          <w:rFonts w:hint="eastAsia" w:ascii="宋体" w:hAnsi="宋体" w:cs="宋体"/>
          <w:b w:val="0"/>
          <w:bCs w:val="0"/>
          <w:color w:val="auto"/>
          <w:sz w:val="21"/>
          <w:szCs w:val="21"/>
          <w:highlight w:val="none"/>
          <w:lang w:val="en-US" w:eastAsia="zh-CN"/>
        </w:rPr>
        <w:t>供应商</w:t>
      </w:r>
      <w:r>
        <w:rPr>
          <w:rFonts w:hint="eastAsia" w:ascii="宋体" w:hAnsi="宋体" w:eastAsia="宋体" w:cs="宋体"/>
          <w:b w:val="0"/>
          <w:bCs w:val="0"/>
          <w:color w:val="auto"/>
          <w:sz w:val="21"/>
          <w:szCs w:val="21"/>
          <w:highlight w:val="none"/>
          <w:lang w:val="en-US" w:eastAsia="zh-CN"/>
        </w:rPr>
        <w:t>，不得再参加本项目</w:t>
      </w:r>
      <w:r>
        <w:rPr>
          <w:rFonts w:hint="eastAsia" w:ascii="宋体" w:hAnsi="宋体" w:cs="宋体"/>
          <w:b w:val="0"/>
          <w:bCs w:val="0"/>
          <w:color w:val="auto"/>
          <w:sz w:val="21"/>
          <w:szCs w:val="21"/>
          <w:highlight w:val="none"/>
          <w:lang w:val="en-US" w:eastAsia="zh-CN"/>
        </w:rPr>
        <w:t>磋商</w:t>
      </w:r>
      <w:r>
        <w:rPr>
          <w:rFonts w:hint="eastAsia" w:ascii="宋体" w:hAnsi="宋体" w:eastAsia="宋体" w:cs="宋体"/>
          <w:b w:val="0"/>
          <w:bCs w:val="0"/>
          <w:color w:val="auto"/>
          <w:sz w:val="21"/>
          <w:szCs w:val="21"/>
          <w:highlight w:val="none"/>
          <w:lang w:val="en-US" w:eastAsia="zh-CN"/>
        </w:rPr>
        <w:t>。</w:t>
      </w:r>
    </w:p>
    <w:p w14:paraId="23F419F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360" w:right="0" w:firstLine="0"/>
        <w:jc w:val="left"/>
        <w:textAlignment w:val="auto"/>
        <w:rPr>
          <w:rFonts w:hint="eastAsia" w:ascii="宋体" w:hAnsi="宋体" w:eastAsia="宋体" w:cs="宋体"/>
          <w:b/>
          <w:bCs/>
          <w:i w:val="0"/>
          <w:iCs w:val="0"/>
          <w:caps w:val="0"/>
          <w:color w:val="auto"/>
          <w:spacing w:val="0"/>
          <w:sz w:val="24"/>
          <w:szCs w:val="24"/>
          <w:highlight w:val="none"/>
          <w:shd w:val="clear" w:fill="FFFFFF"/>
        </w:rPr>
      </w:pPr>
      <w:r>
        <w:rPr>
          <w:rFonts w:hint="eastAsia" w:ascii="宋体" w:hAnsi="宋体" w:eastAsia="宋体" w:cs="宋体"/>
          <w:b/>
          <w:bCs/>
          <w:i w:val="0"/>
          <w:iCs w:val="0"/>
          <w:caps w:val="0"/>
          <w:color w:val="auto"/>
          <w:spacing w:val="0"/>
          <w:sz w:val="24"/>
          <w:szCs w:val="24"/>
          <w:highlight w:val="none"/>
          <w:shd w:val="clear" w:fill="FFFFFF"/>
        </w:rPr>
        <w:t>三、获取采购文件</w:t>
      </w:r>
    </w:p>
    <w:p w14:paraId="7027056D">
      <w:pPr>
        <w:keepNext w:val="0"/>
        <w:keepLines w:val="0"/>
        <w:pageBreakBefore w:val="0"/>
        <w:widowControl w:val="0"/>
        <w:kinsoku/>
        <w:overflowPunct/>
        <w:autoSpaceDE/>
        <w:autoSpaceDN/>
        <w:bidi w:val="0"/>
        <w:adjustRightInd/>
        <w:snapToGrid/>
        <w:spacing w:line="5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时间：2026</w:t>
      </w:r>
      <w:r>
        <w:rPr>
          <w:rFonts w:hint="eastAsia" w:ascii="宋体" w:hAnsi="宋体" w:cs="宋体"/>
          <w:color w:val="auto"/>
          <w:szCs w:val="21"/>
          <w:highlight w:val="none"/>
          <w:lang w:eastAsia="zh-CN"/>
        </w:rPr>
        <w:t>年</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lang w:eastAsia="zh-CN"/>
        </w:rPr>
        <w:t>月</w:t>
      </w:r>
      <w:r>
        <w:rPr>
          <w:rFonts w:hint="eastAsia" w:ascii="宋体" w:hAnsi="宋体" w:cs="宋体"/>
          <w:color w:val="auto"/>
          <w:szCs w:val="21"/>
          <w:highlight w:val="none"/>
          <w:lang w:val="en-US" w:eastAsia="zh-CN"/>
        </w:rPr>
        <w:t>23日</w:t>
      </w:r>
      <w:r>
        <w:rPr>
          <w:rFonts w:hint="eastAsia" w:ascii="宋体" w:hAnsi="宋体" w:cs="宋体"/>
          <w:color w:val="auto"/>
          <w:szCs w:val="21"/>
          <w:highlight w:val="none"/>
        </w:rPr>
        <w:t>至2026</w:t>
      </w:r>
      <w:r>
        <w:rPr>
          <w:rFonts w:hint="eastAsia" w:ascii="宋体" w:hAnsi="宋体" w:cs="宋体"/>
          <w:color w:val="auto"/>
          <w:szCs w:val="21"/>
          <w:highlight w:val="none"/>
          <w:lang w:eastAsia="zh-CN"/>
        </w:rPr>
        <w:t>年</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lang w:eastAsia="zh-CN"/>
        </w:rPr>
        <w:t>月</w:t>
      </w:r>
      <w:r>
        <w:rPr>
          <w:rFonts w:hint="eastAsia" w:ascii="宋体" w:hAnsi="宋体" w:cs="宋体"/>
          <w:color w:val="auto"/>
          <w:szCs w:val="21"/>
          <w:highlight w:val="none"/>
          <w:lang w:val="en-US" w:eastAsia="zh-CN"/>
        </w:rPr>
        <w:t>31日</w:t>
      </w:r>
      <w:r>
        <w:rPr>
          <w:rFonts w:hint="eastAsia" w:ascii="宋体" w:hAnsi="宋体" w:cs="宋体"/>
          <w:color w:val="auto"/>
          <w:szCs w:val="21"/>
          <w:highlight w:val="none"/>
        </w:rPr>
        <w:t>，每天上午06:00至12:00，下午12:00至23:59（北京时间，法定节假日除外）</w:t>
      </w:r>
    </w:p>
    <w:p w14:paraId="0FCD4D5A">
      <w:pPr>
        <w:keepNext w:val="0"/>
        <w:keepLines w:val="0"/>
        <w:pageBreakBefore w:val="0"/>
        <w:widowControl w:val="0"/>
        <w:kinsoku/>
        <w:overflowPunct/>
        <w:autoSpaceDE/>
        <w:autoSpaceDN/>
        <w:bidi w:val="0"/>
        <w:adjustRightInd/>
        <w:snapToGrid/>
        <w:spacing w:line="5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地点：云南省政府采购电子交易平台（政采云https://www.zcygov.cn/）</w:t>
      </w:r>
    </w:p>
    <w:p w14:paraId="6D6F7A59">
      <w:pPr>
        <w:keepNext w:val="0"/>
        <w:keepLines w:val="0"/>
        <w:pageBreakBefore w:val="0"/>
        <w:widowControl w:val="0"/>
        <w:kinsoku/>
        <w:wordWrap w:val="0"/>
        <w:overflowPunct/>
        <w:topLinePunct/>
        <w:autoSpaceDE/>
        <w:autoSpaceDN/>
        <w:bidi w:val="0"/>
        <w:adjustRightInd/>
        <w:snapToGri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方式：1.凡有意参加投标者，须持与云南省政府采购电子交易平台（政采云）兼容的数字证书（CA），在平台绑定后，线上获取采购文件及其它采购资料。CA申领链接：</w:t>
      </w:r>
      <w:r>
        <w:rPr>
          <w:rFonts w:hint="eastAsia" w:ascii="宋体" w:hAnsi="宋体" w:cs="宋体"/>
          <w:color w:val="auto"/>
          <w:szCs w:val="21"/>
          <w:highlight w:val="none"/>
          <w:u w:val="none"/>
        </w:rPr>
        <w:t>https://middle.zcygov.cn/ca/apply/list?_app_=zcy.sys</w:t>
      </w:r>
    </w:p>
    <w:p w14:paraId="10C83280">
      <w:pPr>
        <w:keepNext w:val="0"/>
        <w:keepLines w:val="0"/>
        <w:pageBreakBefore w:val="0"/>
        <w:widowControl w:val="0"/>
        <w:kinsoku/>
        <w:wordWrap w:val="0"/>
        <w:overflowPunct/>
        <w:topLinePunct/>
        <w:autoSpaceDE/>
        <w:autoSpaceDN/>
        <w:bidi w:val="0"/>
        <w:adjustRightInd/>
        <w:snapToGrid/>
        <w:spacing w:line="500" w:lineRule="exact"/>
        <w:ind w:firstLine="420" w:firstLineChars="200"/>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2.按上述要求获取文件的供应商视为合法获取了本项目采购文件，具备本项目的投标资格</w:t>
      </w:r>
      <w:r>
        <w:rPr>
          <w:rFonts w:hint="eastAsia" w:ascii="宋体" w:hAnsi="宋体" w:cs="宋体"/>
          <w:color w:val="auto"/>
          <w:szCs w:val="21"/>
          <w:highlight w:val="none"/>
          <w:lang w:eastAsia="zh-CN"/>
        </w:rPr>
        <w:t>。</w:t>
      </w:r>
    </w:p>
    <w:p w14:paraId="1E7F47B3">
      <w:pPr>
        <w:keepNext w:val="0"/>
        <w:keepLines w:val="0"/>
        <w:pageBreakBefore w:val="0"/>
        <w:widowControl w:val="0"/>
        <w:kinsoku/>
        <w:overflowPunct/>
        <w:autoSpaceDE/>
        <w:autoSpaceDN/>
        <w:bidi w:val="0"/>
        <w:adjustRightInd/>
        <w:snapToGrid/>
        <w:spacing w:line="5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售价（元）：0</w:t>
      </w:r>
    </w:p>
    <w:p w14:paraId="4B5D819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360" w:right="0" w:firstLine="0"/>
        <w:jc w:val="left"/>
        <w:textAlignment w:val="auto"/>
        <w:rPr>
          <w:rFonts w:hint="eastAsia" w:ascii="宋体" w:hAnsi="宋体" w:eastAsia="宋体" w:cs="宋体"/>
          <w:b/>
          <w:bCs/>
          <w:i w:val="0"/>
          <w:iCs w:val="0"/>
          <w:caps w:val="0"/>
          <w:color w:val="auto"/>
          <w:spacing w:val="0"/>
          <w:sz w:val="24"/>
          <w:szCs w:val="24"/>
          <w:highlight w:val="none"/>
          <w:shd w:val="clear" w:fill="FFFFFF"/>
        </w:rPr>
      </w:pPr>
      <w:r>
        <w:rPr>
          <w:rFonts w:hint="eastAsia" w:ascii="宋体" w:hAnsi="宋体" w:eastAsia="宋体" w:cs="宋体"/>
          <w:b/>
          <w:bCs/>
          <w:i w:val="0"/>
          <w:iCs w:val="0"/>
          <w:caps w:val="0"/>
          <w:color w:val="auto"/>
          <w:spacing w:val="0"/>
          <w:sz w:val="24"/>
          <w:szCs w:val="24"/>
          <w:highlight w:val="none"/>
          <w:shd w:val="clear" w:fill="FFFFFF"/>
        </w:rPr>
        <w:t>四、响应文件提交</w:t>
      </w:r>
    </w:p>
    <w:p w14:paraId="0FCB8541">
      <w:pPr>
        <w:keepNext w:val="0"/>
        <w:keepLines w:val="0"/>
        <w:pageBreakBefore w:val="0"/>
        <w:widowControl w:val="0"/>
        <w:kinsoku/>
        <w:overflowPunct/>
        <w:autoSpaceDE/>
        <w:autoSpaceDN/>
        <w:bidi w:val="0"/>
        <w:adjustRightInd/>
        <w:snapToGrid/>
        <w:spacing w:line="5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lang w:eastAsia="zh-CN"/>
        </w:rPr>
        <w:t>截止时间：</w:t>
      </w:r>
      <w:r>
        <w:rPr>
          <w:rFonts w:hint="eastAsia" w:ascii="宋体" w:hAnsi="宋体" w:cs="宋体"/>
          <w:color w:val="auto"/>
          <w:szCs w:val="21"/>
          <w:highlight w:val="none"/>
        </w:rPr>
        <w:t>2026</w:t>
      </w:r>
      <w:r>
        <w:rPr>
          <w:rFonts w:hint="eastAsia" w:ascii="宋体" w:hAnsi="宋体" w:cs="宋体"/>
          <w:color w:val="auto"/>
          <w:szCs w:val="21"/>
          <w:highlight w:val="none"/>
          <w:lang w:eastAsia="zh-CN"/>
        </w:rPr>
        <w:t>年</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lang w:eastAsia="zh-CN"/>
        </w:rPr>
        <w:t>月</w:t>
      </w:r>
      <w:r>
        <w:rPr>
          <w:rFonts w:hint="eastAsia" w:ascii="宋体" w:hAnsi="宋体" w:cs="宋体"/>
          <w:color w:val="auto"/>
          <w:szCs w:val="21"/>
          <w:highlight w:val="none"/>
          <w:lang w:val="en-US" w:eastAsia="zh-CN"/>
        </w:rPr>
        <w:t>3日</w:t>
      </w:r>
      <w:r>
        <w:rPr>
          <w:rFonts w:hint="eastAsia" w:ascii="宋体" w:hAnsi="宋体" w:cs="宋体"/>
          <w:color w:val="auto"/>
          <w:szCs w:val="21"/>
          <w:highlight w:val="none"/>
        </w:rPr>
        <w:t>09:30（北京时间）</w:t>
      </w:r>
    </w:p>
    <w:p w14:paraId="50077B76">
      <w:pPr>
        <w:keepNext w:val="0"/>
        <w:keepLines w:val="0"/>
        <w:pageBreakBefore w:val="0"/>
        <w:widowControl w:val="0"/>
        <w:kinsoku/>
        <w:overflowPunct/>
        <w:autoSpaceDE/>
        <w:autoSpaceDN/>
        <w:bidi w:val="0"/>
        <w:adjustRightInd/>
        <w:snapToGrid/>
        <w:spacing w:line="5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地点：请登录云南省政府采购电子交易平台（政采云）投标客户端投标</w:t>
      </w:r>
    </w:p>
    <w:p w14:paraId="184443B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360" w:right="0" w:firstLine="0"/>
        <w:jc w:val="left"/>
        <w:textAlignment w:val="auto"/>
        <w:rPr>
          <w:rFonts w:hint="eastAsia" w:ascii="宋体" w:hAnsi="宋体" w:eastAsia="宋体" w:cs="宋体"/>
          <w:b/>
          <w:bCs/>
          <w:i w:val="0"/>
          <w:iCs w:val="0"/>
          <w:caps w:val="0"/>
          <w:color w:val="auto"/>
          <w:spacing w:val="0"/>
          <w:sz w:val="24"/>
          <w:szCs w:val="24"/>
          <w:highlight w:val="none"/>
          <w:shd w:val="clear" w:fill="FFFFFF"/>
          <w:lang w:val="en-US" w:eastAsia="zh-CN"/>
        </w:rPr>
      </w:pPr>
      <w:r>
        <w:rPr>
          <w:rFonts w:hint="eastAsia" w:ascii="宋体" w:hAnsi="宋体" w:eastAsia="宋体" w:cs="宋体"/>
          <w:b/>
          <w:bCs/>
          <w:i w:val="0"/>
          <w:iCs w:val="0"/>
          <w:caps w:val="0"/>
          <w:color w:val="auto"/>
          <w:spacing w:val="0"/>
          <w:sz w:val="24"/>
          <w:szCs w:val="24"/>
          <w:highlight w:val="none"/>
          <w:shd w:val="clear" w:fill="FFFFFF"/>
          <w:lang w:val="en-US" w:eastAsia="zh-CN"/>
        </w:rPr>
        <w:t>五、响应文件开启</w:t>
      </w:r>
    </w:p>
    <w:p w14:paraId="7367020C">
      <w:pPr>
        <w:keepNext w:val="0"/>
        <w:keepLines w:val="0"/>
        <w:pageBreakBefore w:val="0"/>
        <w:widowControl w:val="0"/>
        <w:kinsoku/>
        <w:overflowPunct/>
        <w:autoSpaceDE/>
        <w:autoSpaceDN/>
        <w:bidi w:val="0"/>
        <w:adjustRightInd/>
        <w:snapToGrid/>
        <w:spacing w:line="5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开启时间：2026年</w:t>
      </w:r>
      <w:r>
        <w:rPr>
          <w:rFonts w:hint="eastAsia" w:ascii="宋体" w:hAnsi="宋体" w:cs="宋体"/>
          <w:color w:val="auto"/>
          <w:szCs w:val="21"/>
          <w:highlight w:val="none"/>
          <w:lang w:val="en-US" w:eastAsia="zh-CN"/>
        </w:rPr>
        <w:t>8</w:t>
      </w:r>
      <w:r>
        <w:rPr>
          <w:rFonts w:hint="eastAsia" w:ascii="宋体" w:hAnsi="宋体" w:eastAsia="宋体" w:cs="宋体"/>
          <w:color w:val="auto"/>
          <w:szCs w:val="21"/>
          <w:highlight w:val="none"/>
          <w:lang w:val="en-US" w:eastAsia="zh-CN"/>
        </w:rPr>
        <w:t>月</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lang w:val="en-US" w:eastAsia="zh-CN"/>
        </w:rPr>
        <w:t xml:space="preserve">日09:30（北京时间） </w:t>
      </w:r>
    </w:p>
    <w:p w14:paraId="7A037458">
      <w:pPr>
        <w:keepNext w:val="0"/>
        <w:keepLines w:val="0"/>
        <w:pageBreakBefore w:val="0"/>
        <w:widowControl w:val="0"/>
        <w:kinsoku/>
        <w:overflowPunct/>
        <w:autoSpaceDE/>
        <w:autoSpaceDN/>
        <w:bidi w:val="0"/>
        <w:adjustRightInd/>
        <w:snapToGrid/>
        <w:spacing w:line="5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地点：云南省昆明市盘龙区昆明市穿金路727号春城商务中心8楼801室开标室 </w:t>
      </w:r>
    </w:p>
    <w:p w14:paraId="18986B4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360" w:right="0" w:firstLine="0"/>
        <w:jc w:val="left"/>
        <w:textAlignment w:val="auto"/>
        <w:rPr>
          <w:rFonts w:hint="eastAsia" w:ascii="宋体" w:hAnsi="宋体" w:eastAsia="宋体" w:cs="宋体"/>
          <w:b/>
          <w:bCs/>
          <w:i w:val="0"/>
          <w:iCs w:val="0"/>
          <w:caps w:val="0"/>
          <w:color w:val="auto"/>
          <w:spacing w:val="0"/>
          <w:sz w:val="24"/>
          <w:szCs w:val="24"/>
          <w:highlight w:val="none"/>
          <w:shd w:val="clear" w:fill="FFFFFF"/>
          <w:lang w:val="en-US" w:eastAsia="zh-CN"/>
        </w:rPr>
      </w:pPr>
      <w:r>
        <w:rPr>
          <w:rFonts w:hint="eastAsia" w:ascii="宋体" w:hAnsi="宋体" w:eastAsia="宋体" w:cs="宋体"/>
          <w:b/>
          <w:bCs/>
          <w:i w:val="0"/>
          <w:iCs w:val="0"/>
          <w:caps w:val="0"/>
          <w:color w:val="auto"/>
          <w:spacing w:val="0"/>
          <w:sz w:val="24"/>
          <w:szCs w:val="24"/>
          <w:highlight w:val="none"/>
          <w:shd w:val="clear" w:fill="FFFFFF"/>
          <w:lang w:val="en-US" w:eastAsia="zh-CN"/>
        </w:rPr>
        <w:t>六、磋商保证金信息</w:t>
      </w:r>
    </w:p>
    <w:p w14:paraId="53CD6570">
      <w:pPr>
        <w:keepNext w:val="0"/>
        <w:keepLines w:val="0"/>
        <w:pageBreakBefore w:val="0"/>
        <w:widowControl w:val="0"/>
        <w:kinsoku/>
        <w:overflowPunct/>
        <w:autoSpaceDE/>
        <w:autoSpaceDN/>
        <w:bidi w:val="0"/>
        <w:adjustRightInd/>
        <w:snapToGrid/>
        <w:spacing w:line="5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是否需要缴纳磋商保证金：是，保证金金额：</w:t>
      </w:r>
      <w:r>
        <w:rPr>
          <w:rFonts w:hint="eastAsia" w:ascii="宋体" w:hAnsi="宋体" w:cs="宋体"/>
          <w:color w:val="auto"/>
          <w:szCs w:val="21"/>
          <w:highlight w:val="none"/>
          <w:lang w:val="en-US" w:eastAsia="zh-CN"/>
        </w:rPr>
        <w:t>10</w:t>
      </w:r>
      <w:r>
        <w:rPr>
          <w:rFonts w:hint="eastAsia" w:ascii="宋体" w:hAnsi="宋体" w:eastAsia="宋体" w:cs="宋体"/>
          <w:color w:val="auto"/>
          <w:szCs w:val="21"/>
          <w:highlight w:val="none"/>
          <w:lang w:val="en-US" w:eastAsia="zh-CN"/>
        </w:rPr>
        <w:t>00</w:t>
      </w:r>
      <w:r>
        <w:rPr>
          <w:rFonts w:hint="eastAsia" w:ascii="宋体" w:hAnsi="宋体" w:cs="宋体"/>
          <w:color w:val="auto"/>
          <w:szCs w:val="21"/>
          <w:highlight w:val="none"/>
          <w:lang w:val="en-US" w:eastAsia="zh-CN"/>
        </w:rPr>
        <w:t>0</w:t>
      </w:r>
      <w:r>
        <w:rPr>
          <w:rFonts w:hint="eastAsia" w:ascii="宋体" w:hAnsi="宋体" w:eastAsia="宋体" w:cs="宋体"/>
          <w:color w:val="auto"/>
          <w:szCs w:val="21"/>
          <w:highlight w:val="none"/>
          <w:lang w:val="en-US" w:eastAsia="zh-CN"/>
        </w:rPr>
        <w:t>（元）。</w:t>
      </w:r>
    </w:p>
    <w:p w14:paraId="684370D3">
      <w:pPr>
        <w:keepNext w:val="0"/>
        <w:keepLines w:val="0"/>
        <w:pageBreakBefore w:val="0"/>
        <w:widowControl w:val="0"/>
        <w:kinsoku/>
        <w:wordWrap w:val="0"/>
        <w:overflowPunct/>
        <w:topLinePunct/>
        <w:autoSpaceDE/>
        <w:autoSpaceDN/>
        <w:bidi w:val="0"/>
        <w:adjustRightInd/>
        <w:snapToGrid/>
        <w:spacing w:line="5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缴纳形式：</w:t>
      </w:r>
    </w:p>
    <w:p w14:paraId="3181C404">
      <w:pPr>
        <w:keepNext w:val="0"/>
        <w:keepLines w:val="0"/>
        <w:pageBreakBefore w:val="0"/>
        <w:widowControl w:val="0"/>
        <w:kinsoku/>
        <w:wordWrap w:val="0"/>
        <w:overflowPunct/>
        <w:topLinePunct/>
        <w:autoSpaceDE/>
        <w:autoSpaceDN/>
        <w:bidi w:val="0"/>
        <w:adjustRightInd/>
        <w:snapToGrid/>
        <w:spacing w:line="500" w:lineRule="exact"/>
        <w:ind w:firstLine="422"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保函：</w:t>
      </w:r>
      <w:r>
        <w:rPr>
          <w:rFonts w:hint="eastAsia" w:ascii="宋体" w:hAnsi="宋体" w:eastAsia="宋体" w:cs="宋体"/>
          <w:color w:val="auto"/>
          <w:szCs w:val="21"/>
          <w:highlight w:val="none"/>
          <w:lang w:val="en-US" w:eastAsia="zh-CN"/>
        </w:rPr>
        <w:t>供应商在云南省政府采购电子交易平台-金融支撑服务模块（https://jinrong.zcygov.cn/luban/finance/yunnan）申请电子保函的，平台自动提交和验真，具体办理流程详见：https://jinrong.zcygov.cn/luban/anti-disease/detail/yn?id=1007531；申请纸质保函的，送达地址：云南省昆明市盘龙区穿金路727号春城商务中心8楼801室。</w:t>
      </w:r>
    </w:p>
    <w:p w14:paraId="3BA09C18">
      <w:pPr>
        <w:keepNext w:val="0"/>
        <w:keepLines w:val="0"/>
        <w:pageBreakBefore w:val="0"/>
        <w:widowControl w:val="0"/>
        <w:kinsoku/>
        <w:overflowPunct/>
        <w:autoSpaceDE/>
        <w:autoSpaceDN/>
        <w:bidi w:val="0"/>
        <w:adjustRightInd/>
        <w:snapToGrid/>
        <w:spacing w:line="500" w:lineRule="exact"/>
        <w:ind w:firstLine="422" w:firstLineChars="200"/>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银行转账：</w:t>
      </w:r>
    </w:p>
    <w:p w14:paraId="75233162">
      <w:pPr>
        <w:keepNext w:val="0"/>
        <w:keepLines w:val="0"/>
        <w:pageBreakBefore w:val="0"/>
        <w:widowControl w:val="0"/>
        <w:kinsoku/>
        <w:overflowPunct/>
        <w:autoSpaceDE/>
        <w:autoSpaceDN/>
        <w:bidi w:val="0"/>
        <w:adjustRightInd/>
        <w:snapToGrid/>
        <w:spacing w:line="5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开户银行：中国工商银行股份有限公司昆明小坝支行</w:t>
      </w:r>
    </w:p>
    <w:p w14:paraId="5411B705">
      <w:pPr>
        <w:keepNext w:val="0"/>
        <w:keepLines w:val="0"/>
        <w:pageBreakBefore w:val="0"/>
        <w:widowControl w:val="0"/>
        <w:kinsoku/>
        <w:overflowPunct/>
        <w:autoSpaceDE/>
        <w:autoSpaceDN/>
        <w:bidi w:val="0"/>
        <w:adjustRightInd/>
        <w:snapToGrid/>
        <w:spacing w:line="5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收款户名：云南辰胤工程项目管理有限公司</w:t>
      </w:r>
    </w:p>
    <w:p w14:paraId="5413CAA6">
      <w:pPr>
        <w:keepNext w:val="0"/>
        <w:keepLines w:val="0"/>
        <w:pageBreakBefore w:val="0"/>
        <w:widowControl w:val="0"/>
        <w:kinsoku/>
        <w:overflowPunct/>
        <w:autoSpaceDE/>
        <w:autoSpaceDN/>
        <w:bidi w:val="0"/>
        <w:adjustRightInd/>
        <w:snapToGrid/>
        <w:spacing w:line="5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收款账号：2502014109200079435</w:t>
      </w:r>
    </w:p>
    <w:p w14:paraId="4DA514DE">
      <w:pPr>
        <w:keepNext w:val="0"/>
        <w:keepLines w:val="0"/>
        <w:pageBreakBefore w:val="0"/>
        <w:widowControl w:val="0"/>
        <w:kinsoku/>
        <w:overflowPunct/>
        <w:autoSpaceDE/>
        <w:autoSpaceDN/>
        <w:bidi w:val="0"/>
        <w:adjustRightInd/>
        <w:snapToGrid/>
        <w:spacing w:line="500" w:lineRule="exact"/>
        <w:ind w:firstLine="422" w:firstLineChars="200"/>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支票、本票、汇票：</w:t>
      </w:r>
    </w:p>
    <w:p w14:paraId="0860A7C5">
      <w:pPr>
        <w:keepNext w:val="0"/>
        <w:keepLines w:val="0"/>
        <w:pageBreakBefore w:val="0"/>
        <w:widowControl w:val="0"/>
        <w:kinsoku/>
        <w:overflowPunct/>
        <w:autoSpaceDE/>
        <w:autoSpaceDN/>
        <w:bidi w:val="0"/>
        <w:adjustRightInd/>
        <w:snapToGrid/>
        <w:spacing w:line="5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送达地址：云南省昆明市盘龙区穿金路727号春城商务中心8楼801室</w:t>
      </w:r>
    </w:p>
    <w:p w14:paraId="04EC46A5">
      <w:pPr>
        <w:keepNext w:val="0"/>
        <w:keepLines w:val="0"/>
        <w:pageBreakBefore w:val="0"/>
        <w:widowControl w:val="0"/>
        <w:kinsoku/>
        <w:overflowPunct/>
        <w:autoSpaceDE/>
        <w:autoSpaceDN/>
        <w:bidi w:val="0"/>
        <w:adjustRightInd/>
        <w:snapToGrid/>
        <w:spacing w:line="5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保证金缴纳截止时间：2026年</w:t>
      </w:r>
      <w:r>
        <w:rPr>
          <w:rFonts w:hint="eastAsia" w:ascii="宋体" w:hAnsi="宋体" w:cs="宋体"/>
          <w:color w:val="auto"/>
          <w:szCs w:val="21"/>
          <w:highlight w:val="none"/>
          <w:lang w:val="en-US" w:eastAsia="zh-CN"/>
        </w:rPr>
        <w:t>8</w:t>
      </w:r>
      <w:r>
        <w:rPr>
          <w:rFonts w:hint="eastAsia" w:ascii="宋体" w:hAnsi="宋体" w:eastAsia="宋体" w:cs="宋体"/>
          <w:color w:val="auto"/>
          <w:szCs w:val="21"/>
          <w:highlight w:val="none"/>
          <w:lang w:val="en-US" w:eastAsia="zh-CN"/>
        </w:rPr>
        <w:t>月</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lang w:val="en-US" w:eastAsia="zh-CN"/>
        </w:rPr>
        <w:t>日09:30（北京时间）</w:t>
      </w:r>
    </w:p>
    <w:p w14:paraId="5C61755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360" w:right="0" w:firstLine="0"/>
        <w:jc w:val="left"/>
        <w:textAlignment w:val="auto"/>
        <w:rPr>
          <w:rFonts w:hint="eastAsia" w:ascii="宋体" w:hAnsi="宋体" w:eastAsia="宋体" w:cs="宋体"/>
          <w:b/>
          <w:bCs/>
          <w:i w:val="0"/>
          <w:iCs w:val="0"/>
          <w:caps w:val="0"/>
          <w:color w:val="auto"/>
          <w:spacing w:val="0"/>
          <w:sz w:val="24"/>
          <w:szCs w:val="24"/>
          <w:highlight w:val="none"/>
          <w:shd w:val="clear" w:fill="FFFFFF"/>
          <w:lang w:val="en-US" w:eastAsia="zh-CN"/>
        </w:rPr>
      </w:pPr>
      <w:r>
        <w:rPr>
          <w:rFonts w:hint="eastAsia" w:ascii="宋体" w:hAnsi="宋体" w:eastAsia="宋体" w:cs="宋体"/>
          <w:b/>
          <w:bCs/>
          <w:i w:val="0"/>
          <w:iCs w:val="0"/>
          <w:caps w:val="0"/>
          <w:color w:val="auto"/>
          <w:spacing w:val="0"/>
          <w:sz w:val="24"/>
          <w:szCs w:val="24"/>
          <w:highlight w:val="none"/>
          <w:shd w:val="clear" w:fill="FFFFFF"/>
          <w:lang w:val="en-US" w:eastAsia="zh-CN"/>
        </w:rPr>
        <w:t>七、公告期限</w:t>
      </w:r>
    </w:p>
    <w:p w14:paraId="3EAC38D3">
      <w:pPr>
        <w:keepNext w:val="0"/>
        <w:keepLines w:val="0"/>
        <w:pageBreakBefore w:val="0"/>
        <w:widowControl w:val="0"/>
        <w:kinsoku/>
        <w:overflowPunct/>
        <w:autoSpaceDE/>
        <w:autoSpaceDN/>
        <w:bidi w:val="0"/>
        <w:adjustRightInd/>
        <w:snapToGrid/>
        <w:spacing w:line="500" w:lineRule="exact"/>
        <w:ind w:firstLine="420" w:firstLineChars="20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自本公告发布之日起3个工作日。</w:t>
      </w:r>
    </w:p>
    <w:p w14:paraId="2681F54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360" w:right="0" w:firstLine="0"/>
        <w:jc w:val="left"/>
        <w:textAlignment w:val="auto"/>
        <w:rPr>
          <w:rFonts w:hint="eastAsia" w:ascii="宋体" w:hAnsi="宋体" w:eastAsia="宋体" w:cs="宋体"/>
          <w:b/>
          <w:bCs/>
          <w:i w:val="0"/>
          <w:iCs w:val="0"/>
          <w:caps w:val="0"/>
          <w:color w:val="auto"/>
          <w:spacing w:val="0"/>
          <w:sz w:val="24"/>
          <w:szCs w:val="24"/>
          <w:highlight w:val="none"/>
          <w:shd w:val="clear" w:fill="FFFFFF"/>
          <w:lang w:val="en-US" w:eastAsia="zh-CN"/>
        </w:rPr>
      </w:pPr>
      <w:r>
        <w:rPr>
          <w:rFonts w:hint="eastAsia" w:ascii="宋体" w:hAnsi="宋体" w:eastAsia="宋体" w:cs="宋体"/>
          <w:b/>
          <w:bCs/>
          <w:i w:val="0"/>
          <w:iCs w:val="0"/>
          <w:caps w:val="0"/>
          <w:color w:val="auto"/>
          <w:spacing w:val="0"/>
          <w:sz w:val="24"/>
          <w:szCs w:val="24"/>
          <w:highlight w:val="none"/>
          <w:shd w:val="clear" w:fill="FFFFFF"/>
          <w:lang w:val="en-US" w:eastAsia="zh-CN"/>
        </w:rPr>
        <w:t>八、其他补充事宜</w:t>
      </w:r>
    </w:p>
    <w:p w14:paraId="4426D164">
      <w:pPr>
        <w:keepNext w:val="0"/>
        <w:keepLines w:val="0"/>
        <w:pageBreakBefore w:val="0"/>
        <w:widowControl w:val="0"/>
        <w:kinsoku/>
        <w:wordWrap w:val="0"/>
        <w:overflowPunct/>
        <w:topLinePunct/>
        <w:autoSpaceDE/>
        <w:autoSpaceDN/>
        <w:bidi w:val="0"/>
        <w:adjustRightInd/>
        <w:snapToGrid/>
        <w:spacing w:line="5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1.本次</w:t>
      </w:r>
      <w:r>
        <w:rPr>
          <w:rFonts w:hint="eastAsia" w:ascii="宋体" w:hAnsi="宋体" w:cs="宋体"/>
          <w:color w:val="auto"/>
          <w:szCs w:val="21"/>
          <w:highlight w:val="none"/>
          <w:lang w:val="en-US" w:eastAsia="zh-CN"/>
        </w:rPr>
        <w:t>竞争性磋商</w:t>
      </w:r>
      <w:r>
        <w:rPr>
          <w:rFonts w:hint="eastAsia" w:ascii="宋体" w:hAnsi="宋体" w:cs="宋体"/>
          <w:color w:val="auto"/>
          <w:szCs w:val="21"/>
          <w:highlight w:val="none"/>
        </w:rPr>
        <w:t>公告在《云南省政府采购网》上发布，公告内容和时间以《云南省政府采购网》发布的</w:t>
      </w:r>
      <w:r>
        <w:rPr>
          <w:rFonts w:hint="eastAsia" w:ascii="宋体" w:hAnsi="宋体" w:eastAsia="宋体" w:cs="宋体"/>
          <w:color w:val="auto"/>
          <w:szCs w:val="21"/>
          <w:highlight w:val="none"/>
          <w:lang w:val="en-US" w:eastAsia="zh-CN"/>
        </w:rPr>
        <w:t>信息为准。2.保证金缴纳截止时间：同提交响应文件截止时间。3.各供应商应在开标前应确保成为政采云平台供应商，并完成CA数字证书申领。因未注册入库、未办理CA数字证书等原因造成无法投标或投标失败等后果由供应商自行承担。凡有意参加磋商的供应商，须在政采云平台办理数字证书（CA）CA申领链接：https://middle.zcygov.cn/ca/apply/list?_app_=zcy.sys，并通过政采云绑定数字证书（CA）后在网上获取采购文件及其它采购资料，数字证书（CA）详见其办理流程。4.供应商将政采云电子交易客户端下载、安装完成后，可通过账号密码或CA登录客户端进行响应文件的制作。在使用政采云投标客户端时，建议使用WIN7（64位）及以上操作系统。客户端请至政采云公司网站（https://edu.zcygov.cn/luban/yunnan-dzjy-gys）进行查看下载。如因供应商自身原因导致在规定时间内无法正常解密的（如：浏览器故障、未安装相关驱动、网络故障、加密CA与解密CA不一致等），采购人/</w:t>
      </w:r>
      <w:r>
        <w:rPr>
          <w:rFonts w:hint="eastAsia" w:ascii="宋体" w:hAnsi="宋体" w:cs="宋体"/>
          <w:color w:val="auto"/>
          <w:szCs w:val="21"/>
          <w:highlight w:val="none"/>
          <w:lang w:val="en-US" w:eastAsia="zh-CN"/>
        </w:rPr>
        <w:t>采购</w:t>
      </w:r>
      <w:r>
        <w:rPr>
          <w:rFonts w:hint="eastAsia" w:ascii="宋体" w:hAnsi="宋体" w:eastAsia="宋体" w:cs="宋体"/>
          <w:color w:val="auto"/>
          <w:szCs w:val="21"/>
          <w:highlight w:val="none"/>
          <w:lang w:val="en-US" w:eastAsia="zh-CN"/>
        </w:rPr>
        <w:t>代理机构不予异常处理，视为供应商自动弃标。5.本项目为不见面开标，磋商均在政采云平台进行，供应商保持通讯畅通，无需到达现场。6.本项目实行网上磋商，采用电子响应文件。7.本项目不接受进口产品参加磋商。8.相关联系电话：云南壹证通CA操作问题请致电：4000040628 云南壹证通CA紧急联系方式：19988166369 政采云客户服务热线：400-881-7190 云南CA联系电话：4006727666；云南CA紧急联系方式：15288315056。</w:t>
      </w:r>
    </w:p>
    <w:p w14:paraId="43438B0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360" w:right="0" w:firstLine="0"/>
        <w:jc w:val="left"/>
        <w:textAlignment w:val="auto"/>
        <w:rPr>
          <w:rFonts w:hint="eastAsia" w:ascii="宋体" w:hAnsi="宋体" w:eastAsia="宋体" w:cs="宋体"/>
          <w:b/>
          <w:bCs/>
          <w:i w:val="0"/>
          <w:iCs w:val="0"/>
          <w:caps w:val="0"/>
          <w:color w:val="auto"/>
          <w:spacing w:val="0"/>
          <w:sz w:val="24"/>
          <w:szCs w:val="24"/>
          <w:highlight w:val="none"/>
          <w:shd w:val="clear" w:fill="FFFFFF"/>
          <w:lang w:val="en-US" w:eastAsia="zh-CN"/>
        </w:rPr>
      </w:pPr>
      <w:r>
        <w:rPr>
          <w:rFonts w:hint="eastAsia" w:ascii="宋体" w:hAnsi="宋体" w:eastAsia="宋体" w:cs="宋体"/>
          <w:b/>
          <w:bCs/>
          <w:i w:val="0"/>
          <w:iCs w:val="0"/>
          <w:caps w:val="0"/>
          <w:color w:val="auto"/>
          <w:spacing w:val="0"/>
          <w:sz w:val="24"/>
          <w:szCs w:val="24"/>
          <w:highlight w:val="none"/>
          <w:shd w:val="clear" w:fill="FFFFFF"/>
          <w:lang w:val="en-US" w:eastAsia="zh-CN"/>
        </w:rPr>
        <w:t>九、对本次招标提出询问，请按以下方式联系</w:t>
      </w:r>
    </w:p>
    <w:p w14:paraId="0F028D1A">
      <w:pPr>
        <w:keepNext w:val="0"/>
        <w:keepLines w:val="0"/>
        <w:pageBreakBefore w:val="0"/>
        <w:widowControl w:val="0"/>
        <w:kinsoku/>
        <w:wordWrap w:val="0"/>
        <w:overflowPunct/>
        <w:topLinePunct/>
        <w:autoSpaceDE/>
        <w:autoSpaceDN/>
        <w:bidi w:val="0"/>
        <w:adjustRightInd/>
        <w:snapToGrid/>
        <w:spacing w:line="5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1.采购人信息</w:t>
      </w:r>
    </w:p>
    <w:p w14:paraId="4B9ECC26">
      <w:pPr>
        <w:keepNext w:val="0"/>
        <w:keepLines w:val="0"/>
        <w:pageBreakBefore w:val="0"/>
        <w:widowControl w:val="0"/>
        <w:kinsoku/>
        <w:wordWrap w:val="0"/>
        <w:overflowPunct/>
        <w:topLinePunct/>
        <w:autoSpaceDE/>
        <w:autoSpaceDN/>
        <w:bidi w:val="0"/>
        <w:adjustRightInd/>
        <w:snapToGrid/>
        <w:spacing w:line="5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名    称：巧家县人民医院</w:t>
      </w:r>
    </w:p>
    <w:p w14:paraId="122964E3">
      <w:pPr>
        <w:keepNext w:val="0"/>
        <w:keepLines w:val="0"/>
        <w:pageBreakBefore w:val="0"/>
        <w:widowControl w:val="0"/>
        <w:kinsoku/>
        <w:wordWrap w:val="0"/>
        <w:overflowPunct/>
        <w:topLinePunct/>
        <w:autoSpaceDE/>
        <w:autoSpaceDN/>
        <w:bidi w:val="0"/>
        <w:adjustRightInd/>
        <w:snapToGrid/>
        <w:spacing w:line="5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地    址：</w:t>
      </w:r>
      <w:r>
        <w:rPr>
          <w:rFonts w:hint="eastAsia" w:ascii="宋体" w:hAnsi="宋体" w:cs="宋体"/>
          <w:color w:val="auto"/>
          <w:szCs w:val="21"/>
          <w:highlight w:val="none"/>
          <w:lang w:val="en-US" w:eastAsia="zh-CN"/>
        </w:rPr>
        <w:t>昭通市</w:t>
      </w:r>
      <w:r>
        <w:rPr>
          <w:rFonts w:hint="eastAsia" w:ascii="宋体" w:hAnsi="宋体" w:eastAsia="宋体" w:cs="宋体"/>
          <w:color w:val="auto"/>
          <w:szCs w:val="21"/>
          <w:highlight w:val="none"/>
          <w:lang w:val="en-US" w:eastAsia="zh-CN"/>
        </w:rPr>
        <w:t>巧家县白鹤滩街道迤博社区堂琅大道北段</w:t>
      </w:r>
    </w:p>
    <w:p w14:paraId="43C58203">
      <w:pPr>
        <w:keepNext w:val="0"/>
        <w:keepLines w:val="0"/>
        <w:pageBreakBefore w:val="0"/>
        <w:widowControl w:val="0"/>
        <w:kinsoku/>
        <w:wordWrap w:val="0"/>
        <w:overflowPunct/>
        <w:topLinePunct/>
        <w:autoSpaceDE/>
        <w:autoSpaceDN/>
        <w:bidi w:val="0"/>
        <w:adjustRightInd/>
        <w:snapToGrid/>
        <w:spacing w:line="500" w:lineRule="exact"/>
        <w:ind w:firstLine="420" w:firstLineChars="20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项目联系人：王永崇</w:t>
      </w:r>
    </w:p>
    <w:p w14:paraId="6A496DE6">
      <w:pPr>
        <w:keepNext w:val="0"/>
        <w:keepLines w:val="0"/>
        <w:pageBreakBefore w:val="0"/>
        <w:widowControl w:val="0"/>
        <w:kinsoku/>
        <w:wordWrap w:val="0"/>
        <w:overflowPunct/>
        <w:topLinePunct/>
        <w:autoSpaceDE/>
        <w:autoSpaceDN/>
        <w:bidi w:val="0"/>
        <w:adjustRightInd/>
        <w:snapToGrid/>
        <w:spacing w:line="500" w:lineRule="exact"/>
        <w:ind w:firstLine="420" w:firstLineChars="20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联系方式：</w:t>
      </w:r>
      <w:r>
        <w:rPr>
          <w:rFonts w:hint="eastAsia" w:ascii="宋体" w:hAnsi="宋体" w:cs="宋体"/>
          <w:color w:val="auto"/>
          <w:szCs w:val="21"/>
          <w:highlight w:val="none"/>
          <w:lang w:val="en-US" w:eastAsia="zh-CN"/>
        </w:rPr>
        <w:tab/>
      </w:r>
    </w:p>
    <w:p w14:paraId="14224FE5">
      <w:pPr>
        <w:keepNext w:val="0"/>
        <w:keepLines w:val="0"/>
        <w:pageBreakBefore w:val="0"/>
        <w:widowControl w:val="0"/>
        <w:kinsoku/>
        <w:wordWrap w:val="0"/>
        <w:overflowPunct/>
        <w:topLinePunct/>
        <w:autoSpaceDE/>
        <w:autoSpaceDN/>
        <w:bidi w:val="0"/>
        <w:adjustRightInd/>
        <w:snapToGrid/>
        <w:spacing w:line="5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2.采购代理机构信息</w:t>
      </w:r>
    </w:p>
    <w:p w14:paraId="339E0ECD">
      <w:pPr>
        <w:keepNext w:val="0"/>
        <w:keepLines w:val="0"/>
        <w:pageBreakBefore w:val="0"/>
        <w:widowControl w:val="0"/>
        <w:kinsoku/>
        <w:wordWrap w:val="0"/>
        <w:overflowPunct/>
        <w:topLinePunct/>
        <w:autoSpaceDE/>
        <w:autoSpaceDN/>
        <w:bidi w:val="0"/>
        <w:adjustRightInd/>
        <w:snapToGrid/>
        <w:spacing w:line="5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名    称：云南辰胤工程项目管理有限公司</w:t>
      </w:r>
    </w:p>
    <w:p w14:paraId="546A255D">
      <w:pPr>
        <w:keepNext w:val="0"/>
        <w:keepLines w:val="0"/>
        <w:pageBreakBefore w:val="0"/>
        <w:widowControl w:val="0"/>
        <w:kinsoku/>
        <w:wordWrap w:val="0"/>
        <w:overflowPunct/>
        <w:topLinePunct/>
        <w:autoSpaceDE/>
        <w:autoSpaceDN/>
        <w:bidi w:val="0"/>
        <w:adjustRightInd/>
        <w:snapToGrid/>
        <w:spacing w:line="5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地　  址：云南省昆明市盘龙区穿金路727号春城商务中心8楼801室</w:t>
      </w:r>
    </w:p>
    <w:p w14:paraId="215600D8">
      <w:pPr>
        <w:keepNext w:val="0"/>
        <w:keepLines w:val="0"/>
        <w:pageBreakBefore w:val="0"/>
        <w:widowControl w:val="0"/>
        <w:kinsoku/>
        <w:wordWrap w:val="0"/>
        <w:overflowPunct/>
        <w:topLinePunct/>
        <w:autoSpaceDE/>
        <w:autoSpaceDN/>
        <w:bidi w:val="0"/>
        <w:adjustRightInd/>
        <w:snapToGrid/>
        <w:spacing w:line="500" w:lineRule="exact"/>
        <w:ind w:firstLine="420" w:firstLineChars="20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项目联系人：梁东、李源、李杰</w:t>
      </w:r>
    </w:p>
    <w:p w14:paraId="224F1CD0">
      <w:pPr>
        <w:keepNext w:val="0"/>
        <w:keepLines w:val="0"/>
        <w:pageBreakBefore w:val="0"/>
        <w:widowControl w:val="0"/>
        <w:kinsoku/>
        <w:wordWrap w:val="0"/>
        <w:overflowPunct/>
        <w:topLinePunct/>
        <w:autoSpaceDE/>
        <w:autoSpaceDN/>
        <w:bidi w:val="0"/>
        <w:adjustRightInd/>
        <w:snapToGrid/>
        <w:spacing w:line="500" w:lineRule="exact"/>
        <w:ind w:firstLine="420" w:firstLineChars="20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联系方式：0871-63527712、15198828010</w:t>
      </w:r>
    </w:p>
    <w:p w14:paraId="3A458D2C">
      <w:pPr>
        <w:keepNext w:val="0"/>
        <w:keepLines w:val="0"/>
        <w:pageBreakBefore w:val="0"/>
        <w:widowControl w:val="0"/>
        <w:kinsoku/>
        <w:wordWrap w:val="0"/>
        <w:overflowPunct/>
        <w:topLinePunct/>
        <w:autoSpaceDE/>
        <w:autoSpaceDN/>
        <w:bidi w:val="0"/>
        <w:adjustRightInd/>
        <w:snapToGrid/>
        <w:spacing w:line="500" w:lineRule="exact"/>
        <w:ind w:firstLine="420" w:firstLineChars="200"/>
        <w:textAlignment w:val="auto"/>
        <w:rPr>
          <w:rFonts w:hint="eastAsia" w:ascii="宋体" w:hAnsi="宋体" w:eastAsia="宋体" w:cs="宋体"/>
          <w:color w:val="auto"/>
          <w:szCs w:val="21"/>
          <w:highlight w:val="none"/>
          <w:lang w:val="en-US" w:eastAsia="zh-CN"/>
        </w:rPr>
        <w:sectPr>
          <w:footerReference r:id="rId5" w:type="default"/>
          <w:pgSz w:w="11905" w:h="16838"/>
          <w:pgMar w:top="1440" w:right="1134" w:bottom="1440" w:left="1134" w:header="850" w:footer="992" w:gutter="0"/>
          <w:pgBorders>
            <w:top w:val="none" w:sz="0" w:space="0"/>
            <w:left w:val="none" w:sz="0" w:space="0"/>
            <w:bottom w:val="none" w:sz="0" w:space="0"/>
            <w:right w:val="none" w:sz="0" w:space="0"/>
          </w:pgBorders>
          <w:pgNumType w:fmt="numberInDash"/>
          <w:cols w:space="720" w:num="1"/>
          <w:rtlGutter w:val="0"/>
          <w:docGrid w:type="lines" w:linePitch="332" w:charSpace="0"/>
        </w:sectPr>
      </w:pPr>
      <w:r>
        <w:rPr>
          <w:rFonts w:hint="eastAsia" w:ascii="宋体" w:hAnsi="宋体" w:eastAsia="宋体" w:cs="宋体"/>
          <w:color w:val="auto"/>
          <w:szCs w:val="21"/>
          <w:highlight w:val="none"/>
          <w:lang w:val="en-US" w:eastAsia="zh-CN"/>
        </w:rPr>
        <w:t>邮    箱：yncy999@126.com</w:t>
      </w:r>
    </w:p>
    <w:p w14:paraId="0A754AC8">
      <w:pPr>
        <w:pStyle w:val="3"/>
        <w:shd w:val="clear"/>
        <w:bidi w:val="0"/>
        <w:jc w:val="center"/>
        <w:rPr>
          <w:rFonts w:hint="eastAsia" w:ascii="黑体" w:hAnsi="黑体" w:eastAsia="黑体" w:cs="黑体"/>
          <w:b/>
          <w:bCs/>
          <w:color w:val="auto"/>
          <w:highlight w:val="none"/>
          <w:lang w:val="en-US" w:eastAsia="zh-CN"/>
        </w:rPr>
      </w:pPr>
      <w:bookmarkStart w:id="8" w:name="_Toc14908"/>
      <w:r>
        <w:rPr>
          <w:rFonts w:hint="eastAsia" w:ascii="黑体" w:hAnsi="黑体" w:eastAsia="黑体" w:cs="黑体"/>
          <w:b/>
          <w:bCs/>
          <w:color w:val="auto"/>
          <w:highlight w:val="none"/>
          <w:lang w:val="en-US" w:eastAsia="zh-CN"/>
        </w:rPr>
        <w:t>第二章  供应商须知</w:t>
      </w:r>
    </w:p>
    <w:bookmarkEnd w:id="5"/>
    <w:bookmarkEnd w:id="8"/>
    <w:p w14:paraId="558DFADD">
      <w:pPr>
        <w:pStyle w:val="4"/>
        <w:numPr>
          <w:ilvl w:val="0"/>
          <w:numId w:val="1"/>
        </w:numPr>
        <w:spacing w:line="276" w:lineRule="auto"/>
        <w:jc w:val="center"/>
        <w:rPr>
          <w:rFonts w:hint="eastAsia" w:ascii="黑体" w:hAnsi="黑体" w:cs="Times New Roman"/>
          <w:color w:val="auto"/>
          <w:highlight w:val="none"/>
        </w:rPr>
      </w:pPr>
      <w:r>
        <w:rPr>
          <w:rFonts w:hint="eastAsia" w:ascii="黑体" w:hAnsi="黑体" w:cs="Times New Roman"/>
          <w:color w:val="auto"/>
          <w:highlight w:val="none"/>
        </w:rPr>
        <w:t>供应商须知前附表</w:t>
      </w:r>
    </w:p>
    <w:tbl>
      <w:tblPr>
        <w:tblStyle w:val="73"/>
        <w:tblW w:w="9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2515"/>
        <w:gridCol w:w="6061"/>
      </w:tblGrid>
      <w:tr w14:paraId="3D8E4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1188" w:type="dxa"/>
            <w:noWrap w:val="0"/>
            <w:vAlign w:val="center"/>
          </w:tcPr>
          <w:p w14:paraId="50E6DDA6">
            <w:pPr>
              <w:autoSpaceDE w:val="0"/>
              <w:autoSpaceDN w:val="0"/>
              <w:adjustRightInd w:val="0"/>
              <w:snapToGrid w:val="0"/>
              <w:spacing w:line="276" w:lineRule="auto"/>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条款号</w:t>
            </w:r>
          </w:p>
        </w:tc>
        <w:tc>
          <w:tcPr>
            <w:tcW w:w="2515" w:type="dxa"/>
            <w:noWrap w:val="0"/>
            <w:vAlign w:val="center"/>
          </w:tcPr>
          <w:p w14:paraId="6C03B739">
            <w:pPr>
              <w:autoSpaceDE w:val="0"/>
              <w:autoSpaceDN w:val="0"/>
              <w:adjustRightInd w:val="0"/>
              <w:snapToGrid w:val="0"/>
              <w:spacing w:line="276" w:lineRule="auto"/>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条款名称</w:t>
            </w:r>
          </w:p>
        </w:tc>
        <w:tc>
          <w:tcPr>
            <w:tcW w:w="6061" w:type="dxa"/>
            <w:noWrap w:val="0"/>
            <w:vAlign w:val="center"/>
          </w:tcPr>
          <w:p w14:paraId="02CC64A0">
            <w:pPr>
              <w:autoSpaceDE w:val="0"/>
              <w:autoSpaceDN w:val="0"/>
              <w:adjustRightInd w:val="0"/>
              <w:snapToGrid w:val="0"/>
              <w:spacing w:line="276" w:lineRule="auto"/>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编列内容</w:t>
            </w:r>
          </w:p>
        </w:tc>
      </w:tr>
      <w:tr w14:paraId="44D54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noWrap w:val="0"/>
            <w:vAlign w:val="center"/>
          </w:tcPr>
          <w:p w14:paraId="73E37837">
            <w:pPr>
              <w:autoSpaceDE w:val="0"/>
              <w:autoSpaceDN w:val="0"/>
              <w:adjustRightInd w:val="0"/>
              <w:snapToGrid w:val="0"/>
              <w:spacing w:line="276"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REF _Ref527101463 \r \h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kern w:val="0"/>
                <w:sz w:val="21"/>
                <w:szCs w:val="21"/>
                <w:highlight w:val="none"/>
              </w:rPr>
              <w:t>1.7</w:t>
            </w:r>
            <w:r>
              <w:rPr>
                <w:rFonts w:hint="eastAsia" w:ascii="宋体" w:hAnsi="宋体" w:eastAsia="宋体" w:cs="宋体"/>
                <w:color w:val="auto"/>
                <w:kern w:val="0"/>
                <w:sz w:val="21"/>
                <w:szCs w:val="21"/>
                <w:highlight w:val="none"/>
              </w:rPr>
              <w:fldChar w:fldCharType="end"/>
            </w:r>
          </w:p>
        </w:tc>
        <w:tc>
          <w:tcPr>
            <w:tcW w:w="2515" w:type="dxa"/>
            <w:noWrap w:val="0"/>
            <w:vAlign w:val="center"/>
          </w:tcPr>
          <w:p w14:paraId="1ED3A388">
            <w:pPr>
              <w:autoSpaceDE w:val="0"/>
              <w:autoSpaceDN w:val="0"/>
              <w:adjustRightInd w:val="0"/>
              <w:snapToGrid w:val="0"/>
              <w:spacing w:line="276"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分包</w:t>
            </w:r>
          </w:p>
        </w:tc>
        <w:tc>
          <w:tcPr>
            <w:tcW w:w="6061" w:type="dxa"/>
            <w:noWrap w:val="0"/>
            <w:vAlign w:val="center"/>
          </w:tcPr>
          <w:p w14:paraId="4B902375">
            <w:pPr>
              <w:autoSpaceDE w:val="0"/>
              <w:autoSpaceDN w:val="0"/>
              <w:adjustRightInd w:val="0"/>
              <w:snapToGrid w:val="0"/>
              <w:spacing w:line="276"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不允许</w:t>
            </w:r>
          </w:p>
        </w:tc>
      </w:tr>
      <w:tr w14:paraId="07C79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noWrap w:val="0"/>
            <w:vAlign w:val="center"/>
          </w:tcPr>
          <w:p w14:paraId="0BD3604E">
            <w:pPr>
              <w:autoSpaceDE w:val="0"/>
              <w:autoSpaceDN w:val="0"/>
              <w:adjustRightInd w:val="0"/>
              <w:snapToGrid w:val="0"/>
              <w:spacing w:line="276"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REF _Ref527292580 \r \h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kern w:val="0"/>
                <w:sz w:val="21"/>
                <w:szCs w:val="21"/>
                <w:highlight w:val="none"/>
              </w:rPr>
              <w:t>1.12.1</w:t>
            </w:r>
            <w:r>
              <w:rPr>
                <w:rFonts w:hint="eastAsia" w:ascii="宋体" w:hAnsi="宋体" w:eastAsia="宋体" w:cs="宋体"/>
                <w:color w:val="auto"/>
                <w:kern w:val="0"/>
                <w:sz w:val="21"/>
                <w:szCs w:val="21"/>
                <w:highlight w:val="none"/>
              </w:rPr>
              <w:fldChar w:fldCharType="end"/>
            </w:r>
          </w:p>
        </w:tc>
        <w:tc>
          <w:tcPr>
            <w:tcW w:w="2515" w:type="dxa"/>
            <w:noWrap w:val="0"/>
            <w:vAlign w:val="center"/>
          </w:tcPr>
          <w:p w14:paraId="6D3D2B39">
            <w:pPr>
              <w:autoSpaceDE w:val="0"/>
              <w:autoSpaceDN w:val="0"/>
              <w:adjustRightInd w:val="0"/>
              <w:snapToGrid w:val="0"/>
              <w:spacing w:line="276"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现场踏勘</w:t>
            </w:r>
          </w:p>
        </w:tc>
        <w:tc>
          <w:tcPr>
            <w:tcW w:w="6061" w:type="dxa"/>
            <w:noWrap w:val="0"/>
            <w:vAlign w:val="center"/>
          </w:tcPr>
          <w:p w14:paraId="0868DC2B">
            <w:pPr>
              <w:autoSpaceDE w:val="0"/>
              <w:autoSpaceDN w:val="0"/>
              <w:adjustRightInd w:val="0"/>
              <w:snapToGrid w:val="0"/>
              <w:spacing w:line="276"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不组织</w:t>
            </w:r>
          </w:p>
        </w:tc>
      </w:tr>
      <w:tr w14:paraId="23A2A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noWrap w:val="0"/>
            <w:vAlign w:val="center"/>
          </w:tcPr>
          <w:p w14:paraId="591BDAF2">
            <w:pPr>
              <w:autoSpaceDE w:val="0"/>
              <w:autoSpaceDN w:val="0"/>
              <w:adjustRightInd w:val="0"/>
              <w:snapToGrid w:val="0"/>
              <w:spacing w:line="276"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REF _Ref527101604 \r \h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kern w:val="0"/>
                <w:sz w:val="21"/>
                <w:szCs w:val="21"/>
                <w:highlight w:val="none"/>
              </w:rPr>
              <w:t>2.2.2</w:t>
            </w:r>
            <w:r>
              <w:rPr>
                <w:rFonts w:hint="eastAsia" w:ascii="宋体" w:hAnsi="宋体" w:eastAsia="宋体" w:cs="宋体"/>
                <w:color w:val="auto"/>
                <w:kern w:val="0"/>
                <w:sz w:val="21"/>
                <w:szCs w:val="21"/>
                <w:highlight w:val="none"/>
              </w:rPr>
              <w:fldChar w:fldCharType="end"/>
            </w:r>
          </w:p>
        </w:tc>
        <w:tc>
          <w:tcPr>
            <w:tcW w:w="2515" w:type="dxa"/>
            <w:noWrap w:val="0"/>
            <w:vAlign w:val="center"/>
          </w:tcPr>
          <w:p w14:paraId="2F8C3477">
            <w:pPr>
              <w:autoSpaceDE w:val="0"/>
              <w:autoSpaceDN w:val="0"/>
              <w:adjustRightInd w:val="0"/>
              <w:snapToGrid w:val="0"/>
              <w:spacing w:line="276"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供应商询问或要求澄清的截止时间</w:t>
            </w:r>
          </w:p>
        </w:tc>
        <w:tc>
          <w:tcPr>
            <w:tcW w:w="6061" w:type="dxa"/>
            <w:noWrap w:val="0"/>
            <w:vAlign w:val="center"/>
          </w:tcPr>
          <w:p w14:paraId="4E5B0BB3">
            <w:pPr>
              <w:autoSpaceDE w:val="0"/>
              <w:autoSpaceDN w:val="0"/>
              <w:adjustRightInd w:val="0"/>
              <w:snapToGrid w:val="0"/>
              <w:spacing w:line="276"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提交首次响应文件截止之日3个工作日前。供应商应仔细阅读和检查釆购文件的全部内容。如发现缺页或附件不全，应及时向釆购人或</w:t>
            </w:r>
            <w:r>
              <w:rPr>
                <w:rFonts w:hint="eastAsia" w:ascii="宋体" w:hAnsi="宋体" w:cs="宋体"/>
                <w:color w:val="auto"/>
                <w:kern w:val="0"/>
                <w:sz w:val="21"/>
                <w:szCs w:val="21"/>
                <w:highlight w:val="none"/>
                <w:lang w:eastAsia="zh-CN"/>
              </w:rPr>
              <w:t>采购</w:t>
            </w:r>
            <w:r>
              <w:rPr>
                <w:rFonts w:hint="eastAsia" w:ascii="宋体" w:hAnsi="宋体" w:eastAsia="宋体" w:cs="宋体"/>
                <w:color w:val="auto"/>
                <w:kern w:val="0"/>
                <w:sz w:val="21"/>
                <w:szCs w:val="21"/>
                <w:highlight w:val="none"/>
              </w:rPr>
              <w:t>代理机构提出，以便补齐。如有疑问，应在供应商须知前附表规定的时间前在政釆云平台“询问列表”提出，要求釆购人或</w:t>
            </w:r>
            <w:r>
              <w:rPr>
                <w:rFonts w:hint="eastAsia" w:ascii="宋体" w:hAnsi="宋体" w:cs="宋体"/>
                <w:color w:val="auto"/>
                <w:kern w:val="0"/>
                <w:sz w:val="21"/>
                <w:szCs w:val="21"/>
                <w:highlight w:val="none"/>
                <w:lang w:eastAsia="zh-CN"/>
              </w:rPr>
              <w:t>采购</w:t>
            </w:r>
            <w:r>
              <w:rPr>
                <w:rFonts w:hint="eastAsia" w:ascii="宋体" w:hAnsi="宋体" w:eastAsia="宋体" w:cs="宋体"/>
                <w:color w:val="auto"/>
                <w:kern w:val="0"/>
                <w:sz w:val="21"/>
                <w:szCs w:val="21"/>
                <w:highlight w:val="none"/>
              </w:rPr>
              <w:t>代理机构对釆购文件予以澄清。</w:t>
            </w:r>
          </w:p>
        </w:tc>
      </w:tr>
      <w:tr w14:paraId="1FD81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noWrap w:val="0"/>
            <w:vAlign w:val="center"/>
          </w:tcPr>
          <w:p w14:paraId="728EA749">
            <w:pPr>
              <w:autoSpaceDE w:val="0"/>
              <w:autoSpaceDN w:val="0"/>
              <w:adjustRightInd w:val="0"/>
              <w:snapToGrid w:val="0"/>
              <w:spacing w:line="276"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REF _Ref527101721 \r \h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kern w:val="0"/>
                <w:sz w:val="21"/>
                <w:szCs w:val="21"/>
                <w:highlight w:val="none"/>
              </w:rPr>
              <w:t>2.3</w:t>
            </w:r>
            <w:r>
              <w:rPr>
                <w:rFonts w:hint="eastAsia" w:ascii="宋体" w:hAnsi="宋体" w:eastAsia="宋体" w:cs="宋体"/>
                <w:color w:val="auto"/>
                <w:kern w:val="0"/>
                <w:sz w:val="21"/>
                <w:szCs w:val="21"/>
                <w:highlight w:val="none"/>
              </w:rPr>
              <w:fldChar w:fldCharType="end"/>
            </w:r>
          </w:p>
        </w:tc>
        <w:tc>
          <w:tcPr>
            <w:tcW w:w="2515" w:type="dxa"/>
            <w:noWrap w:val="0"/>
            <w:vAlign w:val="center"/>
          </w:tcPr>
          <w:p w14:paraId="32971E04">
            <w:pPr>
              <w:autoSpaceDE w:val="0"/>
              <w:autoSpaceDN w:val="0"/>
              <w:adjustRightInd w:val="0"/>
              <w:snapToGrid w:val="0"/>
              <w:spacing w:line="276" w:lineRule="auto"/>
              <w:jc w:val="center"/>
              <w:outlineLvl w:val="0"/>
              <w:rPr>
                <w:rFonts w:hint="eastAsia" w:ascii="宋体" w:hAnsi="宋体" w:eastAsia="宋体" w:cs="宋体"/>
                <w:color w:val="auto"/>
                <w:kern w:val="0"/>
                <w:sz w:val="21"/>
                <w:szCs w:val="21"/>
                <w:highlight w:val="none"/>
              </w:rPr>
            </w:pPr>
            <w:bookmarkStart w:id="9" w:name="_Toc17239"/>
            <w:bookmarkStart w:id="10" w:name="_Toc75284950"/>
            <w:bookmarkStart w:id="11" w:name="_Toc17959"/>
            <w:bookmarkStart w:id="12" w:name="_Toc76381772"/>
            <w:bookmarkStart w:id="13" w:name="_Toc260"/>
            <w:r>
              <w:rPr>
                <w:rFonts w:hint="eastAsia" w:ascii="宋体" w:hAnsi="宋体" w:eastAsia="宋体" w:cs="宋体"/>
                <w:color w:val="auto"/>
                <w:kern w:val="0"/>
                <w:sz w:val="21"/>
                <w:szCs w:val="21"/>
                <w:highlight w:val="none"/>
              </w:rPr>
              <w:t>质疑函送达方式</w:t>
            </w:r>
            <w:bookmarkEnd w:id="9"/>
            <w:bookmarkEnd w:id="10"/>
            <w:bookmarkEnd w:id="11"/>
            <w:bookmarkEnd w:id="12"/>
            <w:bookmarkEnd w:id="13"/>
          </w:p>
        </w:tc>
        <w:tc>
          <w:tcPr>
            <w:tcW w:w="6061" w:type="dxa"/>
            <w:noWrap w:val="0"/>
            <w:vAlign w:val="center"/>
          </w:tcPr>
          <w:p w14:paraId="39E448AD">
            <w:pPr>
              <w:autoSpaceDE w:val="0"/>
              <w:autoSpaceDN w:val="0"/>
              <w:adjustRightInd w:val="0"/>
              <w:snapToGrid w:val="0"/>
              <w:spacing w:line="276"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质疑函应以书面形式送达（仅接收派人送达、邮寄送达质疑函原件两种方式）；质疑函的内容应当符合《政府采购质疑和投诉办法》的要求；质疑函按磋商文件第</w:t>
            </w:r>
            <w:r>
              <w:rPr>
                <w:rFonts w:hint="eastAsia" w:ascii="宋体" w:hAnsi="宋体" w:cs="宋体"/>
                <w:color w:val="auto"/>
                <w:kern w:val="0"/>
                <w:sz w:val="21"/>
                <w:szCs w:val="21"/>
                <w:highlight w:val="none"/>
                <w:lang w:eastAsia="zh-CN"/>
              </w:rPr>
              <w:t>六</w:t>
            </w:r>
            <w:r>
              <w:rPr>
                <w:rFonts w:hint="eastAsia" w:ascii="宋体" w:hAnsi="宋体" w:eastAsia="宋体" w:cs="宋体"/>
                <w:color w:val="auto"/>
                <w:kern w:val="0"/>
                <w:sz w:val="21"/>
                <w:szCs w:val="21"/>
                <w:highlight w:val="none"/>
              </w:rPr>
              <w:t>章提供的质疑函范本格式编写。</w:t>
            </w:r>
          </w:p>
          <w:p w14:paraId="458FC9DD">
            <w:pPr>
              <w:autoSpaceDE w:val="0"/>
              <w:autoSpaceDN w:val="0"/>
              <w:adjustRightInd w:val="0"/>
              <w:snapToGrid w:val="0"/>
              <w:spacing w:line="276" w:lineRule="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联系部门：</w:t>
            </w:r>
            <w:r>
              <w:rPr>
                <w:rFonts w:hint="eastAsia" w:ascii="宋体" w:hAnsi="宋体" w:eastAsia="宋体" w:cs="宋体"/>
                <w:color w:val="auto"/>
                <w:kern w:val="0"/>
                <w:sz w:val="21"/>
                <w:szCs w:val="21"/>
                <w:highlight w:val="none"/>
                <w:lang w:eastAsia="zh-CN"/>
              </w:rPr>
              <w:t>云南辰胤工程项目管理有限公司</w:t>
            </w:r>
          </w:p>
          <w:p w14:paraId="1D1DEE13">
            <w:pPr>
              <w:autoSpaceDE w:val="0"/>
              <w:autoSpaceDN w:val="0"/>
              <w:adjustRightInd w:val="0"/>
              <w:snapToGrid w:val="0"/>
              <w:spacing w:line="276"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联系人：</w:t>
            </w:r>
            <w:r>
              <w:rPr>
                <w:rFonts w:hint="eastAsia" w:ascii="宋体" w:hAnsi="宋体" w:eastAsia="宋体" w:cs="宋体"/>
                <w:color w:val="auto"/>
                <w:kern w:val="2"/>
                <w:sz w:val="21"/>
                <w:szCs w:val="21"/>
                <w:highlight w:val="none"/>
                <w:u w:val="none"/>
                <w:lang w:val="en-US" w:eastAsia="zh-CN" w:bidi="ar"/>
              </w:rPr>
              <w:t>梁东、</w:t>
            </w:r>
            <w:r>
              <w:rPr>
                <w:rFonts w:hint="eastAsia" w:cs="宋体"/>
                <w:color w:val="auto"/>
                <w:kern w:val="2"/>
                <w:sz w:val="21"/>
                <w:szCs w:val="21"/>
                <w:highlight w:val="none"/>
                <w:u w:val="none"/>
                <w:lang w:val="en-US" w:eastAsia="zh-CN" w:bidi="ar"/>
              </w:rPr>
              <w:t>李源、</w:t>
            </w:r>
            <w:r>
              <w:rPr>
                <w:rFonts w:hint="eastAsia" w:ascii="宋体" w:hAnsi="宋体" w:eastAsia="宋体" w:cs="宋体"/>
                <w:color w:val="auto"/>
                <w:kern w:val="2"/>
                <w:sz w:val="21"/>
                <w:szCs w:val="21"/>
                <w:highlight w:val="none"/>
                <w:u w:val="none"/>
                <w:lang w:val="en-US" w:eastAsia="zh-CN" w:bidi="ar"/>
              </w:rPr>
              <w:t>李杰</w:t>
            </w:r>
          </w:p>
          <w:p w14:paraId="50134EA1">
            <w:pPr>
              <w:autoSpaceDE w:val="0"/>
              <w:autoSpaceDN w:val="0"/>
              <w:adjustRightInd w:val="0"/>
              <w:snapToGrid w:val="0"/>
              <w:spacing w:line="276" w:lineRule="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联系电话：</w:t>
            </w:r>
            <w:r>
              <w:rPr>
                <w:rFonts w:hint="eastAsia" w:ascii="宋体" w:hAnsi="宋体" w:eastAsia="宋体" w:cs="宋体"/>
                <w:color w:val="auto"/>
                <w:kern w:val="2"/>
                <w:sz w:val="21"/>
                <w:szCs w:val="21"/>
                <w:highlight w:val="none"/>
                <w:u w:val="none"/>
                <w:lang w:val="en-US" w:eastAsia="zh-CN" w:bidi="ar"/>
              </w:rPr>
              <w:t>0871-63527712、15198828010</w:t>
            </w:r>
          </w:p>
          <w:p w14:paraId="56ED6CEF">
            <w:pPr>
              <w:autoSpaceDE w:val="0"/>
              <w:autoSpaceDN w:val="0"/>
              <w:adjustRightInd w:val="0"/>
              <w:snapToGrid w:val="0"/>
              <w:spacing w:line="276"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通信地址：</w:t>
            </w:r>
            <w:r>
              <w:rPr>
                <w:rFonts w:hint="eastAsia" w:ascii="宋体" w:hAnsi="宋体" w:eastAsia="宋体" w:cs="宋体"/>
                <w:color w:val="auto"/>
                <w:kern w:val="2"/>
                <w:sz w:val="21"/>
                <w:szCs w:val="21"/>
                <w:highlight w:val="none"/>
                <w:u w:val="none"/>
                <w:lang w:val="en-US" w:eastAsia="zh-CN" w:bidi="ar"/>
              </w:rPr>
              <w:t>云南省昆明市盘龙区穿金路727号春城商务中心8楼801室</w:t>
            </w:r>
          </w:p>
        </w:tc>
      </w:tr>
      <w:tr w14:paraId="4758B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noWrap w:val="0"/>
            <w:vAlign w:val="center"/>
          </w:tcPr>
          <w:p w14:paraId="3B0694D5">
            <w:pPr>
              <w:autoSpaceDE w:val="0"/>
              <w:autoSpaceDN w:val="0"/>
              <w:adjustRightInd w:val="0"/>
              <w:snapToGrid w:val="0"/>
              <w:spacing w:line="276"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REF _Ref527102185 \r \h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kern w:val="0"/>
                <w:sz w:val="21"/>
                <w:szCs w:val="21"/>
                <w:highlight w:val="none"/>
              </w:rPr>
              <w:t>3.</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rPr>
              <w:fldChar w:fldCharType="end"/>
            </w:r>
          </w:p>
        </w:tc>
        <w:tc>
          <w:tcPr>
            <w:tcW w:w="2515" w:type="dxa"/>
            <w:noWrap w:val="0"/>
            <w:vAlign w:val="center"/>
          </w:tcPr>
          <w:p w14:paraId="640BD41D">
            <w:pPr>
              <w:autoSpaceDE w:val="0"/>
              <w:autoSpaceDN w:val="0"/>
              <w:adjustRightInd w:val="0"/>
              <w:snapToGrid w:val="0"/>
              <w:spacing w:line="276" w:lineRule="auto"/>
              <w:jc w:val="center"/>
              <w:outlineLvl w:val="0"/>
              <w:rPr>
                <w:rFonts w:hint="eastAsia" w:ascii="宋体" w:hAnsi="宋体" w:eastAsia="宋体" w:cs="宋体"/>
                <w:color w:val="auto"/>
                <w:kern w:val="0"/>
                <w:sz w:val="21"/>
                <w:szCs w:val="21"/>
                <w:highlight w:val="none"/>
              </w:rPr>
            </w:pPr>
            <w:bookmarkStart w:id="14" w:name="_Toc31883"/>
            <w:bookmarkStart w:id="15" w:name="_Toc2261"/>
            <w:bookmarkStart w:id="16" w:name="_Toc11080"/>
            <w:bookmarkStart w:id="17" w:name="_Toc75284951"/>
            <w:bookmarkStart w:id="18" w:name="_Toc76381773"/>
            <w:r>
              <w:rPr>
                <w:rFonts w:hint="eastAsia" w:ascii="宋体" w:hAnsi="宋体" w:eastAsia="宋体" w:cs="宋体"/>
                <w:color w:val="auto"/>
                <w:kern w:val="0"/>
                <w:sz w:val="21"/>
                <w:szCs w:val="21"/>
                <w:highlight w:val="none"/>
              </w:rPr>
              <w:t>响应文件有效期</w:t>
            </w:r>
            <w:bookmarkEnd w:id="14"/>
            <w:bookmarkEnd w:id="15"/>
            <w:bookmarkEnd w:id="16"/>
            <w:bookmarkEnd w:id="17"/>
            <w:bookmarkEnd w:id="18"/>
          </w:p>
        </w:tc>
        <w:tc>
          <w:tcPr>
            <w:tcW w:w="6061" w:type="dxa"/>
            <w:noWrap w:val="0"/>
            <w:vAlign w:val="center"/>
          </w:tcPr>
          <w:p w14:paraId="74201AC7">
            <w:pPr>
              <w:autoSpaceDE w:val="0"/>
              <w:autoSpaceDN w:val="0"/>
              <w:adjustRightInd w:val="0"/>
              <w:snapToGrid w:val="0"/>
              <w:spacing w:line="276"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提交响应文件截止之日起90天。</w:t>
            </w:r>
          </w:p>
        </w:tc>
      </w:tr>
      <w:tr w14:paraId="71B89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188" w:type="dxa"/>
            <w:noWrap w:val="0"/>
            <w:vAlign w:val="center"/>
          </w:tcPr>
          <w:p w14:paraId="76A3B75F">
            <w:pPr>
              <w:autoSpaceDE w:val="0"/>
              <w:autoSpaceDN w:val="0"/>
              <w:adjustRightInd w:val="0"/>
              <w:snapToGrid w:val="0"/>
              <w:spacing w:line="276"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REF _Ref419361076 \r \h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kern w:val="0"/>
                <w:sz w:val="21"/>
                <w:szCs w:val="21"/>
                <w:highlight w:val="none"/>
              </w:rPr>
              <w:t>3.</w:t>
            </w:r>
            <w:r>
              <w:rPr>
                <w:rFonts w:hint="eastAsia" w:ascii="宋体" w:hAnsi="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rPr>
              <w:fldChar w:fldCharType="end"/>
            </w:r>
          </w:p>
        </w:tc>
        <w:tc>
          <w:tcPr>
            <w:tcW w:w="2515" w:type="dxa"/>
            <w:noWrap w:val="0"/>
            <w:vAlign w:val="center"/>
          </w:tcPr>
          <w:p w14:paraId="71DA3A52">
            <w:pPr>
              <w:autoSpaceDE w:val="0"/>
              <w:autoSpaceDN w:val="0"/>
              <w:adjustRightInd w:val="0"/>
              <w:snapToGrid w:val="0"/>
              <w:spacing w:line="276" w:lineRule="auto"/>
              <w:jc w:val="center"/>
              <w:outlineLvl w:val="0"/>
              <w:rPr>
                <w:rFonts w:hint="eastAsia" w:ascii="宋体" w:hAnsi="宋体" w:eastAsia="宋体" w:cs="宋体"/>
                <w:color w:val="auto"/>
                <w:kern w:val="0"/>
                <w:sz w:val="21"/>
                <w:szCs w:val="21"/>
                <w:highlight w:val="none"/>
              </w:rPr>
            </w:pPr>
            <w:bookmarkStart w:id="19" w:name="_Toc75284952"/>
            <w:bookmarkStart w:id="20" w:name="_Toc15064"/>
            <w:bookmarkStart w:id="21" w:name="_Toc9311"/>
            <w:bookmarkStart w:id="22" w:name="_Toc76381774"/>
            <w:bookmarkStart w:id="23" w:name="_Toc12218"/>
            <w:r>
              <w:rPr>
                <w:rFonts w:hint="eastAsia" w:ascii="宋体" w:hAnsi="宋体" w:eastAsia="宋体" w:cs="宋体"/>
                <w:color w:val="auto"/>
                <w:kern w:val="0"/>
                <w:sz w:val="21"/>
                <w:szCs w:val="21"/>
                <w:highlight w:val="none"/>
              </w:rPr>
              <w:t>磋商保证金</w:t>
            </w:r>
            <w:bookmarkEnd w:id="19"/>
            <w:bookmarkEnd w:id="20"/>
            <w:bookmarkEnd w:id="21"/>
            <w:bookmarkEnd w:id="22"/>
            <w:bookmarkEnd w:id="23"/>
          </w:p>
        </w:tc>
        <w:tc>
          <w:tcPr>
            <w:tcW w:w="6061" w:type="dxa"/>
            <w:noWrap w:val="0"/>
            <w:vAlign w:val="center"/>
          </w:tcPr>
          <w:p w14:paraId="7B1CE648">
            <w:pPr>
              <w:autoSpaceDE w:val="0"/>
              <w:autoSpaceDN w:val="0"/>
              <w:adjustRightInd w:val="0"/>
              <w:snapToGrid w:val="0"/>
              <w:spacing w:after="159" w:afterLines="50" w:line="276"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1.磋商保证金：人民币</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000元（大写：</w:t>
            </w:r>
            <w:r>
              <w:rPr>
                <w:rFonts w:hint="eastAsia" w:ascii="宋体" w:hAnsi="宋体" w:cs="宋体"/>
                <w:color w:val="auto"/>
                <w:sz w:val="21"/>
                <w:szCs w:val="21"/>
                <w:highlight w:val="none"/>
                <w:lang w:eastAsia="zh-CN"/>
              </w:rPr>
              <w:t>壹万</w:t>
            </w:r>
            <w:r>
              <w:rPr>
                <w:rFonts w:hint="eastAsia" w:ascii="宋体" w:hAnsi="宋体" w:eastAsia="宋体" w:cs="宋体"/>
                <w:color w:val="auto"/>
                <w:sz w:val="21"/>
                <w:szCs w:val="21"/>
                <w:highlight w:val="none"/>
              </w:rPr>
              <w:t>元整）。根据《中华人民共和国政府采购</w:t>
            </w:r>
            <w:r>
              <w:rPr>
                <w:rFonts w:hint="eastAsia" w:ascii="宋体" w:hAnsi="宋体" w:eastAsia="宋体" w:cs="宋体"/>
                <w:color w:val="auto"/>
                <w:sz w:val="21"/>
                <w:szCs w:val="21"/>
                <w:highlight w:val="none"/>
                <w:lang w:val="en-US" w:eastAsia="zh-CN"/>
              </w:rPr>
              <w:t>法</w:t>
            </w:r>
            <w:r>
              <w:rPr>
                <w:rFonts w:hint="eastAsia" w:ascii="宋体" w:hAnsi="宋体" w:eastAsia="宋体" w:cs="宋体"/>
                <w:color w:val="auto"/>
                <w:sz w:val="21"/>
                <w:szCs w:val="21"/>
                <w:highlight w:val="none"/>
              </w:rPr>
              <w:t>实施条例》</w:t>
            </w:r>
            <w:r>
              <w:rPr>
                <w:rFonts w:hint="eastAsia" w:ascii="宋体" w:hAnsi="宋体" w:eastAsia="宋体" w:cs="宋体"/>
                <w:color w:val="auto"/>
                <w:sz w:val="21"/>
                <w:szCs w:val="21"/>
                <w:highlight w:val="none"/>
                <w:lang w:val="en-US" w:eastAsia="zh-CN"/>
              </w:rPr>
              <w:t>的规定，</w:t>
            </w:r>
            <w:r>
              <w:rPr>
                <w:rFonts w:hint="eastAsia" w:ascii="宋体" w:hAnsi="宋体" w:eastAsia="宋体" w:cs="宋体"/>
                <w:color w:val="auto"/>
                <w:sz w:val="21"/>
                <w:szCs w:val="21"/>
                <w:highlight w:val="none"/>
              </w:rPr>
              <w:t>本项目可以收取保证金</w:t>
            </w:r>
            <w:r>
              <w:rPr>
                <w:rFonts w:hint="eastAsia" w:ascii="宋体" w:hAnsi="宋体" w:cs="宋体"/>
                <w:color w:val="auto"/>
                <w:sz w:val="21"/>
                <w:szCs w:val="21"/>
                <w:highlight w:val="none"/>
                <w:lang w:val="en-US" w:eastAsia="zh-CN"/>
              </w:rPr>
              <w:t>2.56</w:t>
            </w:r>
            <w:r>
              <w:rPr>
                <w:rFonts w:hint="eastAsia" w:ascii="宋体" w:hAnsi="宋体" w:eastAsia="宋体" w:cs="宋体"/>
                <w:color w:val="auto"/>
                <w:sz w:val="21"/>
                <w:szCs w:val="21"/>
                <w:highlight w:val="none"/>
                <w:lang w:val="en-US" w:eastAsia="zh-CN"/>
              </w:rPr>
              <w:t>万元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根据《云南省发展和改革委员会等部门关于鼓励减免政府投资项目</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保证金的通知》（云发改交易管理〔2023〕397号）</w:t>
            </w:r>
            <w:r>
              <w:rPr>
                <w:rFonts w:hint="eastAsia" w:ascii="宋体" w:hAnsi="宋体" w:eastAsia="宋体" w:cs="宋体"/>
                <w:color w:val="auto"/>
                <w:sz w:val="21"/>
                <w:szCs w:val="21"/>
                <w:highlight w:val="none"/>
                <w:lang w:val="en-US" w:eastAsia="zh-CN"/>
              </w:rPr>
              <w:t>的要求</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减免磋商保证金，本项目保证金降幅</w:t>
            </w:r>
            <w:r>
              <w:rPr>
                <w:rFonts w:hint="eastAsia" w:ascii="宋体" w:hAnsi="宋体" w:cs="宋体"/>
                <w:color w:val="auto"/>
                <w:sz w:val="21"/>
                <w:szCs w:val="21"/>
                <w:highlight w:val="none"/>
                <w:lang w:val="en-US" w:eastAsia="zh-CN"/>
              </w:rPr>
              <w:t>60.94%。</w:t>
            </w:r>
          </w:p>
          <w:p w14:paraId="33221149">
            <w:pPr>
              <w:autoSpaceDE w:val="0"/>
              <w:autoSpaceDN w:val="0"/>
              <w:adjustRightInd w:val="0"/>
              <w:snapToGrid w:val="0"/>
              <w:spacing w:after="159" w:afterLines="50" w:line="276"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2.磋商保证金的形式：支票、汇票、本票、网上银行支付或者金融机构、担保机构出具的保函、保证保险等非现金形式。</w:t>
            </w:r>
            <w:r>
              <w:rPr>
                <w:rFonts w:hint="eastAsia" w:ascii="宋体" w:hAnsi="宋体" w:cs="宋体"/>
                <w:color w:val="auto"/>
                <w:sz w:val="21"/>
                <w:szCs w:val="21"/>
                <w:highlight w:val="none"/>
                <w:lang w:eastAsia="zh-CN"/>
              </w:rPr>
              <w:t>具体缴纳形式见第一章“竞争性磋商公告”。</w:t>
            </w:r>
          </w:p>
          <w:p w14:paraId="602D76F1">
            <w:pPr>
              <w:autoSpaceDE w:val="0"/>
              <w:autoSpaceDN w:val="0"/>
              <w:adjustRightInd w:val="0"/>
              <w:snapToGrid w:val="0"/>
              <w:spacing w:after="159" w:afterLines="50"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3.磋商保证金交纳时间：以专项账户实际到账时间为准，到账截止时间为磋商截止时间，未按时到账的保证金无效。</w:t>
            </w:r>
          </w:p>
          <w:p w14:paraId="19BE0C86">
            <w:pPr>
              <w:autoSpaceDE w:val="0"/>
              <w:autoSpaceDN w:val="0"/>
              <w:adjustRightInd w:val="0"/>
              <w:snapToGrid w:val="0"/>
              <w:spacing w:after="159" w:afterLines="50" w:line="276"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注意事项：</w:t>
            </w:r>
          </w:p>
          <w:p w14:paraId="611EA1D2">
            <w:pPr>
              <w:autoSpaceDE w:val="0"/>
              <w:autoSpaceDN w:val="0"/>
              <w:adjustRightInd w:val="0"/>
              <w:snapToGrid w:val="0"/>
              <w:spacing w:after="159" w:afterLines="50"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供应商按照竞争性磋商文件规定的磋商保证金数额，自行转账到</w:t>
            </w:r>
            <w:r>
              <w:rPr>
                <w:rFonts w:hint="eastAsia" w:ascii="宋体" w:hAnsi="宋体" w:eastAsia="宋体" w:cs="宋体"/>
                <w:color w:val="auto"/>
                <w:sz w:val="21"/>
                <w:szCs w:val="21"/>
                <w:highlight w:val="none"/>
                <w:lang w:val="en-US" w:eastAsia="zh-CN"/>
              </w:rPr>
              <w:t>竞争性磋商文件载明的保证金递交</w:t>
            </w:r>
            <w:r>
              <w:rPr>
                <w:rFonts w:hint="eastAsia" w:ascii="宋体" w:hAnsi="宋体" w:eastAsia="宋体" w:cs="宋体"/>
                <w:color w:val="auto"/>
                <w:sz w:val="21"/>
                <w:szCs w:val="21"/>
                <w:highlight w:val="none"/>
              </w:rPr>
              <w:t>账户，请注意以下事项：</w:t>
            </w:r>
          </w:p>
          <w:p w14:paraId="2C1F4BAB">
            <w:pPr>
              <w:autoSpaceDE w:val="0"/>
              <w:autoSpaceDN w:val="0"/>
              <w:adjustRightInd w:val="0"/>
              <w:snapToGrid w:val="0"/>
              <w:spacing w:after="159" w:afterLines="50" w:line="276"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磋商保证金必须从供应商账户转出；</w:t>
            </w:r>
          </w:p>
          <w:p w14:paraId="2D1EDD80">
            <w:pPr>
              <w:autoSpaceDE w:val="0"/>
              <w:autoSpaceDN w:val="0"/>
              <w:adjustRightInd w:val="0"/>
              <w:snapToGrid w:val="0"/>
              <w:spacing w:after="159" w:afterLines="50" w:line="276"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本项目不接受供应商以现金形式提交磋商保证金；</w:t>
            </w:r>
          </w:p>
          <w:p w14:paraId="76D858DC">
            <w:pPr>
              <w:autoSpaceDE w:val="0"/>
              <w:autoSpaceDN w:val="0"/>
              <w:adjustRightInd w:val="0"/>
              <w:snapToGrid w:val="0"/>
              <w:spacing w:after="159" w:afterLines="50" w:line="276"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保证金截止时间为磋商截止时间，到账时间以保证金账户实际到账时间为准，未按时到账的保证金无效；</w:t>
            </w:r>
          </w:p>
          <w:p w14:paraId="40278791">
            <w:pPr>
              <w:autoSpaceDE w:val="0"/>
              <w:autoSpaceDN w:val="0"/>
              <w:adjustRightInd w:val="0"/>
              <w:snapToGrid w:val="0"/>
              <w:spacing w:after="159" w:afterLines="50" w:line="276"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请供应商在汇款时务必注明</w:t>
            </w:r>
            <w:r>
              <w:rPr>
                <w:rFonts w:hint="eastAsia" w:ascii="宋体" w:hAnsi="宋体" w:eastAsia="宋体" w:cs="宋体"/>
                <w:b/>
                <w:bCs/>
                <w:color w:val="auto"/>
                <w:sz w:val="21"/>
                <w:szCs w:val="21"/>
                <w:highlight w:val="none"/>
              </w:rPr>
              <w:t>采购文件编号</w:t>
            </w:r>
            <w:r>
              <w:rPr>
                <w:rFonts w:hint="eastAsia" w:ascii="宋体" w:hAnsi="宋体" w:eastAsia="宋体" w:cs="宋体"/>
                <w:color w:val="auto"/>
                <w:sz w:val="21"/>
                <w:szCs w:val="21"/>
                <w:highlight w:val="none"/>
              </w:rPr>
              <w:t>，否则，因款项用途不明导致磋商无效等后果由供应商自行承担；</w:t>
            </w:r>
          </w:p>
          <w:p w14:paraId="03DA5967">
            <w:pPr>
              <w:autoSpaceDE w:val="0"/>
              <w:autoSpaceDN w:val="0"/>
              <w:adjustRightInd w:val="0"/>
              <w:snapToGrid w:val="0"/>
              <w:spacing w:after="159" w:afterLines="50" w:line="276"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磋商保证金有效期与</w:t>
            </w:r>
            <w:r>
              <w:rPr>
                <w:rFonts w:hint="eastAsia" w:ascii="宋体" w:hAnsi="宋体" w:cs="宋体"/>
                <w:color w:val="auto"/>
                <w:sz w:val="21"/>
                <w:szCs w:val="21"/>
                <w:highlight w:val="none"/>
                <w:lang w:eastAsia="zh-CN"/>
              </w:rPr>
              <w:t>响应</w:t>
            </w:r>
            <w:r>
              <w:rPr>
                <w:rFonts w:hint="eastAsia" w:ascii="宋体" w:hAnsi="宋体" w:eastAsia="宋体" w:cs="宋体"/>
                <w:color w:val="auto"/>
                <w:sz w:val="21"/>
                <w:szCs w:val="21"/>
                <w:highlight w:val="none"/>
              </w:rPr>
              <w:t>有效期一致</w:t>
            </w:r>
            <w:r>
              <w:rPr>
                <w:rFonts w:hint="eastAsia" w:ascii="宋体" w:hAnsi="宋体" w:cs="宋体"/>
                <w:color w:val="auto"/>
                <w:sz w:val="21"/>
                <w:szCs w:val="21"/>
                <w:highlight w:val="none"/>
                <w:lang w:eastAsia="zh-CN"/>
              </w:rPr>
              <w:t>；</w:t>
            </w:r>
          </w:p>
          <w:p w14:paraId="4636AEF5">
            <w:pPr>
              <w:autoSpaceDE w:val="0"/>
              <w:autoSpaceDN w:val="0"/>
              <w:adjustRightInd w:val="0"/>
              <w:snapToGrid w:val="0"/>
              <w:spacing w:after="159" w:afterLines="50" w:line="276"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采购项目有投诉等特殊情况时，在特殊情况处理期间，暂缓退还所有供应商的磋商保证金</w:t>
            </w:r>
            <w:r>
              <w:rPr>
                <w:rFonts w:hint="eastAsia" w:ascii="宋体" w:hAnsi="宋体" w:cs="宋体"/>
                <w:color w:val="auto"/>
                <w:sz w:val="21"/>
                <w:szCs w:val="21"/>
                <w:highlight w:val="none"/>
                <w:lang w:eastAsia="zh-CN"/>
              </w:rPr>
              <w:t>；</w:t>
            </w:r>
          </w:p>
          <w:p w14:paraId="5124C2B0">
            <w:pPr>
              <w:autoSpaceDE w:val="0"/>
              <w:autoSpaceDN w:val="0"/>
              <w:adjustRightInd w:val="0"/>
              <w:snapToGrid w:val="0"/>
              <w:spacing w:after="159" w:afterLines="50" w:line="276"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磋商保证金不予退还的情形：</w:t>
            </w:r>
          </w:p>
          <w:p w14:paraId="706AB858">
            <w:pPr>
              <w:autoSpaceDE w:val="0"/>
              <w:autoSpaceDN w:val="0"/>
              <w:adjustRightInd w:val="0"/>
              <w:snapToGrid w:val="0"/>
              <w:spacing w:after="159" w:afterLines="50"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1）供应商在</w:t>
            </w:r>
            <w:r>
              <w:rPr>
                <w:rFonts w:hint="eastAsia" w:ascii="宋体" w:hAnsi="宋体" w:cs="宋体"/>
                <w:color w:val="auto"/>
                <w:sz w:val="21"/>
                <w:szCs w:val="21"/>
                <w:highlight w:val="none"/>
                <w:lang w:eastAsia="zh-CN"/>
              </w:rPr>
              <w:t>响应</w:t>
            </w:r>
            <w:r>
              <w:rPr>
                <w:rFonts w:hint="eastAsia" w:ascii="宋体" w:hAnsi="宋体" w:eastAsia="宋体" w:cs="宋体"/>
                <w:color w:val="auto"/>
                <w:sz w:val="21"/>
                <w:szCs w:val="21"/>
                <w:highlight w:val="none"/>
              </w:rPr>
              <w:t>有效期内撤销或修改其响应文件；</w:t>
            </w:r>
          </w:p>
          <w:p w14:paraId="4259434C">
            <w:pPr>
              <w:autoSpaceDE w:val="0"/>
              <w:autoSpaceDN w:val="0"/>
              <w:adjustRightInd w:val="0"/>
              <w:snapToGrid w:val="0"/>
              <w:spacing w:after="159" w:afterLines="50"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2）成交人无正当理由不与采购人订立合同，或在签订合同时向采购人提出附加条件，或未按竞争性磋商文件要求提交履约保证金的；</w:t>
            </w:r>
          </w:p>
          <w:p w14:paraId="7948ED91">
            <w:pPr>
              <w:autoSpaceDE w:val="0"/>
              <w:autoSpaceDN w:val="0"/>
              <w:adjustRightInd w:val="0"/>
              <w:snapToGrid w:val="0"/>
              <w:spacing w:after="159" w:afterLines="50" w:line="276"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3）经查实，供应商在磋商过程中串通</w:t>
            </w:r>
            <w:r>
              <w:rPr>
                <w:rFonts w:hint="eastAsia" w:ascii="宋体" w:hAnsi="宋体" w:cs="宋体"/>
                <w:color w:val="auto"/>
                <w:sz w:val="21"/>
                <w:szCs w:val="21"/>
                <w:highlight w:val="none"/>
                <w:lang w:eastAsia="zh-CN"/>
              </w:rPr>
              <w:t>投标</w:t>
            </w:r>
            <w:r>
              <w:rPr>
                <w:rFonts w:hint="eastAsia" w:ascii="宋体" w:hAnsi="宋体" w:eastAsia="宋体" w:cs="宋体"/>
                <w:color w:val="auto"/>
                <w:sz w:val="21"/>
                <w:szCs w:val="21"/>
                <w:highlight w:val="none"/>
              </w:rPr>
              <w:t>或弄虚作假的</w:t>
            </w:r>
            <w:r>
              <w:rPr>
                <w:rFonts w:hint="eastAsia" w:ascii="宋体" w:hAnsi="宋体" w:cs="宋体"/>
                <w:color w:val="auto"/>
                <w:sz w:val="21"/>
                <w:szCs w:val="21"/>
                <w:highlight w:val="none"/>
                <w:lang w:eastAsia="zh-CN"/>
              </w:rPr>
              <w:t>。</w:t>
            </w:r>
          </w:p>
        </w:tc>
      </w:tr>
      <w:tr w14:paraId="27132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noWrap w:val="0"/>
            <w:vAlign w:val="center"/>
          </w:tcPr>
          <w:p w14:paraId="1FBF8B22">
            <w:pPr>
              <w:autoSpaceDE w:val="0"/>
              <w:autoSpaceDN w:val="0"/>
              <w:adjustRightInd w:val="0"/>
              <w:snapToGrid w:val="0"/>
              <w:spacing w:line="276" w:lineRule="auto"/>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3.</w:t>
            </w:r>
            <w:r>
              <w:rPr>
                <w:rFonts w:hint="eastAsia" w:ascii="宋体" w:hAnsi="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w:t>
            </w:r>
            <w:r>
              <w:rPr>
                <w:rFonts w:hint="eastAsia" w:ascii="宋体" w:hAnsi="宋体" w:cs="宋体"/>
                <w:color w:val="auto"/>
                <w:kern w:val="0"/>
                <w:sz w:val="21"/>
                <w:szCs w:val="21"/>
                <w:highlight w:val="none"/>
                <w:lang w:val="en-US" w:eastAsia="zh-CN"/>
              </w:rPr>
              <w:t>1</w:t>
            </w:r>
          </w:p>
        </w:tc>
        <w:tc>
          <w:tcPr>
            <w:tcW w:w="2515" w:type="dxa"/>
            <w:noWrap w:val="0"/>
            <w:vAlign w:val="center"/>
          </w:tcPr>
          <w:p w14:paraId="0316C02F">
            <w:pPr>
              <w:autoSpaceDE w:val="0"/>
              <w:autoSpaceDN w:val="0"/>
              <w:adjustRightInd w:val="0"/>
              <w:snapToGrid w:val="0"/>
              <w:spacing w:line="276"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签字或盖章要求</w:t>
            </w:r>
          </w:p>
        </w:tc>
        <w:tc>
          <w:tcPr>
            <w:tcW w:w="6061" w:type="dxa"/>
            <w:noWrap w:val="0"/>
            <w:vAlign w:val="center"/>
          </w:tcPr>
          <w:p w14:paraId="4521F7B5">
            <w:pPr>
              <w:autoSpaceDE w:val="0"/>
              <w:autoSpaceDN w:val="0"/>
              <w:adjustRightInd w:val="0"/>
              <w:snapToGrid w:val="0"/>
              <w:spacing w:after="159" w:afterLines="50" w:line="276"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按照响应文件格式，采用企业、法定代表人电子签章及数字证书电子签名。</w:t>
            </w:r>
          </w:p>
        </w:tc>
      </w:tr>
      <w:tr w14:paraId="4152C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noWrap w:val="0"/>
            <w:vAlign w:val="center"/>
          </w:tcPr>
          <w:p w14:paraId="113D07C6">
            <w:pPr>
              <w:autoSpaceDE w:val="0"/>
              <w:autoSpaceDN w:val="0"/>
              <w:adjustRightInd w:val="0"/>
              <w:snapToGrid w:val="0"/>
              <w:spacing w:line="276" w:lineRule="auto"/>
              <w:jc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rPr>
              <w:t>3.</w:t>
            </w:r>
            <w:r>
              <w:rPr>
                <w:rFonts w:hint="eastAsia" w:ascii="宋体" w:hAnsi="宋体" w:cs="宋体"/>
                <w:b/>
                <w:bCs/>
                <w:color w:val="auto"/>
                <w:kern w:val="0"/>
                <w:sz w:val="21"/>
                <w:szCs w:val="21"/>
                <w:highlight w:val="none"/>
                <w:lang w:val="en-US" w:eastAsia="zh-CN"/>
              </w:rPr>
              <w:t>5</w:t>
            </w:r>
            <w:r>
              <w:rPr>
                <w:rFonts w:hint="eastAsia" w:ascii="宋体" w:hAnsi="宋体" w:eastAsia="宋体" w:cs="宋体"/>
                <w:b/>
                <w:bCs/>
                <w:color w:val="auto"/>
                <w:kern w:val="0"/>
                <w:sz w:val="21"/>
                <w:szCs w:val="21"/>
                <w:highlight w:val="none"/>
              </w:rPr>
              <w:t>.</w:t>
            </w:r>
            <w:r>
              <w:rPr>
                <w:rFonts w:hint="eastAsia" w:ascii="宋体" w:hAnsi="宋体" w:cs="宋体"/>
                <w:b/>
                <w:bCs/>
                <w:color w:val="auto"/>
                <w:kern w:val="0"/>
                <w:sz w:val="21"/>
                <w:szCs w:val="21"/>
                <w:highlight w:val="none"/>
                <w:lang w:val="en-US" w:eastAsia="zh-CN"/>
              </w:rPr>
              <w:t>2</w:t>
            </w:r>
          </w:p>
        </w:tc>
        <w:tc>
          <w:tcPr>
            <w:tcW w:w="2515" w:type="dxa"/>
            <w:noWrap w:val="0"/>
            <w:vAlign w:val="center"/>
          </w:tcPr>
          <w:p w14:paraId="011BB042">
            <w:pPr>
              <w:autoSpaceDE w:val="0"/>
              <w:autoSpaceDN w:val="0"/>
              <w:adjustRightInd w:val="0"/>
              <w:snapToGrid w:val="0"/>
              <w:spacing w:line="276" w:lineRule="auto"/>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成交后提供的纸质响应文件要求</w:t>
            </w:r>
          </w:p>
        </w:tc>
        <w:tc>
          <w:tcPr>
            <w:tcW w:w="6061" w:type="dxa"/>
            <w:noWrap w:val="0"/>
            <w:vAlign w:val="center"/>
          </w:tcPr>
          <w:p w14:paraId="1B42BEE0">
            <w:pPr>
              <w:autoSpaceDE w:val="0"/>
              <w:autoSpaceDN w:val="0"/>
              <w:adjustRightInd w:val="0"/>
              <w:snapToGrid w:val="0"/>
              <w:spacing w:after="159" w:afterLines="50" w:line="276" w:lineRule="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正本一份</w:t>
            </w:r>
          </w:p>
        </w:tc>
      </w:tr>
      <w:tr w14:paraId="11BC6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noWrap w:val="0"/>
            <w:vAlign w:val="center"/>
          </w:tcPr>
          <w:p w14:paraId="20F5D93A">
            <w:pPr>
              <w:autoSpaceDE w:val="0"/>
              <w:autoSpaceDN w:val="0"/>
              <w:adjustRightInd w:val="0"/>
              <w:snapToGrid w:val="0"/>
              <w:spacing w:line="276"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REF _Ref527102573 \r \h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kern w:val="0"/>
                <w:sz w:val="21"/>
                <w:szCs w:val="21"/>
                <w:highlight w:val="none"/>
              </w:rPr>
              <w:t>5.1.1</w:t>
            </w:r>
            <w:r>
              <w:rPr>
                <w:rFonts w:hint="eastAsia" w:ascii="宋体" w:hAnsi="宋体" w:eastAsia="宋体" w:cs="宋体"/>
                <w:color w:val="auto"/>
                <w:kern w:val="0"/>
                <w:sz w:val="21"/>
                <w:szCs w:val="21"/>
                <w:highlight w:val="none"/>
              </w:rPr>
              <w:fldChar w:fldCharType="end"/>
            </w:r>
          </w:p>
        </w:tc>
        <w:tc>
          <w:tcPr>
            <w:tcW w:w="2515" w:type="dxa"/>
            <w:noWrap w:val="0"/>
            <w:vAlign w:val="center"/>
          </w:tcPr>
          <w:p w14:paraId="15A2BC1B">
            <w:pPr>
              <w:autoSpaceDE w:val="0"/>
              <w:autoSpaceDN w:val="0"/>
              <w:adjustRightInd w:val="0"/>
              <w:snapToGrid w:val="0"/>
              <w:spacing w:line="276"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磋商小组成员</w:t>
            </w:r>
          </w:p>
        </w:tc>
        <w:tc>
          <w:tcPr>
            <w:tcW w:w="6061" w:type="dxa"/>
            <w:noWrap w:val="0"/>
            <w:vAlign w:val="center"/>
          </w:tcPr>
          <w:p w14:paraId="3BBF84C7">
            <w:pPr>
              <w:autoSpaceDE w:val="0"/>
              <w:autoSpaceDN w:val="0"/>
              <w:adjustRightInd w:val="0"/>
              <w:snapToGrid w:val="0"/>
              <w:spacing w:after="159" w:afterLines="50" w:line="276"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磋商小组由采购人代表和评审专家共3人以上单数组成，其中评审专家人数不得少于磋商小组成员总数的2/3。</w:t>
            </w:r>
          </w:p>
        </w:tc>
      </w:tr>
      <w:tr w14:paraId="71A5C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noWrap w:val="0"/>
            <w:vAlign w:val="center"/>
          </w:tcPr>
          <w:p w14:paraId="0B1ECDCF">
            <w:pPr>
              <w:autoSpaceDE w:val="0"/>
              <w:autoSpaceDN w:val="0"/>
              <w:adjustRightInd w:val="0"/>
              <w:snapToGrid w:val="0"/>
              <w:spacing w:line="276"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REF _Ref527102841 \r \h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kern w:val="0"/>
                <w:sz w:val="21"/>
                <w:szCs w:val="21"/>
                <w:highlight w:val="none"/>
              </w:rPr>
              <w:t>6.1</w:t>
            </w:r>
            <w:r>
              <w:rPr>
                <w:rFonts w:hint="eastAsia" w:ascii="宋体" w:hAnsi="宋体" w:eastAsia="宋体" w:cs="宋体"/>
                <w:color w:val="auto"/>
                <w:kern w:val="0"/>
                <w:sz w:val="21"/>
                <w:szCs w:val="21"/>
                <w:highlight w:val="none"/>
              </w:rPr>
              <w:fldChar w:fldCharType="end"/>
            </w:r>
          </w:p>
        </w:tc>
        <w:tc>
          <w:tcPr>
            <w:tcW w:w="2515" w:type="dxa"/>
            <w:noWrap w:val="0"/>
            <w:vAlign w:val="center"/>
          </w:tcPr>
          <w:p w14:paraId="1A378D82">
            <w:pPr>
              <w:autoSpaceDE w:val="0"/>
              <w:autoSpaceDN w:val="0"/>
              <w:adjustRightInd w:val="0"/>
              <w:snapToGrid w:val="0"/>
              <w:spacing w:line="276"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确定成交供应商方式</w:t>
            </w:r>
          </w:p>
        </w:tc>
        <w:tc>
          <w:tcPr>
            <w:tcW w:w="6061" w:type="dxa"/>
            <w:noWrap w:val="0"/>
            <w:vAlign w:val="center"/>
          </w:tcPr>
          <w:p w14:paraId="441B38B0">
            <w:pPr>
              <w:autoSpaceDE w:val="0"/>
              <w:autoSpaceDN w:val="0"/>
              <w:adjustRightInd w:val="0"/>
              <w:snapToGrid w:val="0"/>
              <w:spacing w:after="159" w:afterLines="50" w:line="276"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采购人</w:t>
            </w:r>
          </w:p>
          <w:p w14:paraId="31EE1A4C">
            <w:pPr>
              <w:autoSpaceDE w:val="0"/>
              <w:autoSpaceDN w:val="0"/>
              <w:adjustRightInd w:val="0"/>
              <w:snapToGrid w:val="0"/>
              <w:spacing w:after="159" w:afterLines="50" w:line="276" w:lineRule="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推荐的成交候选人数：3家。</w:t>
            </w:r>
          </w:p>
        </w:tc>
      </w:tr>
      <w:tr w14:paraId="63E0C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noWrap w:val="0"/>
            <w:vAlign w:val="center"/>
          </w:tcPr>
          <w:p w14:paraId="6B2C2282">
            <w:pPr>
              <w:autoSpaceDE w:val="0"/>
              <w:autoSpaceDN w:val="0"/>
              <w:adjustRightInd w:val="0"/>
              <w:snapToGrid w:val="0"/>
              <w:spacing w:line="276" w:lineRule="auto"/>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sz w:val="21"/>
                <w:szCs w:val="21"/>
                <w:highlight w:val="none"/>
              </w:rPr>
              <w:fldChar w:fldCharType="begin"/>
            </w:r>
            <w:r>
              <w:rPr>
                <w:rFonts w:hint="eastAsia" w:ascii="宋体" w:hAnsi="宋体" w:eastAsia="宋体" w:cs="宋体"/>
                <w:b/>
                <w:bCs/>
                <w:color w:val="auto"/>
                <w:sz w:val="21"/>
                <w:szCs w:val="21"/>
                <w:highlight w:val="none"/>
              </w:rPr>
              <w:instrText xml:space="preserve"> REF _Ref421009348 \r \h  \* MERGEFORMAT </w:instrText>
            </w:r>
            <w:r>
              <w:rPr>
                <w:rFonts w:hint="eastAsia" w:ascii="宋体" w:hAnsi="宋体" w:eastAsia="宋体" w:cs="宋体"/>
                <w:b/>
                <w:bCs/>
                <w:color w:val="auto"/>
                <w:sz w:val="21"/>
                <w:szCs w:val="21"/>
                <w:highlight w:val="none"/>
              </w:rPr>
              <w:fldChar w:fldCharType="separate"/>
            </w:r>
            <w:r>
              <w:rPr>
                <w:rFonts w:hint="eastAsia" w:ascii="宋体" w:hAnsi="宋体" w:eastAsia="宋体" w:cs="宋体"/>
                <w:b/>
                <w:bCs/>
                <w:color w:val="auto"/>
                <w:kern w:val="0"/>
                <w:sz w:val="21"/>
                <w:szCs w:val="21"/>
                <w:highlight w:val="none"/>
              </w:rPr>
              <w:t>6.4.1</w:t>
            </w:r>
            <w:r>
              <w:rPr>
                <w:rFonts w:hint="eastAsia" w:ascii="宋体" w:hAnsi="宋体" w:eastAsia="宋体" w:cs="宋体"/>
                <w:b/>
                <w:bCs/>
                <w:color w:val="auto"/>
                <w:kern w:val="0"/>
                <w:sz w:val="21"/>
                <w:szCs w:val="21"/>
                <w:highlight w:val="none"/>
              </w:rPr>
              <w:fldChar w:fldCharType="end"/>
            </w:r>
          </w:p>
        </w:tc>
        <w:tc>
          <w:tcPr>
            <w:tcW w:w="2515" w:type="dxa"/>
            <w:noWrap w:val="0"/>
            <w:vAlign w:val="center"/>
          </w:tcPr>
          <w:p w14:paraId="6F338371">
            <w:pPr>
              <w:autoSpaceDE w:val="0"/>
              <w:autoSpaceDN w:val="0"/>
              <w:adjustRightInd w:val="0"/>
              <w:snapToGrid w:val="0"/>
              <w:spacing w:line="276" w:lineRule="auto"/>
              <w:jc w:val="center"/>
              <w:outlineLvl w:val="0"/>
              <w:rPr>
                <w:rFonts w:hint="eastAsia" w:ascii="宋体" w:hAnsi="宋体" w:eastAsia="宋体" w:cs="宋体"/>
                <w:b/>
                <w:bCs/>
                <w:color w:val="auto"/>
                <w:kern w:val="0"/>
                <w:sz w:val="21"/>
                <w:szCs w:val="21"/>
                <w:highlight w:val="none"/>
              </w:rPr>
            </w:pPr>
            <w:bookmarkStart w:id="24" w:name="_Toc75284953"/>
            <w:bookmarkStart w:id="25" w:name="_Toc76381775"/>
            <w:bookmarkStart w:id="26" w:name="_Toc24061"/>
            <w:bookmarkStart w:id="27" w:name="_Toc24798"/>
            <w:bookmarkStart w:id="28" w:name="_Toc12323"/>
            <w:r>
              <w:rPr>
                <w:rFonts w:hint="eastAsia" w:ascii="宋体" w:hAnsi="宋体" w:eastAsia="宋体" w:cs="宋体"/>
                <w:b/>
                <w:bCs/>
                <w:color w:val="auto"/>
                <w:kern w:val="0"/>
                <w:sz w:val="21"/>
                <w:szCs w:val="21"/>
                <w:highlight w:val="none"/>
              </w:rPr>
              <w:t>履约保证金</w:t>
            </w:r>
            <w:bookmarkEnd w:id="24"/>
            <w:bookmarkEnd w:id="25"/>
            <w:bookmarkEnd w:id="26"/>
            <w:bookmarkEnd w:id="27"/>
            <w:bookmarkEnd w:id="28"/>
          </w:p>
        </w:tc>
        <w:tc>
          <w:tcPr>
            <w:tcW w:w="6061" w:type="dxa"/>
            <w:noWrap w:val="0"/>
            <w:vAlign w:val="center"/>
          </w:tcPr>
          <w:p w14:paraId="0C85AE5E">
            <w:pPr>
              <w:autoSpaceDE w:val="0"/>
              <w:autoSpaceDN w:val="0"/>
              <w:adjustRightInd w:val="0"/>
              <w:snapToGrid w:val="0"/>
              <w:spacing w:line="276" w:lineRule="auto"/>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lang w:eastAsia="zh-CN"/>
              </w:rPr>
              <w:t>履约保证金的金额：合同签约价的5%；</w:t>
            </w:r>
          </w:p>
          <w:p w14:paraId="0D701F5A">
            <w:pPr>
              <w:autoSpaceDE w:val="0"/>
              <w:autoSpaceDN w:val="0"/>
              <w:adjustRightInd w:val="0"/>
              <w:snapToGrid w:val="0"/>
              <w:spacing w:line="276" w:lineRule="auto"/>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lang w:eastAsia="zh-CN"/>
              </w:rPr>
              <w:t>履约保证金形式：采用银行保函、银行汇款、保证保险和商业保函等形式；</w:t>
            </w:r>
          </w:p>
          <w:p w14:paraId="54E60975">
            <w:pPr>
              <w:autoSpaceDE w:val="0"/>
              <w:autoSpaceDN w:val="0"/>
              <w:adjustRightInd w:val="0"/>
              <w:snapToGrid w:val="0"/>
              <w:spacing w:line="276" w:lineRule="auto"/>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lang w:eastAsia="zh-CN"/>
              </w:rPr>
              <w:t>履约保证金提交时间：自</w:t>
            </w:r>
            <w:r>
              <w:rPr>
                <w:rFonts w:hint="eastAsia" w:ascii="宋体" w:hAnsi="宋体" w:cs="宋体"/>
                <w:b/>
                <w:bCs/>
                <w:color w:val="auto"/>
                <w:kern w:val="0"/>
                <w:sz w:val="21"/>
                <w:szCs w:val="21"/>
                <w:highlight w:val="none"/>
                <w:lang w:eastAsia="zh-CN"/>
              </w:rPr>
              <w:t>成交</w:t>
            </w:r>
            <w:r>
              <w:rPr>
                <w:rFonts w:hint="eastAsia" w:ascii="宋体" w:hAnsi="宋体" w:eastAsia="宋体" w:cs="宋体"/>
                <w:b/>
                <w:bCs/>
                <w:color w:val="auto"/>
                <w:kern w:val="0"/>
                <w:sz w:val="21"/>
                <w:szCs w:val="21"/>
                <w:highlight w:val="none"/>
                <w:lang w:eastAsia="zh-CN"/>
              </w:rPr>
              <w:t>通知书发出之日起30日历天内提交；</w:t>
            </w:r>
          </w:p>
          <w:p w14:paraId="164CF941">
            <w:pPr>
              <w:autoSpaceDE w:val="0"/>
              <w:autoSpaceDN w:val="0"/>
              <w:adjustRightInd w:val="0"/>
              <w:snapToGrid w:val="0"/>
              <w:spacing w:line="276" w:lineRule="auto"/>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lang w:eastAsia="zh-CN"/>
              </w:rPr>
              <w:t>履约保证金退还时间：发包人应在工程竣工验收合格后无息退还（解除）。</w:t>
            </w:r>
          </w:p>
        </w:tc>
      </w:tr>
      <w:tr w14:paraId="6A117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noWrap w:val="0"/>
            <w:vAlign w:val="center"/>
          </w:tcPr>
          <w:p w14:paraId="25D9A699">
            <w:pPr>
              <w:autoSpaceDE w:val="0"/>
              <w:autoSpaceDN w:val="0"/>
              <w:adjustRightInd w:val="0"/>
              <w:snapToGrid w:val="0"/>
              <w:spacing w:line="276"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REF _Ref527103019 \r \h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9</w:t>
            </w:r>
            <w:r>
              <w:rPr>
                <w:rFonts w:hint="eastAsia" w:ascii="宋体" w:hAnsi="宋体" w:eastAsia="宋体" w:cs="宋体"/>
                <w:color w:val="auto"/>
                <w:sz w:val="21"/>
                <w:szCs w:val="21"/>
                <w:highlight w:val="none"/>
              </w:rPr>
              <w:fldChar w:fldCharType="end"/>
            </w:r>
          </w:p>
        </w:tc>
        <w:tc>
          <w:tcPr>
            <w:tcW w:w="8576" w:type="dxa"/>
            <w:gridSpan w:val="2"/>
            <w:noWrap w:val="0"/>
            <w:vAlign w:val="center"/>
          </w:tcPr>
          <w:p w14:paraId="1FCE626A">
            <w:pPr>
              <w:autoSpaceDE w:val="0"/>
              <w:autoSpaceDN w:val="0"/>
              <w:adjustRightInd w:val="0"/>
              <w:snapToGrid w:val="0"/>
              <w:spacing w:line="276"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其他</w:t>
            </w:r>
          </w:p>
        </w:tc>
      </w:tr>
      <w:tr w14:paraId="7D0A9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shd w:val="clear" w:color="auto" w:fill="auto"/>
            <w:noWrap w:val="0"/>
            <w:vAlign w:val="center"/>
          </w:tcPr>
          <w:p w14:paraId="5F4436A5">
            <w:pPr>
              <w:autoSpaceDE w:val="0"/>
              <w:autoSpaceDN w:val="0"/>
              <w:adjustRightInd w:val="0"/>
              <w:snapToGrid w:val="0"/>
              <w:spacing w:line="276"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9.1</w:t>
            </w:r>
          </w:p>
        </w:tc>
        <w:tc>
          <w:tcPr>
            <w:tcW w:w="8576" w:type="dxa"/>
            <w:gridSpan w:val="2"/>
            <w:shd w:val="clear" w:color="auto" w:fill="auto"/>
            <w:noWrap w:val="0"/>
            <w:vAlign w:val="center"/>
          </w:tcPr>
          <w:p w14:paraId="379627A0">
            <w:pPr>
              <w:autoSpaceDE w:val="0"/>
              <w:autoSpaceDN w:val="0"/>
              <w:adjustRightInd w:val="0"/>
              <w:snapToGrid w:val="0"/>
              <w:spacing w:line="276" w:lineRule="auto"/>
              <w:jc w:val="both"/>
              <w:rPr>
                <w:rFonts w:hint="eastAsia" w:ascii="宋体" w:hAnsi="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lang w:eastAsia="zh-CN"/>
              </w:rPr>
              <w:t>工程质量标准</w:t>
            </w:r>
            <w:r>
              <w:rPr>
                <w:rFonts w:hint="eastAsia" w:ascii="宋体" w:hAnsi="宋体" w:cs="宋体"/>
                <w:b/>
                <w:bCs/>
                <w:color w:val="auto"/>
                <w:kern w:val="0"/>
                <w:sz w:val="21"/>
                <w:szCs w:val="21"/>
                <w:highlight w:val="none"/>
                <w:lang w:eastAsia="zh-CN"/>
              </w:rPr>
              <w:t>：</w:t>
            </w:r>
          </w:p>
          <w:p w14:paraId="1C21599C">
            <w:pPr>
              <w:autoSpaceDE w:val="0"/>
              <w:autoSpaceDN w:val="0"/>
              <w:adjustRightInd w:val="0"/>
              <w:snapToGrid w:val="0"/>
              <w:spacing w:line="276" w:lineRule="auto"/>
              <w:jc w:val="both"/>
              <w:rPr>
                <w:rFonts w:hint="eastAsia" w:ascii="宋体" w:hAnsi="宋体" w:cs="宋体"/>
                <w:color w:val="auto"/>
                <w:kern w:val="0"/>
                <w:sz w:val="21"/>
                <w:szCs w:val="21"/>
                <w:highlight w:val="none"/>
                <w:lang w:eastAsia="zh-CN"/>
              </w:rPr>
            </w:pP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1</w:t>
            </w:r>
            <w:r>
              <w:rPr>
                <w:rFonts w:hint="eastAsia" w:ascii="宋体" w:hAnsi="宋体" w:cs="宋体"/>
                <w:color w:val="auto"/>
                <w:kern w:val="0"/>
                <w:sz w:val="21"/>
                <w:szCs w:val="21"/>
                <w:highlight w:val="none"/>
                <w:lang w:eastAsia="zh-CN"/>
              </w:rPr>
              <w:t>）本工程项目要求的质量标准为符合现行国家有关工程施工验收规范和标准的要求（合格）。</w:t>
            </w:r>
          </w:p>
          <w:p w14:paraId="4E37EB3B">
            <w:pPr>
              <w:autoSpaceDE w:val="0"/>
              <w:autoSpaceDN w:val="0"/>
              <w:adjustRightInd w:val="0"/>
              <w:snapToGrid w:val="0"/>
              <w:spacing w:line="276" w:lineRule="auto"/>
              <w:jc w:val="both"/>
              <w:rPr>
                <w:rFonts w:hint="eastAsia" w:ascii="宋体" w:hAnsi="宋体" w:cs="宋体"/>
                <w:color w:val="auto"/>
                <w:kern w:val="0"/>
                <w:sz w:val="21"/>
                <w:szCs w:val="21"/>
                <w:highlight w:val="none"/>
                <w:lang w:eastAsia="zh-CN"/>
              </w:rPr>
            </w:pP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2</w:t>
            </w:r>
            <w:r>
              <w:rPr>
                <w:rFonts w:hint="eastAsia" w:ascii="宋体" w:hAnsi="宋体" w:cs="宋体"/>
                <w:color w:val="auto"/>
                <w:kern w:val="0"/>
                <w:sz w:val="21"/>
                <w:szCs w:val="21"/>
                <w:highlight w:val="none"/>
                <w:lang w:eastAsia="zh-CN"/>
              </w:rPr>
              <w:t>）本工程项目的材料、设备、施工须达到现行中华人民共和国以及省、自治区、直辖市或行业的工程建设标准、规范的要求；严格遵照设计施工图及国家或行业有关标准、规范执行。</w:t>
            </w:r>
          </w:p>
          <w:p w14:paraId="74BD37C8">
            <w:pPr>
              <w:autoSpaceDE w:val="0"/>
              <w:autoSpaceDN w:val="0"/>
              <w:adjustRightInd w:val="0"/>
              <w:snapToGrid w:val="0"/>
              <w:spacing w:line="276" w:lineRule="auto"/>
              <w:jc w:val="both"/>
              <w:rPr>
                <w:rFonts w:hint="eastAsia" w:ascii="宋体" w:hAnsi="宋体" w:cs="宋体"/>
                <w:color w:val="auto"/>
                <w:kern w:val="0"/>
                <w:sz w:val="21"/>
                <w:szCs w:val="21"/>
                <w:highlight w:val="none"/>
                <w:lang w:eastAsia="zh-CN"/>
              </w:rPr>
            </w:pP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3</w:t>
            </w:r>
            <w:r>
              <w:rPr>
                <w:rFonts w:hint="eastAsia" w:ascii="宋体" w:hAnsi="宋体" w:cs="宋体"/>
                <w:color w:val="auto"/>
                <w:kern w:val="0"/>
                <w:sz w:val="21"/>
                <w:szCs w:val="21"/>
                <w:highlight w:val="none"/>
                <w:lang w:eastAsia="zh-CN"/>
              </w:rPr>
              <w:t>）本工程的安全生产、文明施工、环境保护措施应符合中华人民共和国以及省、自治区、直辖市或行业以及当地政府的有关法律法规的要求。</w:t>
            </w:r>
          </w:p>
          <w:p w14:paraId="0B7FB0F4">
            <w:pPr>
              <w:autoSpaceDE w:val="0"/>
              <w:autoSpaceDN w:val="0"/>
              <w:adjustRightInd w:val="0"/>
              <w:snapToGrid w:val="0"/>
              <w:spacing w:line="276" w:lineRule="auto"/>
              <w:jc w:val="both"/>
              <w:rPr>
                <w:rFonts w:hint="eastAsia" w:ascii="宋体" w:hAnsi="宋体" w:cs="宋体"/>
                <w:color w:val="auto"/>
                <w:kern w:val="0"/>
                <w:sz w:val="21"/>
                <w:szCs w:val="21"/>
                <w:highlight w:val="none"/>
                <w:lang w:eastAsia="zh-CN"/>
              </w:rPr>
            </w:pP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4</w:t>
            </w:r>
            <w:r>
              <w:rPr>
                <w:rFonts w:hint="eastAsia" w:ascii="宋体" w:hAnsi="宋体" w:cs="宋体"/>
                <w:color w:val="auto"/>
                <w:kern w:val="0"/>
                <w:sz w:val="21"/>
                <w:szCs w:val="21"/>
                <w:highlight w:val="none"/>
                <w:lang w:eastAsia="zh-CN"/>
              </w:rPr>
              <w:t>）特殊质量要求：符合国家《血液净化标准操作规程（2021版）》《医疗机构血液透析室管理规范》和《血液透析中心基本标准和管理规范（试行）》，并最终通过省、市级卫生健康委组织的验收。</w:t>
            </w:r>
          </w:p>
        </w:tc>
      </w:tr>
      <w:tr w14:paraId="11740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shd w:val="clear" w:color="auto" w:fill="auto"/>
            <w:noWrap w:val="0"/>
            <w:vAlign w:val="center"/>
          </w:tcPr>
          <w:p w14:paraId="69FF7825">
            <w:pPr>
              <w:autoSpaceDE w:val="0"/>
              <w:autoSpaceDN w:val="0"/>
              <w:adjustRightInd w:val="0"/>
              <w:snapToGrid w:val="0"/>
              <w:spacing w:line="276" w:lineRule="auto"/>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9.2</w:t>
            </w:r>
          </w:p>
        </w:tc>
        <w:tc>
          <w:tcPr>
            <w:tcW w:w="8576" w:type="dxa"/>
            <w:gridSpan w:val="2"/>
            <w:shd w:val="clear" w:color="auto" w:fill="auto"/>
            <w:noWrap w:val="0"/>
            <w:vAlign w:val="center"/>
          </w:tcPr>
          <w:p w14:paraId="456B0612">
            <w:pPr>
              <w:autoSpaceDE w:val="0"/>
              <w:autoSpaceDN w:val="0"/>
              <w:adjustRightInd w:val="0"/>
              <w:snapToGrid w:val="0"/>
              <w:spacing w:line="276" w:lineRule="auto"/>
              <w:jc w:val="both"/>
              <w:rPr>
                <w:rFonts w:hint="eastAsia" w:ascii="宋体" w:hAnsi="宋体" w:cs="宋体"/>
                <w:color w:val="auto"/>
                <w:kern w:val="0"/>
                <w:sz w:val="21"/>
                <w:szCs w:val="21"/>
                <w:highlight w:val="none"/>
                <w:lang w:eastAsia="zh-CN"/>
              </w:rPr>
            </w:pPr>
            <w:r>
              <w:rPr>
                <w:rFonts w:hint="eastAsia" w:ascii="宋体" w:hAnsi="宋体" w:cs="宋体"/>
                <w:b/>
                <w:bCs/>
                <w:color w:val="auto"/>
                <w:kern w:val="0"/>
                <w:sz w:val="21"/>
                <w:szCs w:val="21"/>
                <w:highlight w:val="none"/>
                <w:lang w:eastAsia="zh-CN"/>
              </w:rPr>
              <w:t>供应商应严格执行中华人民共和国国务院令第 724 号《保障农民工工资支付条例》，按照有关规定开设农民工工资专用账户，该账户专项用于支付该工程建设项目农民工工资。开设、使用农民工工资专用账户有关资料应当由施工总承包单位妥善保存备查。供应商应按时足额保障农民工工资，不得拖欠农民工工资，并出具不拖欠农民工工资承诺函。</w:t>
            </w:r>
          </w:p>
        </w:tc>
      </w:tr>
      <w:tr w14:paraId="71EBF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shd w:val="clear" w:color="auto" w:fill="auto"/>
            <w:noWrap w:val="0"/>
            <w:vAlign w:val="center"/>
          </w:tcPr>
          <w:p w14:paraId="6FBB1AB8">
            <w:pPr>
              <w:autoSpaceDE w:val="0"/>
              <w:autoSpaceDN w:val="0"/>
              <w:adjustRightInd w:val="0"/>
              <w:snapToGrid w:val="0"/>
              <w:spacing w:line="276" w:lineRule="auto"/>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9.3</w:t>
            </w:r>
          </w:p>
        </w:tc>
        <w:tc>
          <w:tcPr>
            <w:tcW w:w="8576" w:type="dxa"/>
            <w:gridSpan w:val="2"/>
            <w:shd w:val="clear" w:color="auto" w:fill="auto"/>
            <w:noWrap w:val="0"/>
            <w:vAlign w:val="center"/>
          </w:tcPr>
          <w:p w14:paraId="1F5CC150">
            <w:pPr>
              <w:autoSpaceDE w:val="0"/>
              <w:autoSpaceDN w:val="0"/>
              <w:adjustRightInd w:val="0"/>
              <w:snapToGrid w:val="0"/>
              <w:spacing w:line="276" w:lineRule="auto"/>
              <w:jc w:val="both"/>
              <w:rPr>
                <w:rFonts w:hint="eastAsia" w:ascii="宋体" w:hAnsi="宋体" w:cs="宋体"/>
                <w:b/>
                <w:bCs/>
                <w:color w:val="auto"/>
                <w:kern w:val="0"/>
                <w:sz w:val="21"/>
                <w:szCs w:val="21"/>
                <w:highlight w:val="none"/>
                <w:lang w:eastAsia="zh-CN"/>
              </w:rPr>
            </w:pPr>
            <w:r>
              <w:rPr>
                <w:rFonts w:hint="eastAsia" w:ascii="宋体" w:hAnsi="宋体" w:cs="宋体"/>
                <w:b/>
                <w:bCs/>
                <w:color w:val="auto"/>
                <w:kern w:val="0"/>
                <w:sz w:val="21"/>
                <w:szCs w:val="21"/>
                <w:highlight w:val="none"/>
                <w:lang w:eastAsia="zh-CN"/>
              </w:rPr>
              <w:t>已标价工程量清单编制要求：</w:t>
            </w:r>
          </w:p>
          <w:p w14:paraId="5D4AE9E6">
            <w:pPr>
              <w:autoSpaceDE w:val="0"/>
              <w:autoSpaceDN w:val="0"/>
              <w:adjustRightInd w:val="0"/>
              <w:snapToGrid w:val="0"/>
              <w:spacing w:line="276" w:lineRule="auto"/>
              <w:jc w:val="both"/>
              <w:rPr>
                <w:rFonts w:hint="eastAsia" w:ascii="宋体" w:hAnsi="宋体" w:cs="宋体"/>
                <w:b/>
                <w:bCs/>
                <w:color w:val="auto"/>
                <w:kern w:val="0"/>
                <w:sz w:val="21"/>
                <w:szCs w:val="21"/>
                <w:highlight w:val="none"/>
                <w:lang w:eastAsia="zh-CN"/>
              </w:rPr>
            </w:pPr>
            <w:r>
              <w:rPr>
                <w:rFonts w:hint="eastAsia" w:ascii="宋体" w:hAnsi="宋体" w:cs="宋体"/>
                <w:b/>
                <w:bCs/>
                <w:color w:val="auto"/>
                <w:kern w:val="0"/>
                <w:sz w:val="21"/>
                <w:szCs w:val="21"/>
                <w:highlight w:val="none"/>
                <w:lang w:eastAsia="zh-CN"/>
              </w:rPr>
              <w:t>（1）供应商应按《建设工程工程量清单计价规范》（GB50500-2024）中规定的工程量清单计价方式计价，计价标准执行“云建科〔20</w:t>
            </w:r>
            <w:r>
              <w:rPr>
                <w:rFonts w:hint="eastAsia" w:ascii="宋体" w:hAnsi="宋体" w:cs="宋体"/>
                <w:b/>
                <w:bCs/>
                <w:color w:val="auto"/>
                <w:kern w:val="0"/>
                <w:sz w:val="21"/>
                <w:szCs w:val="21"/>
                <w:highlight w:val="none"/>
                <w:lang w:val="en-US" w:eastAsia="zh-CN"/>
              </w:rPr>
              <w:t>25</w:t>
            </w:r>
            <w:r>
              <w:rPr>
                <w:rFonts w:hint="eastAsia" w:ascii="宋体" w:hAnsi="宋体" w:cs="宋体"/>
                <w:b/>
                <w:bCs/>
                <w:color w:val="auto"/>
                <w:kern w:val="0"/>
                <w:sz w:val="21"/>
                <w:szCs w:val="21"/>
                <w:highlight w:val="none"/>
                <w:lang w:eastAsia="zh-CN"/>
              </w:rPr>
              <w:t>〕63号及云建科〔2025〕72号”等现行有关配套计价文件。措施项目清单中的安全生产措施项目费应按照国家或省级、行业建设主管部门的规定计价，不得作为竞争性费用，其计价费率在投标时不得调整。增值税应按照国家或省级、行业建设主管部门的规定计算，不得作为竞争性费用，其计算费率和税率在投标时不得调整。</w:t>
            </w:r>
          </w:p>
          <w:p w14:paraId="6D269147">
            <w:pPr>
              <w:autoSpaceDE w:val="0"/>
              <w:autoSpaceDN w:val="0"/>
              <w:adjustRightInd w:val="0"/>
              <w:snapToGrid w:val="0"/>
              <w:spacing w:line="276" w:lineRule="auto"/>
              <w:jc w:val="both"/>
              <w:rPr>
                <w:rFonts w:hint="eastAsia" w:ascii="宋体" w:hAnsi="宋体" w:cs="宋体"/>
                <w:b/>
                <w:bCs/>
                <w:color w:val="auto"/>
                <w:kern w:val="0"/>
                <w:sz w:val="21"/>
                <w:szCs w:val="21"/>
                <w:highlight w:val="none"/>
                <w:lang w:eastAsia="zh-CN"/>
              </w:rPr>
            </w:pPr>
            <w:r>
              <w:rPr>
                <w:rFonts w:hint="eastAsia" w:ascii="宋体" w:hAnsi="宋体" w:cs="宋体"/>
                <w:b/>
                <w:bCs/>
                <w:color w:val="auto"/>
                <w:kern w:val="0"/>
                <w:sz w:val="21"/>
                <w:szCs w:val="21"/>
                <w:highlight w:val="none"/>
                <w:lang w:eastAsia="zh-CN"/>
              </w:rPr>
              <w:t>（2）已标价工程量清单必须加盖编制单位公章及所属单位注册造价师签字并加盖执业专用章，注册造价工程师属供应商本单位的，其注册单位名称应与供应商名称一致。如委托编制投标报价的，应在响应文件中附有被委托人的营业执照和委托合同（协议书）复印件，响应文件中签字盖章的注册造价工程师的注册单位名称应当与被委托人名称一致。（根据《注册造价工程师管理办法》（2020年修正）、《建设工程工程量清单计价标准》（GB/T 50500-2024）的规定，本项目投标报价可以由二级及以上注册造价工程师进行编制，审核由一级注册造价工程师审核。当编制人与审核人是一级注册造价工程师时，编制人与审核人可以是同一人。）</w:t>
            </w:r>
          </w:p>
        </w:tc>
      </w:tr>
      <w:tr w14:paraId="2A2C0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noWrap w:val="0"/>
            <w:vAlign w:val="center"/>
          </w:tcPr>
          <w:p w14:paraId="11C30EFD">
            <w:pPr>
              <w:autoSpaceDE w:val="0"/>
              <w:autoSpaceDN w:val="0"/>
              <w:adjustRightInd w:val="0"/>
              <w:snapToGrid w:val="0"/>
              <w:spacing w:line="276" w:lineRule="auto"/>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9.</w:t>
            </w:r>
            <w:r>
              <w:rPr>
                <w:rFonts w:hint="eastAsia" w:ascii="宋体" w:hAnsi="宋体" w:cs="宋体"/>
                <w:color w:val="auto"/>
                <w:kern w:val="0"/>
                <w:sz w:val="21"/>
                <w:szCs w:val="21"/>
                <w:highlight w:val="none"/>
                <w:lang w:val="en-US" w:eastAsia="zh-CN"/>
              </w:rPr>
              <w:t>4</w:t>
            </w:r>
          </w:p>
        </w:tc>
        <w:tc>
          <w:tcPr>
            <w:tcW w:w="8576" w:type="dxa"/>
            <w:gridSpan w:val="2"/>
            <w:noWrap w:val="0"/>
            <w:vAlign w:val="center"/>
          </w:tcPr>
          <w:p w14:paraId="176CCF87">
            <w:pPr>
              <w:numPr>
                <w:ilvl w:val="0"/>
                <w:numId w:val="0"/>
              </w:numPr>
              <w:autoSpaceDE w:val="0"/>
              <w:autoSpaceDN w:val="0"/>
              <w:adjustRightInd w:val="0"/>
              <w:snapToGrid w:val="0"/>
              <w:spacing w:line="276" w:lineRule="auto"/>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（1）本项目合同价格形式采用固定单价合同，市场价格波动不予调整综合单价。</w:t>
            </w:r>
          </w:p>
          <w:p w14:paraId="44293B88">
            <w:pPr>
              <w:numPr>
                <w:ilvl w:val="0"/>
                <w:numId w:val="0"/>
              </w:numPr>
              <w:autoSpaceDE w:val="0"/>
              <w:autoSpaceDN w:val="0"/>
              <w:adjustRightInd w:val="0"/>
              <w:snapToGrid w:val="0"/>
              <w:spacing w:line="276" w:lineRule="auto"/>
              <w:jc w:val="left"/>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bidi="ar-SA"/>
              </w:rPr>
              <w:t>（2）</w:t>
            </w:r>
            <w:r>
              <w:rPr>
                <w:rFonts w:hint="eastAsia" w:ascii="宋体" w:hAnsi="宋体" w:eastAsia="宋体" w:cs="宋体"/>
                <w:color w:val="auto"/>
                <w:kern w:val="0"/>
                <w:sz w:val="21"/>
                <w:szCs w:val="21"/>
                <w:highlight w:val="none"/>
              </w:rPr>
              <w:t>本次磋商只进行两次报价</w:t>
            </w:r>
            <w:r>
              <w:rPr>
                <w:rFonts w:hint="eastAsia" w:ascii="宋体" w:hAnsi="宋体" w:cs="宋体"/>
                <w:color w:val="auto"/>
                <w:kern w:val="0"/>
                <w:sz w:val="21"/>
                <w:szCs w:val="21"/>
                <w:highlight w:val="none"/>
                <w:lang w:eastAsia="zh-CN"/>
              </w:rPr>
              <w:t>，两次报价填报的均是总金额</w:t>
            </w:r>
            <w:r>
              <w:rPr>
                <w:rFonts w:hint="eastAsia" w:ascii="宋体" w:hAnsi="宋体" w:eastAsia="宋体" w:cs="宋体"/>
                <w:color w:val="auto"/>
                <w:kern w:val="0"/>
                <w:sz w:val="21"/>
                <w:szCs w:val="21"/>
                <w:highlight w:val="none"/>
              </w:rPr>
              <w:t>。</w:t>
            </w:r>
            <w:r>
              <w:rPr>
                <w:rFonts w:hint="eastAsia" w:ascii="宋体" w:hAnsi="宋体" w:cs="宋体"/>
                <w:color w:val="auto"/>
                <w:kern w:val="0"/>
                <w:sz w:val="21"/>
                <w:szCs w:val="21"/>
                <w:highlight w:val="none"/>
                <w:lang w:eastAsia="zh-CN"/>
              </w:rPr>
              <w:t>第一次</w:t>
            </w:r>
            <w:r>
              <w:rPr>
                <w:rFonts w:hint="eastAsia" w:ascii="宋体" w:hAnsi="宋体" w:eastAsia="宋体" w:cs="宋体"/>
                <w:color w:val="auto"/>
                <w:kern w:val="0"/>
                <w:sz w:val="21"/>
                <w:szCs w:val="21"/>
                <w:highlight w:val="none"/>
                <w:lang w:val="en-US" w:eastAsia="zh-CN"/>
              </w:rPr>
              <w:t>报价是响应文件中的报价，第二次报价为磋商现场填报。</w:t>
            </w:r>
          </w:p>
          <w:p w14:paraId="72C55E1F">
            <w:pPr>
              <w:numPr>
                <w:ilvl w:val="0"/>
                <w:numId w:val="0"/>
              </w:numPr>
              <w:autoSpaceDE w:val="0"/>
              <w:autoSpaceDN w:val="0"/>
              <w:adjustRightInd w:val="0"/>
              <w:snapToGrid w:val="0"/>
              <w:spacing w:line="276" w:lineRule="auto"/>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w:t>
            </w:r>
            <w:r>
              <w:rPr>
                <w:rFonts w:hint="eastAsia" w:ascii="宋体" w:hAnsi="宋体" w:cs="宋体"/>
                <w:color w:val="auto"/>
                <w:kern w:val="0"/>
                <w:sz w:val="21"/>
                <w:szCs w:val="21"/>
                <w:highlight w:val="none"/>
                <w:lang w:val="en-US" w:eastAsia="zh-CN" w:bidi="ar-SA"/>
              </w:rPr>
              <w:t>3</w:t>
            </w:r>
            <w:r>
              <w:rPr>
                <w:rFonts w:hint="eastAsia" w:ascii="宋体" w:hAnsi="宋体" w:eastAsia="宋体" w:cs="宋体"/>
                <w:color w:val="auto"/>
                <w:kern w:val="0"/>
                <w:sz w:val="21"/>
                <w:szCs w:val="21"/>
                <w:highlight w:val="none"/>
                <w:lang w:val="en-US" w:eastAsia="zh-CN" w:bidi="ar-SA"/>
              </w:rPr>
              <w:t>）</w:t>
            </w:r>
            <w:r>
              <w:rPr>
                <w:rFonts w:hint="eastAsia" w:ascii="宋体" w:hAnsi="宋体" w:cs="宋体"/>
                <w:color w:val="auto"/>
                <w:kern w:val="0"/>
                <w:sz w:val="21"/>
                <w:szCs w:val="21"/>
                <w:highlight w:val="none"/>
                <w:lang w:val="en-US" w:eastAsia="zh-CN" w:bidi="ar-SA"/>
              </w:rPr>
              <w:t>首次报价（</w:t>
            </w:r>
            <w:r>
              <w:rPr>
                <w:rFonts w:hint="eastAsia" w:ascii="宋体" w:hAnsi="宋体" w:eastAsia="宋体" w:cs="宋体"/>
                <w:color w:val="auto"/>
                <w:kern w:val="0"/>
                <w:sz w:val="21"/>
                <w:szCs w:val="21"/>
                <w:highlight w:val="none"/>
                <w:lang w:val="en-US" w:eastAsia="zh-CN" w:bidi="ar-SA"/>
              </w:rPr>
              <w:t>第一次报价</w:t>
            </w:r>
            <w:r>
              <w:rPr>
                <w:rFonts w:hint="eastAsia" w:ascii="宋体" w:hAnsi="宋体" w:cs="宋体"/>
                <w:color w:val="auto"/>
                <w:kern w:val="0"/>
                <w:sz w:val="21"/>
                <w:szCs w:val="21"/>
                <w:highlight w:val="none"/>
                <w:lang w:val="en-US" w:eastAsia="zh-CN" w:bidi="ar-SA"/>
              </w:rPr>
              <w:t>）的报价方式</w:t>
            </w:r>
          </w:p>
          <w:p w14:paraId="18EE45E1">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76" w:lineRule="auto"/>
              <w:ind w:firstLine="420" w:firstLineChars="200"/>
              <w:jc w:val="left"/>
              <w:textAlignment w:val="auto"/>
              <w:rPr>
                <w:rFonts w:hint="eastAsia" w:ascii="宋体" w:hAnsi="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①供应商应按采购人提供的“招标工程量清单”的要求填写相应表格。</w:t>
            </w:r>
          </w:p>
          <w:p w14:paraId="416882BD">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76" w:lineRule="auto"/>
              <w:ind w:firstLine="420" w:firstLineChars="200"/>
              <w:jc w:val="left"/>
              <w:textAlignment w:val="auto"/>
              <w:rPr>
                <w:rFonts w:hint="eastAsia" w:ascii="宋体" w:hAnsi="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②供应商应按《建设工程工程量清单计价规范》GB50500-2024中规定的工程量清单计价方式计价，计价标准执行“云建科〔2025〕63号及云建科〔2025〕72号”等现行有关配套计价文件。措施项目清单中的安全生产措施项目费应按照国家或省级、行业建设主管部门的规定计价，不得作为竞争性费用，其计价费率在投标时不得调整。增值税应按照国家或省级、行业建设主管部门的规定计算，不得作为竞争性费用，其计算费率和税率在投标时不得调整。</w:t>
            </w:r>
          </w:p>
          <w:p w14:paraId="4FAA4D8F">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76" w:lineRule="auto"/>
              <w:ind w:firstLine="420" w:firstLineChars="200"/>
              <w:jc w:val="left"/>
              <w:textAlignment w:val="auto"/>
              <w:rPr>
                <w:rFonts w:hint="eastAsia" w:ascii="宋体" w:hAnsi="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③工程量清单综合单价包括完成一个规定计量单位项目所需的人工费、材料费、机械使用费、企业管理费、利润和一定范围内的风险费用。本工程量清单计价表中的每一项均应填报，否则视为已含在其它项目的综合单价中。</w:t>
            </w:r>
          </w:p>
          <w:p w14:paraId="2A0E92BC">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76" w:lineRule="auto"/>
              <w:ind w:firstLine="420" w:firstLineChars="200"/>
              <w:jc w:val="left"/>
              <w:textAlignment w:val="auto"/>
              <w:rPr>
                <w:rFonts w:hint="eastAsia" w:ascii="宋体" w:hAnsi="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④响应报价不得高于招标工程量清单“最高投标限价公布表”中公布的任何一项。</w:t>
            </w:r>
          </w:p>
          <w:p w14:paraId="1A0A9157">
            <w:pPr>
              <w:numPr>
                <w:ilvl w:val="0"/>
                <w:numId w:val="0"/>
              </w:numPr>
              <w:autoSpaceDE w:val="0"/>
              <w:autoSpaceDN w:val="0"/>
              <w:adjustRightInd w:val="0"/>
              <w:snapToGrid w:val="0"/>
              <w:spacing w:line="276" w:lineRule="auto"/>
              <w:jc w:val="left"/>
              <w:rPr>
                <w:rFonts w:hint="eastAsia" w:ascii="宋体" w:hAnsi="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（4）最终报价（第二次报价）的报价方式：</w:t>
            </w:r>
          </w:p>
          <w:p w14:paraId="7FB05100">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76" w:lineRule="auto"/>
              <w:ind w:firstLine="420" w:firstLineChars="200"/>
              <w:jc w:val="left"/>
              <w:textAlignment w:val="auto"/>
              <w:rPr>
                <w:rFonts w:hint="eastAsia" w:ascii="宋体" w:hAnsi="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供应商在磋商小组规定的时间内提交最终报价的总价金额。在履行合同过程中，工程计价按照第一次报价的已标价工程量清单中的单价执行，在工程竣工结算时按照最终报价的总价金额相较于第一次报价的总价金额的优惠比例，计算竣工结算合同总价。税金、安全文明施工费、规费属于不可竞争性费用，结算时不参与下浮。</w:t>
            </w:r>
          </w:p>
          <w:p w14:paraId="43ED05EC">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76" w:lineRule="auto"/>
              <w:ind w:firstLine="420" w:firstLineChars="200"/>
              <w:jc w:val="left"/>
              <w:textAlignment w:val="auto"/>
              <w:rPr>
                <w:rFonts w:hint="eastAsia" w:ascii="宋体" w:hAnsi="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竣工结算合同总价=（最终审定的建筑安装工程费-安全文明施工费-规费-税金）×[1-（第一次报价的总价金额-最终报价的总价金额）/第一次报价的总价金额×100%]+安全文明施工费+规费+税金。</w:t>
            </w:r>
          </w:p>
          <w:p w14:paraId="61C8CB4D">
            <w:pPr>
              <w:numPr>
                <w:ilvl w:val="0"/>
                <w:numId w:val="0"/>
              </w:numPr>
              <w:autoSpaceDE w:val="0"/>
              <w:autoSpaceDN w:val="0"/>
              <w:adjustRightInd w:val="0"/>
              <w:snapToGrid w:val="0"/>
              <w:spacing w:line="276" w:lineRule="auto"/>
              <w:jc w:val="left"/>
              <w:rPr>
                <w:rFonts w:hint="eastAsia"/>
                <w:color w:val="auto"/>
                <w:highlight w:val="none"/>
                <w:lang w:val="en-US" w:eastAsia="zh-CN"/>
              </w:rPr>
            </w:pPr>
            <w:r>
              <w:rPr>
                <w:rFonts w:hint="eastAsia" w:ascii="宋体" w:hAnsi="宋体" w:eastAsia="宋体" w:cs="宋体"/>
                <w:color w:val="auto"/>
                <w:sz w:val="21"/>
                <w:szCs w:val="21"/>
                <w:highlight w:val="none"/>
                <w:lang w:val="en-US" w:eastAsia="zh-CN"/>
              </w:rPr>
              <w:t>注：如因供应商自身原因无法按时提交最终报价（第二次报价），供应商应当选择书面确认最终报价与第一次报价一致，或者书面说明退出本次磋商，否则响应无效。</w:t>
            </w:r>
          </w:p>
        </w:tc>
      </w:tr>
      <w:tr w14:paraId="3B1D3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noWrap w:val="0"/>
            <w:vAlign w:val="center"/>
          </w:tcPr>
          <w:p w14:paraId="4EFF1B7D">
            <w:pPr>
              <w:autoSpaceDE w:val="0"/>
              <w:autoSpaceDN w:val="0"/>
              <w:adjustRightInd w:val="0"/>
              <w:snapToGrid w:val="0"/>
              <w:spacing w:line="276" w:lineRule="auto"/>
              <w:jc w:val="center"/>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9.5</w:t>
            </w:r>
          </w:p>
        </w:tc>
        <w:tc>
          <w:tcPr>
            <w:tcW w:w="8576" w:type="dxa"/>
            <w:gridSpan w:val="2"/>
            <w:noWrap w:val="0"/>
            <w:vAlign w:val="center"/>
          </w:tcPr>
          <w:p w14:paraId="7BC84309">
            <w:pPr>
              <w:numPr>
                <w:ilvl w:val="0"/>
                <w:numId w:val="0"/>
              </w:numPr>
              <w:autoSpaceDE w:val="0"/>
              <w:autoSpaceDN w:val="0"/>
              <w:adjustRightInd w:val="0"/>
              <w:snapToGrid w:val="0"/>
              <w:spacing w:line="276" w:lineRule="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工程实施中增减变更项目的结算原则：</w:t>
            </w:r>
          </w:p>
          <w:p w14:paraId="3B81A9C4">
            <w:pPr>
              <w:numPr>
                <w:ilvl w:val="0"/>
                <w:numId w:val="0"/>
              </w:numPr>
              <w:autoSpaceDE w:val="0"/>
              <w:autoSpaceDN w:val="0"/>
              <w:adjustRightInd w:val="0"/>
              <w:snapToGrid w:val="0"/>
              <w:spacing w:line="276" w:lineRule="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1</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变更估价原则：已标价工程量清单中有适用于变更工程项目的，采用该项目的单价；已标价工程量清单中没有适用、但有类似于变更工程项目的，可在合理范围内参照类似项目的单价；已标价工程量清单中没有适用也没有类似于变更工程项目的，由承包人根据变更工程资料、计量规则和计价办法、工程造价管理机构发布的信息价格提出变更工程项目的单价，报发包人确认后调整；已标价工程量清单中没有适用也没有类似于变更工程项目的，且工程造价管理机构发布的信息价格缺价的，由承包人根据变更工程资料、计量规则、计价办法和通过市场调查等取得有合法依据的市场价格提出变更工程项目的单价，报发包人确认后调整。</w:t>
            </w:r>
          </w:p>
          <w:p w14:paraId="6C98E75D">
            <w:pPr>
              <w:numPr>
                <w:ilvl w:val="0"/>
                <w:numId w:val="0"/>
              </w:numPr>
              <w:autoSpaceDE w:val="0"/>
              <w:autoSpaceDN w:val="0"/>
              <w:adjustRightInd w:val="0"/>
              <w:snapToGrid w:val="0"/>
              <w:spacing w:line="276" w:lineRule="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2</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材料计价原则：材料价格以合同签订当月的《昭通市建设工程材料价格信息及市场价格》中的营改增版巧家县基价确定，没有的材料价格按《云南省建设工程材料及设备价格信息》中昭通市巧家县基价确定；以上价格信息都无法确定的材料价格，由发包人、承包人、监理和造价四方通过询价确定。</w:t>
            </w:r>
          </w:p>
        </w:tc>
      </w:tr>
      <w:tr w14:paraId="180BE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noWrap w:val="0"/>
            <w:vAlign w:val="center"/>
          </w:tcPr>
          <w:p w14:paraId="58AD3F74">
            <w:pPr>
              <w:autoSpaceDE w:val="0"/>
              <w:autoSpaceDN w:val="0"/>
              <w:adjustRightInd w:val="0"/>
              <w:snapToGrid w:val="0"/>
              <w:spacing w:line="276" w:lineRule="auto"/>
              <w:jc w:val="center"/>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9.</w:t>
            </w:r>
            <w:r>
              <w:rPr>
                <w:rFonts w:hint="eastAsia" w:ascii="宋体" w:hAnsi="宋体" w:cs="宋体"/>
                <w:color w:val="auto"/>
                <w:kern w:val="0"/>
                <w:sz w:val="21"/>
                <w:szCs w:val="21"/>
                <w:highlight w:val="none"/>
                <w:lang w:val="en-US" w:eastAsia="zh-CN"/>
              </w:rPr>
              <w:t>6</w:t>
            </w:r>
          </w:p>
        </w:tc>
        <w:tc>
          <w:tcPr>
            <w:tcW w:w="8576" w:type="dxa"/>
            <w:gridSpan w:val="2"/>
            <w:noWrap w:val="0"/>
            <w:vAlign w:val="center"/>
          </w:tcPr>
          <w:p w14:paraId="5E02F8AC">
            <w:pPr>
              <w:autoSpaceDE w:val="0"/>
              <w:autoSpaceDN w:val="0"/>
              <w:adjustRightInd w:val="0"/>
              <w:snapToGrid w:val="0"/>
              <w:spacing w:line="276"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不良行为记录是指：</w:t>
            </w:r>
          </w:p>
          <w:p w14:paraId="108582D3">
            <w:pPr>
              <w:numPr>
                <w:ilvl w:val="0"/>
                <w:numId w:val="2"/>
              </w:numPr>
              <w:autoSpaceDE w:val="0"/>
              <w:autoSpaceDN w:val="0"/>
              <w:adjustRightInd w:val="0"/>
              <w:snapToGrid w:val="0"/>
              <w:spacing w:line="276"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以受让或者借用或者涂改或者盗用或者伪造资质证书、图章、签名以及其他弄虚作假的方式参与磋商的；</w:t>
            </w:r>
          </w:p>
          <w:p w14:paraId="1C83C021">
            <w:pPr>
              <w:numPr>
                <w:ilvl w:val="0"/>
                <w:numId w:val="2"/>
              </w:numPr>
              <w:autoSpaceDE w:val="0"/>
              <w:autoSpaceDN w:val="0"/>
              <w:adjustRightInd w:val="0"/>
              <w:snapToGrid w:val="0"/>
              <w:spacing w:line="276"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竞争性供应商相互串通</w:t>
            </w:r>
            <w:r>
              <w:rPr>
                <w:rFonts w:hint="eastAsia" w:ascii="宋体" w:hAnsi="宋体" w:cs="宋体"/>
                <w:color w:val="auto"/>
                <w:kern w:val="0"/>
                <w:sz w:val="21"/>
                <w:szCs w:val="21"/>
                <w:highlight w:val="none"/>
                <w:lang w:eastAsia="zh-CN"/>
              </w:rPr>
              <w:t>投标</w:t>
            </w:r>
            <w:r>
              <w:rPr>
                <w:rFonts w:hint="eastAsia" w:ascii="宋体" w:hAnsi="宋体" w:eastAsia="宋体" w:cs="宋体"/>
                <w:color w:val="auto"/>
                <w:kern w:val="0"/>
                <w:sz w:val="21"/>
                <w:szCs w:val="21"/>
                <w:highlight w:val="none"/>
              </w:rPr>
              <w:t>或者与采购人串通</w:t>
            </w:r>
            <w:r>
              <w:rPr>
                <w:rFonts w:hint="eastAsia" w:ascii="宋体" w:hAnsi="宋体" w:cs="宋体"/>
                <w:color w:val="auto"/>
                <w:kern w:val="0"/>
                <w:sz w:val="21"/>
                <w:szCs w:val="21"/>
                <w:highlight w:val="none"/>
                <w:lang w:eastAsia="zh-CN"/>
              </w:rPr>
              <w:t>投标</w:t>
            </w:r>
            <w:r>
              <w:rPr>
                <w:rFonts w:hint="eastAsia" w:ascii="宋体" w:hAnsi="宋体" w:eastAsia="宋体" w:cs="宋体"/>
                <w:color w:val="auto"/>
                <w:kern w:val="0"/>
                <w:sz w:val="21"/>
                <w:szCs w:val="21"/>
                <w:highlight w:val="none"/>
              </w:rPr>
              <w:t>的；</w:t>
            </w:r>
          </w:p>
          <w:p w14:paraId="606BD5A5">
            <w:pPr>
              <w:numPr>
                <w:ilvl w:val="0"/>
                <w:numId w:val="2"/>
              </w:numPr>
              <w:autoSpaceDE w:val="0"/>
              <w:autoSpaceDN w:val="0"/>
              <w:adjustRightInd w:val="0"/>
              <w:snapToGrid w:val="0"/>
              <w:spacing w:line="276"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行贿或者索贿或者受贿或者接受其他好处的；</w:t>
            </w:r>
          </w:p>
          <w:p w14:paraId="57F1F7B5">
            <w:pPr>
              <w:numPr>
                <w:ilvl w:val="0"/>
                <w:numId w:val="2"/>
              </w:numPr>
              <w:autoSpaceDE w:val="0"/>
              <w:autoSpaceDN w:val="0"/>
              <w:adjustRightInd w:val="0"/>
              <w:snapToGrid w:val="0"/>
              <w:spacing w:line="276"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将中标</w:t>
            </w:r>
            <w:r>
              <w:rPr>
                <w:rFonts w:hint="eastAsia" w:ascii="宋体" w:hAnsi="宋体" w:cs="宋体"/>
                <w:color w:val="auto"/>
                <w:kern w:val="0"/>
                <w:sz w:val="21"/>
                <w:szCs w:val="21"/>
                <w:highlight w:val="none"/>
                <w:lang w:eastAsia="zh-CN"/>
              </w:rPr>
              <w:t>（成交）</w:t>
            </w:r>
            <w:r>
              <w:rPr>
                <w:rFonts w:hint="eastAsia" w:ascii="宋体" w:hAnsi="宋体" w:eastAsia="宋体" w:cs="宋体"/>
                <w:color w:val="auto"/>
                <w:kern w:val="0"/>
                <w:sz w:val="21"/>
                <w:szCs w:val="21"/>
                <w:highlight w:val="none"/>
              </w:rPr>
              <w:t>项目进行转包或者违法分包的；</w:t>
            </w:r>
          </w:p>
          <w:p w14:paraId="209E6FCE">
            <w:pPr>
              <w:numPr>
                <w:ilvl w:val="0"/>
                <w:numId w:val="2"/>
              </w:numPr>
              <w:autoSpaceDE w:val="0"/>
              <w:autoSpaceDN w:val="0"/>
              <w:adjustRightInd w:val="0"/>
              <w:snapToGrid w:val="0"/>
              <w:spacing w:line="276"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无故放弃中标</w:t>
            </w:r>
            <w:r>
              <w:rPr>
                <w:rFonts w:hint="eastAsia" w:ascii="宋体" w:hAnsi="宋体" w:cs="宋体"/>
                <w:color w:val="auto"/>
                <w:kern w:val="0"/>
                <w:sz w:val="21"/>
                <w:szCs w:val="21"/>
                <w:highlight w:val="none"/>
                <w:lang w:eastAsia="zh-CN"/>
              </w:rPr>
              <w:t>（成交）</w:t>
            </w:r>
            <w:r>
              <w:rPr>
                <w:rFonts w:hint="eastAsia" w:ascii="宋体" w:hAnsi="宋体" w:eastAsia="宋体" w:cs="宋体"/>
                <w:color w:val="auto"/>
                <w:kern w:val="0"/>
                <w:sz w:val="21"/>
                <w:szCs w:val="21"/>
                <w:highlight w:val="none"/>
              </w:rPr>
              <w:t>的；</w:t>
            </w:r>
          </w:p>
          <w:p w14:paraId="15D812E5">
            <w:pPr>
              <w:numPr>
                <w:ilvl w:val="0"/>
                <w:numId w:val="2"/>
              </w:numPr>
              <w:autoSpaceDE w:val="0"/>
              <w:autoSpaceDN w:val="0"/>
              <w:adjustRightInd w:val="0"/>
              <w:snapToGrid w:val="0"/>
              <w:spacing w:line="276" w:lineRule="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不履行响应文件承诺的；</w:t>
            </w:r>
          </w:p>
          <w:p w14:paraId="5DBF1C2D">
            <w:pPr>
              <w:numPr>
                <w:ilvl w:val="0"/>
                <w:numId w:val="2"/>
              </w:numPr>
              <w:autoSpaceDE w:val="0"/>
              <w:autoSpaceDN w:val="0"/>
              <w:adjustRightInd w:val="0"/>
              <w:snapToGrid w:val="0"/>
              <w:spacing w:line="276" w:lineRule="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法律、法规禁止的其他行为。</w:t>
            </w:r>
          </w:p>
        </w:tc>
      </w:tr>
      <w:tr w14:paraId="5A3CE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noWrap w:val="0"/>
            <w:vAlign w:val="center"/>
          </w:tcPr>
          <w:p w14:paraId="337E4954">
            <w:pPr>
              <w:autoSpaceDE w:val="0"/>
              <w:autoSpaceDN w:val="0"/>
              <w:adjustRightInd w:val="0"/>
              <w:snapToGrid w:val="0"/>
              <w:spacing w:line="276" w:lineRule="auto"/>
              <w:jc w:val="center"/>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9.</w:t>
            </w:r>
            <w:r>
              <w:rPr>
                <w:rFonts w:hint="eastAsia" w:ascii="宋体" w:hAnsi="宋体" w:cs="宋体"/>
                <w:color w:val="auto"/>
                <w:kern w:val="0"/>
                <w:sz w:val="21"/>
                <w:szCs w:val="21"/>
                <w:highlight w:val="none"/>
                <w:lang w:val="en-US" w:eastAsia="zh-CN"/>
              </w:rPr>
              <w:t>7</w:t>
            </w:r>
          </w:p>
        </w:tc>
        <w:tc>
          <w:tcPr>
            <w:tcW w:w="8576" w:type="dxa"/>
            <w:gridSpan w:val="2"/>
            <w:noWrap w:val="0"/>
            <w:vAlign w:val="center"/>
          </w:tcPr>
          <w:p w14:paraId="7F9E1052">
            <w:pPr>
              <w:numPr>
                <w:ilvl w:val="0"/>
                <w:numId w:val="0"/>
              </w:numPr>
              <w:autoSpaceDE w:val="0"/>
              <w:autoSpaceDN w:val="0"/>
              <w:adjustRightInd w:val="0"/>
              <w:snapToGrid w:val="0"/>
              <w:spacing w:line="276" w:lineRule="auto"/>
              <w:jc w:val="lef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同义词语</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构成磋商文件组成部分的“合同条款”、“</w:t>
            </w:r>
            <w:r>
              <w:rPr>
                <w:rFonts w:hint="eastAsia" w:ascii="宋体" w:hAnsi="宋体" w:cs="宋体"/>
                <w:color w:val="auto"/>
                <w:kern w:val="0"/>
                <w:sz w:val="21"/>
                <w:szCs w:val="21"/>
                <w:highlight w:val="none"/>
                <w:lang w:eastAsia="zh-CN"/>
              </w:rPr>
              <w:t>采购需求</w:t>
            </w:r>
            <w:r>
              <w:rPr>
                <w:rFonts w:hint="eastAsia" w:ascii="宋体" w:hAnsi="宋体" w:eastAsia="宋体" w:cs="宋体"/>
                <w:color w:val="auto"/>
                <w:kern w:val="0"/>
                <w:sz w:val="21"/>
                <w:szCs w:val="21"/>
                <w:highlight w:val="none"/>
              </w:rPr>
              <w:t>”等章节中出现的措辞“采购人”和“承包人”，在磋商阶段应当分别按“采购人”和“供应商”进行理解。</w:t>
            </w:r>
          </w:p>
        </w:tc>
      </w:tr>
      <w:tr w14:paraId="06EB0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noWrap w:val="0"/>
            <w:vAlign w:val="center"/>
          </w:tcPr>
          <w:p w14:paraId="14AAF17A">
            <w:pPr>
              <w:autoSpaceDE w:val="0"/>
              <w:autoSpaceDN w:val="0"/>
              <w:adjustRightInd w:val="0"/>
              <w:snapToGrid w:val="0"/>
              <w:spacing w:line="276" w:lineRule="auto"/>
              <w:jc w:val="center"/>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9.</w:t>
            </w:r>
            <w:r>
              <w:rPr>
                <w:rFonts w:hint="eastAsia" w:ascii="宋体" w:hAnsi="宋体" w:cs="宋体"/>
                <w:color w:val="auto"/>
                <w:kern w:val="0"/>
                <w:sz w:val="21"/>
                <w:szCs w:val="21"/>
                <w:highlight w:val="none"/>
                <w:lang w:val="en-US" w:eastAsia="zh-CN"/>
              </w:rPr>
              <w:t>8</w:t>
            </w:r>
          </w:p>
        </w:tc>
        <w:tc>
          <w:tcPr>
            <w:tcW w:w="8576" w:type="dxa"/>
            <w:gridSpan w:val="2"/>
            <w:noWrap w:val="0"/>
            <w:vAlign w:val="center"/>
          </w:tcPr>
          <w:p w14:paraId="602DA0F7">
            <w:pPr>
              <w:numPr>
                <w:ilvl w:val="0"/>
                <w:numId w:val="0"/>
              </w:numPr>
              <w:autoSpaceDE w:val="0"/>
              <w:autoSpaceDN w:val="0"/>
              <w:adjustRightInd w:val="0"/>
              <w:snapToGrid w:val="0"/>
              <w:spacing w:line="276"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知识产权：</w:t>
            </w:r>
            <w:r>
              <w:rPr>
                <w:rFonts w:hint="eastAsia" w:ascii="宋体" w:hAnsi="宋体" w:eastAsia="宋体" w:cs="宋体"/>
                <w:color w:val="auto"/>
                <w:kern w:val="0"/>
                <w:sz w:val="21"/>
                <w:szCs w:val="21"/>
                <w:highlight w:val="none"/>
              </w:rPr>
              <w:t>构成本竞争性磋商文件各个组成部分的文件，未经采购人书面同意，供应商不得擅自复印和用于非本项目所需的其他目的。采购人全部或者部分使用未成交人响应文件中的技术成果或技术方案时，需征得其书面同意，并不得擅自复印或提供给第三人。</w:t>
            </w:r>
          </w:p>
        </w:tc>
      </w:tr>
      <w:tr w14:paraId="1C9C5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jc w:val="center"/>
        </w:trPr>
        <w:tc>
          <w:tcPr>
            <w:tcW w:w="1188" w:type="dxa"/>
            <w:noWrap w:val="0"/>
            <w:vAlign w:val="center"/>
          </w:tcPr>
          <w:p w14:paraId="3B3F856B">
            <w:pPr>
              <w:autoSpaceDE w:val="0"/>
              <w:autoSpaceDN w:val="0"/>
              <w:adjustRightInd w:val="0"/>
              <w:snapToGrid w:val="0"/>
              <w:spacing w:line="276" w:lineRule="auto"/>
              <w:jc w:val="center"/>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9.</w:t>
            </w:r>
            <w:r>
              <w:rPr>
                <w:rFonts w:hint="eastAsia" w:ascii="宋体" w:hAnsi="宋体" w:cs="宋体"/>
                <w:color w:val="auto"/>
                <w:kern w:val="0"/>
                <w:sz w:val="21"/>
                <w:szCs w:val="21"/>
                <w:highlight w:val="none"/>
                <w:lang w:val="en-US" w:eastAsia="zh-CN"/>
              </w:rPr>
              <w:t>9</w:t>
            </w:r>
          </w:p>
        </w:tc>
        <w:tc>
          <w:tcPr>
            <w:tcW w:w="8576" w:type="dxa"/>
            <w:gridSpan w:val="2"/>
            <w:noWrap w:val="0"/>
            <w:vAlign w:val="center"/>
          </w:tcPr>
          <w:p w14:paraId="592C16E2">
            <w:pPr>
              <w:numPr>
                <w:ilvl w:val="0"/>
                <w:numId w:val="0"/>
              </w:numPr>
              <w:autoSpaceDE w:val="0"/>
              <w:autoSpaceDN w:val="0"/>
              <w:adjustRightInd w:val="0"/>
              <w:snapToGrid w:val="0"/>
              <w:spacing w:line="276" w:lineRule="auto"/>
              <w:jc w:val="left"/>
              <w:rPr>
                <w:rFonts w:hint="default" w:ascii="宋体" w:hAnsi="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付款方式：</w:t>
            </w:r>
            <w:r>
              <w:rPr>
                <w:rFonts w:hint="default" w:ascii="宋体" w:hAnsi="宋体" w:cs="宋体"/>
                <w:color w:val="auto"/>
                <w:kern w:val="0"/>
                <w:sz w:val="21"/>
                <w:szCs w:val="21"/>
                <w:highlight w:val="none"/>
                <w:lang w:val="en-US" w:eastAsia="zh-CN"/>
              </w:rPr>
              <w:t>工程完工并</w:t>
            </w:r>
            <w:r>
              <w:rPr>
                <w:rFonts w:hint="eastAsia" w:ascii="宋体" w:hAnsi="宋体" w:cs="宋体"/>
                <w:color w:val="auto"/>
                <w:kern w:val="0"/>
                <w:sz w:val="21"/>
                <w:szCs w:val="21"/>
                <w:highlight w:val="none"/>
                <w:lang w:val="en-US" w:eastAsia="zh-CN"/>
              </w:rPr>
              <w:t>经采购人</w:t>
            </w:r>
            <w:r>
              <w:rPr>
                <w:rFonts w:hint="default" w:ascii="宋体" w:hAnsi="宋体" w:cs="宋体"/>
                <w:color w:val="auto"/>
                <w:kern w:val="0"/>
                <w:sz w:val="21"/>
                <w:szCs w:val="21"/>
                <w:highlight w:val="none"/>
                <w:lang w:val="en-US" w:eastAsia="zh-CN"/>
              </w:rPr>
              <w:t>验收合格后，支付合同签约价的50%；完成工程结算审核且通过省、市级卫生健康委组织的验收后，支付至第三方造价咨询机构审核认定金额的97%，剩余3%作为质保金（缺陷责任期满且无质量问题后一次性无息退还）。</w:t>
            </w:r>
          </w:p>
        </w:tc>
      </w:tr>
      <w:tr w14:paraId="3F788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noWrap w:val="0"/>
            <w:vAlign w:val="center"/>
          </w:tcPr>
          <w:p w14:paraId="06C4C52A">
            <w:pPr>
              <w:autoSpaceDE w:val="0"/>
              <w:autoSpaceDN w:val="0"/>
              <w:adjustRightInd w:val="0"/>
              <w:snapToGrid w:val="0"/>
              <w:spacing w:line="276" w:lineRule="auto"/>
              <w:jc w:val="center"/>
              <w:rPr>
                <w:rFonts w:hint="default" w:ascii="宋体" w:hAnsi="宋体" w:eastAsia="宋体" w:cs="宋体"/>
                <w:color w:val="auto"/>
                <w:kern w:val="0"/>
                <w:sz w:val="21"/>
                <w:szCs w:val="21"/>
                <w:highlight w:val="none"/>
                <w:lang w:val="en-US" w:eastAsia="zh-CN"/>
              </w:rPr>
            </w:pPr>
            <w:bookmarkStart w:id="29" w:name="_Toc76381777"/>
            <w:bookmarkStart w:id="30" w:name="_Toc75284955"/>
            <w:bookmarkStart w:id="31" w:name="_Toc32270"/>
            <w:bookmarkStart w:id="32" w:name="_Toc17886"/>
            <w:r>
              <w:rPr>
                <w:rFonts w:hint="eastAsia" w:ascii="宋体" w:hAnsi="宋体" w:eastAsia="宋体" w:cs="宋体"/>
                <w:color w:val="auto"/>
                <w:kern w:val="0"/>
                <w:sz w:val="21"/>
                <w:szCs w:val="21"/>
                <w:highlight w:val="none"/>
                <w:lang w:val="en-US" w:eastAsia="zh-CN"/>
              </w:rPr>
              <w:t>9.</w:t>
            </w:r>
            <w:r>
              <w:rPr>
                <w:rFonts w:hint="eastAsia" w:ascii="宋体" w:hAnsi="宋体" w:cs="宋体"/>
                <w:color w:val="auto"/>
                <w:kern w:val="0"/>
                <w:sz w:val="21"/>
                <w:szCs w:val="21"/>
                <w:highlight w:val="none"/>
                <w:lang w:val="en-US" w:eastAsia="zh-CN"/>
              </w:rPr>
              <w:t>10</w:t>
            </w:r>
          </w:p>
        </w:tc>
        <w:tc>
          <w:tcPr>
            <w:tcW w:w="8576" w:type="dxa"/>
            <w:gridSpan w:val="2"/>
            <w:noWrap w:val="0"/>
            <w:vAlign w:val="center"/>
          </w:tcPr>
          <w:p w14:paraId="22A0E1B6">
            <w:pPr>
              <w:numPr>
                <w:ilvl w:val="0"/>
                <w:numId w:val="0"/>
              </w:numPr>
              <w:autoSpaceDE w:val="0"/>
              <w:autoSpaceDN w:val="0"/>
              <w:adjustRightInd w:val="0"/>
              <w:snapToGrid w:val="0"/>
              <w:spacing w:line="276"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中小微企业政策：</w:t>
            </w:r>
          </w:p>
          <w:p w14:paraId="668D8DE5">
            <w:pPr>
              <w:numPr>
                <w:ilvl w:val="0"/>
                <w:numId w:val="3"/>
              </w:numPr>
              <w:autoSpaceDE w:val="0"/>
              <w:autoSpaceDN w:val="0"/>
              <w:adjustRightInd w:val="0"/>
              <w:snapToGrid w:val="0"/>
              <w:spacing w:line="276"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本项目专门面向中小企业（含中型、小型、微型）采购，预留比例100%。</w:t>
            </w:r>
          </w:p>
          <w:p w14:paraId="7B90980B">
            <w:pPr>
              <w:numPr>
                <w:ilvl w:val="0"/>
                <w:numId w:val="0"/>
              </w:numPr>
              <w:autoSpaceDE w:val="0"/>
              <w:autoSpaceDN w:val="0"/>
              <w:adjustRightInd w:val="0"/>
              <w:snapToGrid w:val="0"/>
              <w:spacing w:line="276" w:lineRule="auto"/>
              <w:jc w:val="left"/>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①</w:t>
            </w:r>
            <w:r>
              <w:rPr>
                <w:rFonts w:hint="eastAsia" w:ascii="宋体" w:hAnsi="宋体" w:eastAsia="宋体" w:cs="宋体"/>
                <w:color w:val="auto"/>
                <w:kern w:val="0"/>
                <w:sz w:val="21"/>
                <w:szCs w:val="21"/>
                <w:highlight w:val="none"/>
                <w:lang w:val="en-US" w:eastAsia="zh-CN"/>
              </w:rPr>
              <w:t>中小企业不再执行价格评审优惠扶持政策。</w:t>
            </w:r>
          </w:p>
          <w:p w14:paraId="6AE8C0FE">
            <w:pPr>
              <w:numPr>
                <w:ilvl w:val="0"/>
                <w:numId w:val="0"/>
              </w:numPr>
              <w:autoSpaceDE w:val="0"/>
              <w:autoSpaceDN w:val="0"/>
              <w:adjustRightInd w:val="0"/>
              <w:snapToGrid w:val="0"/>
              <w:spacing w:line="276" w:lineRule="auto"/>
              <w:jc w:val="left"/>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②供应商</w:t>
            </w:r>
            <w:r>
              <w:rPr>
                <w:rFonts w:hint="eastAsia" w:ascii="宋体" w:hAnsi="宋体" w:eastAsia="宋体" w:cs="宋体"/>
                <w:color w:val="auto"/>
                <w:kern w:val="0"/>
                <w:sz w:val="21"/>
                <w:szCs w:val="21"/>
                <w:highlight w:val="none"/>
                <w:lang w:val="en-US" w:eastAsia="zh-CN"/>
              </w:rPr>
              <w:t>提供的全部</w:t>
            </w:r>
            <w:r>
              <w:rPr>
                <w:rFonts w:hint="eastAsia" w:ascii="宋体" w:hAnsi="宋体" w:cs="宋体"/>
                <w:color w:val="auto"/>
                <w:kern w:val="0"/>
                <w:sz w:val="21"/>
                <w:szCs w:val="21"/>
                <w:highlight w:val="none"/>
                <w:lang w:val="en-US" w:eastAsia="zh-CN"/>
              </w:rPr>
              <w:t>工程</w:t>
            </w:r>
            <w:r>
              <w:rPr>
                <w:rFonts w:hint="eastAsia" w:ascii="宋体" w:hAnsi="宋体" w:eastAsia="宋体" w:cs="宋体"/>
                <w:color w:val="auto"/>
                <w:kern w:val="0"/>
                <w:sz w:val="21"/>
                <w:szCs w:val="21"/>
                <w:highlight w:val="none"/>
                <w:lang w:val="en-US" w:eastAsia="zh-CN"/>
              </w:rPr>
              <w:t>应当由中小企业承建</w:t>
            </w:r>
            <w:r>
              <w:rPr>
                <w:rFonts w:hint="eastAsia" w:ascii="宋体" w:hAnsi="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lang w:val="en-US" w:eastAsia="zh-CN"/>
              </w:rPr>
              <w:t>即工程施工单位为中小企业</w:t>
            </w:r>
            <w:r>
              <w:rPr>
                <w:rFonts w:hint="eastAsia" w:ascii="宋体" w:hAnsi="宋体" w:cs="宋体"/>
                <w:color w:val="auto"/>
                <w:kern w:val="0"/>
                <w:sz w:val="21"/>
                <w:szCs w:val="21"/>
                <w:highlight w:val="none"/>
                <w:lang w:val="en-US" w:eastAsia="zh-CN"/>
              </w:rPr>
              <w:t>），否则响应无效</w:t>
            </w:r>
            <w:r>
              <w:rPr>
                <w:rFonts w:hint="eastAsia" w:ascii="宋体" w:hAnsi="宋体" w:eastAsia="宋体" w:cs="宋体"/>
                <w:color w:val="auto"/>
                <w:kern w:val="0"/>
                <w:sz w:val="21"/>
                <w:szCs w:val="21"/>
                <w:highlight w:val="none"/>
                <w:lang w:val="en-US" w:eastAsia="zh-CN"/>
              </w:rPr>
              <w:t>。</w:t>
            </w:r>
          </w:p>
          <w:p w14:paraId="76D2806F">
            <w:pPr>
              <w:numPr>
                <w:ilvl w:val="0"/>
                <w:numId w:val="0"/>
              </w:numPr>
              <w:autoSpaceDE w:val="0"/>
              <w:autoSpaceDN w:val="0"/>
              <w:adjustRightInd w:val="0"/>
              <w:snapToGrid w:val="0"/>
              <w:spacing w:line="276" w:lineRule="auto"/>
              <w:jc w:val="left"/>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③供应商</w:t>
            </w:r>
            <w:r>
              <w:rPr>
                <w:rFonts w:hint="eastAsia" w:ascii="宋体" w:hAnsi="宋体" w:eastAsia="宋体" w:cs="宋体"/>
                <w:color w:val="auto"/>
                <w:kern w:val="0"/>
                <w:sz w:val="21"/>
                <w:szCs w:val="21"/>
                <w:highlight w:val="none"/>
                <w:lang w:val="en-US" w:eastAsia="zh-CN"/>
              </w:rPr>
              <w:t>应根据《财政部 工业和信息化部关于印发&lt;政府采购促进中小企业发展管理办法&gt;的通知》（财库〔2020〕46号）、《财政部 司法部关于政府采购支持监狱企业发展有关问题的通知》（财库〔2014〕68号）和《三部门联合发布关于促进残疾人就业政府采购政策的通知》（财库〔2017〕141号）的规定在</w:t>
            </w:r>
            <w:r>
              <w:rPr>
                <w:rFonts w:hint="eastAsia" w:ascii="宋体" w:hAnsi="宋体" w:cs="宋体"/>
                <w:color w:val="auto"/>
                <w:kern w:val="0"/>
                <w:sz w:val="21"/>
                <w:szCs w:val="21"/>
                <w:highlight w:val="none"/>
                <w:lang w:val="en-US" w:eastAsia="zh-CN"/>
              </w:rPr>
              <w:t>响应</w:t>
            </w:r>
            <w:r>
              <w:rPr>
                <w:rFonts w:hint="eastAsia" w:ascii="宋体" w:hAnsi="宋体" w:eastAsia="宋体" w:cs="宋体"/>
                <w:color w:val="auto"/>
                <w:kern w:val="0"/>
                <w:sz w:val="21"/>
                <w:szCs w:val="21"/>
                <w:highlight w:val="none"/>
                <w:lang w:val="en-US" w:eastAsia="zh-CN"/>
              </w:rPr>
              <w:t>文件中提交《中小企业声明函》或残疾人福利性单位声明函或省级以上监狱管理局、戒毒管理局（含新疆生产建设兵团）出具的属于监狱企业的证明文件，</w:t>
            </w:r>
            <w:r>
              <w:rPr>
                <w:rFonts w:hint="eastAsia" w:ascii="宋体" w:hAnsi="宋体" w:cs="宋体"/>
                <w:color w:val="auto"/>
                <w:kern w:val="0"/>
                <w:sz w:val="21"/>
                <w:szCs w:val="21"/>
                <w:highlight w:val="none"/>
                <w:lang w:val="en-US" w:eastAsia="zh-CN"/>
              </w:rPr>
              <w:t>否则资格审查不予通过</w:t>
            </w:r>
            <w:r>
              <w:rPr>
                <w:rFonts w:hint="eastAsia" w:ascii="宋体" w:hAnsi="宋体" w:eastAsia="宋体" w:cs="宋体"/>
                <w:color w:val="auto"/>
                <w:kern w:val="0"/>
                <w:sz w:val="21"/>
                <w:szCs w:val="21"/>
                <w:highlight w:val="none"/>
                <w:lang w:val="en-US" w:eastAsia="zh-CN"/>
              </w:rPr>
              <w:t>。</w:t>
            </w:r>
          </w:p>
          <w:p w14:paraId="634A2A5E">
            <w:pPr>
              <w:numPr>
                <w:ilvl w:val="0"/>
                <w:numId w:val="0"/>
              </w:numPr>
              <w:autoSpaceDE w:val="0"/>
              <w:autoSpaceDN w:val="0"/>
              <w:adjustRightInd w:val="0"/>
              <w:snapToGrid w:val="0"/>
              <w:spacing w:line="276"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w:t>
            </w: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val="en-US" w:eastAsia="zh-CN"/>
              </w:rPr>
              <w:t>）提供由省级以上监狱管理局、戒毒管理局 (含新疆生产建设兵团)出具的属于监狱企业证明文件的，视同为小型和微型企业；符合享受政府采购支持政策的残疾人福利性单位条件且提供《残疾人福利性单位声明函》的，视同为小型和微型企业。</w:t>
            </w:r>
          </w:p>
          <w:p w14:paraId="0A5D09FF">
            <w:pPr>
              <w:numPr>
                <w:ilvl w:val="0"/>
                <w:numId w:val="0"/>
              </w:numPr>
              <w:autoSpaceDE w:val="0"/>
              <w:autoSpaceDN w:val="0"/>
              <w:adjustRightInd w:val="0"/>
              <w:snapToGrid w:val="0"/>
              <w:spacing w:line="276" w:lineRule="auto"/>
              <w:jc w:val="left"/>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en-US" w:eastAsia="zh-CN"/>
              </w:rPr>
              <w:t>本项目标的所属行业为建筑业</w:t>
            </w:r>
            <w:r>
              <w:rPr>
                <w:rFonts w:hint="eastAsia" w:ascii="宋体" w:hAnsi="宋体" w:cs="宋体"/>
                <w:color w:val="auto"/>
                <w:kern w:val="0"/>
                <w:sz w:val="21"/>
                <w:szCs w:val="21"/>
                <w:highlight w:val="none"/>
                <w:lang w:val="en-US" w:eastAsia="zh-CN"/>
              </w:rPr>
              <w:t>。</w:t>
            </w:r>
          </w:p>
          <w:p w14:paraId="43A5BC67">
            <w:pPr>
              <w:numPr>
                <w:ilvl w:val="0"/>
                <w:numId w:val="0"/>
              </w:numPr>
              <w:autoSpaceDE w:val="0"/>
              <w:autoSpaceDN w:val="0"/>
              <w:adjustRightInd w:val="0"/>
              <w:snapToGrid w:val="0"/>
              <w:spacing w:line="276"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注：</w:t>
            </w:r>
          </w:p>
          <w:p w14:paraId="0AF54422">
            <w:pPr>
              <w:numPr>
                <w:ilvl w:val="0"/>
                <w:numId w:val="0"/>
              </w:numPr>
              <w:autoSpaceDE w:val="0"/>
              <w:autoSpaceDN w:val="0"/>
              <w:adjustRightInd w:val="0"/>
              <w:snapToGrid w:val="0"/>
              <w:spacing w:line="276"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①根据工业和信息化部、国家统计局、国家发展和改革委员会、财政部《关于印发中小企业划型标准规定的通知》（工信部联企业〔2011〕300号），按照本次采购标的所属行业的划型标准，符合条件的中小企业应按照采购文件格式要求提供《中小企业声明函》。</w:t>
            </w:r>
          </w:p>
          <w:p w14:paraId="66563B94">
            <w:pPr>
              <w:numPr>
                <w:ilvl w:val="0"/>
                <w:numId w:val="0"/>
              </w:numPr>
              <w:autoSpaceDE w:val="0"/>
              <w:autoSpaceDN w:val="0"/>
              <w:adjustRightInd w:val="0"/>
              <w:snapToGrid w:val="0"/>
              <w:spacing w:line="276"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②提供由省级以上监狱管理局、戒毒管理局（含新疆生产建设兵团）出具的属于监狱企业证明文件（扫描件）的，视同为小型和微型企业。</w:t>
            </w:r>
          </w:p>
          <w:p w14:paraId="317F3B78">
            <w:pPr>
              <w:numPr>
                <w:ilvl w:val="0"/>
                <w:numId w:val="0"/>
              </w:numPr>
              <w:autoSpaceDE w:val="0"/>
              <w:autoSpaceDN w:val="0"/>
              <w:adjustRightInd w:val="0"/>
              <w:snapToGrid w:val="0"/>
              <w:spacing w:line="276"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③符合享受政府采购支持政策的残疾人福利性单位条件且提供《残疾人福利性单位声明函》的，视同为小型和微型企业。</w:t>
            </w:r>
          </w:p>
          <w:p w14:paraId="6F2C1F67">
            <w:pPr>
              <w:numPr>
                <w:ilvl w:val="0"/>
                <w:numId w:val="0"/>
              </w:numPr>
              <w:autoSpaceDE w:val="0"/>
              <w:autoSpaceDN w:val="0"/>
              <w:adjustRightInd w:val="0"/>
              <w:snapToGrid w:val="0"/>
              <w:spacing w:line="276"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④依据财库〔2020〕46号文件享受扶持政策获得政府采购合同的，小微企业不得将合同分包给大中型企业，中型企业不得将合同分包给大型企业。</w:t>
            </w:r>
          </w:p>
        </w:tc>
      </w:tr>
      <w:tr w14:paraId="5A86F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noWrap w:val="0"/>
            <w:vAlign w:val="center"/>
          </w:tcPr>
          <w:p w14:paraId="43741FFE">
            <w:pPr>
              <w:autoSpaceDE w:val="0"/>
              <w:autoSpaceDN w:val="0"/>
              <w:adjustRightInd w:val="0"/>
              <w:snapToGrid w:val="0"/>
              <w:spacing w:line="276" w:lineRule="auto"/>
              <w:jc w:val="center"/>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9.</w:t>
            </w:r>
            <w:r>
              <w:rPr>
                <w:rFonts w:hint="eastAsia" w:ascii="宋体" w:hAnsi="宋体" w:cs="宋体"/>
                <w:color w:val="auto"/>
                <w:kern w:val="0"/>
                <w:sz w:val="21"/>
                <w:szCs w:val="21"/>
                <w:highlight w:val="none"/>
                <w:lang w:val="en-US" w:eastAsia="zh-CN"/>
              </w:rPr>
              <w:t>11</w:t>
            </w:r>
          </w:p>
        </w:tc>
        <w:tc>
          <w:tcPr>
            <w:tcW w:w="8576" w:type="dxa"/>
            <w:gridSpan w:val="2"/>
            <w:noWrap w:val="0"/>
            <w:vAlign w:val="center"/>
          </w:tcPr>
          <w:p w14:paraId="23086641">
            <w:pPr>
              <w:numPr>
                <w:ilvl w:val="0"/>
                <w:numId w:val="0"/>
              </w:numPr>
              <w:autoSpaceDE w:val="0"/>
              <w:autoSpaceDN w:val="0"/>
              <w:adjustRightInd w:val="0"/>
              <w:snapToGrid w:val="0"/>
              <w:spacing w:line="276"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节能环保有关政策：</w:t>
            </w:r>
          </w:p>
          <w:p w14:paraId="10D1B3C6">
            <w:pPr>
              <w:numPr>
                <w:ilvl w:val="0"/>
                <w:numId w:val="0"/>
              </w:numPr>
              <w:autoSpaceDE w:val="0"/>
              <w:autoSpaceDN w:val="0"/>
              <w:adjustRightInd w:val="0"/>
              <w:snapToGrid w:val="0"/>
              <w:spacing w:line="276"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的有关要求。</w:t>
            </w:r>
          </w:p>
          <w:p w14:paraId="4AFCBE38">
            <w:pPr>
              <w:numPr>
                <w:ilvl w:val="0"/>
                <w:numId w:val="4"/>
              </w:numPr>
              <w:autoSpaceDE w:val="0"/>
              <w:autoSpaceDN w:val="0"/>
              <w:adjustRightInd w:val="0"/>
              <w:snapToGrid w:val="0"/>
              <w:spacing w:line="276"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本次采购中涉及的产品属于政府强制采购产品类别的，须按照要求提供依据国家确定的认证机构出具的、处于有效期之内的节能产品认证证书，否则响应无效；认证机构以中国政府采购网最新公布的《市场监管总局关于发布参与实施政府采购节能产品、环境标志产品认证机构名录的公告》中所列机构为准。</w:t>
            </w:r>
          </w:p>
          <w:p w14:paraId="59E93294">
            <w:pPr>
              <w:numPr>
                <w:ilvl w:val="0"/>
                <w:numId w:val="4"/>
              </w:numPr>
              <w:autoSpaceDE w:val="0"/>
              <w:autoSpaceDN w:val="0"/>
              <w:adjustRightInd w:val="0"/>
              <w:snapToGrid w:val="0"/>
              <w:spacing w:line="276"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本次采购中涉及的产品属于政府优先采购产品类别的，须按照要求提供依据国家确定的认证机构出具的、处于有效期之内的节能产品或环境标志产品认证证书，否则不予认定，不得分；认证机构以中国政府采购网最新公布的《市场监管总局关于发布参与实施政府采购节能产品、环境标志产品认证机构名录的公告》中所列机构为准。</w:t>
            </w:r>
          </w:p>
        </w:tc>
      </w:tr>
      <w:tr w14:paraId="7DF95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noWrap w:val="0"/>
            <w:vAlign w:val="center"/>
          </w:tcPr>
          <w:p w14:paraId="31B48473">
            <w:pPr>
              <w:autoSpaceDE w:val="0"/>
              <w:autoSpaceDN w:val="0"/>
              <w:adjustRightInd w:val="0"/>
              <w:snapToGrid w:val="0"/>
              <w:spacing w:line="276" w:lineRule="auto"/>
              <w:jc w:val="center"/>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9.</w:t>
            </w:r>
            <w:r>
              <w:rPr>
                <w:rFonts w:hint="eastAsia" w:ascii="宋体" w:hAnsi="宋体" w:cs="宋体"/>
                <w:color w:val="auto"/>
                <w:kern w:val="0"/>
                <w:sz w:val="21"/>
                <w:szCs w:val="21"/>
                <w:highlight w:val="none"/>
                <w:lang w:val="en-US" w:eastAsia="zh-CN"/>
              </w:rPr>
              <w:t>12</w:t>
            </w:r>
          </w:p>
        </w:tc>
        <w:tc>
          <w:tcPr>
            <w:tcW w:w="8576" w:type="dxa"/>
            <w:gridSpan w:val="2"/>
            <w:noWrap w:val="0"/>
            <w:vAlign w:val="center"/>
          </w:tcPr>
          <w:p w14:paraId="09251065">
            <w:pPr>
              <w:numPr>
                <w:ilvl w:val="0"/>
                <w:numId w:val="0"/>
              </w:numPr>
              <w:autoSpaceDE w:val="0"/>
              <w:autoSpaceDN w:val="0"/>
              <w:adjustRightInd w:val="0"/>
              <w:snapToGrid w:val="0"/>
              <w:spacing w:line="276"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围标串标防范：如果系统读取的供应商所用计算机的内置网卡 MAC 地址和其他供应商相同，其磋商将被拒绝。</w:t>
            </w:r>
          </w:p>
        </w:tc>
      </w:tr>
      <w:tr w14:paraId="37995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noWrap w:val="0"/>
            <w:vAlign w:val="center"/>
          </w:tcPr>
          <w:p w14:paraId="6822E72D">
            <w:pPr>
              <w:autoSpaceDE w:val="0"/>
              <w:autoSpaceDN w:val="0"/>
              <w:adjustRightInd w:val="0"/>
              <w:snapToGrid w:val="0"/>
              <w:spacing w:line="276" w:lineRule="auto"/>
              <w:jc w:val="center"/>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9.</w:t>
            </w:r>
            <w:r>
              <w:rPr>
                <w:rFonts w:hint="eastAsia" w:ascii="宋体" w:hAnsi="宋体" w:cs="宋体"/>
                <w:color w:val="auto"/>
                <w:kern w:val="0"/>
                <w:sz w:val="21"/>
                <w:szCs w:val="21"/>
                <w:highlight w:val="none"/>
                <w:lang w:val="en-US" w:eastAsia="zh-CN"/>
              </w:rPr>
              <w:t>13</w:t>
            </w:r>
          </w:p>
        </w:tc>
        <w:tc>
          <w:tcPr>
            <w:tcW w:w="8576" w:type="dxa"/>
            <w:gridSpan w:val="2"/>
            <w:noWrap w:val="0"/>
            <w:vAlign w:val="center"/>
          </w:tcPr>
          <w:p w14:paraId="01DA1B46">
            <w:pPr>
              <w:numPr>
                <w:ilvl w:val="0"/>
                <w:numId w:val="0"/>
              </w:numPr>
              <w:tabs>
                <w:tab w:val="center" w:pos="4180"/>
              </w:tabs>
              <w:autoSpaceDE w:val="0"/>
              <w:autoSpaceDN w:val="0"/>
              <w:adjustRightInd w:val="0"/>
              <w:snapToGrid w:val="0"/>
              <w:spacing w:line="276"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各潜在供应商登录政采云下载本项目磋商文件后，即可按要求参与磋商，无须额外登记报名。进行</w:t>
            </w:r>
            <w:r>
              <w:rPr>
                <w:rFonts w:hint="eastAsia" w:ascii="宋体" w:hAnsi="宋体" w:cs="宋体"/>
                <w:color w:val="auto"/>
                <w:kern w:val="0"/>
                <w:sz w:val="21"/>
                <w:szCs w:val="21"/>
                <w:highlight w:val="none"/>
                <w:lang w:val="en-US" w:eastAsia="zh-CN"/>
              </w:rPr>
              <w:t>最终报价（第二次报价）</w:t>
            </w:r>
            <w:r>
              <w:rPr>
                <w:rFonts w:hint="eastAsia" w:ascii="宋体" w:hAnsi="宋体" w:eastAsia="宋体" w:cs="宋体"/>
                <w:color w:val="auto"/>
                <w:kern w:val="0"/>
                <w:sz w:val="21"/>
                <w:szCs w:val="21"/>
                <w:highlight w:val="none"/>
                <w:lang w:val="en-US" w:eastAsia="zh-CN"/>
              </w:rPr>
              <w:t>时均在政采云上进行，</w:t>
            </w:r>
            <w:r>
              <w:rPr>
                <w:rFonts w:hint="eastAsia" w:ascii="宋体" w:hAnsi="宋体" w:eastAsia="宋体" w:cs="宋体"/>
                <w:b/>
                <w:bCs/>
                <w:color w:val="auto"/>
                <w:kern w:val="0"/>
                <w:sz w:val="21"/>
                <w:szCs w:val="21"/>
                <w:highlight w:val="none"/>
                <w:lang w:val="en-US" w:eastAsia="zh-CN"/>
              </w:rPr>
              <w:t>请务必满足平台要求填报的时限，逾期未填报的供应商将无法填报</w:t>
            </w:r>
            <w:r>
              <w:rPr>
                <w:rFonts w:hint="eastAsia" w:ascii="宋体" w:hAnsi="宋体" w:cs="宋体"/>
                <w:b/>
                <w:bCs/>
                <w:color w:val="auto"/>
                <w:kern w:val="0"/>
                <w:sz w:val="21"/>
                <w:szCs w:val="21"/>
                <w:highlight w:val="none"/>
                <w:lang w:val="en-US" w:eastAsia="zh-CN"/>
              </w:rPr>
              <w:t>第</w:t>
            </w:r>
            <w:r>
              <w:rPr>
                <w:rFonts w:hint="eastAsia" w:ascii="宋体" w:hAnsi="宋体" w:eastAsia="宋体" w:cs="宋体"/>
                <w:b/>
                <w:bCs/>
                <w:color w:val="auto"/>
                <w:kern w:val="0"/>
                <w:sz w:val="21"/>
                <w:szCs w:val="21"/>
                <w:highlight w:val="none"/>
                <w:lang w:val="en-US" w:eastAsia="zh-CN"/>
              </w:rPr>
              <w:t>二次报价，评审时以其</w:t>
            </w:r>
            <w:r>
              <w:rPr>
                <w:rFonts w:hint="eastAsia" w:ascii="宋体" w:hAnsi="宋体" w:cs="宋体"/>
                <w:b/>
                <w:bCs/>
                <w:color w:val="auto"/>
                <w:kern w:val="0"/>
                <w:sz w:val="21"/>
                <w:szCs w:val="21"/>
                <w:highlight w:val="none"/>
                <w:lang w:val="en-US" w:eastAsia="zh-CN"/>
              </w:rPr>
              <w:t>第一次</w:t>
            </w:r>
            <w:r>
              <w:rPr>
                <w:rFonts w:hint="eastAsia" w:ascii="宋体" w:hAnsi="宋体" w:eastAsia="宋体" w:cs="宋体"/>
                <w:b/>
                <w:bCs/>
                <w:color w:val="auto"/>
                <w:kern w:val="0"/>
                <w:sz w:val="21"/>
                <w:szCs w:val="21"/>
                <w:highlight w:val="none"/>
                <w:lang w:val="en-US" w:eastAsia="zh-CN"/>
              </w:rPr>
              <w:t>报价为最终报价。</w:t>
            </w:r>
            <w:r>
              <w:rPr>
                <w:rFonts w:hint="eastAsia" w:ascii="宋体" w:hAnsi="宋体" w:eastAsia="宋体" w:cs="宋体"/>
                <w:color w:val="auto"/>
                <w:kern w:val="0"/>
                <w:sz w:val="21"/>
                <w:szCs w:val="21"/>
                <w:highlight w:val="none"/>
                <w:lang w:val="en-US" w:eastAsia="zh-CN"/>
              </w:rPr>
              <w:t>供应商不必到现场参加磋商和报价。</w:t>
            </w:r>
          </w:p>
        </w:tc>
      </w:tr>
      <w:tr w14:paraId="3803C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noWrap w:val="0"/>
            <w:vAlign w:val="center"/>
          </w:tcPr>
          <w:p w14:paraId="361C543F">
            <w:pPr>
              <w:autoSpaceDE w:val="0"/>
              <w:autoSpaceDN w:val="0"/>
              <w:adjustRightInd w:val="0"/>
              <w:snapToGrid w:val="0"/>
              <w:spacing w:line="276" w:lineRule="auto"/>
              <w:jc w:val="center"/>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9.1</w:t>
            </w:r>
            <w:r>
              <w:rPr>
                <w:rFonts w:hint="eastAsia" w:ascii="宋体" w:hAnsi="宋体" w:cs="宋体"/>
                <w:color w:val="auto"/>
                <w:kern w:val="0"/>
                <w:sz w:val="21"/>
                <w:szCs w:val="21"/>
                <w:highlight w:val="none"/>
                <w:lang w:val="en-US" w:eastAsia="zh-CN"/>
              </w:rPr>
              <w:t>4</w:t>
            </w:r>
          </w:p>
        </w:tc>
        <w:tc>
          <w:tcPr>
            <w:tcW w:w="8576" w:type="dxa"/>
            <w:gridSpan w:val="2"/>
            <w:noWrap w:val="0"/>
            <w:vAlign w:val="center"/>
          </w:tcPr>
          <w:p w14:paraId="5D12C588">
            <w:pPr>
              <w:numPr>
                <w:ilvl w:val="0"/>
                <w:numId w:val="0"/>
              </w:numPr>
              <w:tabs>
                <w:tab w:val="center" w:pos="4180"/>
              </w:tabs>
              <w:autoSpaceDE w:val="0"/>
              <w:autoSpaceDN w:val="0"/>
              <w:adjustRightInd w:val="0"/>
              <w:snapToGrid w:val="0"/>
              <w:spacing w:line="276"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根据《关于推动解决政府采购异常低价问题的通知》，评审中出现下列情形之一的，评审委员</w:t>
            </w:r>
            <w:r>
              <w:rPr>
                <w:rFonts w:hint="eastAsia" w:ascii="宋体" w:hAnsi="宋体" w:cs="宋体"/>
                <w:color w:val="auto"/>
                <w:kern w:val="0"/>
                <w:sz w:val="21"/>
                <w:szCs w:val="21"/>
                <w:highlight w:val="none"/>
                <w:lang w:val="en-US" w:eastAsia="zh-CN"/>
              </w:rPr>
              <w:t>会</w:t>
            </w:r>
            <w:r>
              <w:rPr>
                <w:rFonts w:hint="eastAsia" w:ascii="宋体" w:hAnsi="宋体" w:eastAsia="宋体" w:cs="宋体"/>
                <w:color w:val="auto"/>
                <w:kern w:val="0"/>
                <w:sz w:val="21"/>
                <w:szCs w:val="21"/>
                <w:highlight w:val="none"/>
                <w:lang w:val="en-US" w:eastAsia="zh-CN"/>
              </w:rPr>
              <w:t>启动异常低价</w:t>
            </w:r>
            <w:r>
              <w:rPr>
                <w:rFonts w:hint="eastAsia" w:ascii="宋体" w:hAnsi="宋体" w:cs="宋体"/>
                <w:color w:val="auto"/>
                <w:kern w:val="0"/>
                <w:sz w:val="21"/>
                <w:szCs w:val="21"/>
                <w:highlight w:val="none"/>
                <w:lang w:val="en-US" w:eastAsia="zh-CN"/>
              </w:rPr>
              <w:t>响应</w:t>
            </w:r>
            <w:r>
              <w:rPr>
                <w:rFonts w:hint="eastAsia" w:ascii="宋体" w:hAnsi="宋体" w:eastAsia="宋体" w:cs="宋体"/>
                <w:color w:val="auto"/>
                <w:kern w:val="0"/>
                <w:sz w:val="21"/>
                <w:szCs w:val="21"/>
                <w:highlight w:val="none"/>
                <w:lang w:val="en-US" w:eastAsia="zh-CN"/>
              </w:rPr>
              <w:t>审查程序：</w:t>
            </w:r>
          </w:p>
          <w:p w14:paraId="78137B2E">
            <w:pPr>
              <w:numPr>
                <w:ilvl w:val="0"/>
                <w:numId w:val="0"/>
              </w:numPr>
              <w:tabs>
                <w:tab w:val="center" w:pos="4180"/>
              </w:tabs>
              <w:autoSpaceDE w:val="0"/>
              <w:autoSpaceDN w:val="0"/>
              <w:adjustRightInd w:val="0"/>
              <w:snapToGrid w:val="0"/>
              <w:spacing w:line="276"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（1）响应报价低于全部通过符合性审查供应商响应报价平均值50%的，即响应报价＜全部通过符合性审查供应商响应报价平均值×50%；</w:t>
            </w:r>
          </w:p>
          <w:p w14:paraId="648DB73F">
            <w:pPr>
              <w:numPr>
                <w:ilvl w:val="0"/>
                <w:numId w:val="0"/>
              </w:numPr>
              <w:tabs>
                <w:tab w:val="center" w:pos="4180"/>
              </w:tabs>
              <w:autoSpaceDE w:val="0"/>
              <w:autoSpaceDN w:val="0"/>
              <w:adjustRightInd w:val="0"/>
              <w:snapToGrid w:val="0"/>
              <w:spacing w:line="276"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（2）响应报价低于通过符合性审查的次低报价供应商响应报价50%的，即响应报价＜通过符合性审查的次低报价供应商响应报价×50%；</w:t>
            </w:r>
          </w:p>
          <w:p w14:paraId="2E3305A5">
            <w:pPr>
              <w:numPr>
                <w:ilvl w:val="0"/>
                <w:numId w:val="0"/>
              </w:numPr>
              <w:tabs>
                <w:tab w:val="center" w:pos="4180"/>
              </w:tabs>
              <w:autoSpaceDE w:val="0"/>
              <w:autoSpaceDN w:val="0"/>
              <w:adjustRightInd w:val="0"/>
              <w:snapToGrid w:val="0"/>
              <w:spacing w:line="276"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（3）响应报价低于采购项目最高限价45%的，即响应报价＜采购项目最高限价×45%；</w:t>
            </w:r>
          </w:p>
          <w:p w14:paraId="26E18934">
            <w:pPr>
              <w:numPr>
                <w:ilvl w:val="0"/>
                <w:numId w:val="0"/>
              </w:numPr>
              <w:tabs>
                <w:tab w:val="center" w:pos="4180"/>
              </w:tabs>
              <w:autoSpaceDE w:val="0"/>
              <w:autoSpaceDN w:val="0"/>
              <w:adjustRightInd w:val="0"/>
              <w:snapToGrid w:val="0"/>
              <w:spacing w:line="276"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（4）评审委员会基于专业判断，认为供应商报价过低，有可能影响产品质量或者不能诚信履约的其他情形。</w:t>
            </w:r>
          </w:p>
        </w:tc>
      </w:tr>
      <w:tr w14:paraId="5723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noWrap w:val="0"/>
            <w:vAlign w:val="center"/>
          </w:tcPr>
          <w:p w14:paraId="3B9975D9">
            <w:pPr>
              <w:autoSpaceDE w:val="0"/>
              <w:autoSpaceDN w:val="0"/>
              <w:adjustRightInd w:val="0"/>
              <w:snapToGrid w:val="0"/>
              <w:spacing w:line="276" w:lineRule="auto"/>
              <w:jc w:val="center"/>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9.15</w:t>
            </w:r>
          </w:p>
        </w:tc>
        <w:tc>
          <w:tcPr>
            <w:tcW w:w="8576" w:type="dxa"/>
            <w:gridSpan w:val="2"/>
            <w:noWrap w:val="0"/>
            <w:vAlign w:val="center"/>
          </w:tcPr>
          <w:p w14:paraId="494E727D">
            <w:pPr>
              <w:numPr>
                <w:ilvl w:val="0"/>
                <w:numId w:val="0"/>
              </w:numPr>
              <w:tabs>
                <w:tab w:val="center" w:pos="4180"/>
              </w:tabs>
              <w:autoSpaceDE w:val="0"/>
              <w:autoSpaceDN w:val="0"/>
              <w:adjustRightInd w:val="0"/>
              <w:snapToGrid w:val="0"/>
              <w:spacing w:line="276" w:lineRule="auto"/>
              <w:jc w:val="left"/>
              <w:rPr>
                <w:rFonts w:hint="eastAsia" w:ascii="宋体" w:hAnsi="宋体" w:eastAsia="宋体" w:cs="宋体"/>
                <w:color w:val="auto"/>
                <w:kern w:val="0"/>
                <w:sz w:val="21"/>
                <w:szCs w:val="21"/>
                <w:highlight w:val="none"/>
                <w:lang w:val="en-US" w:eastAsia="zh-CN"/>
              </w:rPr>
            </w:pPr>
            <w:r>
              <w:rPr>
                <w:color w:val="auto"/>
                <w:spacing w:val="-2"/>
                <w:highlight w:val="none"/>
              </w:rPr>
              <w:t>信用查询时间：递交响应文件截止时间</w:t>
            </w:r>
            <w:r>
              <w:rPr>
                <w:rFonts w:hint="eastAsia"/>
                <w:color w:val="auto"/>
                <w:spacing w:val="-2"/>
                <w:highlight w:val="none"/>
                <w:lang w:val="en-US" w:eastAsia="zh-CN"/>
              </w:rPr>
              <w:t>后至</w:t>
            </w:r>
            <w:r>
              <w:rPr>
                <w:color w:val="auto"/>
                <w:spacing w:val="-2"/>
                <w:highlight w:val="none"/>
              </w:rPr>
              <w:t>资格核对工作结束前。</w:t>
            </w:r>
            <w:r>
              <w:rPr>
                <w:color w:val="auto"/>
                <w:spacing w:val="-11"/>
                <w:highlight w:val="none"/>
              </w:rPr>
              <w:t>通过“信用中国</w:t>
            </w:r>
            <w:r>
              <w:rPr>
                <w:color w:val="auto"/>
                <w:spacing w:val="-102"/>
                <w:highlight w:val="none"/>
              </w:rPr>
              <w:t xml:space="preserve"> </w:t>
            </w:r>
            <w:r>
              <w:rPr>
                <w:color w:val="auto"/>
                <w:spacing w:val="-11"/>
                <w:highlight w:val="none"/>
              </w:rPr>
              <w:t>”、“中国政府采购网</w:t>
            </w:r>
            <w:r>
              <w:rPr>
                <w:color w:val="auto"/>
                <w:spacing w:val="-103"/>
                <w:highlight w:val="none"/>
              </w:rPr>
              <w:t xml:space="preserve"> </w:t>
            </w:r>
            <w:r>
              <w:rPr>
                <w:color w:val="auto"/>
                <w:spacing w:val="-11"/>
                <w:highlight w:val="none"/>
              </w:rPr>
              <w:t>”渠</w:t>
            </w:r>
            <w:r>
              <w:rPr>
                <w:color w:val="auto"/>
                <w:spacing w:val="-12"/>
                <w:highlight w:val="none"/>
              </w:rPr>
              <w:t>道查询供应商信用记录，经查</w:t>
            </w:r>
            <w:r>
              <w:rPr>
                <w:color w:val="auto"/>
                <w:highlight w:val="none"/>
              </w:rPr>
              <w:t>询被列入失信被执行人、</w:t>
            </w:r>
            <w:r>
              <w:rPr>
                <w:rFonts w:hint="eastAsia"/>
                <w:color w:val="auto"/>
                <w:highlight w:val="none"/>
              </w:rPr>
              <w:t>重大税收违法失信主体</w:t>
            </w:r>
            <w:r>
              <w:rPr>
                <w:rFonts w:hint="eastAsia"/>
                <w:color w:val="auto"/>
                <w:highlight w:val="none"/>
                <w:lang w:eastAsia="zh-CN"/>
              </w:rPr>
              <w:t>名单</w:t>
            </w:r>
            <w:r>
              <w:rPr>
                <w:color w:val="auto"/>
                <w:spacing w:val="-1"/>
                <w:highlight w:val="none"/>
              </w:rPr>
              <w:t>、政府采购严重</w:t>
            </w:r>
            <w:r>
              <w:rPr>
                <w:color w:val="auto"/>
                <w:highlight w:val="none"/>
              </w:rPr>
              <w:t>违法失信行为记录名单及其他不符合《中华人民</w:t>
            </w:r>
            <w:r>
              <w:rPr>
                <w:color w:val="auto"/>
                <w:spacing w:val="-1"/>
                <w:highlight w:val="none"/>
              </w:rPr>
              <w:t>共和国政府采购法》第</w:t>
            </w:r>
            <w:r>
              <w:rPr>
                <w:color w:val="auto"/>
                <w:highlight w:val="none"/>
              </w:rPr>
              <w:t>二十二条规定的供应商，其</w:t>
            </w:r>
            <w:r>
              <w:rPr>
                <w:rFonts w:hint="eastAsia"/>
                <w:color w:val="auto"/>
                <w:highlight w:val="none"/>
                <w:lang w:eastAsia="zh-CN"/>
              </w:rPr>
              <w:t>响应</w:t>
            </w:r>
            <w:r>
              <w:rPr>
                <w:color w:val="auto"/>
                <w:highlight w:val="none"/>
              </w:rPr>
              <w:t>无效，供应商的</w:t>
            </w:r>
            <w:r>
              <w:rPr>
                <w:color w:val="auto"/>
                <w:spacing w:val="-1"/>
                <w:highlight w:val="none"/>
              </w:rPr>
              <w:t>信用记录查询结果截图</w:t>
            </w:r>
            <w:r>
              <w:rPr>
                <w:color w:val="auto"/>
                <w:spacing w:val="-3"/>
                <w:highlight w:val="none"/>
              </w:rPr>
              <w:t>将作为项目材料的组成部分并随采购档案保存。</w:t>
            </w:r>
          </w:p>
        </w:tc>
      </w:tr>
      <w:tr w14:paraId="751D3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noWrap w:val="0"/>
            <w:vAlign w:val="center"/>
          </w:tcPr>
          <w:p w14:paraId="3AF79A7F">
            <w:pPr>
              <w:autoSpaceDE w:val="0"/>
              <w:autoSpaceDN w:val="0"/>
              <w:adjustRightInd w:val="0"/>
              <w:snapToGrid w:val="0"/>
              <w:spacing w:line="276" w:lineRule="auto"/>
              <w:jc w:val="center"/>
              <w:rPr>
                <w:rFonts w:hint="default"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9.16</w:t>
            </w:r>
          </w:p>
        </w:tc>
        <w:tc>
          <w:tcPr>
            <w:tcW w:w="8576" w:type="dxa"/>
            <w:gridSpan w:val="2"/>
            <w:noWrap w:val="0"/>
            <w:vAlign w:val="center"/>
          </w:tcPr>
          <w:p w14:paraId="22438AE4">
            <w:pPr>
              <w:numPr>
                <w:ilvl w:val="0"/>
                <w:numId w:val="0"/>
              </w:numPr>
              <w:tabs>
                <w:tab w:val="center" w:pos="4180"/>
              </w:tabs>
              <w:autoSpaceDE w:val="0"/>
              <w:autoSpaceDN w:val="0"/>
              <w:adjustRightInd w:val="0"/>
              <w:snapToGrid w:val="0"/>
              <w:spacing w:line="276" w:lineRule="auto"/>
              <w:jc w:val="left"/>
              <w:rPr>
                <w:rFonts w:hint="eastAsia"/>
                <w:color w:val="auto"/>
                <w:spacing w:val="-2"/>
                <w:highlight w:val="none"/>
              </w:rPr>
            </w:pPr>
            <w:r>
              <w:rPr>
                <w:rFonts w:hint="eastAsia"/>
                <w:color w:val="auto"/>
                <w:spacing w:val="-2"/>
                <w:highlight w:val="none"/>
              </w:rPr>
              <w:t>有下列情形之一的，视为供应商串通投标，其</w:t>
            </w:r>
            <w:r>
              <w:rPr>
                <w:rFonts w:hint="eastAsia"/>
                <w:color w:val="auto"/>
                <w:spacing w:val="-2"/>
                <w:highlight w:val="none"/>
                <w:lang w:eastAsia="zh-CN"/>
              </w:rPr>
              <w:t>响应</w:t>
            </w:r>
            <w:r>
              <w:rPr>
                <w:rFonts w:hint="eastAsia"/>
                <w:color w:val="auto"/>
                <w:spacing w:val="-2"/>
                <w:highlight w:val="none"/>
              </w:rPr>
              <w:t>无效：</w:t>
            </w:r>
          </w:p>
          <w:p w14:paraId="17EE9CBD">
            <w:pPr>
              <w:numPr>
                <w:ilvl w:val="0"/>
                <w:numId w:val="5"/>
              </w:numPr>
              <w:tabs>
                <w:tab w:val="center" w:pos="4180"/>
              </w:tabs>
              <w:autoSpaceDE w:val="0"/>
              <w:autoSpaceDN w:val="0"/>
              <w:adjustRightInd w:val="0"/>
              <w:snapToGrid w:val="0"/>
              <w:spacing w:line="276" w:lineRule="auto"/>
              <w:jc w:val="left"/>
              <w:rPr>
                <w:rFonts w:hint="eastAsia"/>
                <w:color w:val="auto"/>
                <w:spacing w:val="-2"/>
                <w:highlight w:val="none"/>
              </w:rPr>
            </w:pPr>
            <w:r>
              <w:rPr>
                <w:rFonts w:hint="eastAsia"/>
                <w:color w:val="auto"/>
                <w:spacing w:val="-2"/>
                <w:highlight w:val="none"/>
              </w:rPr>
              <w:t>不同</w:t>
            </w:r>
            <w:r>
              <w:rPr>
                <w:rFonts w:hint="eastAsia"/>
                <w:color w:val="auto"/>
                <w:spacing w:val="-2"/>
                <w:highlight w:val="none"/>
                <w:lang w:eastAsia="zh-CN"/>
              </w:rPr>
              <w:t>响应</w:t>
            </w:r>
            <w:r>
              <w:rPr>
                <w:rFonts w:hint="eastAsia"/>
                <w:color w:val="auto"/>
                <w:spacing w:val="-2"/>
                <w:highlight w:val="none"/>
              </w:rPr>
              <w:t>供应商的响应文件由同一单位或者个人编制；</w:t>
            </w:r>
          </w:p>
          <w:p w14:paraId="13F09247">
            <w:pPr>
              <w:numPr>
                <w:ilvl w:val="0"/>
                <w:numId w:val="5"/>
              </w:numPr>
              <w:tabs>
                <w:tab w:val="center" w:pos="4180"/>
              </w:tabs>
              <w:autoSpaceDE w:val="0"/>
              <w:autoSpaceDN w:val="0"/>
              <w:adjustRightInd w:val="0"/>
              <w:snapToGrid w:val="0"/>
              <w:spacing w:line="276" w:lineRule="auto"/>
              <w:jc w:val="left"/>
              <w:rPr>
                <w:rFonts w:hint="eastAsia"/>
                <w:color w:val="auto"/>
                <w:spacing w:val="-2"/>
                <w:highlight w:val="none"/>
              </w:rPr>
            </w:pPr>
            <w:r>
              <w:rPr>
                <w:rFonts w:hint="eastAsia"/>
                <w:color w:val="auto"/>
                <w:spacing w:val="-2"/>
                <w:highlight w:val="none"/>
              </w:rPr>
              <w:t>不同</w:t>
            </w:r>
            <w:r>
              <w:rPr>
                <w:rFonts w:hint="eastAsia"/>
                <w:color w:val="auto"/>
                <w:spacing w:val="-2"/>
                <w:highlight w:val="none"/>
                <w:lang w:eastAsia="zh-CN"/>
              </w:rPr>
              <w:t>响应</w:t>
            </w:r>
            <w:r>
              <w:rPr>
                <w:rFonts w:hint="eastAsia"/>
                <w:color w:val="auto"/>
                <w:spacing w:val="-2"/>
                <w:highlight w:val="none"/>
              </w:rPr>
              <w:t>供应商委托同一单位或者个人办理</w:t>
            </w:r>
            <w:r>
              <w:rPr>
                <w:rFonts w:hint="eastAsia"/>
                <w:color w:val="auto"/>
                <w:spacing w:val="-2"/>
                <w:highlight w:val="none"/>
                <w:lang w:eastAsia="zh-CN"/>
              </w:rPr>
              <w:t>磋商</w:t>
            </w:r>
            <w:r>
              <w:rPr>
                <w:rFonts w:hint="eastAsia"/>
                <w:color w:val="auto"/>
                <w:spacing w:val="-2"/>
                <w:highlight w:val="none"/>
              </w:rPr>
              <w:t>事宜；</w:t>
            </w:r>
          </w:p>
          <w:p w14:paraId="3B17CA0C">
            <w:pPr>
              <w:numPr>
                <w:ilvl w:val="0"/>
                <w:numId w:val="5"/>
              </w:numPr>
              <w:tabs>
                <w:tab w:val="center" w:pos="4180"/>
              </w:tabs>
              <w:autoSpaceDE w:val="0"/>
              <w:autoSpaceDN w:val="0"/>
              <w:adjustRightInd w:val="0"/>
              <w:snapToGrid w:val="0"/>
              <w:spacing w:line="276" w:lineRule="auto"/>
              <w:jc w:val="left"/>
              <w:rPr>
                <w:rFonts w:hint="eastAsia"/>
                <w:color w:val="auto"/>
                <w:spacing w:val="-2"/>
                <w:highlight w:val="none"/>
              </w:rPr>
            </w:pPr>
            <w:r>
              <w:rPr>
                <w:rFonts w:hint="eastAsia"/>
                <w:color w:val="auto"/>
                <w:spacing w:val="-2"/>
                <w:highlight w:val="none"/>
              </w:rPr>
              <w:t>不同</w:t>
            </w:r>
            <w:r>
              <w:rPr>
                <w:rFonts w:hint="eastAsia"/>
                <w:color w:val="auto"/>
                <w:spacing w:val="-2"/>
                <w:highlight w:val="none"/>
                <w:lang w:eastAsia="zh-CN"/>
              </w:rPr>
              <w:t>响应</w:t>
            </w:r>
            <w:r>
              <w:rPr>
                <w:rFonts w:hint="eastAsia"/>
                <w:color w:val="auto"/>
                <w:spacing w:val="-2"/>
                <w:highlight w:val="none"/>
              </w:rPr>
              <w:t>供应商的响应文件载明的项目管理成员或者联系人员为同一人；</w:t>
            </w:r>
          </w:p>
          <w:p w14:paraId="7D9B3DE2">
            <w:pPr>
              <w:numPr>
                <w:ilvl w:val="0"/>
                <w:numId w:val="5"/>
              </w:numPr>
              <w:tabs>
                <w:tab w:val="center" w:pos="4180"/>
              </w:tabs>
              <w:autoSpaceDE w:val="0"/>
              <w:autoSpaceDN w:val="0"/>
              <w:adjustRightInd w:val="0"/>
              <w:snapToGrid w:val="0"/>
              <w:spacing w:line="276" w:lineRule="auto"/>
              <w:jc w:val="left"/>
              <w:rPr>
                <w:rFonts w:hint="eastAsia"/>
                <w:color w:val="auto"/>
                <w:spacing w:val="-2"/>
                <w:highlight w:val="none"/>
              </w:rPr>
            </w:pPr>
            <w:r>
              <w:rPr>
                <w:rFonts w:hint="eastAsia"/>
                <w:color w:val="auto"/>
                <w:spacing w:val="-2"/>
                <w:highlight w:val="none"/>
              </w:rPr>
              <w:t>不同</w:t>
            </w:r>
            <w:r>
              <w:rPr>
                <w:rFonts w:hint="eastAsia"/>
                <w:color w:val="auto"/>
                <w:spacing w:val="-2"/>
                <w:highlight w:val="none"/>
                <w:lang w:eastAsia="zh-CN"/>
              </w:rPr>
              <w:t>响应</w:t>
            </w:r>
            <w:r>
              <w:rPr>
                <w:rFonts w:hint="eastAsia"/>
                <w:color w:val="auto"/>
                <w:spacing w:val="-2"/>
                <w:highlight w:val="none"/>
              </w:rPr>
              <w:t>供应商的响应文件异常一致或者</w:t>
            </w:r>
            <w:r>
              <w:rPr>
                <w:rFonts w:hint="eastAsia"/>
                <w:color w:val="auto"/>
                <w:spacing w:val="-2"/>
                <w:highlight w:val="none"/>
                <w:lang w:eastAsia="zh-CN"/>
              </w:rPr>
              <w:t>响应</w:t>
            </w:r>
            <w:r>
              <w:rPr>
                <w:rFonts w:hint="eastAsia"/>
                <w:color w:val="auto"/>
                <w:spacing w:val="-2"/>
                <w:highlight w:val="none"/>
              </w:rPr>
              <w:t>报价呈规律性差异；</w:t>
            </w:r>
          </w:p>
          <w:p w14:paraId="12CF5D97">
            <w:pPr>
              <w:numPr>
                <w:ilvl w:val="0"/>
                <w:numId w:val="5"/>
              </w:numPr>
              <w:tabs>
                <w:tab w:val="center" w:pos="4180"/>
              </w:tabs>
              <w:autoSpaceDE w:val="0"/>
              <w:autoSpaceDN w:val="0"/>
              <w:adjustRightInd w:val="0"/>
              <w:snapToGrid w:val="0"/>
              <w:spacing w:line="276" w:lineRule="auto"/>
              <w:jc w:val="left"/>
              <w:rPr>
                <w:color w:val="auto"/>
                <w:spacing w:val="-2"/>
                <w:highlight w:val="none"/>
              </w:rPr>
            </w:pPr>
            <w:r>
              <w:rPr>
                <w:rFonts w:hint="eastAsia"/>
                <w:color w:val="auto"/>
                <w:spacing w:val="-2"/>
                <w:highlight w:val="none"/>
              </w:rPr>
              <w:t>不同</w:t>
            </w:r>
            <w:r>
              <w:rPr>
                <w:rFonts w:hint="eastAsia"/>
                <w:color w:val="auto"/>
                <w:spacing w:val="-2"/>
                <w:highlight w:val="none"/>
                <w:lang w:eastAsia="zh-CN"/>
              </w:rPr>
              <w:t>响应</w:t>
            </w:r>
            <w:r>
              <w:rPr>
                <w:rFonts w:hint="eastAsia"/>
                <w:color w:val="auto"/>
                <w:spacing w:val="-2"/>
                <w:highlight w:val="none"/>
              </w:rPr>
              <w:t>供应商的响应文件相互混装</w:t>
            </w:r>
            <w:r>
              <w:rPr>
                <w:rFonts w:hint="eastAsia"/>
                <w:color w:val="auto"/>
                <w:spacing w:val="-2"/>
                <w:highlight w:val="none"/>
                <w:lang w:eastAsia="zh-CN"/>
              </w:rPr>
              <w:t>；</w:t>
            </w:r>
          </w:p>
          <w:p w14:paraId="12ED6FA6">
            <w:pPr>
              <w:numPr>
                <w:ilvl w:val="0"/>
                <w:numId w:val="5"/>
              </w:numPr>
              <w:tabs>
                <w:tab w:val="center" w:pos="4180"/>
              </w:tabs>
              <w:autoSpaceDE w:val="0"/>
              <w:autoSpaceDN w:val="0"/>
              <w:adjustRightInd w:val="0"/>
              <w:snapToGrid w:val="0"/>
              <w:spacing w:line="276" w:lineRule="auto"/>
              <w:jc w:val="left"/>
              <w:rPr>
                <w:color w:val="auto"/>
                <w:spacing w:val="-2"/>
                <w:highlight w:val="none"/>
              </w:rPr>
            </w:pPr>
            <w:r>
              <w:rPr>
                <w:rFonts w:hint="eastAsia"/>
                <w:color w:val="auto"/>
                <w:spacing w:val="-2"/>
                <w:highlight w:val="none"/>
              </w:rPr>
              <w:t>出现不同供应商</w:t>
            </w:r>
            <w:r>
              <w:rPr>
                <w:rFonts w:hint="eastAsia"/>
                <w:color w:val="auto"/>
                <w:spacing w:val="-2"/>
                <w:highlight w:val="none"/>
                <w:lang w:eastAsia="zh-CN"/>
              </w:rPr>
              <w:t>响应</w:t>
            </w:r>
            <w:r>
              <w:rPr>
                <w:rFonts w:hint="eastAsia"/>
                <w:color w:val="auto"/>
                <w:spacing w:val="-2"/>
                <w:highlight w:val="none"/>
              </w:rPr>
              <w:t>文件机器制作码一致的情况。</w:t>
            </w:r>
          </w:p>
        </w:tc>
      </w:tr>
      <w:tr w14:paraId="1E142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noWrap w:val="0"/>
            <w:vAlign w:val="center"/>
          </w:tcPr>
          <w:p w14:paraId="21C4D83C">
            <w:pPr>
              <w:autoSpaceDE w:val="0"/>
              <w:autoSpaceDN w:val="0"/>
              <w:adjustRightInd w:val="0"/>
              <w:snapToGrid w:val="0"/>
              <w:spacing w:line="276" w:lineRule="auto"/>
              <w:jc w:val="center"/>
              <w:rPr>
                <w:rFonts w:hint="default"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9.17</w:t>
            </w:r>
          </w:p>
        </w:tc>
        <w:tc>
          <w:tcPr>
            <w:tcW w:w="8576" w:type="dxa"/>
            <w:gridSpan w:val="2"/>
            <w:noWrap w:val="0"/>
            <w:vAlign w:val="center"/>
          </w:tcPr>
          <w:p w14:paraId="127130D3">
            <w:pPr>
              <w:numPr>
                <w:ilvl w:val="0"/>
                <w:numId w:val="0"/>
              </w:numPr>
              <w:tabs>
                <w:tab w:val="center" w:pos="4180"/>
              </w:tabs>
              <w:autoSpaceDE w:val="0"/>
              <w:autoSpaceDN w:val="0"/>
              <w:adjustRightInd w:val="0"/>
              <w:snapToGrid w:val="0"/>
              <w:spacing w:line="276"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kern w:val="0"/>
                <w:sz w:val="21"/>
                <w:szCs w:val="21"/>
                <w:highlight w:val="none"/>
                <w:lang w:val="en-US" w:eastAsia="zh-CN"/>
              </w:rPr>
              <w:t>委托代理服务费：</w:t>
            </w:r>
            <w:r>
              <w:rPr>
                <w:rFonts w:hint="eastAsia"/>
                <w:color w:val="auto"/>
                <w:spacing w:val="-2"/>
                <w:highlight w:val="none"/>
              </w:rPr>
              <w:t>参照云南省建设工程招标投标行业协会关于印发《云南省建设工程</w:t>
            </w:r>
            <w:r>
              <w:rPr>
                <w:rFonts w:hint="eastAsia"/>
                <w:color w:val="auto"/>
                <w:spacing w:val="-2"/>
                <w:highlight w:val="none"/>
                <w:lang w:eastAsia="zh-CN"/>
              </w:rPr>
              <w:t>招标</w:t>
            </w:r>
            <w:r>
              <w:rPr>
                <w:rFonts w:hint="eastAsia"/>
                <w:color w:val="auto"/>
                <w:spacing w:val="-2"/>
                <w:highlight w:val="none"/>
              </w:rPr>
              <w:t>代理服务收费参考意见》的通知（云建招协〔202</w:t>
            </w:r>
            <w:r>
              <w:rPr>
                <w:rFonts w:hint="eastAsia"/>
                <w:color w:val="auto"/>
                <w:spacing w:val="-2"/>
                <w:highlight w:val="none"/>
                <w:lang w:val="en-US" w:eastAsia="zh-CN"/>
              </w:rPr>
              <w:t>4</w:t>
            </w:r>
            <w:r>
              <w:rPr>
                <w:rFonts w:hint="eastAsia"/>
                <w:color w:val="auto"/>
                <w:spacing w:val="-2"/>
                <w:highlight w:val="none"/>
              </w:rPr>
              <w:t>〕</w:t>
            </w:r>
            <w:r>
              <w:rPr>
                <w:rFonts w:hint="eastAsia"/>
                <w:color w:val="auto"/>
                <w:spacing w:val="-2"/>
                <w:highlight w:val="none"/>
                <w:lang w:val="en-US" w:eastAsia="zh-CN"/>
              </w:rPr>
              <w:t>58</w:t>
            </w:r>
            <w:r>
              <w:rPr>
                <w:rFonts w:hint="eastAsia"/>
                <w:color w:val="auto"/>
                <w:spacing w:val="-2"/>
                <w:highlight w:val="none"/>
              </w:rPr>
              <w:t>号）</w:t>
            </w:r>
            <w:r>
              <w:rPr>
                <w:rFonts w:hint="eastAsia"/>
                <w:color w:val="auto"/>
                <w:spacing w:val="-2"/>
                <w:highlight w:val="none"/>
                <w:lang w:eastAsia="zh-CN"/>
              </w:rPr>
              <w:t>的</w:t>
            </w:r>
            <w:r>
              <w:rPr>
                <w:rFonts w:hint="eastAsia"/>
                <w:color w:val="auto"/>
                <w:spacing w:val="-2"/>
                <w:highlight w:val="none"/>
              </w:rPr>
              <w:t>规定</w:t>
            </w:r>
            <w:r>
              <w:rPr>
                <w:rFonts w:hint="eastAsia"/>
                <w:color w:val="auto"/>
                <w:spacing w:val="-2"/>
                <w:highlight w:val="none"/>
                <w:lang w:eastAsia="zh-CN"/>
              </w:rPr>
              <w:t>下浮</w:t>
            </w:r>
            <w:r>
              <w:rPr>
                <w:rFonts w:hint="eastAsia"/>
                <w:color w:val="auto"/>
                <w:spacing w:val="-2"/>
                <w:highlight w:val="none"/>
                <w:lang w:val="en-US" w:eastAsia="zh-CN"/>
              </w:rPr>
              <w:t>10%（计取标准见下表）</w:t>
            </w:r>
            <w:r>
              <w:rPr>
                <w:rFonts w:hint="eastAsia"/>
                <w:color w:val="auto"/>
                <w:spacing w:val="-2"/>
                <w:highlight w:val="none"/>
              </w:rPr>
              <w:t>，</w:t>
            </w:r>
            <w:r>
              <w:rPr>
                <w:rFonts w:hint="eastAsia"/>
                <w:color w:val="auto"/>
                <w:spacing w:val="-2"/>
                <w:highlight w:val="none"/>
                <w:lang w:eastAsia="zh-CN"/>
              </w:rPr>
              <w:t>委托代理服务费收费低于</w:t>
            </w:r>
            <w:r>
              <w:rPr>
                <w:rFonts w:hint="eastAsia"/>
                <w:color w:val="auto"/>
                <w:spacing w:val="-2"/>
                <w:highlight w:val="none"/>
                <w:lang w:val="en-US" w:eastAsia="zh-CN"/>
              </w:rPr>
              <w:t>7000元的项目，不再参与优惠下浮</w:t>
            </w:r>
            <w:r>
              <w:rPr>
                <w:rFonts w:hint="eastAsia"/>
                <w:color w:val="auto"/>
                <w:spacing w:val="-2"/>
                <w:highlight w:val="none"/>
              </w:rPr>
              <w:t>。</w:t>
            </w:r>
            <w:r>
              <w:rPr>
                <w:rFonts w:hint="eastAsia"/>
                <w:color w:val="auto"/>
                <w:spacing w:val="-2"/>
                <w:highlight w:val="none"/>
                <w:lang w:eastAsia="zh-CN"/>
              </w:rPr>
              <w:t>委托代理</w:t>
            </w:r>
            <w:r>
              <w:rPr>
                <w:rFonts w:hint="eastAsia"/>
                <w:color w:val="auto"/>
                <w:spacing w:val="-2"/>
                <w:highlight w:val="none"/>
              </w:rPr>
              <w:t>服务费由</w:t>
            </w:r>
            <w:r>
              <w:rPr>
                <w:rFonts w:hint="eastAsia"/>
                <w:color w:val="auto"/>
                <w:spacing w:val="-2"/>
                <w:highlight w:val="none"/>
                <w:lang w:eastAsia="zh-CN"/>
              </w:rPr>
              <w:t>成交</w:t>
            </w:r>
            <w:r>
              <w:rPr>
                <w:rFonts w:hint="eastAsia"/>
                <w:color w:val="auto"/>
                <w:spacing w:val="-2"/>
                <w:highlight w:val="none"/>
              </w:rPr>
              <w:t>人领取</w:t>
            </w:r>
            <w:r>
              <w:rPr>
                <w:rFonts w:hint="eastAsia"/>
                <w:color w:val="auto"/>
                <w:spacing w:val="-2"/>
                <w:highlight w:val="none"/>
                <w:lang w:eastAsia="zh-CN"/>
              </w:rPr>
              <w:t>成交</w:t>
            </w:r>
            <w:r>
              <w:rPr>
                <w:rFonts w:hint="eastAsia"/>
                <w:color w:val="auto"/>
                <w:spacing w:val="-2"/>
                <w:highlight w:val="none"/>
              </w:rPr>
              <w:t>通知书时一次性向</w:t>
            </w:r>
            <w:r>
              <w:rPr>
                <w:rFonts w:hint="eastAsia"/>
                <w:color w:val="auto"/>
                <w:spacing w:val="-2"/>
                <w:highlight w:val="none"/>
                <w:lang w:eastAsia="zh-CN"/>
              </w:rPr>
              <w:t>采购</w:t>
            </w:r>
            <w:r>
              <w:rPr>
                <w:rFonts w:hint="eastAsia"/>
                <w:color w:val="auto"/>
                <w:spacing w:val="-2"/>
                <w:highlight w:val="none"/>
              </w:rPr>
              <w:t>代理机构全额支付</w:t>
            </w:r>
            <w:r>
              <w:rPr>
                <w:rFonts w:hint="eastAsia"/>
                <w:color w:val="auto"/>
                <w:spacing w:val="-2"/>
                <w:highlight w:val="none"/>
                <w:lang w:eastAsia="zh-CN"/>
              </w:rPr>
              <w:t>。</w:t>
            </w:r>
          </w:p>
          <w:tbl>
            <w:tblPr>
              <w:tblStyle w:val="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00"/>
              <w:gridCol w:w="1317"/>
              <w:gridCol w:w="1233"/>
              <w:gridCol w:w="1244"/>
            </w:tblGrid>
            <w:tr w14:paraId="0CA6B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300" w:type="dxa"/>
                  <w:vMerge w:val="restart"/>
                  <w:noWrap w:val="0"/>
                  <w:vAlign w:val="center"/>
                </w:tcPr>
                <w:p w14:paraId="3B19DC2C">
                  <w:pPr>
                    <w:keepNext w:val="0"/>
                    <w:keepLines w:val="0"/>
                    <w:pageBreakBefore w:val="0"/>
                    <w:widowControl w:val="0"/>
                    <w:kinsoku w:val="0"/>
                    <w:wordWrap/>
                    <w:overflowPunct w:val="0"/>
                    <w:topLinePunct w:val="0"/>
                    <w:autoSpaceDE w:val="0"/>
                    <w:autoSpaceDN w:val="0"/>
                    <w:bidi w:val="0"/>
                    <w:spacing w:line="360" w:lineRule="auto"/>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计价金额</w:t>
                  </w:r>
                </w:p>
              </w:tc>
              <w:tc>
                <w:tcPr>
                  <w:tcW w:w="3794" w:type="dxa"/>
                  <w:gridSpan w:val="3"/>
                  <w:noWrap w:val="0"/>
                  <w:vAlign w:val="top"/>
                </w:tcPr>
                <w:p w14:paraId="0133EE34">
                  <w:pPr>
                    <w:keepNext w:val="0"/>
                    <w:keepLines w:val="0"/>
                    <w:pageBreakBefore w:val="0"/>
                    <w:widowControl w:val="0"/>
                    <w:kinsoku w:val="0"/>
                    <w:wordWrap/>
                    <w:overflowPunct w:val="0"/>
                    <w:topLinePunct w:val="0"/>
                    <w:autoSpaceDE w:val="0"/>
                    <w:autoSpaceDN w:val="0"/>
                    <w:bidi w:val="0"/>
                    <w:spacing w:line="360" w:lineRule="auto"/>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服务类型</w:t>
                  </w:r>
                </w:p>
              </w:tc>
            </w:tr>
            <w:tr w14:paraId="620FE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300" w:type="dxa"/>
                  <w:vMerge w:val="continue"/>
                  <w:noWrap w:val="0"/>
                  <w:vAlign w:val="top"/>
                </w:tcPr>
                <w:p w14:paraId="2E01B761">
                  <w:pPr>
                    <w:keepNext w:val="0"/>
                    <w:keepLines w:val="0"/>
                    <w:pageBreakBefore w:val="0"/>
                    <w:widowControl w:val="0"/>
                    <w:kinsoku w:val="0"/>
                    <w:wordWrap/>
                    <w:overflowPunct w:val="0"/>
                    <w:topLinePunct w:val="0"/>
                    <w:autoSpaceDE w:val="0"/>
                    <w:autoSpaceDN w:val="0"/>
                    <w:bidi w:val="0"/>
                    <w:spacing w:line="360" w:lineRule="auto"/>
                    <w:jc w:val="both"/>
                    <w:textAlignment w:val="auto"/>
                    <w:rPr>
                      <w:rFonts w:hint="eastAsia" w:ascii="宋体" w:hAnsi="宋体" w:eastAsia="宋体" w:cs="宋体"/>
                      <w:b/>
                      <w:bCs/>
                      <w:color w:val="auto"/>
                      <w:sz w:val="21"/>
                      <w:szCs w:val="21"/>
                      <w:highlight w:val="none"/>
                      <w:vertAlign w:val="baseline"/>
                      <w:lang w:val="en-US" w:eastAsia="zh-CN"/>
                    </w:rPr>
                  </w:pPr>
                </w:p>
              </w:tc>
              <w:tc>
                <w:tcPr>
                  <w:tcW w:w="1317" w:type="dxa"/>
                  <w:noWrap w:val="0"/>
                  <w:vAlign w:val="center"/>
                </w:tcPr>
                <w:p w14:paraId="77D8E392">
                  <w:pPr>
                    <w:keepNext w:val="0"/>
                    <w:keepLines w:val="0"/>
                    <w:pageBreakBefore w:val="0"/>
                    <w:widowControl w:val="0"/>
                    <w:kinsoku w:val="0"/>
                    <w:wordWrap/>
                    <w:overflowPunct w:val="0"/>
                    <w:topLinePunct w:val="0"/>
                    <w:autoSpaceDE w:val="0"/>
                    <w:autoSpaceDN w:val="0"/>
                    <w:bidi w:val="0"/>
                    <w:spacing w:line="240" w:lineRule="auto"/>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货物招标</w:t>
                  </w:r>
                </w:p>
              </w:tc>
              <w:tc>
                <w:tcPr>
                  <w:tcW w:w="1233" w:type="dxa"/>
                  <w:noWrap w:val="0"/>
                  <w:vAlign w:val="center"/>
                </w:tcPr>
                <w:p w14:paraId="216674D3">
                  <w:pPr>
                    <w:keepNext w:val="0"/>
                    <w:keepLines w:val="0"/>
                    <w:pageBreakBefore w:val="0"/>
                    <w:widowControl w:val="0"/>
                    <w:kinsoku w:val="0"/>
                    <w:wordWrap/>
                    <w:overflowPunct w:val="0"/>
                    <w:topLinePunct w:val="0"/>
                    <w:autoSpaceDE w:val="0"/>
                    <w:autoSpaceDN w:val="0"/>
                    <w:bidi w:val="0"/>
                    <w:spacing w:line="240" w:lineRule="auto"/>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服务招标</w:t>
                  </w:r>
                </w:p>
              </w:tc>
              <w:tc>
                <w:tcPr>
                  <w:tcW w:w="1244" w:type="dxa"/>
                  <w:noWrap w:val="0"/>
                  <w:vAlign w:val="center"/>
                </w:tcPr>
                <w:p w14:paraId="0379B198">
                  <w:pPr>
                    <w:keepNext w:val="0"/>
                    <w:keepLines w:val="0"/>
                    <w:pageBreakBefore w:val="0"/>
                    <w:widowControl w:val="0"/>
                    <w:kinsoku w:val="0"/>
                    <w:wordWrap/>
                    <w:overflowPunct w:val="0"/>
                    <w:topLinePunct w:val="0"/>
                    <w:autoSpaceDE w:val="0"/>
                    <w:autoSpaceDN w:val="0"/>
                    <w:bidi w:val="0"/>
                    <w:spacing w:line="240" w:lineRule="auto"/>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工程招标</w:t>
                  </w:r>
                </w:p>
              </w:tc>
            </w:tr>
            <w:tr w14:paraId="3DC54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300" w:type="dxa"/>
                  <w:vMerge w:val="continue"/>
                  <w:noWrap w:val="0"/>
                  <w:vAlign w:val="top"/>
                </w:tcPr>
                <w:p w14:paraId="5149659B">
                  <w:pPr>
                    <w:keepNext w:val="0"/>
                    <w:keepLines w:val="0"/>
                    <w:pageBreakBefore w:val="0"/>
                    <w:widowControl w:val="0"/>
                    <w:kinsoku w:val="0"/>
                    <w:wordWrap/>
                    <w:overflowPunct w:val="0"/>
                    <w:topLinePunct w:val="0"/>
                    <w:autoSpaceDE w:val="0"/>
                    <w:autoSpaceDN w:val="0"/>
                    <w:bidi w:val="0"/>
                    <w:spacing w:line="360" w:lineRule="auto"/>
                    <w:jc w:val="both"/>
                    <w:textAlignment w:val="auto"/>
                    <w:rPr>
                      <w:rFonts w:hint="eastAsia" w:ascii="宋体" w:hAnsi="宋体" w:eastAsia="宋体" w:cs="宋体"/>
                      <w:color w:val="auto"/>
                      <w:sz w:val="21"/>
                      <w:szCs w:val="21"/>
                      <w:highlight w:val="none"/>
                      <w:vertAlign w:val="baseline"/>
                      <w:lang w:val="en-US" w:eastAsia="zh-CN"/>
                    </w:rPr>
                  </w:pPr>
                </w:p>
              </w:tc>
              <w:tc>
                <w:tcPr>
                  <w:tcW w:w="3794" w:type="dxa"/>
                  <w:gridSpan w:val="3"/>
                  <w:noWrap w:val="0"/>
                  <w:vAlign w:val="center"/>
                </w:tcPr>
                <w:p w14:paraId="5A5EEC58">
                  <w:pPr>
                    <w:keepNext w:val="0"/>
                    <w:keepLines w:val="0"/>
                    <w:pageBreakBefore w:val="0"/>
                    <w:widowControl w:val="0"/>
                    <w:kinsoku w:val="0"/>
                    <w:wordWrap/>
                    <w:overflowPunct w:val="0"/>
                    <w:topLinePunct w:val="0"/>
                    <w:autoSpaceDE w:val="0"/>
                    <w:autoSpaceDN w:val="0"/>
                    <w:bidi w:val="0"/>
                    <w:spacing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费率</w:t>
                  </w:r>
                </w:p>
              </w:tc>
            </w:tr>
            <w:tr w14:paraId="209CB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300" w:type="dxa"/>
                  <w:noWrap w:val="0"/>
                  <w:vAlign w:val="center"/>
                </w:tcPr>
                <w:p w14:paraId="19BC5EBC">
                  <w:pPr>
                    <w:keepNext w:val="0"/>
                    <w:keepLines w:val="0"/>
                    <w:pageBreakBefore w:val="0"/>
                    <w:widowControl w:val="0"/>
                    <w:kinsoku w:val="0"/>
                    <w:wordWrap/>
                    <w:overflowPunct w:val="0"/>
                    <w:topLinePunct w:val="0"/>
                    <w:autoSpaceDE w:val="0"/>
                    <w:autoSpaceDN w:val="0"/>
                    <w:bidi w:val="0"/>
                    <w:spacing w:line="360" w:lineRule="auto"/>
                    <w:jc w:val="center"/>
                    <w:textAlignment w:val="auto"/>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50万元及以下</w:t>
                  </w:r>
                </w:p>
              </w:tc>
              <w:tc>
                <w:tcPr>
                  <w:tcW w:w="3794" w:type="dxa"/>
                  <w:gridSpan w:val="3"/>
                  <w:noWrap w:val="0"/>
                  <w:vAlign w:val="center"/>
                </w:tcPr>
                <w:p w14:paraId="6DC367BF">
                  <w:pPr>
                    <w:keepNext w:val="0"/>
                    <w:keepLines w:val="0"/>
                    <w:pageBreakBefore w:val="0"/>
                    <w:widowControl w:val="0"/>
                    <w:kinsoku w:val="0"/>
                    <w:wordWrap/>
                    <w:overflowPunct w:val="0"/>
                    <w:topLinePunct w:val="0"/>
                    <w:autoSpaceDE w:val="0"/>
                    <w:autoSpaceDN w:val="0"/>
                    <w:bidi w:val="0"/>
                    <w:spacing w:line="360" w:lineRule="auto"/>
                    <w:jc w:val="center"/>
                    <w:textAlignment w:val="auto"/>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0.7万元</w:t>
                  </w:r>
                </w:p>
              </w:tc>
            </w:tr>
            <w:tr w14:paraId="6A1FB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300" w:type="dxa"/>
                  <w:noWrap w:val="0"/>
                  <w:vAlign w:val="center"/>
                </w:tcPr>
                <w:p w14:paraId="2DE9631F">
                  <w:pPr>
                    <w:keepNext w:val="0"/>
                    <w:keepLines w:val="0"/>
                    <w:pageBreakBefore w:val="0"/>
                    <w:widowControl w:val="0"/>
                    <w:kinsoku w:val="0"/>
                    <w:wordWrap/>
                    <w:overflowPunct w:val="0"/>
                    <w:topLinePunct w:val="0"/>
                    <w:autoSpaceDE w:val="0"/>
                    <w:autoSpaceDN w:val="0"/>
                    <w:bidi w:val="0"/>
                    <w:spacing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50</w:t>
                  </w:r>
                  <w:r>
                    <w:rPr>
                      <w:rFonts w:hint="eastAsia" w:ascii="宋体" w:hAnsi="宋体" w:cs="宋体"/>
                      <w:color w:val="auto"/>
                      <w:sz w:val="21"/>
                      <w:szCs w:val="21"/>
                      <w:highlight w:val="none"/>
                      <w:vertAlign w:val="baseline"/>
                      <w:lang w:val="en-US" w:eastAsia="zh-CN"/>
                    </w:rPr>
                    <w:t>万元</w:t>
                  </w:r>
                  <w:r>
                    <w:rPr>
                      <w:rFonts w:hint="eastAsia" w:ascii="宋体" w:hAnsi="宋体" w:eastAsia="宋体" w:cs="宋体"/>
                      <w:color w:val="auto"/>
                      <w:sz w:val="21"/>
                      <w:szCs w:val="21"/>
                      <w:highlight w:val="none"/>
                      <w:vertAlign w:val="baseline"/>
                      <w:lang w:val="en-US" w:eastAsia="zh-CN"/>
                    </w:rPr>
                    <w:t>-100万元（含）</w:t>
                  </w:r>
                </w:p>
              </w:tc>
              <w:tc>
                <w:tcPr>
                  <w:tcW w:w="3794" w:type="dxa"/>
                  <w:gridSpan w:val="3"/>
                  <w:noWrap w:val="0"/>
                  <w:vAlign w:val="center"/>
                </w:tcPr>
                <w:p w14:paraId="6C015781">
                  <w:pPr>
                    <w:keepNext w:val="0"/>
                    <w:keepLines w:val="0"/>
                    <w:pageBreakBefore w:val="0"/>
                    <w:widowControl w:val="0"/>
                    <w:kinsoku w:val="0"/>
                    <w:wordWrap/>
                    <w:overflowPunct w:val="0"/>
                    <w:topLinePunct w:val="0"/>
                    <w:autoSpaceDE w:val="0"/>
                    <w:autoSpaceDN w:val="0"/>
                    <w:bidi w:val="0"/>
                    <w:spacing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1.5%</w:t>
                  </w:r>
                </w:p>
              </w:tc>
            </w:tr>
            <w:tr w14:paraId="64021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300" w:type="dxa"/>
                  <w:noWrap w:val="0"/>
                  <w:vAlign w:val="center"/>
                </w:tcPr>
                <w:p w14:paraId="14C2A467">
                  <w:pPr>
                    <w:keepNext w:val="0"/>
                    <w:keepLines w:val="0"/>
                    <w:pageBreakBefore w:val="0"/>
                    <w:widowControl w:val="0"/>
                    <w:kinsoku w:val="0"/>
                    <w:wordWrap/>
                    <w:overflowPunct w:val="0"/>
                    <w:topLinePunct w:val="0"/>
                    <w:autoSpaceDE w:val="0"/>
                    <w:autoSpaceDN w:val="0"/>
                    <w:bidi w:val="0"/>
                    <w:spacing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100</w:t>
                  </w:r>
                  <w:r>
                    <w:rPr>
                      <w:rFonts w:hint="eastAsia" w:ascii="宋体" w:hAnsi="宋体" w:cs="宋体"/>
                      <w:color w:val="auto"/>
                      <w:sz w:val="21"/>
                      <w:szCs w:val="21"/>
                      <w:highlight w:val="none"/>
                      <w:vertAlign w:val="baseline"/>
                      <w:lang w:val="en-US" w:eastAsia="zh-CN"/>
                    </w:rPr>
                    <w:t>万元</w:t>
                  </w:r>
                  <w:r>
                    <w:rPr>
                      <w:rFonts w:hint="eastAsia" w:ascii="宋体" w:hAnsi="宋体" w:eastAsia="宋体" w:cs="宋体"/>
                      <w:color w:val="auto"/>
                      <w:sz w:val="21"/>
                      <w:szCs w:val="21"/>
                      <w:highlight w:val="none"/>
                      <w:vertAlign w:val="baseline"/>
                      <w:lang w:val="en-US" w:eastAsia="zh-CN"/>
                    </w:rPr>
                    <w:t>-500万元（含）</w:t>
                  </w:r>
                </w:p>
              </w:tc>
              <w:tc>
                <w:tcPr>
                  <w:tcW w:w="1317" w:type="dxa"/>
                  <w:noWrap w:val="0"/>
                  <w:vAlign w:val="center"/>
                </w:tcPr>
                <w:p w14:paraId="3BBBE38D">
                  <w:pPr>
                    <w:keepNext w:val="0"/>
                    <w:keepLines w:val="0"/>
                    <w:pageBreakBefore w:val="0"/>
                    <w:widowControl w:val="0"/>
                    <w:kinsoku w:val="0"/>
                    <w:wordWrap/>
                    <w:overflowPunct w:val="0"/>
                    <w:topLinePunct w:val="0"/>
                    <w:autoSpaceDE w:val="0"/>
                    <w:autoSpaceDN w:val="0"/>
                    <w:bidi w:val="0"/>
                    <w:spacing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1.3%</w:t>
                  </w:r>
                </w:p>
              </w:tc>
              <w:tc>
                <w:tcPr>
                  <w:tcW w:w="1233" w:type="dxa"/>
                  <w:noWrap w:val="0"/>
                  <w:vAlign w:val="center"/>
                </w:tcPr>
                <w:p w14:paraId="5281AB49">
                  <w:pPr>
                    <w:keepNext w:val="0"/>
                    <w:keepLines w:val="0"/>
                    <w:pageBreakBefore w:val="0"/>
                    <w:widowControl w:val="0"/>
                    <w:kinsoku w:val="0"/>
                    <w:wordWrap/>
                    <w:overflowPunct w:val="0"/>
                    <w:topLinePunct w:val="0"/>
                    <w:autoSpaceDE w:val="0"/>
                    <w:autoSpaceDN w:val="0"/>
                    <w:bidi w:val="0"/>
                    <w:spacing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1.3%</w:t>
                  </w:r>
                </w:p>
              </w:tc>
              <w:tc>
                <w:tcPr>
                  <w:tcW w:w="1244" w:type="dxa"/>
                  <w:noWrap w:val="0"/>
                  <w:vAlign w:val="center"/>
                </w:tcPr>
                <w:p w14:paraId="15175242">
                  <w:pPr>
                    <w:keepNext w:val="0"/>
                    <w:keepLines w:val="0"/>
                    <w:pageBreakBefore w:val="0"/>
                    <w:widowControl w:val="0"/>
                    <w:kinsoku w:val="0"/>
                    <w:wordWrap/>
                    <w:overflowPunct w:val="0"/>
                    <w:topLinePunct w:val="0"/>
                    <w:autoSpaceDE w:val="0"/>
                    <w:autoSpaceDN w:val="0"/>
                    <w:bidi w:val="0"/>
                    <w:spacing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w:t>
                  </w:r>
                </w:p>
              </w:tc>
            </w:tr>
            <w:tr w14:paraId="0A8B3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300" w:type="dxa"/>
                  <w:noWrap w:val="0"/>
                  <w:vAlign w:val="center"/>
                </w:tcPr>
                <w:p w14:paraId="17715A84">
                  <w:pPr>
                    <w:keepNext w:val="0"/>
                    <w:keepLines w:val="0"/>
                    <w:pageBreakBefore w:val="0"/>
                    <w:widowControl w:val="0"/>
                    <w:kinsoku w:val="0"/>
                    <w:wordWrap/>
                    <w:overflowPunct w:val="0"/>
                    <w:topLinePunct w:val="0"/>
                    <w:autoSpaceDE w:val="0"/>
                    <w:autoSpaceDN w:val="0"/>
                    <w:bidi w:val="0"/>
                    <w:spacing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500</w:t>
                  </w:r>
                  <w:r>
                    <w:rPr>
                      <w:rFonts w:hint="eastAsia" w:ascii="宋体" w:hAnsi="宋体" w:cs="宋体"/>
                      <w:color w:val="auto"/>
                      <w:sz w:val="21"/>
                      <w:szCs w:val="21"/>
                      <w:highlight w:val="none"/>
                      <w:vertAlign w:val="baseline"/>
                      <w:lang w:val="en-US" w:eastAsia="zh-CN"/>
                    </w:rPr>
                    <w:t>万元</w:t>
                  </w:r>
                  <w:r>
                    <w:rPr>
                      <w:rFonts w:hint="eastAsia" w:ascii="宋体" w:hAnsi="宋体" w:eastAsia="宋体" w:cs="宋体"/>
                      <w:color w:val="auto"/>
                      <w:sz w:val="21"/>
                      <w:szCs w:val="21"/>
                      <w:highlight w:val="none"/>
                      <w:vertAlign w:val="baseline"/>
                      <w:lang w:val="en-US" w:eastAsia="zh-CN"/>
                    </w:rPr>
                    <w:t>-1000万元（含）</w:t>
                  </w:r>
                </w:p>
              </w:tc>
              <w:tc>
                <w:tcPr>
                  <w:tcW w:w="1317" w:type="dxa"/>
                  <w:noWrap w:val="0"/>
                  <w:vAlign w:val="center"/>
                </w:tcPr>
                <w:p w14:paraId="0FA0445A">
                  <w:pPr>
                    <w:keepNext w:val="0"/>
                    <w:keepLines w:val="0"/>
                    <w:pageBreakBefore w:val="0"/>
                    <w:widowControl w:val="0"/>
                    <w:kinsoku w:val="0"/>
                    <w:wordWrap/>
                    <w:overflowPunct w:val="0"/>
                    <w:topLinePunct w:val="0"/>
                    <w:autoSpaceDE w:val="0"/>
                    <w:autoSpaceDN w:val="0"/>
                    <w:bidi w:val="0"/>
                    <w:spacing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w:t>
                  </w:r>
                </w:p>
              </w:tc>
              <w:tc>
                <w:tcPr>
                  <w:tcW w:w="1233" w:type="dxa"/>
                  <w:noWrap w:val="0"/>
                  <w:vAlign w:val="center"/>
                </w:tcPr>
                <w:p w14:paraId="6A6001B9">
                  <w:pPr>
                    <w:keepNext w:val="0"/>
                    <w:keepLines w:val="0"/>
                    <w:pageBreakBefore w:val="0"/>
                    <w:widowControl w:val="0"/>
                    <w:kinsoku w:val="0"/>
                    <w:wordWrap/>
                    <w:overflowPunct w:val="0"/>
                    <w:topLinePunct w:val="0"/>
                    <w:autoSpaceDE w:val="0"/>
                    <w:autoSpaceDN w:val="0"/>
                    <w:bidi w:val="0"/>
                    <w:spacing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0.5%</w:t>
                  </w:r>
                </w:p>
              </w:tc>
              <w:tc>
                <w:tcPr>
                  <w:tcW w:w="1244" w:type="dxa"/>
                  <w:noWrap w:val="0"/>
                  <w:vAlign w:val="center"/>
                </w:tcPr>
                <w:p w14:paraId="49A2B14A">
                  <w:pPr>
                    <w:keepNext w:val="0"/>
                    <w:keepLines w:val="0"/>
                    <w:pageBreakBefore w:val="0"/>
                    <w:widowControl w:val="0"/>
                    <w:kinsoku w:val="0"/>
                    <w:wordWrap/>
                    <w:overflowPunct w:val="0"/>
                    <w:topLinePunct w:val="0"/>
                    <w:autoSpaceDE w:val="0"/>
                    <w:autoSpaceDN w:val="0"/>
                    <w:bidi w:val="0"/>
                    <w:spacing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0.7%</w:t>
                  </w:r>
                </w:p>
              </w:tc>
            </w:tr>
            <w:tr w14:paraId="6F915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300" w:type="dxa"/>
                  <w:noWrap w:val="0"/>
                  <w:vAlign w:val="center"/>
                </w:tcPr>
                <w:p w14:paraId="19CA2817">
                  <w:pPr>
                    <w:keepNext w:val="0"/>
                    <w:keepLines w:val="0"/>
                    <w:pageBreakBefore w:val="0"/>
                    <w:widowControl w:val="0"/>
                    <w:kinsoku w:val="0"/>
                    <w:wordWrap/>
                    <w:overflowPunct w:val="0"/>
                    <w:topLinePunct w:val="0"/>
                    <w:autoSpaceDE w:val="0"/>
                    <w:autoSpaceDN w:val="0"/>
                    <w:bidi w:val="0"/>
                    <w:spacing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1000</w:t>
                  </w:r>
                  <w:r>
                    <w:rPr>
                      <w:rFonts w:hint="eastAsia" w:ascii="宋体" w:hAnsi="宋体" w:cs="宋体"/>
                      <w:color w:val="auto"/>
                      <w:sz w:val="21"/>
                      <w:szCs w:val="21"/>
                      <w:highlight w:val="none"/>
                      <w:vertAlign w:val="baseline"/>
                      <w:lang w:val="en-US" w:eastAsia="zh-CN"/>
                    </w:rPr>
                    <w:t>万元</w:t>
                  </w:r>
                  <w:r>
                    <w:rPr>
                      <w:rFonts w:hint="eastAsia" w:ascii="宋体" w:hAnsi="宋体" w:eastAsia="宋体" w:cs="宋体"/>
                      <w:color w:val="auto"/>
                      <w:sz w:val="21"/>
                      <w:szCs w:val="21"/>
                      <w:highlight w:val="none"/>
                      <w:vertAlign w:val="baseline"/>
                      <w:lang w:val="en-US" w:eastAsia="zh-CN"/>
                    </w:rPr>
                    <w:t>-5000万元（含）</w:t>
                  </w:r>
                </w:p>
              </w:tc>
              <w:tc>
                <w:tcPr>
                  <w:tcW w:w="1317" w:type="dxa"/>
                  <w:noWrap w:val="0"/>
                  <w:vAlign w:val="center"/>
                </w:tcPr>
                <w:p w14:paraId="21DA6D93">
                  <w:pPr>
                    <w:keepNext w:val="0"/>
                    <w:keepLines w:val="0"/>
                    <w:pageBreakBefore w:val="0"/>
                    <w:widowControl w:val="0"/>
                    <w:kinsoku w:val="0"/>
                    <w:wordWrap/>
                    <w:overflowPunct w:val="0"/>
                    <w:topLinePunct w:val="0"/>
                    <w:autoSpaceDE w:val="0"/>
                    <w:autoSpaceDN w:val="0"/>
                    <w:bidi w:val="0"/>
                    <w:spacing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0.7%</w:t>
                  </w:r>
                </w:p>
              </w:tc>
              <w:tc>
                <w:tcPr>
                  <w:tcW w:w="1233" w:type="dxa"/>
                  <w:noWrap w:val="0"/>
                  <w:vAlign w:val="center"/>
                </w:tcPr>
                <w:p w14:paraId="24403B4B">
                  <w:pPr>
                    <w:keepNext w:val="0"/>
                    <w:keepLines w:val="0"/>
                    <w:pageBreakBefore w:val="0"/>
                    <w:widowControl w:val="0"/>
                    <w:kinsoku w:val="0"/>
                    <w:wordWrap/>
                    <w:overflowPunct w:val="0"/>
                    <w:topLinePunct w:val="0"/>
                    <w:autoSpaceDE w:val="0"/>
                    <w:autoSpaceDN w:val="0"/>
                    <w:bidi w:val="0"/>
                    <w:spacing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0.4%</w:t>
                  </w:r>
                </w:p>
              </w:tc>
              <w:tc>
                <w:tcPr>
                  <w:tcW w:w="1244" w:type="dxa"/>
                  <w:noWrap w:val="0"/>
                  <w:vAlign w:val="center"/>
                </w:tcPr>
                <w:p w14:paraId="60616AE5">
                  <w:pPr>
                    <w:keepNext w:val="0"/>
                    <w:keepLines w:val="0"/>
                    <w:pageBreakBefore w:val="0"/>
                    <w:widowControl w:val="0"/>
                    <w:kinsoku w:val="0"/>
                    <w:wordWrap/>
                    <w:overflowPunct w:val="0"/>
                    <w:topLinePunct w:val="0"/>
                    <w:autoSpaceDE w:val="0"/>
                    <w:autoSpaceDN w:val="0"/>
                    <w:bidi w:val="0"/>
                    <w:spacing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0.4%</w:t>
                  </w:r>
                </w:p>
              </w:tc>
            </w:tr>
            <w:tr w14:paraId="631B0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300" w:type="dxa"/>
                  <w:noWrap w:val="0"/>
                  <w:vAlign w:val="center"/>
                </w:tcPr>
                <w:p w14:paraId="30CFCF55">
                  <w:pPr>
                    <w:keepNext w:val="0"/>
                    <w:keepLines w:val="0"/>
                    <w:pageBreakBefore w:val="0"/>
                    <w:widowControl w:val="0"/>
                    <w:kinsoku w:val="0"/>
                    <w:wordWrap/>
                    <w:overflowPunct w:val="0"/>
                    <w:topLinePunct w:val="0"/>
                    <w:autoSpaceDE w:val="0"/>
                    <w:autoSpaceDN w:val="0"/>
                    <w:bidi w:val="0"/>
                    <w:spacing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5000万元-1亿元（含）</w:t>
                  </w:r>
                </w:p>
              </w:tc>
              <w:tc>
                <w:tcPr>
                  <w:tcW w:w="1317" w:type="dxa"/>
                  <w:noWrap w:val="0"/>
                  <w:vAlign w:val="center"/>
                </w:tcPr>
                <w:p w14:paraId="60396623">
                  <w:pPr>
                    <w:keepNext w:val="0"/>
                    <w:keepLines w:val="0"/>
                    <w:pageBreakBefore w:val="0"/>
                    <w:widowControl w:val="0"/>
                    <w:kinsoku w:val="0"/>
                    <w:wordWrap/>
                    <w:overflowPunct w:val="0"/>
                    <w:topLinePunct w:val="0"/>
                    <w:autoSpaceDE w:val="0"/>
                    <w:autoSpaceDN w:val="0"/>
                    <w:bidi w:val="0"/>
                    <w:spacing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0.25%</w:t>
                  </w:r>
                </w:p>
              </w:tc>
              <w:tc>
                <w:tcPr>
                  <w:tcW w:w="1233" w:type="dxa"/>
                  <w:noWrap w:val="0"/>
                  <w:vAlign w:val="center"/>
                </w:tcPr>
                <w:p w14:paraId="5E6F46C4">
                  <w:pPr>
                    <w:keepNext w:val="0"/>
                    <w:keepLines w:val="0"/>
                    <w:pageBreakBefore w:val="0"/>
                    <w:widowControl w:val="0"/>
                    <w:kinsoku w:val="0"/>
                    <w:wordWrap/>
                    <w:overflowPunct w:val="0"/>
                    <w:topLinePunct w:val="0"/>
                    <w:autoSpaceDE w:val="0"/>
                    <w:autoSpaceDN w:val="0"/>
                    <w:bidi w:val="0"/>
                    <w:spacing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0.1%</w:t>
                  </w:r>
                </w:p>
              </w:tc>
              <w:tc>
                <w:tcPr>
                  <w:tcW w:w="1244" w:type="dxa"/>
                  <w:noWrap w:val="0"/>
                  <w:vAlign w:val="center"/>
                </w:tcPr>
                <w:p w14:paraId="7B89635D">
                  <w:pPr>
                    <w:keepNext w:val="0"/>
                    <w:keepLines w:val="0"/>
                    <w:pageBreakBefore w:val="0"/>
                    <w:widowControl w:val="0"/>
                    <w:kinsoku w:val="0"/>
                    <w:wordWrap/>
                    <w:overflowPunct w:val="0"/>
                    <w:topLinePunct w:val="0"/>
                    <w:autoSpaceDE w:val="0"/>
                    <w:autoSpaceDN w:val="0"/>
                    <w:bidi w:val="0"/>
                    <w:spacing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0.25%</w:t>
                  </w:r>
                </w:p>
              </w:tc>
            </w:tr>
            <w:tr w14:paraId="2D632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300" w:type="dxa"/>
                  <w:noWrap w:val="0"/>
                  <w:vAlign w:val="center"/>
                </w:tcPr>
                <w:p w14:paraId="6EC6E7B6">
                  <w:pPr>
                    <w:keepNext w:val="0"/>
                    <w:keepLines w:val="0"/>
                    <w:pageBreakBefore w:val="0"/>
                    <w:widowControl w:val="0"/>
                    <w:kinsoku w:val="0"/>
                    <w:wordWrap/>
                    <w:overflowPunct w:val="0"/>
                    <w:topLinePunct w:val="0"/>
                    <w:autoSpaceDE w:val="0"/>
                    <w:autoSpaceDN w:val="0"/>
                    <w:bidi w:val="0"/>
                    <w:spacing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1亿元-5亿元（含）</w:t>
                  </w:r>
                </w:p>
              </w:tc>
              <w:tc>
                <w:tcPr>
                  <w:tcW w:w="3794" w:type="dxa"/>
                  <w:gridSpan w:val="3"/>
                  <w:noWrap w:val="0"/>
                  <w:vAlign w:val="center"/>
                </w:tcPr>
                <w:p w14:paraId="363B683E">
                  <w:pPr>
                    <w:keepNext w:val="0"/>
                    <w:keepLines w:val="0"/>
                    <w:pageBreakBefore w:val="0"/>
                    <w:widowControl w:val="0"/>
                    <w:kinsoku w:val="0"/>
                    <w:wordWrap/>
                    <w:overflowPunct w:val="0"/>
                    <w:topLinePunct w:val="0"/>
                    <w:autoSpaceDE w:val="0"/>
                    <w:autoSpaceDN w:val="0"/>
                    <w:bidi w:val="0"/>
                    <w:spacing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0.05%</w:t>
                  </w:r>
                </w:p>
              </w:tc>
            </w:tr>
            <w:tr w14:paraId="1567A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300" w:type="dxa"/>
                  <w:noWrap w:val="0"/>
                  <w:vAlign w:val="center"/>
                </w:tcPr>
                <w:p w14:paraId="24352FC0">
                  <w:pPr>
                    <w:keepNext w:val="0"/>
                    <w:keepLines w:val="0"/>
                    <w:pageBreakBefore w:val="0"/>
                    <w:widowControl w:val="0"/>
                    <w:kinsoku w:val="0"/>
                    <w:wordWrap/>
                    <w:overflowPunct w:val="0"/>
                    <w:topLinePunct w:val="0"/>
                    <w:autoSpaceDE w:val="0"/>
                    <w:autoSpaceDN w:val="0"/>
                    <w:bidi w:val="0"/>
                    <w:spacing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5亿元-10亿元（含）</w:t>
                  </w:r>
                </w:p>
              </w:tc>
              <w:tc>
                <w:tcPr>
                  <w:tcW w:w="3794" w:type="dxa"/>
                  <w:gridSpan w:val="3"/>
                  <w:noWrap w:val="0"/>
                  <w:vAlign w:val="center"/>
                </w:tcPr>
                <w:p w14:paraId="7A3A2443">
                  <w:pPr>
                    <w:keepNext w:val="0"/>
                    <w:keepLines w:val="0"/>
                    <w:pageBreakBefore w:val="0"/>
                    <w:widowControl w:val="0"/>
                    <w:kinsoku w:val="0"/>
                    <w:wordWrap/>
                    <w:overflowPunct w:val="0"/>
                    <w:topLinePunct w:val="0"/>
                    <w:autoSpaceDE w:val="0"/>
                    <w:autoSpaceDN w:val="0"/>
                    <w:bidi w:val="0"/>
                    <w:spacing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0.035%</w:t>
                  </w:r>
                </w:p>
              </w:tc>
            </w:tr>
            <w:tr w14:paraId="2FBC3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300" w:type="dxa"/>
                  <w:noWrap w:val="0"/>
                  <w:vAlign w:val="center"/>
                </w:tcPr>
                <w:p w14:paraId="619C79B1">
                  <w:pPr>
                    <w:keepNext w:val="0"/>
                    <w:keepLines w:val="0"/>
                    <w:pageBreakBefore w:val="0"/>
                    <w:widowControl w:val="0"/>
                    <w:kinsoku w:val="0"/>
                    <w:wordWrap/>
                    <w:overflowPunct w:val="0"/>
                    <w:topLinePunct w:val="0"/>
                    <w:autoSpaceDE w:val="0"/>
                    <w:autoSpaceDN w:val="0"/>
                    <w:bidi w:val="0"/>
                    <w:spacing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10亿元以上</w:t>
                  </w:r>
                </w:p>
              </w:tc>
              <w:tc>
                <w:tcPr>
                  <w:tcW w:w="3794" w:type="dxa"/>
                  <w:gridSpan w:val="3"/>
                  <w:noWrap w:val="0"/>
                  <w:vAlign w:val="center"/>
                </w:tcPr>
                <w:p w14:paraId="52004553">
                  <w:pPr>
                    <w:keepNext w:val="0"/>
                    <w:keepLines w:val="0"/>
                    <w:pageBreakBefore w:val="0"/>
                    <w:widowControl w:val="0"/>
                    <w:kinsoku w:val="0"/>
                    <w:wordWrap/>
                    <w:overflowPunct w:val="0"/>
                    <w:topLinePunct w:val="0"/>
                    <w:autoSpaceDE w:val="0"/>
                    <w:autoSpaceDN w:val="0"/>
                    <w:bidi w:val="0"/>
                    <w:spacing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0.008%</w:t>
                  </w:r>
                </w:p>
              </w:tc>
            </w:tr>
          </w:tbl>
          <w:p w14:paraId="774FC28F">
            <w:pPr>
              <w:numPr>
                <w:ilvl w:val="0"/>
                <w:numId w:val="0"/>
              </w:numPr>
              <w:tabs>
                <w:tab w:val="center" w:pos="4180"/>
              </w:tabs>
              <w:autoSpaceDE w:val="0"/>
              <w:autoSpaceDN w:val="0"/>
              <w:adjustRightInd w:val="0"/>
              <w:snapToGrid w:val="0"/>
              <w:spacing w:line="276" w:lineRule="auto"/>
              <w:jc w:val="left"/>
              <w:rPr>
                <w:rFonts w:hint="eastAsia"/>
                <w:color w:val="auto"/>
                <w:spacing w:val="-2"/>
                <w:highlight w:val="none"/>
                <w:lang w:eastAsia="zh-CN"/>
              </w:rPr>
            </w:pPr>
          </w:p>
        </w:tc>
      </w:tr>
    </w:tbl>
    <w:p w14:paraId="7B508314">
      <w:pPr>
        <w:pStyle w:val="4"/>
        <w:numPr>
          <w:ilvl w:val="0"/>
          <w:numId w:val="1"/>
        </w:numPr>
        <w:spacing w:line="276" w:lineRule="auto"/>
        <w:jc w:val="center"/>
        <w:rPr>
          <w:rFonts w:ascii="黑体" w:hAnsi="黑体"/>
          <w:color w:val="auto"/>
          <w:highlight w:val="none"/>
        </w:rPr>
      </w:pPr>
      <w:r>
        <w:rPr>
          <w:rFonts w:hint="eastAsia" w:ascii="黑体" w:hAnsi="黑体"/>
          <w:color w:val="auto"/>
          <w:highlight w:val="none"/>
        </w:rPr>
        <w:t>供应商须知</w:t>
      </w:r>
      <w:bookmarkEnd w:id="29"/>
      <w:bookmarkEnd w:id="30"/>
      <w:r>
        <w:rPr>
          <w:rFonts w:hint="eastAsia" w:ascii="黑体" w:hAnsi="黑体"/>
          <w:color w:val="auto"/>
          <w:highlight w:val="none"/>
        </w:rPr>
        <w:t>正文</w:t>
      </w:r>
      <w:bookmarkEnd w:id="31"/>
      <w:bookmarkEnd w:id="32"/>
    </w:p>
    <w:p w14:paraId="2607298A">
      <w:pPr>
        <w:keepNext w:val="0"/>
        <w:keepLines w:val="0"/>
        <w:pageBreakBefore w:val="0"/>
        <w:widowControl w:val="0"/>
        <w:numPr>
          <w:ilvl w:val="0"/>
          <w:numId w:val="6"/>
        </w:numPr>
        <w:kinsoku/>
        <w:wordWrap/>
        <w:overflowPunct/>
        <w:topLinePunct w:val="0"/>
        <w:autoSpaceDE w:val="0"/>
        <w:autoSpaceDN w:val="0"/>
        <w:bidi w:val="0"/>
        <w:adjustRightInd w:val="0"/>
        <w:spacing w:line="360" w:lineRule="auto"/>
        <w:textAlignment w:val="auto"/>
        <w:outlineLvl w:val="2"/>
        <w:rPr>
          <w:rFonts w:ascii="黑体" w:hAnsi="宋体" w:eastAsia="黑体" w:cs="黑体"/>
          <w:color w:val="auto"/>
          <w:kern w:val="0"/>
          <w:sz w:val="24"/>
          <w:szCs w:val="24"/>
          <w:highlight w:val="none"/>
        </w:rPr>
      </w:pPr>
      <w:bookmarkStart w:id="33" w:name="_Toc25617"/>
      <w:bookmarkStart w:id="34" w:name="_Toc195921793"/>
      <w:bookmarkStart w:id="35" w:name="_Toc75284956"/>
      <w:bookmarkStart w:id="36" w:name="_Toc76381778"/>
      <w:bookmarkStart w:id="37" w:name="_Toc7374"/>
      <w:bookmarkStart w:id="38" w:name="_Toc23437"/>
      <w:r>
        <w:rPr>
          <w:rFonts w:hint="eastAsia" w:ascii="黑体" w:hAnsi="宋体" w:eastAsia="黑体" w:cs="黑体"/>
          <w:color w:val="auto"/>
          <w:kern w:val="0"/>
          <w:sz w:val="24"/>
          <w:szCs w:val="24"/>
          <w:highlight w:val="none"/>
        </w:rPr>
        <w:t>总则</w:t>
      </w:r>
      <w:bookmarkEnd w:id="33"/>
      <w:bookmarkEnd w:id="34"/>
      <w:bookmarkEnd w:id="35"/>
      <w:bookmarkEnd w:id="36"/>
      <w:bookmarkEnd w:id="37"/>
      <w:bookmarkEnd w:id="38"/>
    </w:p>
    <w:p w14:paraId="1CCBED62">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bookmarkStart w:id="39" w:name="_Toc195921794"/>
      <w:r>
        <w:rPr>
          <w:rFonts w:hint="eastAsia" w:ascii="宋体" w:hAnsi="宋体" w:cs="黑体"/>
          <w:color w:val="auto"/>
          <w:kern w:val="0"/>
          <w:sz w:val="24"/>
          <w:szCs w:val="24"/>
          <w:highlight w:val="none"/>
        </w:rPr>
        <w:t>项目概况</w:t>
      </w:r>
      <w:bookmarkEnd w:id="39"/>
    </w:p>
    <w:p w14:paraId="6134F657">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lang w:eastAsia="zh-CN"/>
        </w:rPr>
        <w:t>按</w:t>
      </w:r>
      <w:r>
        <w:rPr>
          <w:rFonts w:hint="eastAsia" w:ascii="宋体" w:hAnsi="宋体" w:cs="黑体"/>
          <w:color w:val="auto"/>
          <w:kern w:val="0"/>
          <w:sz w:val="24"/>
          <w:szCs w:val="24"/>
          <w:highlight w:val="none"/>
        </w:rPr>
        <w:t>照《中华人民共和国政府采购法》</w:t>
      </w:r>
      <w:r>
        <w:rPr>
          <w:rFonts w:hint="eastAsia" w:ascii="宋体" w:hAnsi="宋体" w:cs="黑体"/>
          <w:color w:val="auto"/>
          <w:kern w:val="0"/>
          <w:sz w:val="24"/>
          <w:szCs w:val="24"/>
          <w:highlight w:val="none"/>
          <w:lang w:eastAsia="zh-CN"/>
        </w:rPr>
        <w:t>、</w:t>
      </w:r>
      <w:r>
        <w:rPr>
          <w:rFonts w:hint="eastAsia" w:ascii="宋体" w:hAnsi="宋体" w:cs="黑体"/>
          <w:color w:val="auto"/>
          <w:kern w:val="0"/>
          <w:sz w:val="24"/>
          <w:szCs w:val="24"/>
          <w:highlight w:val="none"/>
        </w:rPr>
        <w:t>《中华人民共和国政府采购法实施条例》</w:t>
      </w:r>
      <w:r>
        <w:rPr>
          <w:rFonts w:hint="eastAsia" w:ascii="宋体" w:hAnsi="宋体" w:cs="黑体"/>
          <w:color w:val="auto"/>
          <w:kern w:val="0"/>
          <w:sz w:val="24"/>
          <w:szCs w:val="24"/>
          <w:highlight w:val="none"/>
          <w:lang w:eastAsia="zh-CN"/>
        </w:rPr>
        <w:t>、</w:t>
      </w:r>
      <w:r>
        <w:rPr>
          <w:rFonts w:hint="eastAsia" w:ascii="宋体" w:hAnsi="宋体" w:cs="黑体"/>
          <w:color w:val="auto"/>
          <w:kern w:val="0"/>
          <w:sz w:val="24"/>
          <w:szCs w:val="24"/>
          <w:highlight w:val="none"/>
        </w:rPr>
        <w:t>《政府采购竞争性磋商采购方式管理暂行办法》(财库〔2014〕214号)等有关法律、法规、规章和规范性文件的规定，对本项目通过竞争性磋商进行采购</w:t>
      </w:r>
      <w:r>
        <w:rPr>
          <w:rFonts w:hint="eastAsia" w:ascii="宋体" w:hAnsi="宋体" w:cs="黑体"/>
          <w:color w:val="auto"/>
          <w:kern w:val="0"/>
          <w:sz w:val="24"/>
          <w:szCs w:val="24"/>
          <w:highlight w:val="none"/>
          <w:lang w:eastAsia="zh-CN"/>
        </w:rPr>
        <w:t>。供应商</w:t>
      </w:r>
      <w:r>
        <w:rPr>
          <w:rFonts w:hint="eastAsia" w:ascii="宋体" w:hAnsi="宋体" w:cs="黑体"/>
          <w:color w:val="auto"/>
          <w:kern w:val="0"/>
          <w:sz w:val="24"/>
          <w:szCs w:val="24"/>
          <w:highlight w:val="none"/>
        </w:rPr>
        <w:t>若存在任何理解上无法确定之处，均应当按照磋商文件所规定的澄清等程序提出，否则，可能导致的任何不利后果均应当由</w:t>
      </w:r>
      <w:r>
        <w:rPr>
          <w:rFonts w:hint="eastAsia" w:ascii="宋体" w:hAnsi="宋体" w:cs="黑体"/>
          <w:color w:val="auto"/>
          <w:kern w:val="0"/>
          <w:sz w:val="24"/>
          <w:szCs w:val="24"/>
          <w:highlight w:val="none"/>
          <w:lang w:eastAsia="zh-CN"/>
        </w:rPr>
        <w:t>供应商</w:t>
      </w:r>
      <w:r>
        <w:rPr>
          <w:rFonts w:hint="eastAsia" w:ascii="宋体" w:hAnsi="宋体" w:cs="黑体"/>
          <w:color w:val="auto"/>
          <w:kern w:val="0"/>
          <w:sz w:val="24"/>
          <w:szCs w:val="24"/>
          <w:highlight w:val="none"/>
        </w:rPr>
        <w:t>自行承担。</w:t>
      </w:r>
    </w:p>
    <w:p w14:paraId="4E723777">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采购人：</w:t>
      </w:r>
      <w:r>
        <w:rPr>
          <w:rFonts w:hint="eastAsia"/>
          <w:color w:val="auto"/>
          <w:sz w:val="24"/>
          <w:szCs w:val="24"/>
          <w:highlight w:val="none"/>
        </w:rPr>
        <w:t>指依法进行政府采购的国家机关、事业单位、团体组织。本项目采购人见竞争性磋商公告</w:t>
      </w:r>
      <w:r>
        <w:rPr>
          <w:rFonts w:hint="eastAsia" w:ascii="宋体" w:hAnsi="宋体" w:cs="黑体"/>
          <w:color w:val="auto"/>
          <w:kern w:val="0"/>
          <w:sz w:val="24"/>
          <w:szCs w:val="24"/>
          <w:highlight w:val="none"/>
        </w:rPr>
        <w:t>。</w:t>
      </w:r>
    </w:p>
    <w:p w14:paraId="09E50EAF">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采购代理机构：</w:t>
      </w:r>
      <w:r>
        <w:rPr>
          <w:rFonts w:hint="eastAsia"/>
          <w:color w:val="auto"/>
          <w:sz w:val="24"/>
          <w:szCs w:val="24"/>
          <w:highlight w:val="none"/>
        </w:rPr>
        <w:t>指采购人委托的采购代理机构。本项目采购代理机构见竞争性磋商公告</w:t>
      </w:r>
      <w:r>
        <w:rPr>
          <w:rFonts w:hint="eastAsia" w:ascii="宋体" w:hAnsi="宋体" w:cs="黑体"/>
          <w:color w:val="auto"/>
          <w:kern w:val="0"/>
          <w:sz w:val="24"/>
          <w:szCs w:val="24"/>
          <w:highlight w:val="none"/>
        </w:rPr>
        <w:t>。</w:t>
      </w:r>
    </w:p>
    <w:p w14:paraId="06CC6FAB">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采购项目名称</w:t>
      </w:r>
    </w:p>
    <w:p w14:paraId="0A487950">
      <w:pPr>
        <w:keepNext w:val="0"/>
        <w:keepLines w:val="0"/>
        <w:pageBreakBefore w:val="0"/>
        <w:widowControl w:val="0"/>
        <w:kinsoku/>
        <w:wordWrap/>
        <w:overflowPunct/>
        <w:topLinePunct w:val="0"/>
        <w:autoSpaceDE w:val="0"/>
        <w:autoSpaceDN w:val="0"/>
        <w:bidi w:val="0"/>
        <w:adjustRightInd w:val="0"/>
        <w:snapToGrid w:val="0"/>
        <w:spacing w:line="360" w:lineRule="auto"/>
        <w:ind w:left="1079"/>
        <w:textAlignment w:val="auto"/>
        <w:rPr>
          <w:rFonts w:ascii="宋体" w:hAnsi="宋体"/>
          <w:color w:val="auto"/>
          <w:sz w:val="24"/>
          <w:szCs w:val="24"/>
          <w:highlight w:val="none"/>
        </w:rPr>
      </w:pPr>
      <w:r>
        <w:rPr>
          <w:rFonts w:hint="eastAsia" w:ascii="宋体" w:hAnsi="宋体"/>
          <w:color w:val="auto"/>
          <w:sz w:val="24"/>
          <w:szCs w:val="24"/>
          <w:highlight w:val="none"/>
        </w:rPr>
        <w:t>见竞争性磋商公告。</w:t>
      </w:r>
    </w:p>
    <w:p w14:paraId="50316160">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bookmarkStart w:id="40" w:name="_Toc195921795"/>
      <w:r>
        <w:rPr>
          <w:rFonts w:hint="eastAsia" w:ascii="宋体" w:hAnsi="宋体" w:cs="黑体"/>
          <w:color w:val="auto"/>
          <w:kern w:val="0"/>
          <w:sz w:val="24"/>
          <w:szCs w:val="24"/>
          <w:highlight w:val="none"/>
        </w:rPr>
        <w:t>采购预算</w:t>
      </w:r>
      <w:bookmarkEnd w:id="40"/>
      <w:r>
        <w:rPr>
          <w:rFonts w:hint="eastAsia" w:ascii="宋体" w:hAnsi="宋体" w:cs="黑体"/>
          <w:color w:val="auto"/>
          <w:kern w:val="0"/>
          <w:sz w:val="24"/>
          <w:szCs w:val="24"/>
          <w:highlight w:val="none"/>
        </w:rPr>
        <w:t>及最高限价</w:t>
      </w:r>
    </w:p>
    <w:p w14:paraId="22CFC875">
      <w:pPr>
        <w:keepNext w:val="0"/>
        <w:keepLines w:val="0"/>
        <w:pageBreakBefore w:val="0"/>
        <w:widowControl w:val="0"/>
        <w:kinsoku/>
        <w:wordWrap/>
        <w:overflowPunct/>
        <w:topLinePunct w:val="0"/>
        <w:autoSpaceDE w:val="0"/>
        <w:autoSpaceDN w:val="0"/>
        <w:bidi w:val="0"/>
        <w:adjustRightInd w:val="0"/>
        <w:snapToGrid w:val="0"/>
        <w:spacing w:line="360" w:lineRule="auto"/>
        <w:ind w:left="1079"/>
        <w:textAlignment w:val="auto"/>
        <w:rPr>
          <w:rFonts w:ascii="宋体" w:hAnsi="宋体"/>
          <w:color w:val="auto"/>
          <w:sz w:val="24"/>
          <w:szCs w:val="24"/>
          <w:highlight w:val="none"/>
        </w:rPr>
      </w:pPr>
      <w:r>
        <w:rPr>
          <w:rFonts w:hint="eastAsia" w:ascii="宋体" w:hAnsi="宋体"/>
          <w:color w:val="auto"/>
          <w:sz w:val="24"/>
          <w:szCs w:val="24"/>
          <w:highlight w:val="none"/>
        </w:rPr>
        <w:t>见竞争性磋商公告。</w:t>
      </w:r>
    </w:p>
    <w:p w14:paraId="442A5790">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bookmarkStart w:id="41" w:name="_Hlk75264751"/>
      <w:bookmarkStart w:id="42" w:name="_Toc195921796"/>
      <w:r>
        <w:rPr>
          <w:rFonts w:hint="eastAsia" w:ascii="宋体" w:hAnsi="宋体" w:cs="黑体"/>
          <w:color w:val="auto"/>
          <w:kern w:val="0"/>
          <w:sz w:val="24"/>
          <w:szCs w:val="24"/>
          <w:highlight w:val="none"/>
        </w:rPr>
        <w:t>采购范围</w:t>
      </w:r>
      <w:bookmarkEnd w:id="41"/>
      <w:r>
        <w:rPr>
          <w:rFonts w:hint="eastAsia" w:ascii="宋体" w:hAnsi="宋体" w:cs="黑体"/>
          <w:color w:val="auto"/>
          <w:kern w:val="0"/>
          <w:sz w:val="24"/>
          <w:szCs w:val="24"/>
          <w:highlight w:val="none"/>
        </w:rPr>
        <w:t>、</w:t>
      </w:r>
      <w:r>
        <w:rPr>
          <w:rFonts w:hint="eastAsia" w:ascii="宋体" w:hAnsi="宋体" w:cs="黑体"/>
          <w:color w:val="auto"/>
          <w:kern w:val="0"/>
          <w:sz w:val="24"/>
          <w:szCs w:val="24"/>
          <w:highlight w:val="none"/>
          <w:lang w:val="en-US" w:eastAsia="zh-CN"/>
        </w:rPr>
        <w:t>合同履行期限</w:t>
      </w:r>
      <w:r>
        <w:rPr>
          <w:rFonts w:hint="eastAsia" w:ascii="宋体" w:hAnsi="宋体" w:cs="黑体"/>
          <w:color w:val="auto"/>
          <w:kern w:val="0"/>
          <w:sz w:val="24"/>
          <w:szCs w:val="24"/>
          <w:highlight w:val="none"/>
        </w:rPr>
        <w:t>和质量要求</w:t>
      </w:r>
      <w:bookmarkEnd w:id="42"/>
      <w:r>
        <w:rPr>
          <w:rFonts w:hint="eastAsia" w:ascii="宋体" w:hAnsi="宋体" w:cs="黑体"/>
          <w:color w:val="auto"/>
          <w:kern w:val="0"/>
          <w:sz w:val="24"/>
          <w:szCs w:val="24"/>
          <w:highlight w:val="none"/>
        </w:rPr>
        <w:t>及标准</w:t>
      </w:r>
    </w:p>
    <w:p w14:paraId="3507DAD0">
      <w:pPr>
        <w:keepNext w:val="0"/>
        <w:keepLines w:val="0"/>
        <w:pageBreakBefore w:val="0"/>
        <w:widowControl w:val="0"/>
        <w:kinsoku/>
        <w:wordWrap/>
        <w:overflowPunct/>
        <w:topLinePunct w:val="0"/>
        <w:autoSpaceDE w:val="0"/>
        <w:autoSpaceDN w:val="0"/>
        <w:bidi w:val="0"/>
        <w:adjustRightInd w:val="0"/>
        <w:snapToGrid w:val="0"/>
        <w:spacing w:line="360" w:lineRule="auto"/>
        <w:ind w:left="1079"/>
        <w:textAlignment w:val="auto"/>
        <w:rPr>
          <w:rFonts w:ascii="宋体" w:hAnsi="宋体"/>
          <w:color w:val="auto"/>
          <w:sz w:val="24"/>
          <w:szCs w:val="24"/>
          <w:highlight w:val="none"/>
        </w:rPr>
      </w:pPr>
      <w:r>
        <w:rPr>
          <w:rFonts w:hint="eastAsia" w:ascii="宋体" w:hAnsi="宋体"/>
          <w:color w:val="auto"/>
          <w:sz w:val="24"/>
          <w:szCs w:val="24"/>
          <w:highlight w:val="none"/>
        </w:rPr>
        <w:t>见</w:t>
      </w:r>
      <w:r>
        <w:rPr>
          <w:rFonts w:hint="eastAsia" w:ascii="宋体" w:hAnsi="宋体"/>
          <w:color w:val="auto"/>
          <w:sz w:val="24"/>
          <w:szCs w:val="24"/>
          <w:highlight w:val="none"/>
          <w:lang w:eastAsia="zh-CN"/>
        </w:rPr>
        <w:t>采购文件</w:t>
      </w:r>
      <w:r>
        <w:rPr>
          <w:rFonts w:hint="eastAsia" w:ascii="宋体" w:hAnsi="宋体"/>
          <w:color w:val="auto"/>
          <w:sz w:val="24"/>
          <w:szCs w:val="24"/>
          <w:highlight w:val="none"/>
        </w:rPr>
        <w:t>。</w:t>
      </w:r>
    </w:p>
    <w:p w14:paraId="37B4BA73">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供应商：</w:t>
      </w:r>
      <w:r>
        <w:rPr>
          <w:rFonts w:hint="eastAsia" w:ascii="宋体" w:hAnsi="宋体"/>
          <w:color w:val="auto"/>
          <w:sz w:val="24"/>
          <w:szCs w:val="24"/>
          <w:highlight w:val="none"/>
        </w:rPr>
        <w:t>指递交响应文件的法人、其他组织或者自然人</w:t>
      </w:r>
      <w:r>
        <w:rPr>
          <w:rFonts w:hint="eastAsia" w:ascii="宋体" w:hAnsi="宋体" w:cs="黑体"/>
          <w:color w:val="auto"/>
          <w:kern w:val="0"/>
          <w:sz w:val="24"/>
          <w:szCs w:val="24"/>
          <w:highlight w:val="none"/>
        </w:rPr>
        <w:t>。符合财政部关于《政府采购竞争性磋商采购方式管理暂行办法》(财库〔2014〕214号)第六条规定，具有本项目实施能力且接受磋商邀请，符合、承认并承诺履行本磋商文件各项规定的国内供应商可参加响应。</w:t>
      </w:r>
    </w:p>
    <w:p w14:paraId="2C747A8D">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ascii="宋体" w:hAnsi="宋体" w:cs="黑体"/>
          <w:color w:val="auto"/>
          <w:kern w:val="0"/>
          <w:sz w:val="24"/>
          <w:szCs w:val="24"/>
          <w:highlight w:val="none"/>
        </w:rPr>
        <w:t>对供应商相关要求</w:t>
      </w:r>
    </w:p>
    <w:p w14:paraId="614BF5D7">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符合竞争性磋商公告“供应商资格要求”。</w:t>
      </w:r>
    </w:p>
    <w:p w14:paraId="2558A758">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olor w:val="auto"/>
          <w:sz w:val="24"/>
          <w:szCs w:val="24"/>
          <w:highlight w:val="none"/>
        </w:rPr>
        <w:t>供应商应当遵循公平竞争的原则</w:t>
      </w:r>
      <w:r>
        <w:rPr>
          <w:rFonts w:hint="eastAsia" w:ascii="宋体" w:hAnsi="宋体"/>
          <w:color w:val="auto"/>
          <w:sz w:val="24"/>
          <w:szCs w:val="24"/>
          <w:highlight w:val="none"/>
          <w:lang w:eastAsia="zh-CN"/>
        </w:rPr>
        <w:t>，</w:t>
      </w:r>
      <w:r>
        <w:rPr>
          <w:rFonts w:hint="eastAsia" w:ascii="宋体" w:hAnsi="宋体"/>
          <w:color w:val="auto"/>
          <w:sz w:val="24"/>
          <w:szCs w:val="24"/>
          <w:highlight w:val="none"/>
        </w:rPr>
        <w:t>不得恶意串通，不得妨碍其他供应商的竞争行为，不得损害采购人或者其他供应商的合法权益。</w:t>
      </w:r>
    </w:p>
    <w:p w14:paraId="2C8B1AF2">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供应商不得以向采购人、采购代理机构、磋商小组成员行贿或者采取其他不正当手段谋取成交。</w:t>
      </w:r>
    </w:p>
    <w:p w14:paraId="7CA68137">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竞争性磋商公告规定接受联合体的，还应遵守以下规定：</w:t>
      </w:r>
    </w:p>
    <w:p w14:paraId="27EEEBD9">
      <w:pPr>
        <w:keepNext w:val="0"/>
        <w:keepLines w:val="0"/>
        <w:pageBreakBefore w:val="0"/>
        <w:widowControl w:val="0"/>
        <w:numPr>
          <w:ilvl w:val="0"/>
          <w:numId w:val="7"/>
        </w:numPr>
        <w:tabs>
          <w:tab w:val="left" w:pos="1701"/>
        </w:tabs>
        <w:kinsoku/>
        <w:wordWrap/>
        <w:overflowPunct/>
        <w:topLinePunct w:val="0"/>
        <w:autoSpaceDE w:val="0"/>
        <w:autoSpaceDN w:val="0"/>
        <w:bidi w:val="0"/>
        <w:adjustRightInd w:val="0"/>
        <w:snapToGrid w:val="0"/>
        <w:spacing w:line="360" w:lineRule="auto"/>
        <w:ind w:left="1701" w:hanging="622"/>
        <w:textAlignment w:val="auto"/>
        <w:rPr>
          <w:rFonts w:ascii="宋体" w:hAnsi="宋体"/>
          <w:color w:val="auto"/>
          <w:sz w:val="24"/>
          <w:szCs w:val="24"/>
          <w:highlight w:val="none"/>
        </w:rPr>
      </w:pPr>
      <w:r>
        <w:rPr>
          <w:rFonts w:hint="eastAsia" w:ascii="宋体" w:hAnsi="宋体"/>
          <w:color w:val="auto"/>
          <w:sz w:val="24"/>
          <w:szCs w:val="24"/>
          <w:highlight w:val="none"/>
        </w:rPr>
        <w:t>联合体各方应按磋商文件提供的格式签订联合体协议书，明确联合体牵头人和各方工作内容和义务；</w:t>
      </w:r>
    </w:p>
    <w:p w14:paraId="60274EB0">
      <w:pPr>
        <w:keepNext w:val="0"/>
        <w:keepLines w:val="0"/>
        <w:pageBreakBefore w:val="0"/>
        <w:widowControl w:val="0"/>
        <w:numPr>
          <w:ilvl w:val="0"/>
          <w:numId w:val="7"/>
        </w:numPr>
        <w:tabs>
          <w:tab w:val="left" w:pos="1701"/>
        </w:tabs>
        <w:kinsoku/>
        <w:wordWrap/>
        <w:overflowPunct/>
        <w:topLinePunct w:val="0"/>
        <w:autoSpaceDE w:val="0"/>
        <w:autoSpaceDN w:val="0"/>
        <w:bidi w:val="0"/>
        <w:adjustRightInd w:val="0"/>
        <w:snapToGrid w:val="0"/>
        <w:spacing w:line="360" w:lineRule="auto"/>
        <w:ind w:left="1701" w:hanging="622"/>
        <w:textAlignment w:val="auto"/>
        <w:rPr>
          <w:rFonts w:ascii="宋体" w:hAnsi="宋体"/>
          <w:color w:val="auto"/>
          <w:sz w:val="24"/>
          <w:szCs w:val="24"/>
          <w:highlight w:val="none"/>
        </w:rPr>
      </w:pPr>
      <w:r>
        <w:rPr>
          <w:rFonts w:ascii="宋体" w:hAnsi="宋体"/>
          <w:color w:val="auto"/>
          <w:sz w:val="24"/>
          <w:szCs w:val="24"/>
          <w:highlight w:val="none"/>
        </w:rPr>
        <w:t>联合体中有同类资质的供应商按照联合体分工承担相同工作的，应当按照资质等级较低的供应商确定联合体的资质等级。</w:t>
      </w:r>
    </w:p>
    <w:p w14:paraId="271FF7FE">
      <w:pPr>
        <w:keepNext w:val="0"/>
        <w:keepLines w:val="0"/>
        <w:pageBreakBefore w:val="0"/>
        <w:widowControl w:val="0"/>
        <w:numPr>
          <w:ilvl w:val="0"/>
          <w:numId w:val="7"/>
        </w:numPr>
        <w:tabs>
          <w:tab w:val="left" w:pos="1701"/>
        </w:tabs>
        <w:kinsoku/>
        <w:wordWrap/>
        <w:overflowPunct/>
        <w:topLinePunct w:val="0"/>
        <w:autoSpaceDE w:val="0"/>
        <w:autoSpaceDN w:val="0"/>
        <w:bidi w:val="0"/>
        <w:adjustRightInd w:val="0"/>
        <w:snapToGrid w:val="0"/>
        <w:spacing w:line="360" w:lineRule="auto"/>
        <w:ind w:left="1701" w:hanging="622"/>
        <w:textAlignment w:val="auto"/>
        <w:rPr>
          <w:rFonts w:ascii="宋体" w:hAnsi="宋体"/>
          <w:color w:val="auto"/>
          <w:sz w:val="24"/>
          <w:szCs w:val="24"/>
          <w:highlight w:val="none"/>
        </w:rPr>
      </w:pPr>
      <w:r>
        <w:rPr>
          <w:rFonts w:ascii="宋体" w:hAnsi="宋体"/>
          <w:color w:val="auto"/>
          <w:sz w:val="24"/>
          <w:szCs w:val="24"/>
          <w:highlight w:val="none"/>
        </w:rPr>
        <w:t>联合体各方不得再单独参加或者与其他供应商另外组成联合体参加同一合同项下的</w:t>
      </w:r>
      <w:r>
        <w:rPr>
          <w:rFonts w:hint="eastAsia" w:ascii="宋体" w:hAnsi="宋体"/>
          <w:color w:val="auto"/>
          <w:sz w:val="24"/>
          <w:szCs w:val="24"/>
          <w:highlight w:val="none"/>
        </w:rPr>
        <w:t>磋商。</w:t>
      </w:r>
    </w:p>
    <w:p w14:paraId="4159D77D">
      <w:pPr>
        <w:keepNext w:val="0"/>
        <w:keepLines w:val="0"/>
        <w:pageBreakBefore w:val="0"/>
        <w:widowControl w:val="0"/>
        <w:numPr>
          <w:ilvl w:val="0"/>
          <w:numId w:val="7"/>
        </w:numPr>
        <w:tabs>
          <w:tab w:val="left" w:pos="1701"/>
        </w:tabs>
        <w:kinsoku/>
        <w:wordWrap/>
        <w:overflowPunct/>
        <w:topLinePunct w:val="0"/>
        <w:autoSpaceDE w:val="0"/>
        <w:autoSpaceDN w:val="0"/>
        <w:bidi w:val="0"/>
        <w:adjustRightInd w:val="0"/>
        <w:snapToGrid w:val="0"/>
        <w:spacing w:line="360" w:lineRule="auto"/>
        <w:ind w:left="1701" w:hanging="622"/>
        <w:textAlignment w:val="auto"/>
        <w:rPr>
          <w:rFonts w:ascii="宋体" w:hAnsi="宋体"/>
          <w:color w:val="auto"/>
          <w:sz w:val="24"/>
          <w:szCs w:val="24"/>
          <w:highlight w:val="none"/>
        </w:rPr>
      </w:pPr>
      <w:r>
        <w:rPr>
          <w:rFonts w:hint="eastAsia" w:ascii="宋体" w:hAnsi="宋体"/>
          <w:color w:val="auto"/>
          <w:sz w:val="24"/>
          <w:szCs w:val="24"/>
          <w:highlight w:val="none"/>
        </w:rPr>
        <w:t>联合体各方应当共同与采购人签订采购合同，就合同约定的事项对采购人承担连带责任。</w:t>
      </w:r>
    </w:p>
    <w:p w14:paraId="658EBE2A">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b/>
          <w:bCs/>
          <w:color w:val="auto"/>
          <w:kern w:val="0"/>
          <w:sz w:val="24"/>
          <w:szCs w:val="24"/>
          <w:highlight w:val="none"/>
        </w:rPr>
      </w:pPr>
      <w:r>
        <w:rPr>
          <w:rFonts w:hint="eastAsia" w:ascii="宋体" w:hAnsi="宋体" w:cs="黑体"/>
          <w:b/>
          <w:bCs/>
          <w:color w:val="auto"/>
          <w:kern w:val="0"/>
          <w:sz w:val="24"/>
          <w:szCs w:val="24"/>
          <w:highlight w:val="none"/>
        </w:rPr>
        <w:t>本项目是否专门面向中小企业或小型、微型企业采购：</w:t>
      </w:r>
      <w:r>
        <w:rPr>
          <w:rFonts w:hint="eastAsia" w:ascii="宋体" w:hAnsi="宋体" w:cs="黑体"/>
          <w:b/>
          <w:bCs/>
          <w:color w:val="auto"/>
          <w:kern w:val="0"/>
          <w:sz w:val="24"/>
          <w:szCs w:val="24"/>
          <w:highlight w:val="none"/>
          <w:lang w:eastAsia="zh-CN"/>
        </w:rPr>
        <w:t>是</w:t>
      </w:r>
      <w:r>
        <w:rPr>
          <w:rFonts w:hint="eastAsia" w:ascii="宋体" w:hAnsi="宋体" w:cs="黑体"/>
          <w:b/>
          <w:bCs/>
          <w:color w:val="auto"/>
          <w:kern w:val="0"/>
          <w:sz w:val="24"/>
          <w:szCs w:val="24"/>
          <w:highlight w:val="none"/>
        </w:rPr>
        <w:t>。</w:t>
      </w:r>
    </w:p>
    <w:p w14:paraId="5985C7AD">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ascii="宋体" w:hAnsi="宋体" w:cs="黑体"/>
          <w:b/>
          <w:bCs/>
          <w:color w:val="auto"/>
          <w:kern w:val="0"/>
          <w:sz w:val="24"/>
          <w:szCs w:val="24"/>
          <w:highlight w:val="none"/>
        </w:rPr>
      </w:pPr>
      <w:r>
        <w:rPr>
          <w:rFonts w:hint="eastAsia" w:ascii="宋体" w:hAnsi="宋体" w:cs="黑体"/>
          <w:b/>
          <w:bCs/>
          <w:color w:val="auto"/>
          <w:kern w:val="0"/>
          <w:sz w:val="24"/>
          <w:szCs w:val="24"/>
          <w:highlight w:val="none"/>
        </w:rPr>
        <w:t>采购标的对应的中小企业划分标准所属行业：</w:t>
      </w:r>
      <w:r>
        <w:rPr>
          <w:rFonts w:hint="eastAsia" w:ascii="宋体" w:hAnsi="宋体" w:cs="黑体"/>
          <w:b/>
          <w:bCs/>
          <w:color w:val="auto"/>
          <w:kern w:val="0"/>
          <w:sz w:val="24"/>
          <w:szCs w:val="24"/>
          <w:highlight w:val="none"/>
          <w:lang w:val="en-US" w:eastAsia="zh-CN"/>
        </w:rPr>
        <w:t>建筑业</w:t>
      </w:r>
      <w:r>
        <w:rPr>
          <w:rFonts w:hint="eastAsia" w:ascii="宋体" w:hAnsi="宋体" w:cs="黑体"/>
          <w:b/>
          <w:bCs/>
          <w:color w:val="auto"/>
          <w:kern w:val="0"/>
          <w:sz w:val="24"/>
          <w:szCs w:val="24"/>
          <w:highlight w:val="none"/>
        </w:rPr>
        <w:t>。</w:t>
      </w:r>
    </w:p>
    <w:p w14:paraId="29EA1E62">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本项目将执行在政府采购活动中查询及使用信用记录的规定，具体要求为：</w:t>
      </w:r>
    </w:p>
    <w:p w14:paraId="6F11D1D4">
      <w:pPr>
        <w:keepNext w:val="0"/>
        <w:keepLines w:val="0"/>
        <w:pageBreakBefore w:val="0"/>
        <w:widowControl w:val="0"/>
        <w:tabs>
          <w:tab w:val="left" w:pos="1701"/>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olor w:val="auto"/>
          <w:sz w:val="24"/>
          <w:szCs w:val="24"/>
          <w:highlight w:val="none"/>
          <w:lang w:eastAsia="zh-CN"/>
        </w:rPr>
      </w:pPr>
      <w:bookmarkStart w:id="43" w:name="_Ref527101463"/>
      <w:r>
        <w:rPr>
          <w:rFonts w:hint="eastAsia" w:ascii="宋体" w:hAnsi="宋体"/>
          <w:color w:val="auto"/>
          <w:sz w:val="24"/>
          <w:szCs w:val="24"/>
          <w:highlight w:val="none"/>
        </w:rPr>
        <w:t>（1）信用信息查询的截止时点：递交响应文件截止时间后至资格核对工作结束前</w:t>
      </w:r>
      <w:r>
        <w:rPr>
          <w:rFonts w:hint="eastAsia" w:ascii="宋体" w:hAnsi="宋体"/>
          <w:color w:val="auto"/>
          <w:sz w:val="24"/>
          <w:szCs w:val="24"/>
          <w:highlight w:val="none"/>
          <w:lang w:eastAsia="zh-CN"/>
        </w:rPr>
        <w:t>；</w:t>
      </w:r>
    </w:p>
    <w:p w14:paraId="6EEEB14B">
      <w:pPr>
        <w:keepNext w:val="0"/>
        <w:keepLines w:val="0"/>
        <w:pageBreakBefore w:val="0"/>
        <w:widowControl w:val="0"/>
        <w:tabs>
          <w:tab w:val="left" w:pos="1701"/>
        </w:tabs>
        <w:kinsoku/>
        <w:wordWrap/>
        <w:overflowPunct/>
        <w:topLinePunct w:val="0"/>
        <w:autoSpaceDE w:val="0"/>
        <w:autoSpaceDN w:val="0"/>
        <w:bidi w:val="0"/>
        <w:adjustRightInd w:val="0"/>
        <w:snapToGrid w:val="0"/>
        <w:spacing w:line="360" w:lineRule="auto"/>
        <w:ind w:left="1134"/>
        <w:textAlignment w:val="auto"/>
        <w:rPr>
          <w:rFonts w:ascii="宋体" w:hAnsi="宋体"/>
          <w:color w:val="auto"/>
          <w:sz w:val="24"/>
          <w:szCs w:val="24"/>
          <w:highlight w:val="none"/>
        </w:rPr>
      </w:pPr>
      <w:r>
        <w:rPr>
          <w:rFonts w:hint="eastAsia" w:ascii="宋体" w:hAnsi="宋体"/>
          <w:color w:val="auto"/>
          <w:sz w:val="24"/>
          <w:szCs w:val="24"/>
          <w:highlight w:val="none"/>
        </w:rPr>
        <w:t>（2）查询渠道：“信用中国”网站（www.creditchina.gov.cn）失信被执行人、</w:t>
      </w:r>
      <w:r>
        <w:rPr>
          <w:rFonts w:hint="eastAsia" w:ascii="宋体" w:hAnsi="宋体"/>
          <w:color w:val="auto"/>
          <w:sz w:val="24"/>
          <w:szCs w:val="24"/>
          <w:highlight w:val="none"/>
          <w:lang w:eastAsia="zh-CN"/>
        </w:rPr>
        <w:t>重大税收违法失信主体</w:t>
      </w:r>
      <w:r>
        <w:rPr>
          <w:rFonts w:hint="eastAsia" w:ascii="宋体" w:hAnsi="宋体"/>
          <w:color w:val="auto"/>
          <w:sz w:val="24"/>
          <w:szCs w:val="24"/>
          <w:highlight w:val="none"/>
        </w:rPr>
        <w:t>及中国政府采购网（www.ccgp.gov.cn）“政府采购严重违法失信行为信息记录”</w:t>
      </w:r>
      <w:r>
        <w:rPr>
          <w:rFonts w:ascii="宋体" w:hAnsi="宋体"/>
          <w:color w:val="auto"/>
          <w:sz w:val="24"/>
          <w:szCs w:val="24"/>
          <w:highlight w:val="none"/>
        </w:rPr>
        <w:t xml:space="preserve">； </w:t>
      </w:r>
    </w:p>
    <w:p w14:paraId="29DDBC14">
      <w:pPr>
        <w:keepNext w:val="0"/>
        <w:keepLines w:val="0"/>
        <w:pageBreakBefore w:val="0"/>
        <w:widowControl w:val="0"/>
        <w:tabs>
          <w:tab w:val="left" w:pos="1701"/>
        </w:tabs>
        <w:kinsoku/>
        <w:wordWrap/>
        <w:overflowPunct/>
        <w:topLinePunct w:val="0"/>
        <w:autoSpaceDE w:val="0"/>
        <w:autoSpaceDN w:val="0"/>
        <w:bidi w:val="0"/>
        <w:adjustRightInd w:val="0"/>
        <w:snapToGrid w:val="0"/>
        <w:spacing w:line="360" w:lineRule="auto"/>
        <w:ind w:left="1134"/>
        <w:textAlignment w:val="auto"/>
        <w:rPr>
          <w:rFonts w:ascii="宋体" w:hAnsi="宋体"/>
          <w:color w:val="auto"/>
          <w:sz w:val="24"/>
          <w:szCs w:val="24"/>
          <w:highlight w:val="none"/>
        </w:rPr>
      </w:pPr>
      <w:r>
        <w:rPr>
          <w:rFonts w:hint="eastAsia" w:ascii="宋体" w:hAnsi="宋体"/>
          <w:color w:val="auto"/>
          <w:sz w:val="24"/>
          <w:szCs w:val="24"/>
          <w:highlight w:val="none"/>
        </w:rPr>
        <w:t>（3）信用信息查询记录和证据留存具体方式：将经查询存在不良信用记录的潜在供应商的查询结果网页截图作为查询记录和证据，与其他磋商文件一并保存；</w:t>
      </w:r>
    </w:p>
    <w:p w14:paraId="7E75C0BC">
      <w:pPr>
        <w:keepNext w:val="0"/>
        <w:keepLines w:val="0"/>
        <w:pageBreakBefore w:val="0"/>
        <w:widowControl w:val="0"/>
        <w:tabs>
          <w:tab w:val="left" w:pos="1701"/>
        </w:tabs>
        <w:kinsoku/>
        <w:wordWrap/>
        <w:overflowPunct/>
        <w:topLinePunct w:val="0"/>
        <w:autoSpaceDE w:val="0"/>
        <w:autoSpaceDN w:val="0"/>
        <w:bidi w:val="0"/>
        <w:adjustRightInd w:val="0"/>
        <w:snapToGrid w:val="0"/>
        <w:spacing w:line="360" w:lineRule="auto"/>
        <w:ind w:left="1134"/>
        <w:textAlignment w:val="auto"/>
        <w:rPr>
          <w:rFonts w:ascii="宋体" w:hAnsi="宋体"/>
          <w:color w:val="auto"/>
          <w:sz w:val="24"/>
          <w:szCs w:val="24"/>
          <w:highlight w:val="none"/>
        </w:rPr>
      </w:pPr>
      <w:r>
        <w:rPr>
          <w:rFonts w:hint="eastAsia" w:ascii="宋体" w:hAnsi="宋体"/>
          <w:color w:val="auto"/>
          <w:sz w:val="24"/>
          <w:szCs w:val="24"/>
          <w:highlight w:val="none"/>
        </w:rPr>
        <w:t>（4）信用信息的使用规则：</w:t>
      </w:r>
      <w:r>
        <w:rPr>
          <w:rFonts w:ascii="宋体" w:hAnsi="宋体"/>
          <w:color w:val="auto"/>
          <w:sz w:val="24"/>
          <w:szCs w:val="24"/>
          <w:highlight w:val="none"/>
        </w:rPr>
        <w:t>本政府采购项目的供应商在</w:t>
      </w:r>
      <w:r>
        <w:rPr>
          <w:rFonts w:hint="eastAsia" w:ascii="宋体" w:hAnsi="宋体"/>
          <w:color w:val="auto"/>
          <w:sz w:val="24"/>
          <w:szCs w:val="24"/>
          <w:highlight w:val="none"/>
        </w:rPr>
        <w:t>信用信息查询</w:t>
      </w:r>
      <w:r>
        <w:rPr>
          <w:rFonts w:ascii="宋体" w:hAnsi="宋体"/>
          <w:color w:val="auto"/>
          <w:sz w:val="24"/>
          <w:szCs w:val="24"/>
          <w:highlight w:val="none"/>
        </w:rPr>
        <w:t>截止时（含）之前存在</w:t>
      </w:r>
      <w:r>
        <w:rPr>
          <w:rFonts w:hint="eastAsia" w:ascii="宋体" w:hAnsi="宋体"/>
          <w:color w:val="auto"/>
          <w:sz w:val="24"/>
          <w:szCs w:val="24"/>
          <w:highlight w:val="none"/>
        </w:rPr>
        <w:t>第一章竞争性磋商公告</w:t>
      </w:r>
      <w:r>
        <w:rPr>
          <w:rFonts w:hint="eastAsia"/>
          <w:color w:val="auto"/>
          <w:sz w:val="24"/>
          <w:szCs w:val="24"/>
          <w:highlight w:val="none"/>
        </w:rPr>
        <w:t>“供应商资格要求”中</w:t>
      </w:r>
      <w:r>
        <w:rPr>
          <w:rFonts w:hint="eastAsia" w:ascii="宋体" w:hAnsi="宋体"/>
          <w:color w:val="auto"/>
          <w:sz w:val="24"/>
          <w:szCs w:val="24"/>
          <w:highlight w:val="none"/>
        </w:rPr>
        <w:t>所述</w:t>
      </w:r>
      <w:r>
        <w:rPr>
          <w:rFonts w:ascii="宋体" w:hAnsi="宋体"/>
          <w:color w:val="auto"/>
          <w:sz w:val="24"/>
          <w:szCs w:val="24"/>
          <w:highlight w:val="none"/>
        </w:rPr>
        <w:t>不良信用记录的，不得参与磋商。</w:t>
      </w:r>
    </w:p>
    <w:p w14:paraId="6087E49C">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分包</w:t>
      </w:r>
      <w:bookmarkEnd w:id="43"/>
    </w:p>
    <w:p w14:paraId="01AC7356">
      <w:pPr>
        <w:keepNext w:val="0"/>
        <w:keepLines w:val="0"/>
        <w:pageBreakBefore w:val="0"/>
        <w:widowControl w:val="0"/>
        <w:kinsoku/>
        <w:wordWrap/>
        <w:overflowPunct/>
        <w:topLinePunct w:val="0"/>
        <w:autoSpaceDE w:val="0"/>
        <w:autoSpaceDN w:val="0"/>
        <w:bidi w:val="0"/>
        <w:adjustRightInd w:val="0"/>
        <w:snapToGrid w:val="0"/>
        <w:spacing w:line="360" w:lineRule="auto"/>
        <w:ind w:left="1134" w:leftChars="540"/>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供应商须知前附表规定允许分包的，供应商应根据磋商文件的规定和采购项目的实际情况，将拟在成交后将采购项目的非主体、非关键性工作分包的，在响应文件中载明分包承担主体，分包承担主体应当具备相应资质条件且不得再次分包。政府采购合同分包履行的，成交供应商就采购项目和分包项目向采购人负责，分包人就分包项目承担责任。</w:t>
      </w:r>
    </w:p>
    <w:p w14:paraId="66BAA3A0">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bookmarkStart w:id="44" w:name="_Toc195921799"/>
      <w:r>
        <w:rPr>
          <w:rFonts w:hint="eastAsia" w:ascii="宋体" w:hAnsi="宋体" w:cs="黑体"/>
          <w:color w:val="auto"/>
          <w:kern w:val="0"/>
          <w:sz w:val="24"/>
          <w:szCs w:val="24"/>
          <w:highlight w:val="none"/>
        </w:rPr>
        <w:t>费用承担</w:t>
      </w:r>
      <w:bookmarkEnd w:id="44"/>
    </w:p>
    <w:p w14:paraId="7DF35455">
      <w:pPr>
        <w:keepNext w:val="0"/>
        <w:keepLines w:val="0"/>
        <w:pageBreakBefore w:val="0"/>
        <w:widowControl w:val="0"/>
        <w:kinsoku/>
        <w:wordWrap/>
        <w:overflowPunct/>
        <w:topLinePunct w:val="0"/>
        <w:autoSpaceDE w:val="0"/>
        <w:autoSpaceDN w:val="0"/>
        <w:bidi w:val="0"/>
        <w:adjustRightInd w:val="0"/>
        <w:snapToGrid w:val="0"/>
        <w:spacing w:line="360" w:lineRule="auto"/>
        <w:ind w:left="1134" w:leftChars="540"/>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供应商准备和参加磋商活动发生的费用自理。</w:t>
      </w:r>
    </w:p>
    <w:p w14:paraId="3F5526F7">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bookmarkStart w:id="45" w:name="_Toc195921800"/>
      <w:r>
        <w:rPr>
          <w:rFonts w:hint="eastAsia" w:ascii="宋体" w:hAnsi="宋体" w:cs="黑体"/>
          <w:color w:val="auto"/>
          <w:kern w:val="0"/>
          <w:sz w:val="24"/>
          <w:szCs w:val="24"/>
          <w:highlight w:val="none"/>
        </w:rPr>
        <w:t>保密</w:t>
      </w:r>
      <w:bookmarkEnd w:id="45"/>
    </w:p>
    <w:p w14:paraId="6BEC23FD">
      <w:pPr>
        <w:keepNext w:val="0"/>
        <w:keepLines w:val="0"/>
        <w:pageBreakBefore w:val="0"/>
        <w:widowControl w:val="0"/>
        <w:kinsoku/>
        <w:wordWrap/>
        <w:overflowPunct/>
        <w:topLinePunct w:val="0"/>
        <w:autoSpaceDE w:val="0"/>
        <w:autoSpaceDN w:val="0"/>
        <w:bidi w:val="0"/>
        <w:adjustRightInd w:val="0"/>
        <w:snapToGrid w:val="0"/>
        <w:spacing w:line="360" w:lineRule="auto"/>
        <w:ind w:left="1134" w:leftChars="540"/>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参与磋商活动的各方应对磋商文件和响应文件中的商业和技术等秘密保密，违者应对由此造成的后果承担法律责任。</w:t>
      </w:r>
    </w:p>
    <w:p w14:paraId="437DF61A">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bookmarkStart w:id="46" w:name="_Toc195921801"/>
      <w:r>
        <w:rPr>
          <w:rFonts w:hint="eastAsia" w:ascii="宋体" w:hAnsi="宋体" w:cs="黑体"/>
          <w:color w:val="auto"/>
          <w:kern w:val="0"/>
          <w:sz w:val="24"/>
          <w:szCs w:val="24"/>
          <w:highlight w:val="none"/>
        </w:rPr>
        <w:t>语言文字</w:t>
      </w:r>
      <w:bookmarkEnd w:id="46"/>
    </w:p>
    <w:p w14:paraId="1E1A2433">
      <w:pPr>
        <w:keepNext w:val="0"/>
        <w:keepLines w:val="0"/>
        <w:pageBreakBefore w:val="0"/>
        <w:widowControl w:val="0"/>
        <w:kinsoku/>
        <w:wordWrap/>
        <w:overflowPunct/>
        <w:topLinePunct w:val="0"/>
        <w:autoSpaceDE w:val="0"/>
        <w:autoSpaceDN w:val="0"/>
        <w:bidi w:val="0"/>
        <w:adjustRightInd w:val="0"/>
        <w:snapToGrid w:val="0"/>
        <w:spacing w:line="360" w:lineRule="auto"/>
        <w:ind w:left="1134" w:leftChars="540"/>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除专用术语外，与磋商有关的语言均使用中文。必要时专用术语应附有中文注释。</w:t>
      </w:r>
    </w:p>
    <w:p w14:paraId="52706B8B">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bookmarkStart w:id="47" w:name="_Toc195921802"/>
      <w:r>
        <w:rPr>
          <w:rFonts w:hint="eastAsia" w:ascii="宋体" w:hAnsi="宋体" w:cs="黑体"/>
          <w:color w:val="auto"/>
          <w:kern w:val="0"/>
          <w:sz w:val="24"/>
          <w:szCs w:val="24"/>
          <w:highlight w:val="none"/>
        </w:rPr>
        <w:t>计量单位</w:t>
      </w:r>
      <w:bookmarkEnd w:id="47"/>
    </w:p>
    <w:p w14:paraId="391977A0">
      <w:pPr>
        <w:keepNext w:val="0"/>
        <w:keepLines w:val="0"/>
        <w:pageBreakBefore w:val="0"/>
        <w:widowControl w:val="0"/>
        <w:kinsoku/>
        <w:wordWrap/>
        <w:overflowPunct/>
        <w:topLinePunct w:val="0"/>
        <w:autoSpaceDE w:val="0"/>
        <w:autoSpaceDN w:val="0"/>
        <w:bidi w:val="0"/>
        <w:adjustRightInd w:val="0"/>
        <w:snapToGrid w:val="0"/>
        <w:spacing w:line="360" w:lineRule="auto"/>
        <w:ind w:left="1134" w:leftChars="540"/>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所有计量均采用中华人民共和国法定计量单位。</w:t>
      </w:r>
    </w:p>
    <w:p w14:paraId="31EB3BD1">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bookmarkStart w:id="48" w:name="_Ref527101478"/>
      <w:r>
        <w:rPr>
          <w:rFonts w:ascii="宋体" w:hAnsi="宋体" w:cs="黑体"/>
          <w:color w:val="auto"/>
          <w:kern w:val="0"/>
          <w:sz w:val="24"/>
          <w:szCs w:val="24"/>
          <w:highlight w:val="none"/>
        </w:rPr>
        <w:t>踏勘现场</w:t>
      </w:r>
      <w:bookmarkEnd w:id="48"/>
    </w:p>
    <w:p w14:paraId="41C68A3A">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bookmarkStart w:id="49" w:name="_Ref527292580"/>
      <w:r>
        <w:rPr>
          <w:rFonts w:ascii="宋体" w:hAnsi="宋体" w:cs="黑体"/>
          <w:color w:val="auto"/>
          <w:kern w:val="0"/>
          <w:sz w:val="24"/>
          <w:szCs w:val="24"/>
          <w:highlight w:val="none"/>
        </w:rPr>
        <w:t>供应商须知前附表规定组织踏勘现场的，采购人须按照规定时间、地点组织供应商踏勘项目现场。</w:t>
      </w:r>
      <w:bookmarkEnd w:id="49"/>
    </w:p>
    <w:p w14:paraId="41F966F6">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ascii="宋体" w:hAnsi="宋体" w:cs="黑体"/>
          <w:color w:val="auto"/>
          <w:kern w:val="0"/>
          <w:sz w:val="24"/>
          <w:szCs w:val="24"/>
          <w:highlight w:val="none"/>
        </w:rPr>
        <w:t>供应商承担踏勘现场所发生的自身费用、责任和风险。</w:t>
      </w:r>
    </w:p>
    <w:p w14:paraId="4D850FC2">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ascii="宋体" w:hAnsi="宋体" w:cs="黑体"/>
          <w:color w:val="auto"/>
          <w:kern w:val="0"/>
          <w:sz w:val="24"/>
          <w:szCs w:val="24"/>
          <w:highlight w:val="none"/>
        </w:rPr>
        <w:t>采购人向供应商提供的有关现场的资料和数据，是采购人现有的能被供应商利用的资料，采购人不对供应商由此而做出的推论、理解和结论负责。</w:t>
      </w:r>
    </w:p>
    <w:p w14:paraId="63292F8C">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ascii="宋体" w:hAnsi="宋体" w:cs="黑体"/>
          <w:color w:val="auto"/>
          <w:kern w:val="0"/>
          <w:sz w:val="24"/>
          <w:szCs w:val="24"/>
          <w:highlight w:val="none"/>
        </w:rPr>
        <w:t>除采购人原因外，供应商应对踏勘现场而造成的人员伤亡、财产损失以及由此引起的连带责任和费用负责。</w:t>
      </w:r>
    </w:p>
    <w:p w14:paraId="457C8F40">
      <w:pPr>
        <w:keepNext w:val="0"/>
        <w:keepLines w:val="0"/>
        <w:pageBreakBefore w:val="0"/>
        <w:widowControl w:val="0"/>
        <w:numPr>
          <w:ilvl w:val="0"/>
          <w:numId w:val="6"/>
        </w:numPr>
        <w:kinsoku/>
        <w:wordWrap/>
        <w:overflowPunct/>
        <w:topLinePunct w:val="0"/>
        <w:autoSpaceDE w:val="0"/>
        <w:autoSpaceDN w:val="0"/>
        <w:bidi w:val="0"/>
        <w:adjustRightInd w:val="0"/>
        <w:spacing w:line="360" w:lineRule="auto"/>
        <w:textAlignment w:val="auto"/>
        <w:outlineLvl w:val="2"/>
        <w:rPr>
          <w:rFonts w:ascii="黑体" w:hAnsi="宋体" w:eastAsia="黑体" w:cs="黑体"/>
          <w:color w:val="auto"/>
          <w:kern w:val="0"/>
          <w:sz w:val="24"/>
          <w:szCs w:val="24"/>
          <w:highlight w:val="none"/>
        </w:rPr>
      </w:pPr>
      <w:bookmarkStart w:id="50" w:name="_Toc3905"/>
      <w:bookmarkStart w:id="51" w:name="_Toc76381779"/>
      <w:bookmarkStart w:id="52" w:name="_Toc3028"/>
      <w:bookmarkStart w:id="53" w:name="_Toc14417"/>
      <w:bookmarkStart w:id="54" w:name="_Toc75284957"/>
      <w:r>
        <w:rPr>
          <w:rFonts w:hint="eastAsia" w:ascii="黑体" w:hAnsi="宋体" w:eastAsia="黑体" w:cs="黑体"/>
          <w:color w:val="auto"/>
          <w:kern w:val="0"/>
          <w:sz w:val="24"/>
          <w:szCs w:val="24"/>
          <w:highlight w:val="none"/>
        </w:rPr>
        <w:t>磋商文件</w:t>
      </w:r>
      <w:bookmarkEnd w:id="50"/>
      <w:bookmarkEnd w:id="51"/>
      <w:bookmarkEnd w:id="52"/>
      <w:bookmarkEnd w:id="53"/>
      <w:bookmarkEnd w:id="54"/>
    </w:p>
    <w:p w14:paraId="3E98686C">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bookmarkStart w:id="55" w:name="_Toc195921808"/>
      <w:r>
        <w:rPr>
          <w:rFonts w:hint="eastAsia" w:ascii="宋体" w:hAnsi="宋体" w:cs="黑体"/>
          <w:color w:val="auto"/>
          <w:kern w:val="0"/>
          <w:sz w:val="24"/>
          <w:szCs w:val="24"/>
          <w:highlight w:val="none"/>
        </w:rPr>
        <w:t>磋商文件的组成</w:t>
      </w:r>
      <w:bookmarkEnd w:id="55"/>
    </w:p>
    <w:p w14:paraId="565B73DC">
      <w:pPr>
        <w:keepNext w:val="0"/>
        <w:keepLines w:val="0"/>
        <w:pageBreakBefore w:val="0"/>
        <w:widowControl w:val="0"/>
        <w:kinsoku/>
        <w:wordWrap/>
        <w:overflowPunct/>
        <w:topLinePunct w:val="0"/>
        <w:autoSpaceDE w:val="0"/>
        <w:autoSpaceDN w:val="0"/>
        <w:bidi w:val="0"/>
        <w:adjustRightInd w:val="0"/>
        <w:snapToGrid w:val="0"/>
        <w:spacing w:line="360" w:lineRule="auto"/>
        <w:ind w:left="1134" w:leftChars="540"/>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本磋商文件包括：</w:t>
      </w:r>
    </w:p>
    <w:p w14:paraId="51C53E8B">
      <w:pPr>
        <w:pStyle w:val="440"/>
        <w:keepNext w:val="0"/>
        <w:keepLines w:val="0"/>
        <w:pageBreakBefore w:val="0"/>
        <w:widowControl w:val="0"/>
        <w:numPr>
          <w:ilvl w:val="0"/>
          <w:numId w:val="8"/>
        </w:numPr>
        <w:kinsoku/>
        <w:wordWrap/>
        <w:overflowPunct/>
        <w:topLinePunct w:val="0"/>
        <w:autoSpaceDE w:val="0"/>
        <w:autoSpaceDN w:val="0"/>
        <w:bidi w:val="0"/>
        <w:adjustRightInd w:val="0"/>
        <w:snapToGrid w:val="0"/>
        <w:spacing w:line="360" w:lineRule="auto"/>
        <w:ind w:firstLineChars="0"/>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竞争性磋商公告；</w:t>
      </w:r>
    </w:p>
    <w:p w14:paraId="6613B95C">
      <w:pPr>
        <w:pStyle w:val="440"/>
        <w:keepNext w:val="0"/>
        <w:keepLines w:val="0"/>
        <w:pageBreakBefore w:val="0"/>
        <w:widowControl w:val="0"/>
        <w:numPr>
          <w:ilvl w:val="0"/>
          <w:numId w:val="8"/>
        </w:numPr>
        <w:kinsoku/>
        <w:wordWrap/>
        <w:overflowPunct/>
        <w:topLinePunct w:val="0"/>
        <w:autoSpaceDE w:val="0"/>
        <w:autoSpaceDN w:val="0"/>
        <w:bidi w:val="0"/>
        <w:adjustRightInd w:val="0"/>
        <w:snapToGrid w:val="0"/>
        <w:spacing w:line="360" w:lineRule="auto"/>
        <w:ind w:firstLineChars="0"/>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供应商须知；</w:t>
      </w:r>
    </w:p>
    <w:p w14:paraId="60640421">
      <w:pPr>
        <w:pStyle w:val="440"/>
        <w:keepNext w:val="0"/>
        <w:keepLines w:val="0"/>
        <w:pageBreakBefore w:val="0"/>
        <w:widowControl w:val="0"/>
        <w:numPr>
          <w:ilvl w:val="0"/>
          <w:numId w:val="8"/>
        </w:numPr>
        <w:kinsoku/>
        <w:wordWrap/>
        <w:overflowPunct/>
        <w:topLinePunct w:val="0"/>
        <w:autoSpaceDE w:val="0"/>
        <w:autoSpaceDN w:val="0"/>
        <w:bidi w:val="0"/>
        <w:adjustRightInd w:val="0"/>
        <w:snapToGrid w:val="0"/>
        <w:spacing w:line="360" w:lineRule="auto"/>
        <w:ind w:firstLineChars="0"/>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评审办法和标准；</w:t>
      </w:r>
    </w:p>
    <w:p w14:paraId="35A7B9DE">
      <w:pPr>
        <w:pStyle w:val="440"/>
        <w:keepNext w:val="0"/>
        <w:keepLines w:val="0"/>
        <w:pageBreakBefore w:val="0"/>
        <w:widowControl w:val="0"/>
        <w:numPr>
          <w:ilvl w:val="0"/>
          <w:numId w:val="8"/>
        </w:numPr>
        <w:kinsoku/>
        <w:wordWrap/>
        <w:overflowPunct/>
        <w:topLinePunct w:val="0"/>
        <w:autoSpaceDE w:val="0"/>
        <w:autoSpaceDN w:val="0"/>
        <w:bidi w:val="0"/>
        <w:adjustRightInd w:val="0"/>
        <w:snapToGrid w:val="0"/>
        <w:spacing w:line="360" w:lineRule="auto"/>
        <w:ind w:firstLineChars="0"/>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合同条款；</w:t>
      </w:r>
    </w:p>
    <w:p w14:paraId="207A9D07">
      <w:pPr>
        <w:pStyle w:val="440"/>
        <w:keepNext w:val="0"/>
        <w:keepLines w:val="0"/>
        <w:pageBreakBefore w:val="0"/>
        <w:widowControl w:val="0"/>
        <w:numPr>
          <w:ilvl w:val="0"/>
          <w:numId w:val="8"/>
        </w:numPr>
        <w:kinsoku/>
        <w:wordWrap/>
        <w:overflowPunct/>
        <w:topLinePunct w:val="0"/>
        <w:autoSpaceDE w:val="0"/>
        <w:autoSpaceDN w:val="0"/>
        <w:bidi w:val="0"/>
        <w:adjustRightInd w:val="0"/>
        <w:snapToGrid w:val="0"/>
        <w:spacing w:line="360" w:lineRule="auto"/>
        <w:ind w:firstLineChars="0"/>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采购需求；</w:t>
      </w:r>
    </w:p>
    <w:p w14:paraId="43F83049">
      <w:pPr>
        <w:pStyle w:val="440"/>
        <w:keepNext w:val="0"/>
        <w:keepLines w:val="0"/>
        <w:pageBreakBefore w:val="0"/>
        <w:widowControl w:val="0"/>
        <w:numPr>
          <w:ilvl w:val="0"/>
          <w:numId w:val="8"/>
        </w:numPr>
        <w:kinsoku/>
        <w:wordWrap/>
        <w:overflowPunct/>
        <w:topLinePunct w:val="0"/>
        <w:autoSpaceDE w:val="0"/>
        <w:autoSpaceDN w:val="0"/>
        <w:bidi w:val="0"/>
        <w:adjustRightInd w:val="0"/>
        <w:snapToGrid w:val="0"/>
        <w:spacing w:line="360" w:lineRule="auto"/>
        <w:ind w:firstLineChars="0"/>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响应文件格式；</w:t>
      </w:r>
    </w:p>
    <w:p w14:paraId="09893062">
      <w:pPr>
        <w:pStyle w:val="440"/>
        <w:keepNext w:val="0"/>
        <w:keepLines w:val="0"/>
        <w:pageBreakBefore w:val="0"/>
        <w:widowControl w:val="0"/>
        <w:numPr>
          <w:ilvl w:val="0"/>
          <w:numId w:val="8"/>
        </w:numPr>
        <w:kinsoku/>
        <w:wordWrap/>
        <w:overflowPunct/>
        <w:topLinePunct w:val="0"/>
        <w:autoSpaceDE w:val="0"/>
        <w:autoSpaceDN w:val="0"/>
        <w:bidi w:val="0"/>
        <w:adjustRightInd w:val="0"/>
        <w:snapToGrid w:val="0"/>
        <w:spacing w:line="360" w:lineRule="auto"/>
        <w:ind w:firstLineChars="0"/>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其他。</w:t>
      </w:r>
    </w:p>
    <w:p w14:paraId="7FF0CFD2">
      <w:pPr>
        <w:keepNext w:val="0"/>
        <w:keepLines w:val="0"/>
        <w:pageBreakBefore w:val="0"/>
        <w:widowControl w:val="0"/>
        <w:kinsoku/>
        <w:wordWrap/>
        <w:overflowPunct/>
        <w:topLinePunct w:val="0"/>
        <w:autoSpaceDE w:val="0"/>
        <w:autoSpaceDN w:val="0"/>
        <w:bidi w:val="0"/>
        <w:adjustRightInd w:val="0"/>
        <w:snapToGrid w:val="0"/>
        <w:spacing w:line="360" w:lineRule="auto"/>
        <w:ind w:left="1134" w:leftChars="540"/>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根据本章第</w:t>
      </w:r>
      <w:r>
        <w:rPr>
          <w:color w:val="auto"/>
          <w:sz w:val="24"/>
          <w:szCs w:val="24"/>
          <w:highlight w:val="none"/>
        </w:rPr>
        <w:fldChar w:fldCharType="begin"/>
      </w:r>
      <w:r>
        <w:rPr>
          <w:color w:val="auto"/>
          <w:sz w:val="24"/>
          <w:szCs w:val="24"/>
          <w:highlight w:val="none"/>
        </w:rPr>
        <w:instrText xml:space="preserve"> REF _Ref527655465 \r \h  \* MERGEFORMAT </w:instrText>
      </w:r>
      <w:r>
        <w:rPr>
          <w:color w:val="auto"/>
          <w:sz w:val="24"/>
          <w:szCs w:val="24"/>
          <w:highlight w:val="none"/>
        </w:rPr>
        <w:fldChar w:fldCharType="separate"/>
      </w:r>
      <w:r>
        <w:rPr>
          <w:rFonts w:ascii="宋体" w:hAnsi="宋体" w:cs="黑体"/>
          <w:color w:val="auto"/>
          <w:kern w:val="0"/>
          <w:sz w:val="24"/>
          <w:szCs w:val="24"/>
          <w:highlight w:val="none"/>
        </w:rPr>
        <w:t>2.2</w:t>
      </w:r>
      <w:r>
        <w:rPr>
          <w:color w:val="auto"/>
          <w:sz w:val="24"/>
          <w:szCs w:val="24"/>
          <w:highlight w:val="none"/>
        </w:rPr>
        <w:fldChar w:fldCharType="end"/>
      </w:r>
      <w:r>
        <w:rPr>
          <w:rFonts w:hint="eastAsia" w:ascii="宋体" w:hAnsi="宋体" w:cs="黑体"/>
          <w:color w:val="auto"/>
          <w:kern w:val="0"/>
          <w:sz w:val="24"/>
          <w:szCs w:val="24"/>
          <w:highlight w:val="none"/>
        </w:rPr>
        <w:t>款对磋商文件所作的澄清、修改，构成磋商文件的组成部分。</w:t>
      </w:r>
    </w:p>
    <w:p w14:paraId="11B0F999">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bookmarkStart w:id="56" w:name="_Toc195921809"/>
      <w:bookmarkStart w:id="57" w:name="_Ref426441946"/>
      <w:bookmarkStart w:id="58" w:name="_Ref527655465"/>
      <w:r>
        <w:rPr>
          <w:rFonts w:hint="eastAsia" w:ascii="宋体" w:hAnsi="宋体" w:cs="黑体"/>
          <w:color w:val="auto"/>
          <w:kern w:val="0"/>
          <w:sz w:val="24"/>
          <w:szCs w:val="24"/>
          <w:highlight w:val="none"/>
        </w:rPr>
        <w:t>磋商文件的澄清</w:t>
      </w:r>
      <w:bookmarkEnd w:id="56"/>
      <w:bookmarkEnd w:id="57"/>
      <w:r>
        <w:rPr>
          <w:rFonts w:hint="eastAsia" w:ascii="宋体" w:hAnsi="宋体" w:cs="黑体"/>
          <w:color w:val="auto"/>
          <w:kern w:val="0"/>
          <w:sz w:val="24"/>
          <w:szCs w:val="24"/>
          <w:highlight w:val="none"/>
        </w:rPr>
        <w:t>或修改</w:t>
      </w:r>
      <w:bookmarkEnd w:id="58"/>
    </w:p>
    <w:p w14:paraId="3FA7D7C5">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供应商应仔细阅读和检查磋商文件的全部内容。如发现缺页或附件不全，应及时向采购人提出，以便补齐。</w:t>
      </w:r>
    </w:p>
    <w:p w14:paraId="6F6D9551">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olor w:val="auto"/>
          <w:sz w:val="24"/>
          <w:szCs w:val="24"/>
          <w:highlight w:val="none"/>
        </w:rPr>
      </w:pPr>
      <w:bookmarkStart w:id="59" w:name="_Ref527101604"/>
      <w:r>
        <w:rPr>
          <w:rFonts w:hint="eastAsia" w:ascii="宋体" w:hAnsi="宋体"/>
          <w:color w:val="auto"/>
          <w:sz w:val="24"/>
          <w:szCs w:val="24"/>
          <w:highlight w:val="none"/>
        </w:rPr>
        <w:t>供应商</w:t>
      </w:r>
      <w:r>
        <w:rPr>
          <w:rFonts w:hint="eastAsia" w:ascii="宋体" w:hAnsi="宋体" w:cs="黑体"/>
          <w:color w:val="auto"/>
          <w:kern w:val="0"/>
          <w:sz w:val="24"/>
          <w:szCs w:val="24"/>
          <w:highlight w:val="none"/>
        </w:rPr>
        <w:t>如有疑问</w:t>
      </w:r>
      <w:r>
        <w:rPr>
          <w:rFonts w:ascii="宋体" w:hAnsi="宋体" w:cs="宋体"/>
          <w:color w:val="auto"/>
          <w:sz w:val="24"/>
          <w:szCs w:val="24"/>
          <w:highlight w:val="none"/>
        </w:rPr>
        <w:t>可以在供应商须知前附表规定的时间内向采购人提出询问</w:t>
      </w:r>
      <w:r>
        <w:rPr>
          <w:rFonts w:hint="eastAsia" w:ascii="宋体" w:hAnsi="宋体" w:cs="黑体"/>
          <w:color w:val="auto"/>
          <w:kern w:val="0"/>
          <w:sz w:val="24"/>
          <w:szCs w:val="24"/>
          <w:highlight w:val="none"/>
        </w:rPr>
        <w:t>，要求采购人对磋商文件予以澄清。</w:t>
      </w:r>
      <w:bookmarkEnd w:id="59"/>
    </w:p>
    <w:p w14:paraId="64039D6C">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提交首次响应文件截止之日前，采购人、采购代理机构可以对已发出的竞争性磋商文件进行必要的澄清，澄清的内容作为竞争性磋商文件的组成部分。澄清的内容可能影响竞争性磋商文件编制，采购人、采购代理机构应在提交响应文件截止之日5日前，在政采云平台通知所有接收竞争性磋商文件的供应商，但不指明澄清问题的来源。不足5日的，应当顺延提交响应文件截止之日。</w:t>
      </w:r>
    </w:p>
    <w:p w14:paraId="26DE6DD4">
      <w:pPr>
        <w:keepNext w:val="0"/>
        <w:keepLines w:val="0"/>
        <w:pageBreakBefore w:val="0"/>
        <w:widowControl w:val="0"/>
        <w:kinsoku/>
        <w:wordWrap/>
        <w:overflowPunct/>
        <w:topLinePunct w:val="0"/>
        <w:autoSpaceDE w:val="0"/>
        <w:autoSpaceDN w:val="0"/>
        <w:bidi w:val="0"/>
        <w:adjustRightInd w:val="0"/>
        <w:snapToGrid w:val="0"/>
        <w:spacing w:line="360" w:lineRule="auto"/>
        <w:ind w:left="1134" w:leftChars="540"/>
        <w:textAlignment w:val="auto"/>
        <w:rPr>
          <w:rFonts w:hAnsi="宋体" w:cs="宋体"/>
          <w:color w:val="auto"/>
          <w:sz w:val="24"/>
          <w:szCs w:val="24"/>
          <w:highlight w:val="none"/>
        </w:rPr>
      </w:pPr>
      <w:r>
        <w:rPr>
          <w:rFonts w:hint="eastAsia" w:ascii="宋体" w:hAnsi="宋体" w:cs="黑体"/>
          <w:color w:val="auto"/>
          <w:kern w:val="0"/>
          <w:sz w:val="24"/>
          <w:szCs w:val="24"/>
          <w:highlight w:val="none"/>
        </w:rPr>
        <w:t>通过发布公告邀请供应商参加磋商的，澄清修改和更正内容将在磋商公告发布媒体上予以公告。</w:t>
      </w:r>
    </w:p>
    <w:p w14:paraId="6E634D32">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无须确认。供应商应在电子响应文件提交截止时间前及时登录政采云平台查看有关该项目竞争性磋商文件的澄清、修改内容。如因供应商自身原因导致未及时查看有关该项目竞争性磋商文件的澄清、修改内容，由此造成的一切后果由</w:t>
      </w:r>
      <w:r>
        <w:rPr>
          <w:rFonts w:hint="eastAsia" w:ascii="宋体" w:hAnsi="宋体" w:cs="黑体"/>
          <w:color w:val="auto"/>
          <w:kern w:val="0"/>
          <w:sz w:val="24"/>
          <w:szCs w:val="24"/>
          <w:highlight w:val="none"/>
          <w:lang w:eastAsia="zh-CN"/>
        </w:rPr>
        <w:t>供应商</w:t>
      </w:r>
      <w:r>
        <w:rPr>
          <w:rFonts w:hint="eastAsia" w:ascii="宋体" w:hAnsi="宋体" w:cs="黑体"/>
          <w:color w:val="auto"/>
          <w:kern w:val="0"/>
          <w:sz w:val="24"/>
          <w:szCs w:val="24"/>
          <w:highlight w:val="none"/>
        </w:rPr>
        <w:t>自行承担。</w:t>
      </w:r>
    </w:p>
    <w:p w14:paraId="087B3E43">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bookmarkStart w:id="60" w:name="_Ref527101721"/>
      <w:r>
        <w:rPr>
          <w:rFonts w:ascii="宋体" w:hAnsi="宋体" w:cs="宋体"/>
          <w:color w:val="auto"/>
          <w:sz w:val="24"/>
          <w:szCs w:val="24"/>
          <w:highlight w:val="none"/>
        </w:rPr>
        <w:t>供应商对磋商文件提出质疑的，</w:t>
      </w:r>
      <w:r>
        <w:rPr>
          <w:rFonts w:hint="eastAsia" w:ascii="宋体" w:hAnsi="宋体"/>
          <w:color w:val="auto"/>
          <w:sz w:val="24"/>
          <w:szCs w:val="24"/>
          <w:highlight w:val="none"/>
        </w:rPr>
        <w:t>应当在获取磋商文件或者磋商文件公告期限届满之日起7个工作日内，按供应商须知前附表中送达质疑函的方式以书面形式一次性提出质疑</w:t>
      </w:r>
      <w:r>
        <w:rPr>
          <w:rFonts w:ascii="宋体" w:hAnsi="宋体" w:cs="宋体"/>
          <w:color w:val="auto"/>
          <w:sz w:val="24"/>
          <w:szCs w:val="24"/>
          <w:highlight w:val="none"/>
        </w:rPr>
        <w:t>。供应商</w:t>
      </w:r>
      <w:r>
        <w:rPr>
          <w:rFonts w:hint="eastAsia" w:ascii="宋体" w:hAnsi="宋体"/>
          <w:color w:val="auto"/>
          <w:sz w:val="24"/>
          <w:szCs w:val="24"/>
          <w:highlight w:val="none"/>
        </w:rPr>
        <w:t>提出质疑应当提交质疑函和必要的证明材料，质疑函的内容应符合政府采购质疑和投诉办法的规定。</w:t>
      </w:r>
      <w:bookmarkEnd w:id="60"/>
    </w:p>
    <w:p w14:paraId="49531195">
      <w:pPr>
        <w:keepNext w:val="0"/>
        <w:keepLines w:val="0"/>
        <w:pageBreakBefore w:val="0"/>
        <w:widowControl w:val="0"/>
        <w:numPr>
          <w:ilvl w:val="0"/>
          <w:numId w:val="6"/>
        </w:numPr>
        <w:kinsoku/>
        <w:wordWrap/>
        <w:overflowPunct/>
        <w:topLinePunct w:val="0"/>
        <w:autoSpaceDE w:val="0"/>
        <w:autoSpaceDN w:val="0"/>
        <w:bidi w:val="0"/>
        <w:adjustRightInd w:val="0"/>
        <w:spacing w:line="360" w:lineRule="auto"/>
        <w:textAlignment w:val="auto"/>
        <w:outlineLvl w:val="2"/>
        <w:rPr>
          <w:rFonts w:ascii="黑体" w:hAnsi="宋体" w:eastAsia="黑体" w:cs="黑体"/>
          <w:color w:val="auto"/>
          <w:kern w:val="0"/>
          <w:sz w:val="24"/>
          <w:szCs w:val="24"/>
          <w:highlight w:val="none"/>
        </w:rPr>
      </w:pPr>
      <w:bookmarkStart w:id="61" w:name="_Toc76381780"/>
      <w:bookmarkStart w:id="62" w:name="_Toc27074"/>
      <w:bookmarkStart w:id="63" w:name="_Toc24751"/>
      <w:bookmarkStart w:id="64" w:name="_Toc4009"/>
      <w:bookmarkStart w:id="65" w:name="_Toc75284958"/>
      <w:r>
        <w:rPr>
          <w:rFonts w:hint="eastAsia" w:ascii="黑体" w:hAnsi="宋体" w:eastAsia="黑体" w:cs="黑体"/>
          <w:color w:val="auto"/>
          <w:kern w:val="0"/>
          <w:sz w:val="24"/>
          <w:szCs w:val="24"/>
          <w:highlight w:val="none"/>
        </w:rPr>
        <w:t>响应文件编制</w:t>
      </w:r>
      <w:bookmarkEnd w:id="61"/>
      <w:bookmarkEnd w:id="62"/>
      <w:bookmarkEnd w:id="63"/>
      <w:bookmarkEnd w:id="64"/>
      <w:bookmarkEnd w:id="65"/>
    </w:p>
    <w:p w14:paraId="686CC8AE">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bookmarkStart w:id="66" w:name="_Toc195921812"/>
      <w:r>
        <w:rPr>
          <w:rFonts w:hint="eastAsia" w:ascii="宋体" w:hAnsi="宋体" w:cs="黑体"/>
          <w:color w:val="auto"/>
          <w:kern w:val="0"/>
          <w:sz w:val="24"/>
          <w:szCs w:val="24"/>
          <w:highlight w:val="none"/>
        </w:rPr>
        <w:t>响应文件的组成</w:t>
      </w:r>
      <w:bookmarkEnd w:id="66"/>
    </w:p>
    <w:p w14:paraId="31982E8B">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响应文件应包括下列内容：详见“第</w:t>
      </w:r>
      <w:r>
        <w:rPr>
          <w:rFonts w:hint="eastAsia" w:ascii="宋体" w:hAnsi="宋体" w:cs="黑体"/>
          <w:color w:val="auto"/>
          <w:kern w:val="0"/>
          <w:sz w:val="24"/>
          <w:szCs w:val="24"/>
          <w:highlight w:val="none"/>
          <w:lang w:eastAsia="zh-CN"/>
        </w:rPr>
        <w:t>六</w:t>
      </w:r>
      <w:r>
        <w:rPr>
          <w:rFonts w:hint="eastAsia" w:ascii="宋体" w:hAnsi="宋体" w:cs="黑体"/>
          <w:color w:val="auto"/>
          <w:kern w:val="0"/>
          <w:sz w:val="24"/>
          <w:szCs w:val="24"/>
          <w:highlight w:val="none"/>
        </w:rPr>
        <w:t>章</w:t>
      </w:r>
      <w:r>
        <w:rPr>
          <w:rFonts w:hint="eastAsia" w:ascii="宋体" w:hAnsi="宋体" w:cs="黑体"/>
          <w:color w:val="auto"/>
          <w:kern w:val="0"/>
          <w:sz w:val="24"/>
          <w:szCs w:val="24"/>
          <w:highlight w:val="none"/>
          <w:lang w:val="en-US" w:eastAsia="zh-CN"/>
        </w:rPr>
        <w:t xml:space="preserve"> </w:t>
      </w:r>
      <w:r>
        <w:rPr>
          <w:rFonts w:hint="eastAsia" w:ascii="宋体" w:hAnsi="宋体" w:cs="黑体"/>
          <w:color w:val="auto"/>
          <w:kern w:val="0"/>
          <w:sz w:val="24"/>
          <w:szCs w:val="24"/>
          <w:highlight w:val="none"/>
        </w:rPr>
        <w:t>响应文件格式”。</w:t>
      </w:r>
    </w:p>
    <w:p w14:paraId="7CA52013">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响应文件应按照磋商文件的格式逐项填写，无相应内容可填的项应填写“无”、“未测试”、“没有相应指标”等明确的回答文字。响应文件未按规定提交或留有空项，将被视为响应文件完整性有缺陷</w:t>
      </w:r>
      <w:r>
        <w:rPr>
          <w:rFonts w:hint="eastAsia" w:ascii="宋体" w:hAnsi="宋体" w:cs="黑体"/>
          <w:color w:val="auto"/>
          <w:kern w:val="0"/>
          <w:sz w:val="24"/>
          <w:szCs w:val="24"/>
          <w:highlight w:val="none"/>
          <w:lang w:eastAsia="zh-CN"/>
        </w:rPr>
        <w:t>。</w:t>
      </w:r>
    </w:p>
    <w:p w14:paraId="728FF204">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ascii="宋体" w:hAnsi="宋体" w:cs="黑体"/>
          <w:color w:val="auto"/>
          <w:kern w:val="0"/>
          <w:sz w:val="24"/>
          <w:szCs w:val="24"/>
          <w:highlight w:val="none"/>
        </w:rPr>
      </w:pPr>
      <w:bookmarkStart w:id="67" w:name="_Toc195921813"/>
      <w:r>
        <w:rPr>
          <w:rFonts w:hint="eastAsia" w:ascii="宋体" w:hAnsi="宋体" w:cs="黑体"/>
          <w:color w:val="auto"/>
          <w:kern w:val="0"/>
          <w:sz w:val="24"/>
          <w:szCs w:val="24"/>
          <w:highlight w:val="none"/>
        </w:rPr>
        <w:t>首次报价</w:t>
      </w:r>
      <w:bookmarkEnd w:id="67"/>
    </w:p>
    <w:p w14:paraId="45E0BF8C">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bookmarkStart w:id="68" w:name="_Toc195921814"/>
      <w:r>
        <w:rPr>
          <w:rFonts w:hint="eastAsia" w:ascii="宋体" w:hAnsi="宋体" w:cs="黑体"/>
          <w:color w:val="auto"/>
          <w:kern w:val="0"/>
          <w:sz w:val="24"/>
          <w:szCs w:val="24"/>
          <w:highlight w:val="none"/>
        </w:rPr>
        <w:t>供应商应按磋商文件第</w:t>
      </w:r>
      <w:r>
        <w:rPr>
          <w:rFonts w:hint="eastAsia" w:ascii="宋体" w:hAnsi="宋体" w:cs="黑体"/>
          <w:color w:val="auto"/>
          <w:kern w:val="0"/>
          <w:sz w:val="24"/>
          <w:szCs w:val="24"/>
          <w:highlight w:val="none"/>
          <w:lang w:eastAsia="zh-CN"/>
        </w:rPr>
        <w:t>六</w:t>
      </w:r>
      <w:r>
        <w:rPr>
          <w:rFonts w:hint="eastAsia" w:ascii="宋体" w:hAnsi="宋体" w:cs="黑体"/>
          <w:color w:val="auto"/>
          <w:kern w:val="0"/>
          <w:sz w:val="24"/>
          <w:szCs w:val="24"/>
          <w:highlight w:val="none"/>
        </w:rPr>
        <w:t>章提供的格式进行首次报价。首次报价不公开。</w:t>
      </w:r>
    </w:p>
    <w:p w14:paraId="69B17FAA">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所有根据合同或其它原因应由供应商支付的税款和其它应交纳的费用都应包括在供应商提交的报价中。</w:t>
      </w:r>
    </w:p>
    <w:p w14:paraId="1FCA3248">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ascii="宋体" w:hAnsi="宋体" w:cs="黑体"/>
          <w:color w:val="auto"/>
          <w:kern w:val="0"/>
          <w:sz w:val="24"/>
          <w:szCs w:val="24"/>
          <w:highlight w:val="none"/>
        </w:rPr>
        <w:t>供应商应仔细阅读所有磋商文件，填报自己认为正确的报价。</w:t>
      </w:r>
      <w:r>
        <w:rPr>
          <w:rFonts w:hint="eastAsia" w:ascii="宋体" w:hAnsi="宋体" w:cs="黑体"/>
          <w:color w:val="auto"/>
          <w:kern w:val="0"/>
          <w:sz w:val="24"/>
          <w:szCs w:val="24"/>
          <w:highlight w:val="none"/>
        </w:rPr>
        <w:t>响应报价中应包含</w:t>
      </w:r>
      <w:r>
        <w:rPr>
          <w:rFonts w:hint="eastAsia" w:ascii="宋体" w:hAnsi="宋体" w:cs="黑体"/>
          <w:color w:val="auto"/>
          <w:kern w:val="0"/>
          <w:sz w:val="24"/>
          <w:szCs w:val="24"/>
          <w:highlight w:val="none"/>
          <w:lang w:eastAsia="zh-CN"/>
        </w:rPr>
        <w:t>委托代理</w:t>
      </w:r>
      <w:r>
        <w:rPr>
          <w:rFonts w:hint="eastAsia" w:ascii="宋体" w:hAnsi="宋体" w:cs="黑体"/>
          <w:color w:val="auto"/>
          <w:kern w:val="0"/>
          <w:sz w:val="24"/>
          <w:szCs w:val="24"/>
          <w:highlight w:val="none"/>
        </w:rPr>
        <w:t>服务费，不单独列项。</w:t>
      </w:r>
    </w:p>
    <w:p w14:paraId="4B1E6F77">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b w:val="0"/>
          <w:bCs w:val="0"/>
          <w:color w:val="auto"/>
          <w:kern w:val="0"/>
          <w:sz w:val="24"/>
          <w:szCs w:val="24"/>
          <w:highlight w:val="none"/>
        </w:rPr>
      </w:pPr>
      <w:r>
        <w:rPr>
          <w:rFonts w:hint="eastAsia" w:ascii="宋体" w:hAnsi="宋体" w:cs="黑体"/>
          <w:color w:val="auto"/>
          <w:kern w:val="0"/>
          <w:sz w:val="24"/>
          <w:szCs w:val="24"/>
          <w:highlight w:val="none"/>
        </w:rPr>
        <w:t>供应商对采购内容只允许有一个报价，采购人不接受任何有选择的报价。</w:t>
      </w:r>
    </w:p>
    <w:p w14:paraId="470630DC">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b w:val="0"/>
          <w:bCs w:val="0"/>
          <w:color w:val="auto"/>
          <w:kern w:val="0"/>
          <w:sz w:val="24"/>
          <w:szCs w:val="24"/>
          <w:highlight w:val="none"/>
        </w:rPr>
      </w:pPr>
      <w:r>
        <w:rPr>
          <w:rFonts w:hint="eastAsia" w:ascii="宋体" w:hAnsi="宋体" w:cs="黑体"/>
          <w:color w:val="auto"/>
          <w:kern w:val="0"/>
          <w:sz w:val="24"/>
          <w:szCs w:val="24"/>
          <w:highlight w:val="none"/>
        </w:rPr>
        <w:t>供应商应按第五章“招标工程量清单”的要求填写相应表格。</w:t>
      </w:r>
    </w:p>
    <w:p w14:paraId="2456ECC3">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b/>
          <w:bCs/>
          <w:color w:val="auto"/>
          <w:kern w:val="0"/>
          <w:sz w:val="24"/>
          <w:szCs w:val="24"/>
          <w:highlight w:val="none"/>
        </w:rPr>
      </w:pPr>
      <w:r>
        <w:rPr>
          <w:rFonts w:hint="eastAsia" w:ascii="宋体" w:hAnsi="宋体" w:cs="黑体"/>
          <w:b/>
          <w:bCs/>
          <w:color w:val="auto"/>
          <w:kern w:val="0"/>
          <w:sz w:val="24"/>
          <w:szCs w:val="24"/>
          <w:highlight w:val="none"/>
        </w:rPr>
        <w:t>响应报价应当明确且唯一，超过</w:t>
      </w:r>
      <w:r>
        <w:rPr>
          <w:rFonts w:hint="eastAsia" w:ascii="宋体" w:hAnsi="宋体" w:cs="黑体"/>
          <w:b/>
          <w:bCs/>
          <w:color w:val="auto"/>
          <w:kern w:val="0"/>
          <w:sz w:val="24"/>
          <w:szCs w:val="24"/>
          <w:highlight w:val="none"/>
          <w:lang w:eastAsia="zh-CN"/>
        </w:rPr>
        <w:t>招标工程量清单“</w:t>
      </w:r>
      <w:r>
        <w:rPr>
          <w:rFonts w:hint="eastAsia" w:ascii="宋体" w:hAnsi="宋体" w:cs="黑体"/>
          <w:b/>
          <w:bCs/>
          <w:color w:val="auto"/>
          <w:kern w:val="0"/>
          <w:sz w:val="24"/>
          <w:szCs w:val="24"/>
          <w:highlight w:val="none"/>
        </w:rPr>
        <w:t>最高投标限价公布表</w:t>
      </w:r>
      <w:r>
        <w:rPr>
          <w:rFonts w:hint="eastAsia" w:ascii="宋体" w:hAnsi="宋体" w:cs="黑体"/>
          <w:b/>
          <w:bCs/>
          <w:color w:val="auto"/>
          <w:kern w:val="0"/>
          <w:sz w:val="24"/>
          <w:szCs w:val="24"/>
          <w:highlight w:val="none"/>
          <w:lang w:eastAsia="zh-CN"/>
        </w:rPr>
        <w:t>”</w:t>
      </w:r>
      <w:r>
        <w:rPr>
          <w:rFonts w:hint="eastAsia" w:ascii="宋体" w:hAnsi="宋体" w:cs="黑体"/>
          <w:b/>
          <w:bCs/>
          <w:color w:val="auto"/>
          <w:kern w:val="0"/>
          <w:sz w:val="24"/>
          <w:szCs w:val="24"/>
          <w:highlight w:val="none"/>
        </w:rPr>
        <w:t>中</w:t>
      </w:r>
      <w:r>
        <w:rPr>
          <w:rFonts w:hint="eastAsia" w:ascii="宋体" w:hAnsi="宋体" w:cs="黑体"/>
          <w:b/>
          <w:bCs/>
          <w:color w:val="auto"/>
          <w:kern w:val="0"/>
          <w:sz w:val="24"/>
          <w:szCs w:val="24"/>
          <w:highlight w:val="none"/>
          <w:lang w:val="en-US" w:eastAsia="zh-CN"/>
        </w:rPr>
        <w:t>对应金额</w:t>
      </w:r>
      <w:r>
        <w:rPr>
          <w:rFonts w:hint="eastAsia" w:ascii="宋体" w:hAnsi="宋体" w:cs="黑体"/>
          <w:b/>
          <w:bCs/>
          <w:color w:val="auto"/>
          <w:kern w:val="0"/>
          <w:sz w:val="24"/>
          <w:szCs w:val="24"/>
          <w:highlight w:val="none"/>
        </w:rPr>
        <w:t>的任何一项、无报价以及报价中包含的专业工程暂估价或材料和工程设备暂估单价或暂列金额与磋商文件中给定的不一致的，响应无效。</w:t>
      </w:r>
    </w:p>
    <w:p w14:paraId="39F5B0DF">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b w:val="0"/>
          <w:bCs w:val="0"/>
          <w:color w:val="auto"/>
          <w:kern w:val="0"/>
          <w:sz w:val="24"/>
          <w:szCs w:val="24"/>
          <w:highlight w:val="none"/>
        </w:rPr>
      </w:pPr>
      <w:r>
        <w:rPr>
          <w:rFonts w:hint="eastAsia" w:ascii="宋体" w:hAnsi="宋体" w:cs="黑体"/>
          <w:b w:val="0"/>
          <w:bCs w:val="0"/>
          <w:color w:val="auto"/>
          <w:kern w:val="0"/>
          <w:sz w:val="24"/>
          <w:szCs w:val="24"/>
          <w:highlight w:val="none"/>
          <w:lang w:eastAsia="zh-CN"/>
        </w:rPr>
        <w:t>供应商在响应截止时间前修改响应函中的响应总报价，应同时修改“已标价工程量清单”中的相应报价</w:t>
      </w:r>
      <w:r>
        <w:rPr>
          <w:rFonts w:hint="eastAsia" w:ascii="宋体" w:hAnsi="宋体" w:cs="黑体"/>
          <w:b w:val="0"/>
          <w:bCs w:val="0"/>
          <w:color w:val="auto"/>
          <w:kern w:val="0"/>
          <w:sz w:val="24"/>
          <w:szCs w:val="24"/>
          <w:highlight w:val="none"/>
        </w:rPr>
        <w:t>。</w:t>
      </w:r>
    </w:p>
    <w:p w14:paraId="277B5FBD">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b w:val="0"/>
          <w:bCs w:val="0"/>
          <w:color w:val="auto"/>
          <w:kern w:val="0"/>
          <w:sz w:val="24"/>
          <w:szCs w:val="24"/>
          <w:highlight w:val="none"/>
        </w:rPr>
      </w:pPr>
      <w:r>
        <w:rPr>
          <w:rFonts w:hint="eastAsia" w:ascii="宋体" w:hAnsi="宋体" w:cs="黑体"/>
          <w:b w:val="0"/>
          <w:bCs w:val="0"/>
          <w:color w:val="auto"/>
          <w:kern w:val="0"/>
          <w:sz w:val="24"/>
          <w:szCs w:val="24"/>
          <w:highlight w:val="none"/>
          <w:lang w:val="en-US" w:eastAsia="zh-CN"/>
        </w:rPr>
        <w:t>供应商填报的</w:t>
      </w:r>
      <w:r>
        <w:rPr>
          <w:rFonts w:hint="eastAsia" w:ascii="宋体" w:hAnsi="宋体" w:cs="黑体"/>
          <w:b w:val="0"/>
          <w:bCs w:val="0"/>
          <w:color w:val="auto"/>
          <w:kern w:val="0"/>
          <w:sz w:val="24"/>
          <w:szCs w:val="24"/>
          <w:highlight w:val="none"/>
        </w:rPr>
        <w:t>报价</w:t>
      </w:r>
      <w:r>
        <w:rPr>
          <w:rFonts w:hint="eastAsia" w:ascii="宋体" w:hAnsi="宋体" w:cs="黑体"/>
          <w:b w:val="0"/>
          <w:bCs w:val="0"/>
          <w:color w:val="auto"/>
          <w:kern w:val="0"/>
          <w:sz w:val="24"/>
          <w:szCs w:val="24"/>
          <w:highlight w:val="none"/>
          <w:lang w:val="en-US" w:eastAsia="zh-CN"/>
        </w:rPr>
        <w:t>包含</w:t>
      </w:r>
      <w:r>
        <w:rPr>
          <w:rFonts w:hint="eastAsia" w:ascii="宋体" w:hAnsi="宋体" w:cs="黑体"/>
          <w:b w:val="0"/>
          <w:bCs w:val="0"/>
          <w:color w:val="auto"/>
          <w:kern w:val="0"/>
          <w:sz w:val="24"/>
          <w:szCs w:val="24"/>
          <w:highlight w:val="none"/>
        </w:rPr>
        <w:t>一切与本项目相关的支出等所有不可预见的隐含费用（以上费用如涉及到多次需求，所有费用都包含在内）均包括在</w:t>
      </w:r>
      <w:r>
        <w:rPr>
          <w:rFonts w:hint="eastAsia" w:ascii="宋体" w:hAnsi="宋体" w:cs="黑体"/>
          <w:b w:val="0"/>
          <w:bCs w:val="0"/>
          <w:color w:val="auto"/>
          <w:kern w:val="0"/>
          <w:sz w:val="24"/>
          <w:szCs w:val="24"/>
          <w:highlight w:val="none"/>
          <w:lang w:eastAsia="zh-CN"/>
        </w:rPr>
        <w:t>磋商</w:t>
      </w:r>
      <w:r>
        <w:rPr>
          <w:rFonts w:hint="eastAsia" w:ascii="宋体" w:hAnsi="宋体" w:cs="黑体"/>
          <w:b w:val="0"/>
          <w:bCs w:val="0"/>
          <w:color w:val="auto"/>
          <w:kern w:val="0"/>
          <w:sz w:val="24"/>
          <w:szCs w:val="24"/>
          <w:highlight w:val="none"/>
        </w:rPr>
        <w:t>报价中。合同履行期内不因市场变化因素而变动，供应商在计算报价时应考虑物价上涨、政策性调整及一般设计变更等诸多因素及由此引起的费用变动。任何包含价格调整要求的响应文件，将被认为是非实质响应性而予以拒绝。</w:t>
      </w:r>
    </w:p>
    <w:p w14:paraId="27C6DC63">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s="黑体"/>
          <w:b w:val="0"/>
          <w:bCs w:val="0"/>
          <w:color w:val="auto"/>
          <w:kern w:val="0"/>
          <w:sz w:val="24"/>
          <w:szCs w:val="24"/>
          <w:highlight w:val="none"/>
        </w:rPr>
        <w:t>供应商应充分了解本项目的场地的位置、已有设备情况、周边环境、道路、装卸、保管、施工、安装限制、机械设备进场及材料运输的特殊性、装卸限制及影响磋商报价的其他要素，任何因忽视或误解工地情况而导致的索赔或工期延长申请将不被批准。</w:t>
      </w:r>
    </w:p>
    <w:p w14:paraId="710A2346">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b/>
          <w:bCs/>
          <w:color w:val="auto"/>
          <w:kern w:val="0"/>
          <w:sz w:val="24"/>
          <w:szCs w:val="24"/>
          <w:highlight w:val="none"/>
        </w:rPr>
      </w:pPr>
      <w:r>
        <w:rPr>
          <w:rFonts w:hint="eastAsia" w:ascii="宋体" w:hAnsi="宋体" w:cs="黑体"/>
          <w:b/>
          <w:bCs/>
          <w:color w:val="auto"/>
          <w:kern w:val="0"/>
          <w:sz w:val="24"/>
          <w:szCs w:val="24"/>
          <w:highlight w:val="none"/>
        </w:rPr>
        <w:t>报价不得有选择性报价和附有条件的报价，且对应金额不得高于预算价或招标工程量清单“最高投标限价公布表”中公布的对应项，否则其报价无效。</w:t>
      </w:r>
    </w:p>
    <w:p w14:paraId="7D285EA8">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ascii="宋体" w:hAnsi="宋体" w:cs="黑体"/>
          <w:color w:val="auto"/>
          <w:kern w:val="0"/>
          <w:sz w:val="24"/>
          <w:szCs w:val="24"/>
          <w:highlight w:val="none"/>
        </w:rPr>
      </w:pPr>
      <w:bookmarkStart w:id="69" w:name="_Ref421009326"/>
      <w:r>
        <w:rPr>
          <w:rFonts w:hint="eastAsia" w:ascii="宋体" w:hAnsi="宋体" w:cs="黑体"/>
          <w:color w:val="auto"/>
          <w:kern w:val="0"/>
          <w:sz w:val="24"/>
          <w:szCs w:val="24"/>
          <w:highlight w:val="none"/>
        </w:rPr>
        <w:t>响应文件有效期</w:t>
      </w:r>
      <w:bookmarkEnd w:id="68"/>
      <w:bookmarkEnd w:id="69"/>
    </w:p>
    <w:p w14:paraId="1F8A8B92">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bookmarkStart w:id="70" w:name="_Ref527102185"/>
      <w:r>
        <w:rPr>
          <w:rFonts w:hint="eastAsia" w:ascii="宋体" w:hAnsi="宋体"/>
          <w:color w:val="auto"/>
          <w:sz w:val="24"/>
          <w:szCs w:val="24"/>
          <w:highlight w:val="none"/>
        </w:rPr>
        <w:t>本项目</w:t>
      </w:r>
      <w:r>
        <w:rPr>
          <w:rFonts w:hint="eastAsia" w:ascii="宋体" w:hAnsi="宋体" w:cs="黑体"/>
          <w:color w:val="auto"/>
          <w:kern w:val="0"/>
          <w:sz w:val="24"/>
          <w:szCs w:val="24"/>
          <w:highlight w:val="none"/>
        </w:rPr>
        <w:t>响应文件</w:t>
      </w:r>
      <w:r>
        <w:rPr>
          <w:rFonts w:hint="eastAsia" w:ascii="宋体" w:hAnsi="宋体"/>
          <w:color w:val="auto"/>
          <w:sz w:val="24"/>
          <w:szCs w:val="24"/>
          <w:highlight w:val="none"/>
        </w:rPr>
        <w:t>有效期见供应商须知前附表。</w:t>
      </w:r>
      <w:r>
        <w:rPr>
          <w:rFonts w:hint="eastAsia" w:ascii="宋体" w:hAnsi="宋体" w:cs="黑体"/>
          <w:color w:val="auto"/>
          <w:kern w:val="0"/>
          <w:sz w:val="24"/>
          <w:szCs w:val="24"/>
          <w:highlight w:val="none"/>
        </w:rPr>
        <w:t>响应文件</w:t>
      </w:r>
      <w:r>
        <w:rPr>
          <w:rFonts w:hint="eastAsia" w:ascii="宋体" w:hAnsi="宋体"/>
          <w:color w:val="auto"/>
          <w:sz w:val="24"/>
          <w:szCs w:val="24"/>
          <w:highlight w:val="none"/>
        </w:rPr>
        <w:t>有效期从提交响应文件的截止之日起算。响应文件中承诺的有效期应当不少于磋商文件中载明的有效期。</w:t>
      </w:r>
      <w:bookmarkEnd w:id="70"/>
    </w:p>
    <w:p w14:paraId="1C113202">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在供应商须知前附表规定的响应文件有效期内，供应商不得要求撤销或修改其响应文件。</w:t>
      </w:r>
    </w:p>
    <w:p w14:paraId="27D3DB56">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ascii="宋体" w:hAnsi="宋体" w:cs="黑体"/>
          <w:color w:val="auto"/>
          <w:kern w:val="0"/>
          <w:sz w:val="24"/>
          <w:szCs w:val="24"/>
          <w:highlight w:val="none"/>
        </w:rPr>
      </w:pPr>
      <w:bookmarkStart w:id="71" w:name="_Toc195921815"/>
      <w:r>
        <w:rPr>
          <w:rFonts w:hint="eastAsia" w:ascii="宋体" w:hAnsi="宋体" w:cs="黑体"/>
          <w:color w:val="auto"/>
          <w:kern w:val="0"/>
          <w:sz w:val="24"/>
          <w:szCs w:val="24"/>
          <w:highlight w:val="none"/>
        </w:rPr>
        <w:t>磋商保证金</w:t>
      </w:r>
      <w:bookmarkEnd w:id="71"/>
    </w:p>
    <w:p w14:paraId="6F62903B">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bookmarkStart w:id="72" w:name="_Ref419361076"/>
      <w:r>
        <w:rPr>
          <w:rFonts w:hint="eastAsia" w:ascii="宋体" w:hAnsi="宋体" w:cs="黑体"/>
          <w:color w:val="auto"/>
          <w:kern w:val="0"/>
          <w:sz w:val="24"/>
          <w:szCs w:val="24"/>
          <w:highlight w:val="none"/>
        </w:rPr>
        <w:t>供应商应按供应商前附表规定的金额、形式递交磋商保证金，并作为其响应文件的组成部分。以联合体形式递交响应文件的，可以由联合体中的一方或者共同提交磋商保证金，以一方名义提交磋商保证金的，对联合体各方均具有约束力。</w:t>
      </w:r>
      <w:bookmarkEnd w:id="72"/>
    </w:p>
    <w:p w14:paraId="53C234DA">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供应商不按本章第</w:t>
      </w:r>
      <w:r>
        <w:rPr>
          <w:color w:val="auto"/>
          <w:sz w:val="24"/>
          <w:szCs w:val="24"/>
          <w:highlight w:val="none"/>
        </w:rPr>
        <w:fldChar w:fldCharType="begin"/>
      </w:r>
      <w:r>
        <w:rPr>
          <w:color w:val="auto"/>
          <w:sz w:val="24"/>
          <w:szCs w:val="24"/>
          <w:highlight w:val="none"/>
        </w:rPr>
        <w:instrText xml:space="preserve"> REF _Ref419361076 \r \h  \* MERGEFORMAT </w:instrText>
      </w:r>
      <w:r>
        <w:rPr>
          <w:color w:val="auto"/>
          <w:sz w:val="24"/>
          <w:szCs w:val="24"/>
          <w:highlight w:val="none"/>
        </w:rPr>
        <w:fldChar w:fldCharType="separate"/>
      </w:r>
      <w:r>
        <w:rPr>
          <w:rFonts w:ascii="宋体" w:hAnsi="宋体" w:cs="黑体"/>
          <w:color w:val="auto"/>
          <w:kern w:val="0"/>
          <w:sz w:val="24"/>
          <w:szCs w:val="24"/>
          <w:highlight w:val="none"/>
        </w:rPr>
        <w:t>3.</w:t>
      </w:r>
      <w:r>
        <w:rPr>
          <w:rFonts w:hint="eastAsia" w:ascii="宋体" w:hAnsi="宋体" w:cs="黑体"/>
          <w:color w:val="auto"/>
          <w:kern w:val="0"/>
          <w:sz w:val="24"/>
          <w:szCs w:val="24"/>
          <w:highlight w:val="none"/>
          <w:lang w:val="en-US" w:eastAsia="zh-CN"/>
        </w:rPr>
        <w:t>4</w:t>
      </w:r>
      <w:r>
        <w:rPr>
          <w:rFonts w:ascii="宋体" w:hAnsi="宋体" w:cs="黑体"/>
          <w:color w:val="auto"/>
          <w:kern w:val="0"/>
          <w:sz w:val="24"/>
          <w:szCs w:val="24"/>
          <w:highlight w:val="none"/>
        </w:rPr>
        <w:t>.1</w:t>
      </w:r>
      <w:r>
        <w:rPr>
          <w:color w:val="auto"/>
          <w:sz w:val="24"/>
          <w:szCs w:val="24"/>
          <w:highlight w:val="none"/>
        </w:rPr>
        <w:fldChar w:fldCharType="end"/>
      </w:r>
      <w:r>
        <w:rPr>
          <w:rFonts w:hint="eastAsia" w:ascii="宋体" w:hAnsi="宋体" w:cs="黑体"/>
          <w:color w:val="auto"/>
          <w:kern w:val="0"/>
          <w:sz w:val="24"/>
          <w:szCs w:val="24"/>
          <w:highlight w:val="none"/>
        </w:rPr>
        <w:t>项要求提交磋商保证金的，其响应文件无效。</w:t>
      </w:r>
    </w:p>
    <w:p w14:paraId="799B1141">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olor w:val="auto"/>
          <w:sz w:val="24"/>
          <w:szCs w:val="24"/>
          <w:highlight w:val="none"/>
        </w:rPr>
      </w:pPr>
      <w:bookmarkStart w:id="73" w:name="_Ref419361088"/>
      <w:r>
        <w:rPr>
          <w:rFonts w:hint="eastAsia" w:ascii="宋体" w:hAnsi="宋体"/>
          <w:color w:val="auto"/>
          <w:sz w:val="24"/>
          <w:szCs w:val="24"/>
          <w:highlight w:val="none"/>
        </w:rPr>
        <w:t>供应商在首次递交响应文件截止时间3日前，按磋商文件的要求向采购代理机构递交磋商保证金，递交首次响应文件截止时间之后递交的磋商保证金将被拒绝。</w:t>
      </w:r>
      <w:bookmarkEnd w:id="73"/>
    </w:p>
    <w:p w14:paraId="06C35759">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供应商在汇款时务必注明所参与磋商项目的</w:t>
      </w:r>
      <w:r>
        <w:rPr>
          <w:rFonts w:hint="eastAsia" w:ascii="宋体" w:hAnsi="宋体"/>
          <w:color w:val="auto"/>
          <w:sz w:val="24"/>
          <w:szCs w:val="24"/>
          <w:highlight w:val="none"/>
          <w:lang w:eastAsia="zh-CN"/>
        </w:rPr>
        <w:t>采购文件</w:t>
      </w:r>
      <w:r>
        <w:rPr>
          <w:rFonts w:hint="eastAsia" w:ascii="宋体" w:hAnsi="宋体"/>
          <w:color w:val="auto"/>
          <w:sz w:val="24"/>
          <w:szCs w:val="24"/>
          <w:highlight w:val="none"/>
        </w:rPr>
        <w:t>编号，否则，因款项用途不明导致响应文件无效等后果由供应商自行承担。</w:t>
      </w:r>
    </w:p>
    <w:p w14:paraId="4AC65668">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采购人或者采购代理机构应当自成交通知书发出之日起5个工作日内退还</w:t>
      </w:r>
      <w:r>
        <w:rPr>
          <w:rFonts w:hint="eastAsia" w:ascii="宋体" w:hAnsi="宋体" w:cs="黑体"/>
          <w:color w:val="auto"/>
          <w:kern w:val="0"/>
          <w:sz w:val="24"/>
          <w:szCs w:val="24"/>
          <w:highlight w:val="none"/>
          <w:lang w:eastAsia="zh-CN"/>
        </w:rPr>
        <w:t>未</w:t>
      </w:r>
      <w:r>
        <w:rPr>
          <w:rFonts w:hint="eastAsia" w:ascii="宋体" w:hAnsi="宋体" w:cs="黑体"/>
          <w:color w:val="auto"/>
          <w:kern w:val="0"/>
          <w:sz w:val="24"/>
          <w:szCs w:val="24"/>
          <w:highlight w:val="none"/>
        </w:rPr>
        <w:t>成交供应商的磋商保证金，自政府采购合同签订之日起5个工作日内退还成交供应商的磋商保证金</w:t>
      </w:r>
      <w:r>
        <w:rPr>
          <w:rFonts w:hint="eastAsia" w:ascii="宋体" w:hAnsi="宋体"/>
          <w:color w:val="auto"/>
          <w:sz w:val="24"/>
          <w:szCs w:val="24"/>
          <w:highlight w:val="none"/>
        </w:rPr>
        <w:t>或者转为成交供应商的履约保证金</w:t>
      </w:r>
      <w:r>
        <w:rPr>
          <w:rFonts w:hint="eastAsia" w:ascii="宋体" w:hAnsi="宋体" w:cs="黑体"/>
          <w:color w:val="auto"/>
          <w:kern w:val="0"/>
          <w:sz w:val="24"/>
          <w:szCs w:val="24"/>
          <w:highlight w:val="none"/>
        </w:rPr>
        <w:t>。</w:t>
      </w:r>
    </w:p>
    <w:p w14:paraId="392572B2">
      <w:pPr>
        <w:keepNext w:val="0"/>
        <w:keepLines w:val="0"/>
        <w:pageBreakBefore w:val="0"/>
        <w:widowControl w:val="0"/>
        <w:kinsoku/>
        <w:wordWrap/>
        <w:overflowPunct/>
        <w:topLinePunct w:val="0"/>
        <w:autoSpaceDE w:val="0"/>
        <w:autoSpaceDN w:val="0"/>
        <w:bidi w:val="0"/>
        <w:adjustRightInd w:val="0"/>
        <w:snapToGrid w:val="0"/>
        <w:spacing w:line="360" w:lineRule="auto"/>
        <w:ind w:left="1134" w:leftChars="540"/>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采购人或者采购代理机构逾期退还磋商保证金的，除退还磋商保证金本金外，还应当按中国人民银行同期贷款基准利率上浮20％后的利率支付超期资金占用费，但因供应商自身原因导致无法及时退还的除外。</w:t>
      </w:r>
    </w:p>
    <w:p w14:paraId="7642F0E0">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hAnsi="宋体" w:cs="宋体"/>
          <w:color w:val="auto"/>
          <w:sz w:val="24"/>
          <w:szCs w:val="24"/>
          <w:highlight w:val="none"/>
        </w:rPr>
        <w:t>供应商有下列行为之一者，其磋商保证金可不予退还：</w:t>
      </w:r>
    </w:p>
    <w:p w14:paraId="7B2AC6CB">
      <w:pPr>
        <w:keepNext w:val="0"/>
        <w:keepLines w:val="0"/>
        <w:pageBreakBefore w:val="0"/>
        <w:widowControl w:val="0"/>
        <w:tabs>
          <w:tab w:val="left" w:pos="1843"/>
        </w:tabs>
        <w:kinsoku/>
        <w:wordWrap/>
        <w:overflowPunct/>
        <w:topLinePunct w:val="0"/>
        <w:autoSpaceDE w:val="0"/>
        <w:autoSpaceDN w:val="0"/>
        <w:bidi w:val="0"/>
        <w:adjustRightInd w:val="0"/>
        <w:snapToGrid w:val="0"/>
        <w:spacing w:line="360" w:lineRule="auto"/>
        <w:ind w:left="1734" w:leftChars="540" w:hanging="600" w:hangingChars="250"/>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（1）供应商在响应文件有效期内撤回响应文件的；</w:t>
      </w:r>
    </w:p>
    <w:p w14:paraId="4C3E6909">
      <w:pPr>
        <w:keepNext w:val="0"/>
        <w:keepLines w:val="0"/>
        <w:pageBreakBefore w:val="0"/>
        <w:widowControl w:val="0"/>
        <w:tabs>
          <w:tab w:val="left" w:pos="1843"/>
        </w:tabs>
        <w:kinsoku/>
        <w:wordWrap/>
        <w:overflowPunct/>
        <w:topLinePunct w:val="0"/>
        <w:autoSpaceDE w:val="0"/>
        <w:autoSpaceDN w:val="0"/>
        <w:bidi w:val="0"/>
        <w:adjustRightInd w:val="0"/>
        <w:snapToGrid w:val="0"/>
        <w:spacing w:line="360" w:lineRule="auto"/>
        <w:ind w:left="1734" w:leftChars="540" w:hanging="600" w:hangingChars="250"/>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（2）供应商在响应文件中提供虚假材料的；</w:t>
      </w:r>
    </w:p>
    <w:p w14:paraId="3991894E">
      <w:pPr>
        <w:keepNext w:val="0"/>
        <w:keepLines w:val="0"/>
        <w:pageBreakBefore w:val="0"/>
        <w:widowControl w:val="0"/>
        <w:tabs>
          <w:tab w:val="left" w:pos="1843"/>
        </w:tabs>
        <w:kinsoku/>
        <w:wordWrap/>
        <w:overflowPunct/>
        <w:topLinePunct w:val="0"/>
        <w:autoSpaceDE w:val="0"/>
        <w:autoSpaceDN w:val="0"/>
        <w:bidi w:val="0"/>
        <w:adjustRightInd w:val="0"/>
        <w:snapToGrid w:val="0"/>
        <w:spacing w:line="360" w:lineRule="auto"/>
        <w:ind w:left="1734" w:leftChars="540" w:hanging="600" w:hangingChars="250"/>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（3）除因不可抗力或磋商文件认可的情形以外，成交供应商不与采购人签订合同的；</w:t>
      </w:r>
    </w:p>
    <w:p w14:paraId="73851AB6">
      <w:pPr>
        <w:keepNext w:val="0"/>
        <w:keepLines w:val="0"/>
        <w:pageBreakBefore w:val="0"/>
        <w:widowControl w:val="0"/>
        <w:tabs>
          <w:tab w:val="left" w:pos="1843"/>
        </w:tabs>
        <w:kinsoku/>
        <w:wordWrap/>
        <w:overflowPunct/>
        <w:topLinePunct w:val="0"/>
        <w:autoSpaceDE w:val="0"/>
        <w:autoSpaceDN w:val="0"/>
        <w:bidi w:val="0"/>
        <w:adjustRightInd w:val="0"/>
        <w:snapToGrid w:val="0"/>
        <w:spacing w:line="360" w:lineRule="auto"/>
        <w:ind w:left="1734" w:leftChars="540" w:hanging="600" w:hangingChars="250"/>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（4）供应商与采购人、其他供应商或者采购代理机构恶意串通的；</w:t>
      </w:r>
    </w:p>
    <w:p w14:paraId="38C2F228">
      <w:pPr>
        <w:keepNext w:val="0"/>
        <w:keepLines w:val="0"/>
        <w:pageBreakBefore w:val="0"/>
        <w:widowControl w:val="0"/>
        <w:tabs>
          <w:tab w:val="left" w:pos="1843"/>
        </w:tabs>
        <w:kinsoku/>
        <w:wordWrap/>
        <w:overflowPunct/>
        <w:topLinePunct w:val="0"/>
        <w:autoSpaceDE w:val="0"/>
        <w:autoSpaceDN w:val="0"/>
        <w:bidi w:val="0"/>
        <w:adjustRightInd w:val="0"/>
        <w:snapToGrid w:val="0"/>
        <w:spacing w:line="360" w:lineRule="auto"/>
        <w:ind w:left="1734" w:leftChars="540" w:hanging="600" w:hangingChars="250"/>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（5）磋商文件规定的其他情形。</w:t>
      </w:r>
    </w:p>
    <w:p w14:paraId="2F13A2A8">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ascii="宋体" w:hAnsi="宋体" w:cs="黑体"/>
          <w:color w:val="auto"/>
          <w:kern w:val="0"/>
          <w:sz w:val="24"/>
          <w:szCs w:val="24"/>
          <w:highlight w:val="none"/>
        </w:rPr>
      </w:pPr>
      <w:bookmarkStart w:id="74" w:name="_Toc195921818"/>
      <w:r>
        <w:rPr>
          <w:rFonts w:hint="eastAsia" w:ascii="宋体" w:hAnsi="宋体" w:cs="黑体"/>
          <w:color w:val="auto"/>
          <w:kern w:val="0"/>
          <w:sz w:val="24"/>
          <w:szCs w:val="24"/>
          <w:highlight w:val="none"/>
        </w:rPr>
        <w:t>响应文件的编制</w:t>
      </w:r>
      <w:bookmarkEnd w:id="74"/>
    </w:p>
    <w:p w14:paraId="0A8E3641">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响应文件应按“第</w:t>
      </w:r>
      <w:r>
        <w:rPr>
          <w:rFonts w:hint="eastAsia" w:ascii="宋体" w:hAnsi="宋体" w:cs="黑体"/>
          <w:color w:val="auto"/>
          <w:kern w:val="0"/>
          <w:sz w:val="24"/>
          <w:szCs w:val="24"/>
          <w:highlight w:val="none"/>
          <w:lang w:eastAsia="zh-CN"/>
        </w:rPr>
        <w:t>六</w:t>
      </w:r>
      <w:r>
        <w:rPr>
          <w:rFonts w:hint="eastAsia" w:ascii="宋体" w:hAnsi="宋体" w:cs="黑体"/>
          <w:color w:val="auto"/>
          <w:kern w:val="0"/>
          <w:sz w:val="24"/>
          <w:szCs w:val="24"/>
          <w:highlight w:val="none"/>
        </w:rPr>
        <w:t>章</w:t>
      </w:r>
      <w:r>
        <w:rPr>
          <w:rFonts w:hint="eastAsia" w:ascii="宋体" w:hAnsi="宋体" w:cs="黑体"/>
          <w:color w:val="auto"/>
          <w:kern w:val="0"/>
          <w:sz w:val="24"/>
          <w:szCs w:val="24"/>
          <w:highlight w:val="none"/>
          <w:lang w:val="en-US" w:eastAsia="zh-CN"/>
        </w:rPr>
        <w:t xml:space="preserve"> </w:t>
      </w:r>
      <w:r>
        <w:rPr>
          <w:rFonts w:hint="eastAsia" w:ascii="宋体" w:hAnsi="宋体" w:cs="黑体"/>
          <w:color w:val="auto"/>
          <w:kern w:val="0"/>
          <w:sz w:val="24"/>
          <w:szCs w:val="24"/>
          <w:highlight w:val="none"/>
        </w:rPr>
        <w:t>响应文件格式”进行编写，如有必要，可以增加附页，作为响应文件的组成部分。供应商可以提出比磋商文件要求更有利于采购人的承诺。</w:t>
      </w:r>
    </w:p>
    <w:p w14:paraId="45AAF204">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响应文件应当对磋商文件有关采购范围、工期、响应有效期及磋商文件要求实质性内容作出响应。</w:t>
      </w:r>
    </w:p>
    <w:p w14:paraId="28657014">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电子响应文件应使用“政釆云”平台（https://www. zcygov. cn）中下载的政釆云电子</w:t>
      </w:r>
      <w:r>
        <w:rPr>
          <w:rFonts w:hint="eastAsia" w:ascii="宋体" w:hAnsi="宋体" w:cs="黑体"/>
          <w:color w:val="auto"/>
          <w:kern w:val="0"/>
          <w:sz w:val="24"/>
          <w:szCs w:val="24"/>
          <w:highlight w:val="none"/>
          <w:lang w:eastAsia="zh-CN"/>
        </w:rPr>
        <w:t>磋商</w:t>
      </w:r>
      <w:r>
        <w:rPr>
          <w:rFonts w:hint="eastAsia" w:ascii="宋体" w:hAnsi="宋体" w:cs="黑体"/>
          <w:color w:val="auto"/>
          <w:kern w:val="0"/>
          <w:sz w:val="24"/>
          <w:szCs w:val="24"/>
          <w:highlight w:val="none"/>
        </w:rPr>
        <w:t>客户端制作，并进行电子签章及加密后上传至政釆云平台。编制要求见《电子投文件编制要求》。</w:t>
      </w:r>
    </w:p>
    <w:p w14:paraId="116A643A">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如供应商提交的电子标书不符合</w:t>
      </w:r>
      <w:r>
        <w:rPr>
          <w:rFonts w:hint="eastAsia" w:ascii="宋体" w:hAnsi="宋体" w:cs="黑体"/>
          <w:color w:val="auto"/>
          <w:kern w:val="0"/>
          <w:sz w:val="24"/>
          <w:szCs w:val="24"/>
          <w:highlight w:val="none"/>
          <w:lang w:eastAsia="zh-CN"/>
        </w:rPr>
        <w:t>上述</w:t>
      </w:r>
      <w:r>
        <w:rPr>
          <w:rFonts w:hint="eastAsia" w:ascii="宋体" w:hAnsi="宋体" w:cs="黑体"/>
          <w:color w:val="auto"/>
          <w:kern w:val="0"/>
          <w:sz w:val="24"/>
          <w:szCs w:val="24"/>
          <w:highlight w:val="none"/>
        </w:rPr>
        <w:t>要求或开标时无法读取导入或解密，其响应文件将不予受理。</w:t>
      </w:r>
    </w:p>
    <w:p w14:paraId="1118182F">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按照“政釆云”平台的要求编制、加密后在响应文件提交截止时间前上传至“政釆云”平台，响应文件提交截止时间前未完成响应文件上传的，视为撤回响应文件。</w:t>
      </w:r>
    </w:p>
    <w:p w14:paraId="488615FC">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bookmarkStart w:id="75" w:name="_Ref527102437"/>
      <w:r>
        <w:rPr>
          <w:rFonts w:hint="eastAsia" w:ascii="宋体" w:hAnsi="宋体" w:cs="黑体"/>
          <w:color w:val="auto"/>
          <w:kern w:val="0"/>
          <w:sz w:val="24"/>
          <w:szCs w:val="24"/>
          <w:highlight w:val="none"/>
          <w:lang w:val="en-US" w:eastAsia="zh-CN"/>
        </w:rPr>
        <w:t>成交人提供存档的纸质</w:t>
      </w:r>
      <w:r>
        <w:rPr>
          <w:rFonts w:hint="eastAsia" w:ascii="宋体" w:hAnsi="宋体" w:cs="黑体"/>
          <w:color w:val="auto"/>
          <w:kern w:val="0"/>
          <w:sz w:val="24"/>
          <w:szCs w:val="24"/>
          <w:highlight w:val="none"/>
        </w:rPr>
        <w:t>响应文件</w:t>
      </w:r>
      <w:r>
        <w:rPr>
          <w:rFonts w:hint="eastAsia" w:ascii="宋体" w:hAnsi="宋体" w:cs="黑体"/>
          <w:color w:val="auto"/>
          <w:kern w:val="0"/>
          <w:sz w:val="24"/>
          <w:szCs w:val="24"/>
          <w:highlight w:val="none"/>
          <w:lang w:eastAsia="zh-CN"/>
        </w:rPr>
        <w:t>应与</w:t>
      </w:r>
      <w:r>
        <w:rPr>
          <w:rFonts w:hint="eastAsia" w:ascii="宋体" w:hAnsi="宋体" w:cs="黑体"/>
          <w:color w:val="auto"/>
          <w:kern w:val="0"/>
          <w:sz w:val="24"/>
          <w:szCs w:val="24"/>
          <w:highlight w:val="none"/>
        </w:rPr>
        <w:t>“政釆云”平台（https://www. zcygov. cn）</w:t>
      </w:r>
      <w:r>
        <w:rPr>
          <w:rFonts w:hint="eastAsia" w:ascii="宋体" w:hAnsi="宋体" w:cs="黑体"/>
          <w:color w:val="auto"/>
          <w:kern w:val="0"/>
          <w:sz w:val="24"/>
          <w:szCs w:val="24"/>
          <w:highlight w:val="none"/>
          <w:lang w:eastAsia="zh-CN"/>
        </w:rPr>
        <w:t>网上递交的响应文件保持一致</w:t>
      </w:r>
      <w:r>
        <w:rPr>
          <w:rFonts w:hint="eastAsia" w:ascii="宋体" w:hAnsi="宋体" w:cs="黑体"/>
          <w:color w:val="auto"/>
          <w:kern w:val="0"/>
          <w:sz w:val="24"/>
          <w:szCs w:val="24"/>
          <w:highlight w:val="none"/>
        </w:rPr>
        <w:t>。</w:t>
      </w:r>
      <w:bookmarkEnd w:id="75"/>
    </w:p>
    <w:p w14:paraId="6B50CF16">
      <w:pPr>
        <w:keepNext w:val="0"/>
        <w:keepLines w:val="0"/>
        <w:pageBreakBefore w:val="0"/>
        <w:widowControl w:val="0"/>
        <w:numPr>
          <w:ilvl w:val="0"/>
          <w:numId w:val="6"/>
        </w:numPr>
        <w:kinsoku/>
        <w:wordWrap/>
        <w:overflowPunct/>
        <w:topLinePunct w:val="0"/>
        <w:autoSpaceDE w:val="0"/>
        <w:autoSpaceDN w:val="0"/>
        <w:bidi w:val="0"/>
        <w:adjustRightInd w:val="0"/>
        <w:spacing w:line="360" w:lineRule="auto"/>
        <w:textAlignment w:val="auto"/>
        <w:outlineLvl w:val="2"/>
        <w:rPr>
          <w:rFonts w:ascii="黑体" w:hAnsi="宋体" w:eastAsia="黑体" w:cs="黑体"/>
          <w:color w:val="auto"/>
          <w:kern w:val="0"/>
          <w:sz w:val="24"/>
          <w:szCs w:val="24"/>
          <w:highlight w:val="none"/>
        </w:rPr>
      </w:pPr>
      <w:bookmarkStart w:id="76" w:name="_Toc195921819"/>
      <w:bookmarkStart w:id="77" w:name="_Toc19516"/>
      <w:bookmarkStart w:id="78" w:name="_Toc76381781"/>
      <w:bookmarkStart w:id="79" w:name="_Toc17874"/>
      <w:bookmarkStart w:id="80" w:name="_Toc75284959"/>
      <w:bookmarkStart w:id="81" w:name="_Toc10966"/>
      <w:r>
        <w:rPr>
          <w:rFonts w:hint="eastAsia" w:ascii="黑体" w:hAnsi="宋体" w:eastAsia="黑体" w:cs="黑体"/>
          <w:color w:val="auto"/>
          <w:kern w:val="0"/>
          <w:sz w:val="24"/>
          <w:szCs w:val="24"/>
          <w:highlight w:val="none"/>
        </w:rPr>
        <w:t>响应文件</w:t>
      </w:r>
      <w:bookmarkEnd w:id="76"/>
      <w:r>
        <w:rPr>
          <w:rFonts w:hint="eastAsia" w:ascii="黑体" w:hAnsi="宋体" w:eastAsia="黑体" w:cs="黑体"/>
          <w:color w:val="auto"/>
          <w:kern w:val="0"/>
          <w:sz w:val="24"/>
          <w:szCs w:val="24"/>
          <w:highlight w:val="none"/>
        </w:rPr>
        <w:t>提交</w:t>
      </w:r>
      <w:bookmarkEnd w:id="77"/>
      <w:bookmarkEnd w:id="78"/>
      <w:bookmarkEnd w:id="79"/>
      <w:bookmarkEnd w:id="80"/>
      <w:bookmarkEnd w:id="81"/>
      <w:r>
        <w:rPr>
          <w:rFonts w:hint="eastAsia" w:ascii="黑体" w:hAnsi="宋体" w:eastAsia="黑体" w:cs="黑体"/>
          <w:color w:val="auto"/>
          <w:kern w:val="0"/>
          <w:sz w:val="24"/>
          <w:szCs w:val="24"/>
          <w:highlight w:val="none"/>
        </w:rPr>
        <w:t>、解密</w:t>
      </w:r>
    </w:p>
    <w:p w14:paraId="5F873F96">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ascii="宋体" w:hAnsi="宋体" w:cs="黑体"/>
          <w:color w:val="auto"/>
          <w:kern w:val="0"/>
          <w:sz w:val="24"/>
          <w:szCs w:val="24"/>
          <w:highlight w:val="none"/>
        </w:rPr>
      </w:pPr>
      <w:bookmarkStart w:id="82" w:name="_Toc195921820"/>
      <w:r>
        <w:rPr>
          <w:rFonts w:hint="eastAsia" w:ascii="宋体" w:hAnsi="宋体" w:cs="黑体"/>
          <w:color w:val="auto"/>
          <w:kern w:val="0"/>
          <w:sz w:val="24"/>
          <w:szCs w:val="24"/>
          <w:highlight w:val="none"/>
        </w:rPr>
        <w:t>响应文件的</w:t>
      </w:r>
      <w:bookmarkEnd w:id="82"/>
      <w:r>
        <w:rPr>
          <w:rFonts w:hint="eastAsia" w:ascii="宋体" w:hAnsi="宋体" w:cs="黑体"/>
          <w:color w:val="auto"/>
          <w:kern w:val="0"/>
          <w:sz w:val="24"/>
          <w:szCs w:val="24"/>
          <w:highlight w:val="none"/>
        </w:rPr>
        <w:t>密封和标记</w:t>
      </w:r>
    </w:p>
    <w:p w14:paraId="34E44FC7">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bookmarkStart w:id="83" w:name="_Ref421008478"/>
      <w:r>
        <w:rPr>
          <w:rFonts w:hint="eastAsia" w:ascii="宋体" w:hAnsi="宋体" w:cs="黑体"/>
          <w:color w:val="auto"/>
          <w:kern w:val="0"/>
          <w:sz w:val="24"/>
          <w:szCs w:val="24"/>
          <w:highlight w:val="none"/>
        </w:rPr>
        <w:t>供应商递交的响应文件，应按照标包分别</w:t>
      </w:r>
      <w:r>
        <w:rPr>
          <w:rFonts w:hint="eastAsia" w:ascii="宋体" w:hAnsi="宋体" w:cs="黑体"/>
          <w:color w:val="auto"/>
          <w:kern w:val="0"/>
          <w:sz w:val="24"/>
          <w:szCs w:val="24"/>
          <w:highlight w:val="none"/>
          <w:lang w:val="en-US" w:eastAsia="zh-CN"/>
        </w:rPr>
        <w:t>使用CA证书</w:t>
      </w:r>
      <w:r>
        <w:rPr>
          <w:rFonts w:hint="eastAsia" w:ascii="宋体" w:hAnsi="宋体" w:cs="黑体"/>
          <w:color w:val="auto"/>
          <w:kern w:val="0"/>
          <w:sz w:val="24"/>
          <w:szCs w:val="24"/>
          <w:highlight w:val="none"/>
        </w:rPr>
        <w:t>加以密封。</w:t>
      </w:r>
    </w:p>
    <w:bookmarkEnd w:id="83"/>
    <w:p w14:paraId="58D3DB8F">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未按本章第</w:t>
      </w:r>
      <w:r>
        <w:rPr>
          <w:color w:val="auto"/>
          <w:sz w:val="24"/>
          <w:szCs w:val="24"/>
          <w:highlight w:val="none"/>
        </w:rPr>
        <w:fldChar w:fldCharType="begin"/>
      </w:r>
      <w:r>
        <w:rPr>
          <w:color w:val="auto"/>
          <w:sz w:val="24"/>
          <w:szCs w:val="24"/>
          <w:highlight w:val="none"/>
        </w:rPr>
        <w:instrText xml:space="preserve"> REF _Ref421008478 \r \h  \* MERGEFORMAT </w:instrText>
      </w:r>
      <w:r>
        <w:rPr>
          <w:color w:val="auto"/>
          <w:sz w:val="24"/>
          <w:szCs w:val="24"/>
          <w:highlight w:val="none"/>
        </w:rPr>
        <w:fldChar w:fldCharType="separate"/>
      </w:r>
      <w:r>
        <w:rPr>
          <w:rFonts w:ascii="宋体" w:hAnsi="宋体" w:cs="黑体"/>
          <w:color w:val="auto"/>
          <w:kern w:val="0"/>
          <w:sz w:val="24"/>
          <w:szCs w:val="24"/>
          <w:highlight w:val="none"/>
        </w:rPr>
        <w:t>4.1.1</w:t>
      </w:r>
      <w:r>
        <w:rPr>
          <w:color w:val="auto"/>
          <w:sz w:val="24"/>
          <w:szCs w:val="24"/>
          <w:highlight w:val="none"/>
        </w:rPr>
        <w:fldChar w:fldCharType="end"/>
      </w:r>
      <w:r>
        <w:rPr>
          <w:rFonts w:hint="eastAsia" w:ascii="宋体" w:hAnsi="宋体" w:cs="黑体"/>
          <w:color w:val="auto"/>
          <w:kern w:val="0"/>
          <w:sz w:val="24"/>
          <w:szCs w:val="24"/>
          <w:highlight w:val="none"/>
        </w:rPr>
        <w:t>项要求密封响应文件，采购人不予受理。</w:t>
      </w:r>
    </w:p>
    <w:p w14:paraId="3D7F4A35">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ascii="宋体" w:hAnsi="宋体" w:cs="黑体"/>
          <w:color w:val="auto"/>
          <w:kern w:val="0"/>
          <w:sz w:val="24"/>
          <w:szCs w:val="24"/>
          <w:highlight w:val="none"/>
        </w:rPr>
      </w:pPr>
      <w:bookmarkStart w:id="84" w:name="_Toc195921821"/>
      <w:r>
        <w:rPr>
          <w:rFonts w:hint="eastAsia" w:ascii="宋体" w:hAnsi="宋体" w:cs="黑体"/>
          <w:color w:val="auto"/>
          <w:kern w:val="0"/>
          <w:sz w:val="24"/>
          <w:szCs w:val="24"/>
          <w:highlight w:val="none"/>
        </w:rPr>
        <w:t>首次响应文件的递交</w:t>
      </w:r>
      <w:bookmarkEnd w:id="84"/>
    </w:p>
    <w:p w14:paraId="0680174C">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在响应文件递交的截止时间（响应文件提交截止时间，下同）前, 需在网上递交响应文件，具体要求：登录"政采云"平台（https://www. zcygov. cn）,供应商须在</w:t>
      </w:r>
      <w:r>
        <w:rPr>
          <w:rFonts w:hint="eastAsia" w:ascii="宋体" w:hAnsi="宋体" w:cs="黑体"/>
          <w:color w:val="auto"/>
          <w:kern w:val="0"/>
          <w:sz w:val="24"/>
          <w:szCs w:val="24"/>
          <w:highlight w:val="none"/>
          <w:lang w:eastAsia="zh-CN"/>
        </w:rPr>
        <w:t>磋商</w:t>
      </w:r>
      <w:r>
        <w:rPr>
          <w:rFonts w:hint="eastAsia" w:ascii="宋体" w:hAnsi="宋体" w:cs="黑体"/>
          <w:color w:val="auto"/>
          <w:kern w:val="0"/>
          <w:sz w:val="24"/>
          <w:szCs w:val="24"/>
          <w:highlight w:val="none"/>
        </w:rPr>
        <w:t>截止时间前完成响应文件的电子签章、加密及上传，</w:t>
      </w:r>
      <w:r>
        <w:rPr>
          <w:rFonts w:hint="eastAsia" w:ascii="宋体" w:hAnsi="宋体" w:cs="黑体"/>
          <w:color w:val="auto"/>
          <w:kern w:val="0"/>
          <w:sz w:val="24"/>
          <w:szCs w:val="24"/>
          <w:highlight w:val="none"/>
          <w:lang w:eastAsia="zh-CN"/>
        </w:rPr>
        <w:t>磋商</w:t>
      </w:r>
      <w:r>
        <w:rPr>
          <w:rFonts w:hint="eastAsia" w:ascii="宋体" w:hAnsi="宋体" w:cs="黑体"/>
          <w:color w:val="auto"/>
          <w:kern w:val="0"/>
          <w:sz w:val="24"/>
          <w:szCs w:val="24"/>
          <w:highlight w:val="none"/>
        </w:rPr>
        <w:t>截止时间前未完成响应文件上传的，视为撤回响应文件。</w:t>
      </w:r>
    </w:p>
    <w:p w14:paraId="0C63249E">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响应文件提交截止时间及地点：详见竞争性磋商公告。</w:t>
      </w:r>
    </w:p>
    <w:p w14:paraId="1A77FF29">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响应文件是否退还电子响应文件的修改与撤回：否。</w:t>
      </w:r>
    </w:p>
    <w:p w14:paraId="3672CAF4">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在响应文件提交截止时间前，供应商可以在政釆云平台修改或撤回已在网上递交的响应文件，无须书面形式通知釆购人。</w:t>
      </w:r>
    </w:p>
    <w:p w14:paraId="269B2022">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电子开标及响应文件解密</w:t>
      </w:r>
    </w:p>
    <w:p w14:paraId="2381D473">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若供应商熟悉“政釆云”相关</w:t>
      </w:r>
      <w:r>
        <w:rPr>
          <w:rFonts w:hint="eastAsia" w:ascii="宋体" w:hAnsi="宋体" w:cs="黑体"/>
          <w:color w:val="auto"/>
          <w:kern w:val="0"/>
          <w:sz w:val="24"/>
          <w:szCs w:val="24"/>
          <w:highlight w:val="none"/>
          <w:lang w:eastAsia="zh-CN"/>
        </w:rPr>
        <w:t>磋商</w:t>
      </w:r>
      <w:r>
        <w:rPr>
          <w:rFonts w:hint="eastAsia" w:ascii="宋体" w:hAnsi="宋体" w:cs="黑体"/>
          <w:color w:val="auto"/>
          <w:kern w:val="0"/>
          <w:sz w:val="24"/>
          <w:szCs w:val="24"/>
          <w:highlight w:val="none"/>
        </w:rPr>
        <w:t>程序，不到现场参加</w:t>
      </w:r>
      <w:r>
        <w:rPr>
          <w:rFonts w:hint="eastAsia" w:ascii="宋体" w:hAnsi="宋体" w:cs="黑体"/>
          <w:color w:val="auto"/>
          <w:kern w:val="0"/>
          <w:sz w:val="24"/>
          <w:szCs w:val="24"/>
          <w:highlight w:val="none"/>
          <w:lang w:eastAsia="zh-CN"/>
        </w:rPr>
        <w:t>磋商</w:t>
      </w:r>
      <w:r>
        <w:rPr>
          <w:rFonts w:hint="eastAsia" w:ascii="宋体" w:hAnsi="宋体" w:cs="黑体"/>
          <w:color w:val="auto"/>
          <w:kern w:val="0"/>
          <w:sz w:val="24"/>
          <w:szCs w:val="24"/>
          <w:highlight w:val="none"/>
        </w:rPr>
        <w:t>的，应提前在自有场地配置有音视频通话（带摄像头及话筒的电脑）功能的相应设备及稳定网络环境，并按“政釆云”开标大厅中的提示完成釆购活动。</w:t>
      </w:r>
    </w:p>
    <w:p w14:paraId="46D6D14D">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到现场参与</w:t>
      </w:r>
      <w:r>
        <w:rPr>
          <w:rFonts w:hint="eastAsia" w:ascii="宋体" w:hAnsi="宋体" w:cs="黑体"/>
          <w:color w:val="auto"/>
          <w:kern w:val="0"/>
          <w:sz w:val="24"/>
          <w:szCs w:val="24"/>
          <w:highlight w:val="none"/>
          <w:lang w:eastAsia="zh-CN"/>
        </w:rPr>
        <w:t>磋商</w:t>
      </w:r>
      <w:r>
        <w:rPr>
          <w:rFonts w:hint="eastAsia" w:ascii="宋体" w:hAnsi="宋体" w:cs="黑体"/>
          <w:color w:val="auto"/>
          <w:kern w:val="0"/>
          <w:sz w:val="24"/>
          <w:szCs w:val="24"/>
          <w:highlight w:val="none"/>
        </w:rPr>
        <w:t>的供应商，建议于响应文件提交截止时间前携带编制响应文件时的加密数字证书（CA）、具有摄像头及话筒的笔记本电脑至釆购代理机构开标地点参与</w:t>
      </w:r>
      <w:r>
        <w:rPr>
          <w:rFonts w:hint="eastAsia" w:ascii="宋体" w:hAnsi="宋体" w:cs="黑体"/>
          <w:color w:val="auto"/>
          <w:kern w:val="0"/>
          <w:sz w:val="24"/>
          <w:szCs w:val="24"/>
          <w:highlight w:val="none"/>
          <w:lang w:eastAsia="zh-CN"/>
        </w:rPr>
        <w:t>磋商</w:t>
      </w:r>
      <w:r>
        <w:rPr>
          <w:rFonts w:hint="eastAsia" w:ascii="宋体" w:hAnsi="宋体" w:cs="黑体"/>
          <w:color w:val="auto"/>
          <w:kern w:val="0"/>
          <w:sz w:val="24"/>
          <w:szCs w:val="24"/>
          <w:highlight w:val="none"/>
        </w:rPr>
        <w:t>。</w:t>
      </w:r>
    </w:p>
    <w:p w14:paraId="0A0982A4">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釆购人宣布开启电子响应文件后，供应商登陆“政釆云”开标大厅，使用供应商编制响应文件时的加密数字证书对响应文件进行解密</w:t>
      </w:r>
      <w:r>
        <w:rPr>
          <w:rFonts w:hint="eastAsia" w:ascii="宋体" w:hAnsi="宋体" w:cs="黑体"/>
          <w:color w:val="auto"/>
          <w:kern w:val="0"/>
          <w:sz w:val="24"/>
          <w:szCs w:val="24"/>
          <w:highlight w:val="none"/>
          <w:lang w:eastAsia="zh-CN"/>
        </w:rPr>
        <w:t>，</w:t>
      </w:r>
      <w:r>
        <w:rPr>
          <w:rFonts w:hint="eastAsia" w:ascii="宋体" w:hAnsi="宋体" w:cs="黑体"/>
          <w:color w:val="auto"/>
          <w:kern w:val="0"/>
          <w:sz w:val="24"/>
          <w:szCs w:val="24"/>
          <w:highlight w:val="none"/>
          <w:lang w:val="en-US" w:eastAsia="zh-CN"/>
        </w:rPr>
        <w:t>解密时间：30分钟</w:t>
      </w:r>
      <w:r>
        <w:rPr>
          <w:rFonts w:hint="eastAsia" w:ascii="宋体" w:hAnsi="宋体" w:cs="黑体"/>
          <w:color w:val="auto"/>
          <w:kern w:val="0"/>
          <w:sz w:val="24"/>
          <w:szCs w:val="24"/>
          <w:highlight w:val="none"/>
        </w:rPr>
        <w:t>。</w:t>
      </w:r>
    </w:p>
    <w:p w14:paraId="6900BA3A">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技术支持</w:t>
      </w:r>
    </w:p>
    <w:p w14:paraId="08AA9FF0">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系统操作问题：请致电政釆云，4008817190（客服热线）；</w:t>
      </w:r>
    </w:p>
    <w:p w14:paraId="2B84DD50">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云南CA操作问题：请致电云南CA, 4006727666；</w:t>
      </w:r>
    </w:p>
    <w:p w14:paraId="0774E0CD">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云南CA紧急联系方式：15288315056。</w:t>
      </w:r>
    </w:p>
    <w:p w14:paraId="119E5F3A">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ascii="宋体" w:hAnsi="宋体" w:cs="黑体"/>
          <w:color w:val="auto"/>
          <w:kern w:val="0"/>
          <w:sz w:val="24"/>
          <w:szCs w:val="24"/>
          <w:highlight w:val="none"/>
        </w:rPr>
      </w:pPr>
      <w:bookmarkStart w:id="85" w:name="_Toc195921822"/>
      <w:r>
        <w:rPr>
          <w:rFonts w:hint="eastAsia" w:ascii="宋体" w:hAnsi="宋体" w:cs="黑体"/>
          <w:color w:val="auto"/>
          <w:kern w:val="0"/>
          <w:sz w:val="24"/>
          <w:szCs w:val="24"/>
          <w:highlight w:val="none"/>
        </w:rPr>
        <w:t>响应文件的修改与撤回</w:t>
      </w:r>
      <w:bookmarkEnd w:id="85"/>
    </w:p>
    <w:p w14:paraId="0F4B0774">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在竞争性磋商公告规定的首次响应文件递交截止时间前，供应商可以修改或撤回已递交的首次响应文件，但应以书面形式通知采购人。（本项目不适用）</w:t>
      </w:r>
    </w:p>
    <w:p w14:paraId="0E85FE66">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修改的内容为首次响应文件的组成部分。修改的首次响应文件应按照本章第</w:t>
      </w:r>
      <w:r>
        <w:rPr>
          <w:rFonts w:ascii="宋体" w:hAnsi="宋体" w:cs="黑体"/>
          <w:color w:val="auto"/>
          <w:kern w:val="0"/>
          <w:sz w:val="24"/>
          <w:szCs w:val="24"/>
          <w:highlight w:val="none"/>
        </w:rPr>
        <w:t>3</w:t>
      </w:r>
      <w:r>
        <w:rPr>
          <w:rFonts w:hint="eastAsia" w:ascii="宋体" w:hAnsi="宋体" w:cs="黑体"/>
          <w:color w:val="auto"/>
          <w:kern w:val="0"/>
          <w:sz w:val="24"/>
          <w:szCs w:val="24"/>
          <w:highlight w:val="none"/>
        </w:rPr>
        <w:t>条、第</w:t>
      </w:r>
      <w:r>
        <w:rPr>
          <w:rFonts w:ascii="宋体" w:hAnsi="宋体" w:cs="黑体"/>
          <w:color w:val="auto"/>
          <w:kern w:val="0"/>
          <w:sz w:val="24"/>
          <w:szCs w:val="24"/>
          <w:highlight w:val="none"/>
        </w:rPr>
        <w:t>4</w:t>
      </w:r>
      <w:r>
        <w:rPr>
          <w:rFonts w:hint="eastAsia" w:ascii="宋体" w:hAnsi="宋体" w:cs="黑体"/>
          <w:color w:val="auto"/>
          <w:kern w:val="0"/>
          <w:sz w:val="24"/>
          <w:szCs w:val="24"/>
          <w:highlight w:val="none"/>
        </w:rPr>
        <w:t>条规定进行编制、加密和递交，并标明“修改”字样。</w:t>
      </w:r>
    </w:p>
    <w:p w14:paraId="6AB371AF">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根据《财政部关于政府采购竞争性磋商采购方式管理暂行办法有关问题的补充通知》（财库〔2015〕124号），采用竞争性磋商采购方式采购的政府购买服务项目(含政府和社会资本合作项目)，在采购过程中符合要求的供应商(社会资本)只有 2 家的，竞争性磋商采购活动可以继续进行</w:t>
      </w:r>
      <w:r>
        <w:rPr>
          <w:rFonts w:hint="eastAsia" w:ascii="宋体" w:hAnsi="宋体" w:cs="黑体"/>
          <w:color w:val="auto"/>
          <w:kern w:val="0"/>
          <w:sz w:val="24"/>
          <w:szCs w:val="24"/>
          <w:highlight w:val="none"/>
          <w:lang w:eastAsia="zh-CN"/>
        </w:rPr>
        <w:t>。</w:t>
      </w:r>
    </w:p>
    <w:p w14:paraId="49E030BF">
      <w:pPr>
        <w:keepNext w:val="0"/>
        <w:keepLines w:val="0"/>
        <w:pageBreakBefore w:val="0"/>
        <w:widowControl w:val="0"/>
        <w:numPr>
          <w:ilvl w:val="0"/>
          <w:numId w:val="6"/>
        </w:numPr>
        <w:kinsoku/>
        <w:wordWrap/>
        <w:overflowPunct/>
        <w:topLinePunct w:val="0"/>
        <w:autoSpaceDE w:val="0"/>
        <w:autoSpaceDN w:val="0"/>
        <w:bidi w:val="0"/>
        <w:adjustRightInd w:val="0"/>
        <w:spacing w:line="360" w:lineRule="auto"/>
        <w:textAlignment w:val="auto"/>
        <w:outlineLvl w:val="2"/>
        <w:rPr>
          <w:rFonts w:ascii="黑体" w:hAnsi="宋体" w:eastAsia="黑体" w:cs="黑体"/>
          <w:color w:val="auto"/>
          <w:kern w:val="0"/>
          <w:sz w:val="24"/>
          <w:szCs w:val="24"/>
          <w:highlight w:val="none"/>
        </w:rPr>
      </w:pPr>
      <w:bookmarkStart w:id="86" w:name="_Toc76381782"/>
      <w:bookmarkStart w:id="87" w:name="_Toc8580"/>
      <w:bookmarkStart w:id="88" w:name="_Toc20991"/>
      <w:bookmarkStart w:id="89" w:name="_Toc75284960"/>
      <w:bookmarkStart w:id="90" w:name="_Toc20200"/>
      <w:r>
        <w:rPr>
          <w:rFonts w:hint="eastAsia" w:ascii="黑体" w:hAnsi="宋体" w:eastAsia="黑体" w:cs="黑体"/>
          <w:color w:val="auto"/>
          <w:kern w:val="0"/>
          <w:sz w:val="24"/>
          <w:szCs w:val="24"/>
          <w:highlight w:val="none"/>
        </w:rPr>
        <w:t>评审与磋商</w:t>
      </w:r>
      <w:bookmarkEnd w:id="86"/>
      <w:bookmarkEnd w:id="87"/>
      <w:bookmarkEnd w:id="88"/>
      <w:bookmarkEnd w:id="89"/>
      <w:bookmarkEnd w:id="90"/>
    </w:p>
    <w:p w14:paraId="11B32BD8">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磋商小组</w:t>
      </w:r>
    </w:p>
    <w:p w14:paraId="4446829F">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bookmarkStart w:id="91" w:name="_Ref527102573"/>
      <w:r>
        <w:rPr>
          <w:rFonts w:hint="eastAsia" w:ascii="宋体" w:hAnsi="宋体" w:cs="黑体"/>
          <w:color w:val="auto"/>
          <w:kern w:val="0"/>
          <w:sz w:val="24"/>
          <w:szCs w:val="24"/>
          <w:highlight w:val="none"/>
        </w:rPr>
        <w:t>磋商小组由采购人代表和评审专家组成，采购人代表和评审专家人数见供应商须知前附表。</w:t>
      </w:r>
      <w:bookmarkEnd w:id="91"/>
    </w:p>
    <w:p w14:paraId="5E5B1916">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磋商小组成员有下列情形之一的，应当回避：</w:t>
      </w:r>
    </w:p>
    <w:p w14:paraId="79B01A66">
      <w:pPr>
        <w:pStyle w:val="40"/>
        <w:keepNext w:val="0"/>
        <w:keepLines w:val="0"/>
        <w:pageBreakBefore w:val="0"/>
        <w:widowControl w:val="0"/>
        <w:numPr>
          <w:ilvl w:val="0"/>
          <w:numId w:val="9"/>
        </w:numPr>
        <w:kinsoku/>
        <w:wordWrap/>
        <w:overflowPunct/>
        <w:topLinePunct w:val="0"/>
        <w:bidi w:val="0"/>
        <w:snapToGrid w:val="0"/>
        <w:spacing w:line="360" w:lineRule="auto"/>
        <w:ind w:left="1985" w:hanging="851"/>
        <w:textAlignment w:val="auto"/>
        <w:rPr>
          <w:rFonts w:hAnsi="宋体" w:cs="宋体"/>
          <w:color w:val="auto"/>
          <w:sz w:val="24"/>
          <w:szCs w:val="24"/>
          <w:highlight w:val="none"/>
        </w:rPr>
      </w:pPr>
      <w:r>
        <w:rPr>
          <w:rFonts w:hAnsi="宋体" w:cs="宋体"/>
          <w:color w:val="auto"/>
          <w:sz w:val="24"/>
          <w:szCs w:val="24"/>
          <w:highlight w:val="none"/>
        </w:rPr>
        <w:t>参加采购活动前3年内与供应商存在劳动关系；</w:t>
      </w:r>
    </w:p>
    <w:p w14:paraId="3AB84306">
      <w:pPr>
        <w:pStyle w:val="40"/>
        <w:keepNext w:val="0"/>
        <w:keepLines w:val="0"/>
        <w:pageBreakBefore w:val="0"/>
        <w:widowControl w:val="0"/>
        <w:numPr>
          <w:ilvl w:val="0"/>
          <w:numId w:val="9"/>
        </w:numPr>
        <w:kinsoku/>
        <w:wordWrap/>
        <w:overflowPunct/>
        <w:topLinePunct w:val="0"/>
        <w:bidi w:val="0"/>
        <w:snapToGrid w:val="0"/>
        <w:spacing w:line="360" w:lineRule="auto"/>
        <w:ind w:left="1985" w:hanging="851"/>
        <w:textAlignment w:val="auto"/>
        <w:rPr>
          <w:rFonts w:hAnsi="宋体" w:cs="宋体"/>
          <w:color w:val="auto"/>
          <w:sz w:val="24"/>
          <w:szCs w:val="24"/>
          <w:highlight w:val="none"/>
        </w:rPr>
      </w:pPr>
      <w:r>
        <w:rPr>
          <w:rFonts w:hAnsi="宋体" w:cs="宋体"/>
          <w:color w:val="auto"/>
          <w:sz w:val="24"/>
          <w:szCs w:val="24"/>
          <w:highlight w:val="none"/>
        </w:rPr>
        <w:t>参加采购活动前3年内担任供应商的董事、监事；</w:t>
      </w:r>
    </w:p>
    <w:p w14:paraId="44E9E475">
      <w:pPr>
        <w:pStyle w:val="40"/>
        <w:keepNext w:val="0"/>
        <w:keepLines w:val="0"/>
        <w:pageBreakBefore w:val="0"/>
        <w:widowControl w:val="0"/>
        <w:numPr>
          <w:ilvl w:val="0"/>
          <w:numId w:val="9"/>
        </w:numPr>
        <w:kinsoku/>
        <w:wordWrap/>
        <w:overflowPunct/>
        <w:topLinePunct w:val="0"/>
        <w:bidi w:val="0"/>
        <w:snapToGrid w:val="0"/>
        <w:spacing w:line="360" w:lineRule="auto"/>
        <w:ind w:left="1985" w:hanging="851"/>
        <w:textAlignment w:val="auto"/>
        <w:rPr>
          <w:rFonts w:hAnsi="宋体" w:cs="宋体"/>
          <w:color w:val="auto"/>
          <w:sz w:val="24"/>
          <w:szCs w:val="24"/>
          <w:highlight w:val="none"/>
        </w:rPr>
      </w:pPr>
      <w:r>
        <w:rPr>
          <w:rFonts w:hAnsi="宋体" w:cs="宋体"/>
          <w:color w:val="auto"/>
          <w:sz w:val="24"/>
          <w:szCs w:val="24"/>
          <w:highlight w:val="none"/>
        </w:rPr>
        <w:t>参加采购活动前3年内是供应商的控股股东或者实际控制人；</w:t>
      </w:r>
    </w:p>
    <w:p w14:paraId="147F1F33">
      <w:pPr>
        <w:pStyle w:val="40"/>
        <w:keepNext w:val="0"/>
        <w:keepLines w:val="0"/>
        <w:pageBreakBefore w:val="0"/>
        <w:widowControl w:val="0"/>
        <w:numPr>
          <w:ilvl w:val="0"/>
          <w:numId w:val="9"/>
        </w:numPr>
        <w:kinsoku/>
        <w:wordWrap/>
        <w:overflowPunct/>
        <w:topLinePunct w:val="0"/>
        <w:bidi w:val="0"/>
        <w:snapToGrid w:val="0"/>
        <w:spacing w:line="360" w:lineRule="auto"/>
        <w:ind w:left="1985" w:hanging="851"/>
        <w:textAlignment w:val="auto"/>
        <w:rPr>
          <w:rFonts w:hAnsi="宋体" w:cs="宋体"/>
          <w:color w:val="auto"/>
          <w:sz w:val="24"/>
          <w:szCs w:val="24"/>
          <w:highlight w:val="none"/>
        </w:rPr>
      </w:pPr>
      <w:r>
        <w:rPr>
          <w:rFonts w:hAnsi="宋体" w:cs="宋体"/>
          <w:color w:val="auto"/>
          <w:sz w:val="24"/>
          <w:szCs w:val="24"/>
          <w:highlight w:val="none"/>
        </w:rPr>
        <w:t>与供应商的法定代表人或者负责人有夫妻、直系血亲、三代内旁系血亲或者近姻亲关系；</w:t>
      </w:r>
    </w:p>
    <w:p w14:paraId="64907C07">
      <w:pPr>
        <w:pStyle w:val="40"/>
        <w:keepNext w:val="0"/>
        <w:keepLines w:val="0"/>
        <w:pageBreakBefore w:val="0"/>
        <w:widowControl w:val="0"/>
        <w:numPr>
          <w:ilvl w:val="0"/>
          <w:numId w:val="9"/>
        </w:numPr>
        <w:kinsoku/>
        <w:wordWrap/>
        <w:overflowPunct/>
        <w:topLinePunct w:val="0"/>
        <w:bidi w:val="0"/>
        <w:snapToGrid w:val="0"/>
        <w:spacing w:line="360" w:lineRule="auto"/>
        <w:ind w:left="1985" w:hanging="851"/>
        <w:textAlignment w:val="auto"/>
        <w:rPr>
          <w:rFonts w:hAnsi="宋体" w:cs="宋体"/>
          <w:color w:val="auto"/>
          <w:sz w:val="24"/>
          <w:szCs w:val="24"/>
          <w:highlight w:val="none"/>
        </w:rPr>
      </w:pPr>
      <w:r>
        <w:rPr>
          <w:rFonts w:hAnsi="宋体" w:cs="宋体"/>
          <w:color w:val="auto"/>
          <w:sz w:val="24"/>
          <w:szCs w:val="24"/>
          <w:highlight w:val="none"/>
        </w:rPr>
        <w:t>与供应商有其他可能影响政府采购活动公平、公正进行的关系。</w:t>
      </w:r>
    </w:p>
    <w:p w14:paraId="26B44B3A">
      <w:pPr>
        <w:keepNext w:val="0"/>
        <w:keepLines w:val="0"/>
        <w:pageBreakBefore w:val="0"/>
        <w:widowControl w:val="0"/>
        <w:numPr>
          <w:ilvl w:val="2"/>
          <w:numId w:val="6"/>
        </w:numPr>
        <w:tabs>
          <w:tab w:val="left" w:pos="1260"/>
          <w:tab w:val="left" w:pos="1418"/>
          <w:tab w:val="left" w:pos="180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磋商小组</w:t>
      </w:r>
      <w:r>
        <w:rPr>
          <w:rFonts w:hint="eastAsia" w:ascii="宋体" w:hAnsi="宋体"/>
          <w:color w:val="auto"/>
          <w:sz w:val="24"/>
          <w:szCs w:val="24"/>
          <w:highlight w:val="none"/>
        </w:rPr>
        <w:t>负责具体评审事务，并独立履行下列职责</w:t>
      </w:r>
      <w:r>
        <w:rPr>
          <w:rFonts w:hint="eastAsia" w:ascii="宋体" w:hAnsi="宋体" w:cs="黑体"/>
          <w:color w:val="auto"/>
          <w:kern w:val="0"/>
          <w:sz w:val="24"/>
          <w:szCs w:val="24"/>
          <w:highlight w:val="none"/>
        </w:rPr>
        <w:t>：</w:t>
      </w:r>
    </w:p>
    <w:p w14:paraId="30361CAF">
      <w:pPr>
        <w:pStyle w:val="40"/>
        <w:keepNext w:val="0"/>
        <w:keepLines w:val="0"/>
        <w:pageBreakBefore w:val="0"/>
        <w:widowControl w:val="0"/>
        <w:numPr>
          <w:ilvl w:val="0"/>
          <w:numId w:val="10"/>
        </w:numPr>
        <w:kinsoku/>
        <w:wordWrap/>
        <w:overflowPunct/>
        <w:topLinePunct w:val="0"/>
        <w:bidi w:val="0"/>
        <w:snapToGrid w:val="0"/>
        <w:spacing w:line="360" w:lineRule="auto"/>
        <w:ind w:left="1985" w:hanging="851"/>
        <w:textAlignment w:val="auto"/>
        <w:rPr>
          <w:rFonts w:hAnsi="宋体" w:cs="宋体"/>
          <w:color w:val="auto"/>
          <w:sz w:val="24"/>
          <w:szCs w:val="24"/>
          <w:highlight w:val="none"/>
        </w:rPr>
      </w:pPr>
      <w:bookmarkStart w:id="92" w:name="_Toc195921828"/>
      <w:r>
        <w:rPr>
          <w:rFonts w:hint="eastAsia" w:hAnsi="宋体" w:cs="宋体"/>
          <w:color w:val="auto"/>
          <w:sz w:val="24"/>
          <w:szCs w:val="24"/>
          <w:highlight w:val="none"/>
        </w:rPr>
        <w:t>确认磋商文件；</w:t>
      </w:r>
    </w:p>
    <w:p w14:paraId="3AF026E2">
      <w:pPr>
        <w:pStyle w:val="40"/>
        <w:keepNext w:val="0"/>
        <w:keepLines w:val="0"/>
        <w:pageBreakBefore w:val="0"/>
        <w:widowControl w:val="0"/>
        <w:numPr>
          <w:ilvl w:val="0"/>
          <w:numId w:val="10"/>
        </w:numPr>
        <w:kinsoku/>
        <w:wordWrap/>
        <w:overflowPunct/>
        <w:topLinePunct w:val="0"/>
        <w:bidi w:val="0"/>
        <w:snapToGrid w:val="0"/>
        <w:spacing w:line="360" w:lineRule="auto"/>
        <w:ind w:left="1985" w:hanging="851"/>
        <w:textAlignment w:val="auto"/>
        <w:rPr>
          <w:rFonts w:hAnsi="宋体" w:cs="宋体"/>
          <w:color w:val="auto"/>
          <w:sz w:val="24"/>
          <w:szCs w:val="24"/>
          <w:highlight w:val="none"/>
        </w:rPr>
      </w:pPr>
      <w:r>
        <w:rPr>
          <w:rFonts w:hint="eastAsia" w:hAnsi="宋体" w:cs="宋体"/>
          <w:color w:val="auto"/>
          <w:sz w:val="24"/>
          <w:szCs w:val="24"/>
          <w:highlight w:val="none"/>
        </w:rPr>
        <w:t>审查供应商的响应文件并作出评价；</w:t>
      </w:r>
    </w:p>
    <w:p w14:paraId="6D2A8A13">
      <w:pPr>
        <w:pStyle w:val="40"/>
        <w:keepNext w:val="0"/>
        <w:keepLines w:val="0"/>
        <w:pageBreakBefore w:val="0"/>
        <w:widowControl w:val="0"/>
        <w:numPr>
          <w:ilvl w:val="0"/>
          <w:numId w:val="10"/>
        </w:numPr>
        <w:kinsoku/>
        <w:wordWrap/>
        <w:overflowPunct/>
        <w:topLinePunct w:val="0"/>
        <w:bidi w:val="0"/>
        <w:snapToGrid w:val="0"/>
        <w:spacing w:line="360" w:lineRule="auto"/>
        <w:ind w:left="1985" w:hanging="851"/>
        <w:textAlignment w:val="auto"/>
        <w:rPr>
          <w:rFonts w:hAnsi="宋体" w:cs="宋体"/>
          <w:color w:val="auto"/>
          <w:sz w:val="24"/>
          <w:szCs w:val="24"/>
          <w:highlight w:val="none"/>
        </w:rPr>
      </w:pPr>
      <w:r>
        <w:rPr>
          <w:rFonts w:hint="eastAsia" w:hAnsi="宋体" w:cs="宋体"/>
          <w:color w:val="auto"/>
          <w:sz w:val="24"/>
          <w:szCs w:val="24"/>
          <w:highlight w:val="none"/>
        </w:rPr>
        <w:t>要求供应商解释或者澄清其响应文件；</w:t>
      </w:r>
    </w:p>
    <w:p w14:paraId="6626DD18">
      <w:pPr>
        <w:pStyle w:val="40"/>
        <w:keepNext w:val="0"/>
        <w:keepLines w:val="0"/>
        <w:pageBreakBefore w:val="0"/>
        <w:widowControl w:val="0"/>
        <w:numPr>
          <w:ilvl w:val="0"/>
          <w:numId w:val="10"/>
        </w:numPr>
        <w:kinsoku/>
        <w:wordWrap/>
        <w:overflowPunct/>
        <w:topLinePunct w:val="0"/>
        <w:bidi w:val="0"/>
        <w:snapToGrid w:val="0"/>
        <w:spacing w:line="360" w:lineRule="auto"/>
        <w:ind w:left="1985" w:hanging="851"/>
        <w:textAlignment w:val="auto"/>
        <w:rPr>
          <w:rFonts w:hAnsi="宋体" w:cs="宋体"/>
          <w:color w:val="auto"/>
          <w:sz w:val="24"/>
          <w:szCs w:val="24"/>
          <w:highlight w:val="none"/>
        </w:rPr>
      </w:pPr>
      <w:r>
        <w:rPr>
          <w:rFonts w:hint="eastAsia" w:hAnsi="宋体" w:cs="宋体"/>
          <w:color w:val="auto"/>
          <w:sz w:val="24"/>
          <w:szCs w:val="24"/>
          <w:highlight w:val="none"/>
        </w:rPr>
        <w:t>编写评审报告；</w:t>
      </w:r>
    </w:p>
    <w:p w14:paraId="52851774">
      <w:pPr>
        <w:pStyle w:val="40"/>
        <w:keepNext w:val="0"/>
        <w:keepLines w:val="0"/>
        <w:pageBreakBefore w:val="0"/>
        <w:widowControl w:val="0"/>
        <w:numPr>
          <w:ilvl w:val="0"/>
          <w:numId w:val="10"/>
        </w:numPr>
        <w:kinsoku/>
        <w:wordWrap/>
        <w:overflowPunct/>
        <w:topLinePunct w:val="0"/>
        <w:bidi w:val="0"/>
        <w:snapToGrid w:val="0"/>
        <w:spacing w:line="360" w:lineRule="auto"/>
        <w:ind w:left="1985" w:hanging="851"/>
        <w:textAlignment w:val="auto"/>
        <w:rPr>
          <w:rFonts w:hAnsi="宋体" w:cs="宋体"/>
          <w:color w:val="auto"/>
          <w:sz w:val="24"/>
          <w:szCs w:val="24"/>
          <w:highlight w:val="none"/>
        </w:rPr>
      </w:pPr>
      <w:r>
        <w:rPr>
          <w:rFonts w:hint="eastAsia" w:hAnsi="宋体" w:cs="宋体"/>
          <w:color w:val="auto"/>
          <w:sz w:val="24"/>
          <w:szCs w:val="24"/>
          <w:highlight w:val="none"/>
        </w:rPr>
        <w:t>告知采购人、采购代理机构在评审过程中发现的供应商的违法违规行为。</w:t>
      </w:r>
    </w:p>
    <w:p w14:paraId="32FD197A">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ascii="宋体" w:hAnsi="宋体" w:cs="TimesNewRomanPSMT"/>
          <w:color w:val="auto"/>
          <w:kern w:val="0"/>
          <w:sz w:val="24"/>
          <w:szCs w:val="24"/>
          <w:highlight w:val="none"/>
        </w:rPr>
      </w:pPr>
      <w:r>
        <w:rPr>
          <w:rFonts w:hint="eastAsia" w:ascii="宋体" w:hAnsi="宋体" w:cs="黑体"/>
          <w:color w:val="auto"/>
          <w:kern w:val="0"/>
          <w:sz w:val="24"/>
          <w:szCs w:val="24"/>
          <w:highlight w:val="none"/>
        </w:rPr>
        <w:t>磋商小组所有成员应当集中与单一</w:t>
      </w:r>
      <w:r>
        <w:rPr>
          <w:rFonts w:hint="eastAsia" w:ascii="宋体" w:hAnsi="宋体" w:cs="黑体"/>
          <w:color w:val="auto"/>
          <w:kern w:val="0"/>
          <w:sz w:val="24"/>
          <w:szCs w:val="24"/>
          <w:highlight w:val="none"/>
          <w:lang w:eastAsia="zh-CN"/>
        </w:rPr>
        <w:t>供应商</w:t>
      </w:r>
      <w:r>
        <w:rPr>
          <w:rFonts w:hint="eastAsia" w:ascii="宋体" w:hAnsi="宋体" w:cs="黑体"/>
          <w:color w:val="auto"/>
          <w:kern w:val="0"/>
          <w:sz w:val="24"/>
          <w:szCs w:val="24"/>
          <w:highlight w:val="none"/>
        </w:rPr>
        <w:t>分别进行磋商，并给予所有参加磋商的</w:t>
      </w:r>
      <w:r>
        <w:rPr>
          <w:rFonts w:hint="eastAsia" w:ascii="宋体" w:hAnsi="宋体" w:cs="黑体"/>
          <w:color w:val="auto"/>
          <w:kern w:val="0"/>
          <w:sz w:val="24"/>
          <w:szCs w:val="24"/>
          <w:highlight w:val="none"/>
          <w:lang w:eastAsia="zh-CN"/>
        </w:rPr>
        <w:t>供应商</w:t>
      </w:r>
      <w:r>
        <w:rPr>
          <w:rFonts w:hint="eastAsia" w:ascii="宋体" w:hAnsi="宋体" w:cs="黑体"/>
          <w:color w:val="auto"/>
          <w:kern w:val="0"/>
          <w:sz w:val="24"/>
          <w:szCs w:val="24"/>
          <w:highlight w:val="none"/>
        </w:rPr>
        <w:t>平等的磋商机会</w:t>
      </w:r>
      <w:r>
        <w:rPr>
          <w:rFonts w:hint="eastAsia" w:ascii="宋体" w:hAnsi="宋体" w:cs="黑体"/>
          <w:color w:val="auto"/>
          <w:kern w:val="0"/>
          <w:sz w:val="24"/>
          <w:szCs w:val="24"/>
          <w:highlight w:val="none"/>
          <w:lang w:eastAsia="zh-CN"/>
        </w:rPr>
        <w:t>。</w:t>
      </w:r>
    </w:p>
    <w:p w14:paraId="6438158B">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ascii="宋体" w:hAnsi="宋体" w:cs="TimesNewRomanPSMT"/>
          <w:color w:val="auto"/>
          <w:kern w:val="0"/>
          <w:sz w:val="24"/>
          <w:szCs w:val="24"/>
          <w:highlight w:val="none"/>
        </w:rPr>
      </w:pPr>
      <w:r>
        <w:rPr>
          <w:rFonts w:hint="eastAsia" w:ascii="宋体" w:hAnsi="宋体" w:cs="TimesNewRomanPSMT"/>
          <w:color w:val="auto"/>
          <w:kern w:val="0"/>
          <w:sz w:val="24"/>
          <w:szCs w:val="24"/>
          <w:highlight w:val="none"/>
        </w:rPr>
        <w:t>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w:t>
      </w:r>
      <w:r>
        <w:rPr>
          <w:rFonts w:hint="eastAsia" w:ascii="宋体" w:hAnsi="宋体" w:cs="TimesNewRomanPSMT"/>
          <w:color w:val="auto"/>
          <w:kern w:val="0"/>
          <w:sz w:val="24"/>
          <w:szCs w:val="24"/>
          <w:highlight w:val="none"/>
          <w:lang w:eastAsia="zh-CN"/>
        </w:rPr>
        <w:t>供应商</w:t>
      </w:r>
      <w:r>
        <w:rPr>
          <w:rFonts w:hint="eastAsia" w:ascii="宋体" w:hAnsi="宋体" w:cs="TimesNewRomanPSMT"/>
          <w:color w:val="auto"/>
          <w:kern w:val="0"/>
          <w:sz w:val="24"/>
          <w:szCs w:val="24"/>
          <w:highlight w:val="none"/>
        </w:rPr>
        <w:t>。</w:t>
      </w:r>
      <w:r>
        <w:rPr>
          <w:rFonts w:hint="eastAsia" w:ascii="宋体" w:hAnsi="宋体" w:cs="TimesNewRomanPSMT"/>
          <w:color w:val="auto"/>
          <w:kern w:val="0"/>
          <w:sz w:val="24"/>
          <w:szCs w:val="24"/>
          <w:highlight w:val="none"/>
          <w:lang w:eastAsia="zh-CN"/>
        </w:rPr>
        <w:t>供应商</w:t>
      </w:r>
      <w:r>
        <w:rPr>
          <w:rFonts w:hint="eastAsia" w:ascii="宋体" w:hAnsi="宋体" w:cs="TimesNewRomanPSMT"/>
          <w:color w:val="auto"/>
          <w:kern w:val="0"/>
          <w:sz w:val="24"/>
          <w:szCs w:val="24"/>
          <w:highlight w:val="none"/>
        </w:rPr>
        <w:t>应当按照磋商文件的变动情况和磋商小组的要求重新提交响应文件，并由其法定代表人或授权代表签字或者加盖公章。由授权代表签字的，应当附法定代表人授权书。</w:t>
      </w:r>
      <w:r>
        <w:rPr>
          <w:rFonts w:hint="eastAsia" w:ascii="宋体" w:hAnsi="宋体" w:cs="TimesNewRomanPSMT"/>
          <w:color w:val="auto"/>
          <w:kern w:val="0"/>
          <w:sz w:val="24"/>
          <w:szCs w:val="24"/>
          <w:highlight w:val="none"/>
          <w:lang w:eastAsia="zh-CN"/>
        </w:rPr>
        <w:t>供应商</w:t>
      </w:r>
      <w:r>
        <w:rPr>
          <w:rFonts w:hint="eastAsia" w:ascii="宋体" w:hAnsi="宋体" w:cs="TimesNewRomanPSMT"/>
          <w:color w:val="auto"/>
          <w:kern w:val="0"/>
          <w:sz w:val="24"/>
          <w:szCs w:val="24"/>
          <w:highlight w:val="none"/>
        </w:rPr>
        <w:t>为自然人的，应当由本人签字并附身份证明。</w:t>
      </w:r>
    </w:p>
    <w:p w14:paraId="7F76E574">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ascii="宋体" w:hAnsi="宋体" w:cs="TimesNewRomanPSMT"/>
          <w:color w:val="auto"/>
          <w:kern w:val="0"/>
          <w:sz w:val="24"/>
          <w:szCs w:val="24"/>
          <w:highlight w:val="none"/>
        </w:rPr>
      </w:pPr>
      <w:r>
        <w:rPr>
          <w:rFonts w:hint="eastAsia" w:ascii="宋体" w:hAnsi="宋体" w:cs="TimesNewRomanPSMT"/>
          <w:color w:val="auto"/>
          <w:kern w:val="0"/>
          <w:sz w:val="24"/>
          <w:szCs w:val="24"/>
          <w:highlight w:val="none"/>
        </w:rPr>
        <w:t>符合《政府采购竞争性磋商采购方式管理暂行办法》的通知(财库〔2014〕214 号)第三条第四项或《财政部关于政府采购竞争性磋商采购方式管理暂行办法有关问题的补充通知》（财库〔2015〕124 号）情形的，提交最后报价的</w:t>
      </w:r>
      <w:r>
        <w:rPr>
          <w:rFonts w:hint="eastAsia" w:ascii="宋体" w:hAnsi="宋体" w:cs="TimesNewRomanPSMT"/>
          <w:color w:val="auto"/>
          <w:kern w:val="0"/>
          <w:sz w:val="24"/>
          <w:szCs w:val="24"/>
          <w:highlight w:val="none"/>
          <w:lang w:eastAsia="zh-CN"/>
        </w:rPr>
        <w:t>供应商</w:t>
      </w:r>
      <w:r>
        <w:rPr>
          <w:rFonts w:hint="eastAsia" w:ascii="宋体" w:hAnsi="宋体" w:cs="TimesNewRomanPSMT"/>
          <w:color w:val="auto"/>
          <w:kern w:val="0"/>
          <w:sz w:val="24"/>
          <w:szCs w:val="24"/>
          <w:highlight w:val="none"/>
        </w:rPr>
        <w:t>可以为 2 家。</w:t>
      </w:r>
    </w:p>
    <w:p w14:paraId="6B82AFE4">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ascii="宋体" w:hAnsi="宋体" w:cs="TimesNewRomanPSMT"/>
          <w:color w:val="auto"/>
          <w:kern w:val="0"/>
          <w:sz w:val="24"/>
          <w:szCs w:val="24"/>
          <w:highlight w:val="none"/>
        </w:rPr>
      </w:pPr>
      <w:r>
        <w:rPr>
          <w:rFonts w:hint="eastAsia" w:ascii="宋体" w:hAnsi="宋体" w:cs="TimesNewRomanPSMT"/>
          <w:color w:val="auto"/>
          <w:kern w:val="0"/>
          <w:sz w:val="24"/>
          <w:szCs w:val="24"/>
          <w:highlight w:val="none"/>
        </w:rPr>
        <w:t>已提交响应文件的</w:t>
      </w:r>
      <w:r>
        <w:rPr>
          <w:rFonts w:hint="eastAsia" w:ascii="宋体" w:hAnsi="宋体" w:cs="TimesNewRomanPSMT"/>
          <w:color w:val="auto"/>
          <w:kern w:val="0"/>
          <w:sz w:val="24"/>
          <w:szCs w:val="24"/>
          <w:highlight w:val="none"/>
          <w:lang w:eastAsia="zh-CN"/>
        </w:rPr>
        <w:t>供应商</w:t>
      </w:r>
      <w:r>
        <w:rPr>
          <w:rFonts w:hint="eastAsia" w:ascii="宋体" w:hAnsi="宋体" w:cs="TimesNewRomanPSMT"/>
          <w:color w:val="auto"/>
          <w:kern w:val="0"/>
          <w:sz w:val="24"/>
          <w:szCs w:val="24"/>
          <w:highlight w:val="none"/>
        </w:rPr>
        <w:t>，在提交最后报价之前，可以根据磋商情况退出磋商</w:t>
      </w:r>
      <w:r>
        <w:rPr>
          <w:rFonts w:hint="eastAsia" w:ascii="宋体" w:hAnsi="宋体" w:cs="TimesNewRomanPSMT"/>
          <w:color w:val="auto"/>
          <w:kern w:val="0"/>
          <w:sz w:val="24"/>
          <w:szCs w:val="24"/>
          <w:highlight w:val="none"/>
          <w:lang w:eastAsia="zh-CN"/>
        </w:rPr>
        <w:t>。</w:t>
      </w:r>
    </w:p>
    <w:p w14:paraId="7C760C63">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ascii="宋体" w:hAnsi="宋体" w:cs="TimesNewRomanPSMT"/>
          <w:color w:val="auto"/>
          <w:kern w:val="0"/>
          <w:sz w:val="24"/>
          <w:szCs w:val="24"/>
          <w:highlight w:val="none"/>
        </w:rPr>
      </w:pPr>
      <w:r>
        <w:rPr>
          <w:rFonts w:hint="eastAsia" w:ascii="宋体" w:hAnsi="宋体" w:cs="TimesNewRomanPSMT"/>
          <w:color w:val="auto"/>
          <w:kern w:val="0"/>
          <w:sz w:val="24"/>
          <w:szCs w:val="24"/>
          <w:highlight w:val="none"/>
        </w:rPr>
        <w:t>供应商应当按照磋商文件的变动情况和磋商小组的要求重新提交最后报价函，并由其法定代表人或授权代表签字或者加盖公章。由授权代表签字的，应当附法定代表人授权书。</w:t>
      </w:r>
    </w:p>
    <w:p w14:paraId="54F892B4">
      <w:pPr>
        <w:keepNext w:val="0"/>
        <w:keepLines w:val="0"/>
        <w:pageBreakBefore w:val="0"/>
        <w:widowControl w:val="0"/>
        <w:kinsoku/>
        <w:wordWrap/>
        <w:overflowPunct/>
        <w:topLinePunct w:val="0"/>
        <w:autoSpaceDE w:val="0"/>
        <w:autoSpaceDN w:val="0"/>
        <w:bidi w:val="0"/>
        <w:adjustRightInd w:val="0"/>
        <w:snapToGrid w:val="0"/>
        <w:spacing w:line="360" w:lineRule="auto"/>
        <w:ind w:left="1134" w:leftChars="540"/>
        <w:textAlignment w:val="auto"/>
        <w:rPr>
          <w:rFonts w:ascii="宋体" w:hAnsi="宋体" w:cs="TimesNewRomanPSMT"/>
          <w:color w:val="auto"/>
          <w:kern w:val="0"/>
          <w:sz w:val="24"/>
          <w:szCs w:val="24"/>
          <w:highlight w:val="none"/>
        </w:rPr>
      </w:pPr>
      <w:r>
        <w:rPr>
          <w:rFonts w:hint="eastAsia" w:ascii="宋体" w:hAnsi="宋体" w:cs="TimesNewRomanPSMT"/>
          <w:color w:val="auto"/>
          <w:kern w:val="0"/>
          <w:sz w:val="24"/>
          <w:szCs w:val="24"/>
          <w:highlight w:val="none"/>
        </w:rPr>
        <w:t>最后报价函是供应商响应文件的有效组成部分。</w:t>
      </w:r>
    </w:p>
    <w:p w14:paraId="35693488">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ascii="宋体" w:hAnsi="宋体" w:cs="TimesNewRomanPSMT"/>
          <w:color w:val="auto"/>
          <w:kern w:val="0"/>
          <w:sz w:val="24"/>
          <w:szCs w:val="24"/>
          <w:highlight w:val="none"/>
        </w:rPr>
      </w:pPr>
      <w:r>
        <w:rPr>
          <w:rFonts w:hint="eastAsia" w:ascii="宋体" w:hAnsi="宋体" w:cs="TimesNewRomanPSMT"/>
          <w:color w:val="auto"/>
          <w:kern w:val="0"/>
          <w:sz w:val="24"/>
          <w:szCs w:val="24"/>
          <w:highlight w:val="none"/>
        </w:rPr>
        <w:t>若竞争性磋商最后报价函与供应商首次递交的报价函及报价函附录的内容有差异，以竞争性磋商最后报价函内容为准。</w:t>
      </w:r>
    </w:p>
    <w:p w14:paraId="3C49429C">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ascii="宋体" w:hAnsi="宋体"/>
          <w:color w:val="auto"/>
          <w:sz w:val="24"/>
          <w:szCs w:val="24"/>
          <w:highlight w:val="none"/>
        </w:rPr>
      </w:pPr>
      <w:r>
        <w:rPr>
          <w:rFonts w:hint="eastAsia" w:ascii="宋体" w:hAnsi="宋体" w:cs="TimesNewRomanPSMT"/>
          <w:color w:val="auto"/>
          <w:kern w:val="0"/>
          <w:sz w:val="24"/>
          <w:szCs w:val="24"/>
          <w:highlight w:val="none"/>
        </w:rPr>
        <w:t>若成交供应商的竞争性磋商最后报价函的报价与首次递交的报价函的报价有差异，则首次响应文件中所列明的各项单价和合价，应在符合适用法律法规和相关政策的基础上按最后报价与首次报价的变化幅度进行调整，收到成交通知书后的3日内提交给采购人；对采购人提出的审查意见在合同签订前修改完成。</w:t>
      </w:r>
    </w:p>
    <w:p w14:paraId="694C728D">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ascii="宋体" w:hAnsi="宋体"/>
          <w:color w:val="auto"/>
          <w:sz w:val="24"/>
          <w:szCs w:val="24"/>
          <w:highlight w:val="none"/>
        </w:rPr>
      </w:pPr>
      <w:r>
        <w:rPr>
          <w:rFonts w:hint="eastAsia" w:ascii="宋体" w:hAnsi="宋体" w:cs="TimesNewRomanPSMT"/>
          <w:color w:val="auto"/>
          <w:kern w:val="0"/>
          <w:sz w:val="24"/>
          <w:szCs w:val="24"/>
          <w:highlight w:val="none"/>
        </w:rPr>
        <w:t>磋商小组</w:t>
      </w:r>
      <w:r>
        <w:rPr>
          <w:rFonts w:hint="eastAsia" w:ascii="宋体" w:hAnsi="宋体"/>
          <w:color w:val="auto"/>
          <w:sz w:val="24"/>
          <w:szCs w:val="24"/>
          <w:highlight w:val="none"/>
        </w:rPr>
        <w:t>按照第三章“评审办法和标准”规定的评标方法和标准，对参与磋商最后报价的响应文件进行商务和技术评估，综合比较与评价。“评审办法”没有规定的方法、评审因素和标准，不作为评审依据。</w:t>
      </w:r>
      <w:bookmarkEnd w:id="92"/>
    </w:p>
    <w:p w14:paraId="57F6FBA4">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ascii="宋体" w:hAnsi="宋体"/>
          <w:color w:val="auto"/>
          <w:sz w:val="24"/>
          <w:szCs w:val="24"/>
          <w:highlight w:val="none"/>
        </w:rPr>
      </w:pPr>
      <w:r>
        <w:rPr>
          <w:rFonts w:hint="eastAsia" w:ascii="宋体" w:hAnsi="宋体"/>
          <w:color w:val="auto"/>
          <w:sz w:val="24"/>
          <w:szCs w:val="24"/>
          <w:highlight w:val="none"/>
        </w:rPr>
        <w:t>经磋商确定最终采购需求和提交最后报价的</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后，由磋商小组采用综合评分法对提交最后报价的</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的响应文件和最后报价进行综合评分。</w:t>
      </w:r>
    </w:p>
    <w:p w14:paraId="2EC1C84B">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ascii="宋体" w:hAnsi="宋体"/>
          <w:color w:val="auto"/>
          <w:sz w:val="24"/>
          <w:szCs w:val="24"/>
          <w:highlight w:val="none"/>
        </w:rPr>
      </w:pPr>
      <w:r>
        <w:rPr>
          <w:rFonts w:hint="eastAsia" w:ascii="宋体" w:hAnsi="宋体"/>
          <w:color w:val="auto"/>
          <w:sz w:val="24"/>
          <w:szCs w:val="24"/>
          <w:highlight w:val="none"/>
        </w:rPr>
        <w:t>磋商小组应当根据综合评分情况，按照评审得分由高到低顺序推荐 3 名以上成交候选</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并编写评审报告。符合财政部关于《政府采购竞争性磋商采购方式管理暂行办法》的通知(财库〔2014〕214号)第二十一条第三款或《财政部关于政府采购竞争性磋商采购方式管理暂行办法有关问题的补充通知》（财库〔2015〕124 号）情形的，可以推荐 2 家成交候选</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。评审得分相同的，按照最后报价由低到高的顺序推荐。评审得分且最后报价相同的，按照技术指标优劣顺序推荐</w:t>
      </w:r>
      <w:r>
        <w:rPr>
          <w:rFonts w:hint="eastAsia" w:ascii="宋体" w:hAnsi="宋体"/>
          <w:color w:val="auto"/>
          <w:sz w:val="24"/>
          <w:szCs w:val="24"/>
          <w:highlight w:val="none"/>
          <w:lang w:eastAsia="zh-CN"/>
        </w:rPr>
        <w:t>。</w:t>
      </w:r>
    </w:p>
    <w:p w14:paraId="14E389A2">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ascii="宋体" w:hAnsi="宋体"/>
          <w:color w:val="auto"/>
          <w:sz w:val="24"/>
          <w:szCs w:val="24"/>
          <w:highlight w:val="none"/>
        </w:rPr>
      </w:pPr>
      <w:r>
        <w:rPr>
          <w:rFonts w:hint="eastAsia" w:ascii="宋体" w:hAnsi="宋体"/>
          <w:color w:val="auto"/>
          <w:sz w:val="24"/>
          <w:szCs w:val="24"/>
          <w:highlight w:val="none"/>
        </w:rPr>
        <w:t>评审报告应当由磋商小组全体人员签字认可。磋商小组成员对评审报告有异议的，磋商小组按照少数服从多数的原则推荐成交候选</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28E4BDC8">
      <w:pPr>
        <w:keepNext w:val="0"/>
        <w:keepLines w:val="0"/>
        <w:pageBreakBefore w:val="0"/>
        <w:widowControl w:val="0"/>
        <w:numPr>
          <w:ilvl w:val="0"/>
          <w:numId w:val="6"/>
        </w:numPr>
        <w:kinsoku/>
        <w:wordWrap/>
        <w:overflowPunct/>
        <w:topLinePunct w:val="0"/>
        <w:autoSpaceDE w:val="0"/>
        <w:autoSpaceDN w:val="0"/>
        <w:bidi w:val="0"/>
        <w:adjustRightInd w:val="0"/>
        <w:spacing w:line="360" w:lineRule="auto"/>
        <w:textAlignment w:val="auto"/>
        <w:outlineLvl w:val="2"/>
        <w:rPr>
          <w:rFonts w:ascii="黑体" w:hAnsi="宋体" w:eastAsia="黑体" w:cs="黑体"/>
          <w:color w:val="auto"/>
          <w:kern w:val="0"/>
          <w:sz w:val="24"/>
          <w:szCs w:val="24"/>
          <w:highlight w:val="none"/>
        </w:rPr>
      </w:pPr>
      <w:bookmarkStart w:id="93" w:name="_Toc195921830"/>
      <w:bookmarkStart w:id="94" w:name="_Toc4914"/>
      <w:bookmarkStart w:id="95" w:name="_Toc20633"/>
      <w:bookmarkStart w:id="96" w:name="_Toc76381783"/>
      <w:bookmarkStart w:id="97" w:name="_Toc75284961"/>
      <w:bookmarkStart w:id="98" w:name="_Toc19626"/>
      <w:r>
        <w:rPr>
          <w:rFonts w:hint="eastAsia" w:ascii="黑体" w:hAnsi="宋体" w:eastAsia="黑体" w:cs="黑体"/>
          <w:color w:val="auto"/>
          <w:kern w:val="0"/>
          <w:sz w:val="24"/>
          <w:szCs w:val="24"/>
          <w:highlight w:val="none"/>
        </w:rPr>
        <w:t>合同授予</w:t>
      </w:r>
      <w:bookmarkEnd w:id="93"/>
      <w:bookmarkEnd w:id="94"/>
      <w:bookmarkEnd w:id="95"/>
      <w:bookmarkEnd w:id="96"/>
      <w:bookmarkEnd w:id="97"/>
      <w:bookmarkEnd w:id="98"/>
    </w:p>
    <w:p w14:paraId="72DA5E11">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680" w:hanging="1680" w:hangingChars="700"/>
        <w:textAlignment w:val="auto"/>
        <w:rPr>
          <w:rFonts w:ascii="宋体" w:hAnsi="宋体" w:cs="黑体"/>
          <w:color w:val="auto"/>
          <w:kern w:val="0"/>
          <w:sz w:val="24"/>
          <w:szCs w:val="24"/>
          <w:highlight w:val="none"/>
        </w:rPr>
      </w:pPr>
      <w:bookmarkStart w:id="99" w:name="_Ref526866822"/>
      <w:bookmarkStart w:id="100" w:name="_Toc195921831"/>
      <w:bookmarkStart w:id="101" w:name="_Ref527102841"/>
      <w:r>
        <w:rPr>
          <w:rFonts w:hint="eastAsia" w:ascii="宋体" w:hAnsi="宋体" w:cs="黑体"/>
          <w:color w:val="auto"/>
          <w:kern w:val="0"/>
          <w:sz w:val="24"/>
          <w:szCs w:val="24"/>
          <w:highlight w:val="none"/>
        </w:rPr>
        <w:t>确定成交供应商方式</w:t>
      </w:r>
      <w:bookmarkEnd w:id="99"/>
      <w:bookmarkEnd w:id="100"/>
      <w:bookmarkEnd w:id="101"/>
    </w:p>
    <w:p w14:paraId="5E6FD580">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color w:val="auto"/>
          <w:sz w:val="24"/>
          <w:szCs w:val="24"/>
          <w:highlight w:val="none"/>
        </w:rPr>
      </w:pPr>
      <w:r>
        <w:rPr>
          <w:rFonts w:hint="eastAsia" w:ascii="宋体" w:hAnsi="宋体"/>
          <w:color w:val="auto"/>
          <w:sz w:val="24"/>
          <w:szCs w:val="24"/>
          <w:highlight w:val="none"/>
        </w:rPr>
        <w:t>采购人将确定排名第一的成交候选人为成交供应商并向其授予合同。排名第一的成交候选人因不可抗力或者自身原因不能履行合同，或者本文件规定应当提交保证金而在规定期限未能提交的，采购人可以按照《政府采购竞争性磋商采购方式管理暂行办法》的通知(财库〔2014〕214 号)第二十八条第二款规定的原则确定其他</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作为成交供应商并签订政府采购合同。</w:t>
      </w:r>
    </w:p>
    <w:p w14:paraId="7D52C21C">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ascii="宋体" w:hAnsi="宋体" w:cs="黑体"/>
          <w:color w:val="auto"/>
          <w:kern w:val="0"/>
          <w:sz w:val="24"/>
          <w:szCs w:val="24"/>
          <w:highlight w:val="none"/>
        </w:rPr>
      </w:pPr>
      <w:r>
        <w:rPr>
          <w:rFonts w:hint="eastAsia" w:ascii="宋体" w:hAnsi="宋体"/>
          <w:color w:val="auto"/>
          <w:sz w:val="24"/>
          <w:szCs w:val="24"/>
          <w:highlight w:val="none"/>
        </w:rPr>
        <w:t>采购人应当</w:t>
      </w:r>
      <w:r>
        <w:rPr>
          <w:rFonts w:hint="eastAsia" w:ascii="宋体" w:hAnsi="宋体" w:cs="宋体"/>
          <w:color w:val="auto"/>
          <w:sz w:val="24"/>
          <w:szCs w:val="24"/>
          <w:highlight w:val="none"/>
        </w:rPr>
        <w:t>从评审报告提出的成交候选供应商中，按照得分排序由高到低的原则确定成交供应商</w:t>
      </w:r>
      <w:r>
        <w:rPr>
          <w:rFonts w:hint="eastAsia" w:ascii="宋体" w:hAnsi="宋体"/>
          <w:color w:val="auto"/>
          <w:sz w:val="24"/>
          <w:szCs w:val="24"/>
          <w:highlight w:val="none"/>
        </w:rPr>
        <w:t>，也可以书面授权磋商小组直接确定成交供应商。具体方式见供应商须知前附表。</w:t>
      </w:r>
    </w:p>
    <w:p w14:paraId="20E082CB">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680" w:hanging="1680" w:hangingChars="700"/>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成交公告</w:t>
      </w:r>
    </w:p>
    <w:p w14:paraId="1E939F73">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采购人或者采购代理机构应当自成交供应商确定之日起2个工作日内，在指定的媒体上公告成交结果。</w:t>
      </w:r>
    </w:p>
    <w:p w14:paraId="47E355F2">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ascii="宋体" w:hAnsi="宋体"/>
          <w:color w:val="auto"/>
          <w:sz w:val="24"/>
          <w:szCs w:val="24"/>
          <w:highlight w:val="none"/>
        </w:rPr>
      </w:pPr>
      <w:r>
        <w:rPr>
          <w:rFonts w:hint="eastAsia" w:ascii="宋体" w:hAnsi="宋体"/>
          <w:color w:val="auto"/>
          <w:sz w:val="24"/>
          <w:szCs w:val="24"/>
          <w:highlight w:val="none"/>
        </w:rPr>
        <w:t>成交公告期限为1个工作日。</w:t>
      </w:r>
    </w:p>
    <w:p w14:paraId="4BFB73EC">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olor w:val="auto"/>
          <w:sz w:val="24"/>
          <w:szCs w:val="24"/>
          <w:highlight w:val="none"/>
        </w:rPr>
      </w:pPr>
      <w:r>
        <w:rPr>
          <w:rFonts w:ascii="宋体" w:hAnsi="宋体" w:cs="黑体"/>
          <w:color w:val="auto"/>
          <w:kern w:val="0"/>
          <w:sz w:val="24"/>
          <w:szCs w:val="24"/>
          <w:highlight w:val="none"/>
        </w:rPr>
        <w:t>供应商</w:t>
      </w:r>
      <w:r>
        <w:rPr>
          <w:rFonts w:hint="eastAsia" w:ascii="宋体" w:hAnsi="宋体" w:cs="黑体"/>
          <w:color w:val="auto"/>
          <w:kern w:val="0"/>
          <w:sz w:val="24"/>
          <w:szCs w:val="24"/>
          <w:highlight w:val="none"/>
        </w:rPr>
        <w:t>可以在成交公告期限届满之日</w:t>
      </w:r>
      <w:r>
        <w:rPr>
          <w:rFonts w:hint="eastAsia" w:ascii="宋体" w:hAnsi="宋体"/>
          <w:color w:val="auto"/>
          <w:sz w:val="24"/>
          <w:szCs w:val="24"/>
          <w:highlight w:val="none"/>
        </w:rPr>
        <w:t>起七个工作日内，按本须知</w:t>
      </w:r>
      <w:r>
        <w:rPr>
          <w:color w:val="auto"/>
          <w:sz w:val="24"/>
          <w:szCs w:val="24"/>
          <w:highlight w:val="none"/>
        </w:rPr>
        <w:fldChar w:fldCharType="begin"/>
      </w:r>
      <w:r>
        <w:rPr>
          <w:color w:val="auto"/>
          <w:sz w:val="24"/>
          <w:szCs w:val="24"/>
          <w:highlight w:val="none"/>
        </w:rPr>
        <w:instrText xml:space="preserve"> REF _Ref527101721 \r \h  \* MERGEFORMAT </w:instrText>
      </w:r>
      <w:r>
        <w:rPr>
          <w:color w:val="auto"/>
          <w:sz w:val="24"/>
          <w:szCs w:val="24"/>
          <w:highlight w:val="none"/>
        </w:rPr>
        <w:fldChar w:fldCharType="separate"/>
      </w:r>
      <w:r>
        <w:rPr>
          <w:rFonts w:ascii="宋体" w:hAnsi="宋体"/>
          <w:color w:val="auto"/>
          <w:sz w:val="24"/>
          <w:szCs w:val="24"/>
          <w:highlight w:val="none"/>
        </w:rPr>
        <w:t>2.3</w:t>
      </w:r>
      <w:r>
        <w:rPr>
          <w:rFonts w:ascii="宋体" w:hAnsi="宋体"/>
          <w:color w:val="auto"/>
          <w:sz w:val="24"/>
          <w:szCs w:val="24"/>
          <w:highlight w:val="none"/>
        </w:rPr>
        <w:fldChar w:fldCharType="end"/>
      </w:r>
      <w:r>
        <w:rPr>
          <w:rFonts w:hint="eastAsia" w:ascii="宋体" w:hAnsi="宋体"/>
          <w:color w:val="auto"/>
          <w:sz w:val="24"/>
          <w:szCs w:val="24"/>
          <w:highlight w:val="none"/>
        </w:rPr>
        <w:t>款接收质疑函的方式以书面形式一次性提出对成交结果的质疑。</w:t>
      </w:r>
    </w:p>
    <w:p w14:paraId="41B9E9BD">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680" w:hanging="1680" w:hangingChars="700"/>
        <w:textAlignment w:val="auto"/>
        <w:rPr>
          <w:rFonts w:ascii="宋体" w:hAnsi="宋体" w:cs="黑体"/>
          <w:color w:val="auto"/>
          <w:kern w:val="0"/>
          <w:sz w:val="24"/>
          <w:szCs w:val="24"/>
          <w:highlight w:val="none"/>
        </w:rPr>
      </w:pPr>
      <w:bookmarkStart w:id="102" w:name="_Toc195921832"/>
      <w:r>
        <w:rPr>
          <w:rFonts w:hint="eastAsia" w:ascii="宋体" w:hAnsi="宋体" w:cs="黑体"/>
          <w:color w:val="auto"/>
          <w:kern w:val="0"/>
          <w:sz w:val="24"/>
          <w:szCs w:val="24"/>
          <w:highlight w:val="none"/>
        </w:rPr>
        <w:t>成交通知</w:t>
      </w:r>
      <w:bookmarkEnd w:id="102"/>
    </w:p>
    <w:p w14:paraId="42611F90">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ascii="宋体" w:hAnsi="宋体" w:cs="黑体"/>
          <w:color w:val="auto"/>
          <w:kern w:val="0"/>
          <w:sz w:val="24"/>
          <w:szCs w:val="24"/>
          <w:highlight w:val="none"/>
        </w:rPr>
      </w:pPr>
      <w:r>
        <w:rPr>
          <w:rFonts w:hint="eastAsia" w:ascii="宋体" w:hAnsi="宋体" w:cs="宋体"/>
          <w:color w:val="auto"/>
          <w:kern w:val="0"/>
          <w:sz w:val="24"/>
          <w:szCs w:val="24"/>
          <w:highlight w:val="none"/>
        </w:rPr>
        <w:t>在公告成交结果的同时</w:t>
      </w:r>
      <w:r>
        <w:rPr>
          <w:rFonts w:hint="eastAsia" w:ascii="宋体" w:hAnsi="宋体" w:cs="黑体"/>
          <w:color w:val="auto"/>
          <w:kern w:val="0"/>
          <w:sz w:val="24"/>
          <w:szCs w:val="24"/>
          <w:highlight w:val="none"/>
        </w:rPr>
        <w:t>，采购人以书面形式向成交供应商发出成交通知书，同时将成交结果通知其他参加磋商的供应商。</w:t>
      </w:r>
    </w:p>
    <w:p w14:paraId="38DD68BA">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ascii="宋体" w:hAnsi="宋体" w:cs="黑体"/>
          <w:color w:val="auto"/>
          <w:kern w:val="0"/>
          <w:sz w:val="24"/>
          <w:szCs w:val="24"/>
          <w:highlight w:val="none"/>
        </w:rPr>
      </w:pPr>
      <w:r>
        <w:rPr>
          <w:rFonts w:hint="eastAsia" w:ascii="宋体" w:hAnsi="宋体"/>
          <w:color w:val="auto"/>
          <w:sz w:val="24"/>
          <w:szCs w:val="24"/>
          <w:highlight w:val="none"/>
        </w:rPr>
        <w:t>成交通知书发出后，采购人不得违法改变成交结果，成交供应商无正当理由不得放弃。</w:t>
      </w:r>
    </w:p>
    <w:p w14:paraId="65F1D0E0">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履约保证金</w:t>
      </w:r>
    </w:p>
    <w:p w14:paraId="23EBDBA9">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bookmarkStart w:id="103" w:name="_Ref421009348"/>
      <w:r>
        <w:rPr>
          <w:rFonts w:hint="eastAsia" w:ascii="宋体" w:hAnsi="宋体" w:cs="黑体"/>
          <w:color w:val="auto"/>
          <w:kern w:val="0"/>
          <w:sz w:val="24"/>
          <w:szCs w:val="24"/>
          <w:highlight w:val="none"/>
        </w:rPr>
        <w:t>成交供应商应按供应商须知前附表规定的金额、担保形式和磋商文件第四章“合同条款及格式”规定的履约保证金格式向采购人提交履约保证金。</w:t>
      </w:r>
      <w:bookmarkEnd w:id="103"/>
    </w:p>
    <w:p w14:paraId="720E2EFD">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成交供应商不能按本章第</w:t>
      </w:r>
      <w:r>
        <w:rPr>
          <w:color w:val="auto"/>
          <w:sz w:val="24"/>
          <w:szCs w:val="24"/>
          <w:highlight w:val="none"/>
        </w:rPr>
        <w:fldChar w:fldCharType="begin"/>
      </w:r>
      <w:r>
        <w:rPr>
          <w:color w:val="auto"/>
          <w:sz w:val="24"/>
          <w:szCs w:val="24"/>
          <w:highlight w:val="none"/>
        </w:rPr>
        <w:instrText xml:space="preserve"> REF _Ref421009348 \r \h  \* MERGEFORMAT </w:instrText>
      </w:r>
      <w:r>
        <w:rPr>
          <w:color w:val="auto"/>
          <w:sz w:val="24"/>
          <w:szCs w:val="24"/>
          <w:highlight w:val="none"/>
        </w:rPr>
        <w:fldChar w:fldCharType="separate"/>
      </w:r>
      <w:r>
        <w:rPr>
          <w:rFonts w:ascii="宋体" w:hAnsi="宋体" w:cs="黑体"/>
          <w:color w:val="auto"/>
          <w:kern w:val="0"/>
          <w:sz w:val="24"/>
          <w:szCs w:val="24"/>
          <w:highlight w:val="none"/>
        </w:rPr>
        <w:t>6.4.1</w:t>
      </w:r>
      <w:r>
        <w:rPr>
          <w:color w:val="auto"/>
          <w:sz w:val="24"/>
          <w:szCs w:val="24"/>
          <w:highlight w:val="none"/>
        </w:rPr>
        <w:fldChar w:fldCharType="end"/>
      </w:r>
      <w:r>
        <w:rPr>
          <w:rFonts w:hint="eastAsia" w:ascii="宋体" w:hAnsi="宋体" w:cs="黑体"/>
          <w:color w:val="auto"/>
          <w:kern w:val="0"/>
          <w:sz w:val="24"/>
          <w:szCs w:val="24"/>
          <w:highlight w:val="none"/>
        </w:rPr>
        <w:t>项要求提交履约保证金的，视为放弃成交，其磋商保证金不予退还，给采购人造成的损失超过磋商保证金数额的，成交供应商还应当对超过部分予以赔偿。</w:t>
      </w:r>
    </w:p>
    <w:p w14:paraId="213492CD">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ascii="宋体" w:hAnsi="宋体" w:cs="黑体"/>
          <w:color w:val="auto"/>
          <w:kern w:val="0"/>
          <w:sz w:val="24"/>
          <w:szCs w:val="24"/>
          <w:highlight w:val="none"/>
        </w:rPr>
      </w:pPr>
      <w:bookmarkStart w:id="104" w:name="_Toc195921834"/>
      <w:r>
        <w:rPr>
          <w:rFonts w:hint="eastAsia" w:ascii="宋体" w:hAnsi="宋体" w:cs="黑体"/>
          <w:color w:val="auto"/>
          <w:kern w:val="0"/>
          <w:sz w:val="24"/>
          <w:szCs w:val="24"/>
          <w:highlight w:val="none"/>
        </w:rPr>
        <w:t>签订合同</w:t>
      </w:r>
      <w:bookmarkEnd w:id="104"/>
    </w:p>
    <w:p w14:paraId="09BC56AF">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olor w:val="auto"/>
          <w:sz w:val="24"/>
          <w:szCs w:val="24"/>
          <w:highlight w:val="none"/>
        </w:rPr>
        <w:t>采购人应当自成交通知书发出之日起30日内，按照磋商文件和成交供应商响应文件的规定，与成交供应商签订书面合同。所签订的合同不得对磋商文件确定的事项和成交供应商响应文件作实质性修改。</w:t>
      </w:r>
    </w:p>
    <w:p w14:paraId="0D6B3B3E">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ascii="宋体" w:hAnsi="宋体"/>
          <w:color w:val="auto"/>
          <w:sz w:val="24"/>
          <w:szCs w:val="24"/>
          <w:highlight w:val="none"/>
        </w:rPr>
      </w:pPr>
      <w:r>
        <w:rPr>
          <w:rFonts w:hint="eastAsia" w:ascii="宋体" w:hAnsi="宋体"/>
          <w:color w:val="auto"/>
          <w:sz w:val="24"/>
          <w:szCs w:val="24"/>
          <w:highlight w:val="none"/>
        </w:rPr>
        <w:t>采购人不得向成交供应商提出任何不合理的要求作为签订合同的条件。</w:t>
      </w:r>
    </w:p>
    <w:p w14:paraId="6EF2C86B">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成交供应商无正当理由拒签合同的，采购人取消其成交资格，其磋商保证金不予退还；给采购人造成的损失超过磋商保证金数额的，成交供应商还应当对超过部分予以赔偿。</w:t>
      </w:r>
    </w:p>
    <w:p w14:paraId="29117AD6">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发出成交通知书后，采购人无正当理由拒签合同的，采购人向成交供应商退还磋商保证金；给成交供应商造成损失的，还应当赔偿损失。</w:t>
      </w:r>
    </w:p>
    <w:p w14:paraId="3D616536">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成交供应商拒绝签订政府采购合同的，采购人可以按照第</w:t>
      </w:r>
      <w:r>
        <w:rPr>
          <w:color w:val="auto"/>
          <w:sz w:val="24"/>
          <w:szCs w:val="24"/>
          <w:highlight w:val="none"/>
        </w:rPr>
        <w:fldChar w:fldCharType="begin"/>
      </w:r>
      <w:r>
        <w:rPr>
          <w:color w:val="auto"/>
          <w:sz w:val="24"/>
          <w:szCs w:val="24"/>
          <w:highlight w:val="none"/>
        </w:rPr>
        <w:instrText xml:space="preserve"> REF _Ref526866822 \r \h  \* MERGEFORMAT </w:instrText>
      </w:r>
      <w:r>
        <w:rPr>
          <w:color w:val="auto"/>
          <w:sz w:val="24"/>
          <w:szCs w:val="24"/>
          <w:highlight w:val="none"/>
        </w:rPr>
        <w:fldChar w:fldCharType="separate"/>
      </w:r>
      <w:r>
        <w:rPr>
          <w:rFonts w:ascii="宋体" w:hAnsi="宋体" w:cs="黑体"/>
          <w:color w:val="auto"/>
          <w:kern w:val="0"/>
          <w:sz w:val="24"/>
          <w:szCs w:val="24"/>
          <w:highlight w:val="none"/>
        </w:rPr>
        <w:t>6.1</w:t>
      </w:r>
      <w:r>
        <w:rPr>
          <w:color w:val="auto"/>
          <w:sz w:val="24"/>
          <w:szCs w:val="24"/>
          <w:highlight w:val="none"/>
        </w:rPr>
        <w:fldChar w:fldCharType="end"/>
      </w:r>
      <w:r>
        <w:rPr>
          <w:rFonts w:ascii="宋体" w:hAnsi="宋体" w:cs="黑体"/>
          <w:color w:val="auto"/>
          <w:kern w:val="0"/>
          <w:sz w:val="24"/>
          <w:szCs w:val="24"/>
          <w:highlight w:val="none"/>
        </w:rPr>
        <w:t>款</w:t>
      </w:r>
      <w:r>
        <w:rPr>
          <w:rFonts w:hint="eastAsia" w:ascii="宋体" w:hAnsi="宋体" w:cs="黑体"/>
          <w:color w:val="auto"/>
          <w:kern w:val="0"/>
          <w:sz w:val="24"/>
          <w:szCs w:val="24"/>
          <w:highlight w:val="none"/>
        </w:rPr>
        <w:t>原则确定其他供应商作为成交供应商并签订政府采购合同，也可以重新开展采购活动。拒绝签订政府采购合同的成交供应商不得参加对该项目重新开展的采购活动。</w:t>
      </w:r>
    </w:p>
    <w:p w14:paraId="593C84C1">
      <w:pPr>
        <w:keepNext w:val="0"/>
        <w:keepLines w:val="0"/>
        <w:pageBreakBefore w:val="0"/>
        <w:widowControl w:val="0"/>
        <w:numPr>
          <w:ilvl w:val="2"/>
          <w:numId w:val="6"/>
        </w:numPr>
        <w:tabs>
          <w:tab w:val="left" w:pos="1260"/>
        </w:tabs>
        <w:kinsoku/>
        <w:wordWrap/>
        <w:overflowPunct/>
        <w:topLinePunct w:val="0"/>
        <w:autoSpaceDE w:val="0"/>
        <w:autoSpaceDN w:val="0"/>
        <w:bidi w:val="0"/>
        <w:adjustRightInd w:val="0"/>
        <w:snapToGrid w:val="0"/>
        <w:spacing w:line="360" w:lineRule="auto"/>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无论基于何种原因，各项本应作拒绝处理的情形即便未被及时发现而使该</w:t>
      </w:r>
      <w:r>
        <w:rPr>
          <w:rFonts w:hint="eastAsia" w:ascii="宋体" w:hAnsi="宋体" w:cs="黑体"/>
          <w:color w:val="auto"/>
          <w:kern w:val="0"/>
          <w:sz w:val="24"/>
          <w:szCs w:val="24"/>
          <w:highlight w:val="none"/>
          <w:lang w:eastAsia="zh-CN"/>
        </w:rPr>
        <w:t>供应商</w:t>
      </w:r>
      <w:r>
        <w:rPr>
          <w:rFonts w:hint="eastAsia" w:ascii="宋体" w:hAnsi="宋体" w:cs="黑体"/>
          <w:color w:val="auto"/>
          <w:kern w:val="0"/>
          <w:sz w:val="24"/>
          <w:szCs w:val="24"/>
          <w:highlight w:val="none"/>
        </w:rPr>
        <w:t>进入初审、详细评审或其它后续程序，包括已经签约的情形，一旦在任何时间被发现存在上述情形，则向财政部门反映</w:t>
      </w:r>
      <w:r>
        <w:rPr>
          <w:rFonts w:hint="eastAsia" w:ascii="宋体" w:hAnsi="宋体" w:cs="黑体"/>
          <w:color w:val="auto"/>
          <w:kern w:val="0"/>
          <w:sz w:val="24"/>
          <w:szCs w:val="24"/>
          <w:highlight w:val="none"/>
          <w:lang w:eastAsia="zh-CN"/>
        </w:rPr>
        <w:t>。</w:t>
      </w:r>
    </w:p>
    <w:p w14:paraId="1202DFF1">
      <w:pPr>
        <w:keepNext w:val="0"/>
        <w:keepLines w:val="0"/>
        <w:pageBreakBefore w:val="0"/>
        <w:widowControl w:val="0"/>
        <w:numPr>
          <w:ilvl w:val="0"/>
          <w:numId w:val="6"/>
        </w:numPr>
        <w:kinsoku/>
        <w:wordWrap/>
        <w:overflowPunct/>
        <w:topLinePunct w:val="0"/>
        <w:autoSpaceDE w:val="0"/>
        <w:autoSpaceDN w:val="0"/>
        <w:bidi w:val="0"/>
        <w:adjustRightInd w:val="0"/>
        <w:spacing w:line="360" w:lineRule="auto"/>
        <w:textAlignment w:val="auto"/>
        <w:outlineLvl w:val="2"/>
        <w:rPr>
          <w:rFonts w:ascii="黑体" w:hAnsi="宋体" w:eastAsia="黑体" w:cs="黑体"/>
          <w:color w:val="auto"/>
          <w:kern w:val="0"/>
          <w:sz w:val="24"/>
          <w:szCs w:val="24"/>
          <w:highlight w:val="none"/>
        </w:rPr>
      </w:pPr>
      <w:bookmarkStart w:id="105" w:name="_Toc76381784"/>
      <w:bookmarkStart w:id="106" w:name="_Toc9942"/>
      <w:bookmarkStart w:id="107" w:name="_Toc2392"/>
      <w:bookmarkStart w:id="108" w:name="_Toc75284962"/>
      <w:bookmarkStart w:id="109" w:name="_Toc24922"/>
      <w:bookmarkStart w:id="110" w:name="_Toc195921838"/>
      <w:r>
        <w:rPr>
          <w:rFonts w:hint="eastAsia" w:ascii="黑体" w:hAnsi="宋体" w:eastAsia="黑体" w:cs="黑体"/>
          <w:color w:val="auto"/>
          <w:kern w:val="0"/>
          <w:sz w:val="24"/>
          <w:szCs w:val="24"/>
          <w:highlight w:val="none"/>
        </w:rPr>
        <w:t>重新开展采购活动</w:t>
      </w:r>
      <w:bookmarkEnd w:id="105"/>
      <w:bookmarkEnd w:id="106"/>
      <w:bookmarkEnd w:id="107"/>
      <w:bookmarkEnd w:id="108"/>
      <w:bookmarkEnd w:id="109"/>
    </w:p>
    <w:p w14:paraId="362E7273">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leftChars="540"/>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出现下列情形之一的，采购人或者采购代理机构应当终止竞争性磋商采购活动，通过发布公告邀请供应商参加磋商的，将在磋商公告发布媒体上发布（通过邀请方式的，将通知每位接受邀请的供应商）项目终止公告并说明原因，重新开展采购活动：</w:t>
      </w:r>
    </w:p>
    <w:p w14:paraId="0C2C00E5">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983" w:leftChars="540" w:hanging="849" w:hangingChars="354"/>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（1）</w:t>
      </w:r>
      <w:r>
        <w:rPr>
          <w:rFonts w:hint="eastAsia" w:ascii="宋体" w:hAnsi="宋体" w:cs="黑体"/>
          <w:color w:val="auto"/>
          <w:kern w:val="0"/>
          <w:sz w:val="24"/>
          <w:szCs w:val="24"/>
          <w:highlight w:val="none"/>
        </w:rPr>
        <w:tab/>
      </w:r>
      <w:r>
        <w:rPr>
          <w:rFonts w:hint="eastAsia" w:ascii="宋体" w:hAnsi="宋体" w:cs="黑体"/>
          <w:color w:val="auto"/>
          <w:kern w:val="0"/>
          <w:sz w:val="24"/>
          <w:szCs w:val="24"/>
          <w:highlight w:val="none"/>
        </w:rPr>
        <w:t>因情况变化，不再符合规定的竞争性磋商采购方式适用情形的；</w:t>
      </w:r>
    </w:p>
    <w:p w14:paraId="0D3E9AC2">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983" w:leftChars="540" w:hanging="849" w:hangingChars="354"/>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（2）</w:t>
      </w:r>
      <w:r>
        <w:rPr>
          <w:rFonts w:hint="eastAsia" w:ascii="宋体" w:hAnsi="宋体" w:cs="黑体"/>
          <w:color w:val="auto"/>
          <w:kern w:val="0"/>
          <w:sz w:val="24"/>
          <w:szCs w:val="24"/>
          <w:highlight w:val="none"/>
        </w:rPr>
        <w:tab/>
      </w:r>
      <w:r>
        <w:rPr>
          <w:rFonts w:hint="eastAsia" w:ascii="宋体" w:hAnsi="宋体" w:cs="黑体"/>
          <w:color w:val="auto"/>
          <w:kern w:val="0"/>
          <w:sz w:val="24"/>
          <w:szCs w:val="24"/>
          <w:highlight w:val="none"/>
        </w:rPr>
        <w:t>出现影响采购公正的违法、违规行为的；</w:t>
      </w:r>
    </w:p>
    <w:p w14:paraId="4844D31D">
      <w:pPr>
        <w:keepNext w:val="0"/>
        <w:keepLines w:val="0"/>
        <w:pageBreakBefore w:val="0"/>
        <w:widowControl w:val="0"/>
        <w:tabs>
          <w:tab w:val="left" w:pos="2127"/>
        </w:tabs>
        <w:kinsoku/>
        <w:wordWrap/>
        <w:overflowPunct/>
        <w:topLinePunct w:val="0"/>
        <w:autoSpaceDE w:val="0"/>
        <w:autoSpaceDN w:val="0"/>
        <w:bidi w:val="0"/>
        <w:adjustRightInd w:val="0"/>
        <w:snapToGrid w:val="0"/>
        <w:spacing w:line="360" w:lineRule="auto"/>
        <w:ind w:left="1983" w:leftChars="540" w:hanging="849" w:hangingChars="354"/>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（3）</w:t>
      </w:r>
      <w:r>
        <w:rPr>
          <w:rFonts w:hint="eastAsia" w:ascii="宋体" w:hAnsi="宋体" w:cs="黑体"/>
          <w:color w:val="auto"/>
          <w:kern w:val="0"/>
          <w:sz w:val="24"/>
          <w:szCs w:val="24"/>
          <w:highlight w:val="none"/>
        </w:rPr>
        <w:tab/>
      </w:r>
      <w:r>
        <w:rPr>
          <w:rFonts w:hint="eastAsia" w:ascii="宋体" w:hAnsi="宋体" w:cs="黑体"/>
          <w:color w:val="auto"/>
          <w:kern w:val="0"/>
          <w:sz w:val="24"/>
          <w:szCs w:val="24"/>
          <w:highlight w:val="none"/>
        </w:rPr>
        <w:t>在采购过程中符合要求的供应商或者报价未超过采购预算或最高限价的供应商不足3家的，但市场竞争不充分的科研项目以及需要扶持的科技成果转化项目</w:t>
      </w:r>
      <w:r>
        <w:rPr>
          <w:rFonts w:hint="eastAsia" w:ascii="宋体" w:hAnsi="宋体" w:cs="宋体"/>
          <w:color w:val="auto"/>
          <w:sz w:val="24"/>
          <w:szCs w:val="24"/>
          <w:highlight w:val="none"/>
        </w:rPr>
        <w:t>提交最后报价的供应商可以为2家</w:t>
      </w:r>
      <w:r>
        <w:rPr>
          <w:rFonts w:hint="eastAsia" w:ascii="宋体" w:hAnsi="宋体" w:cs="黑体"/>
          <w:color w:val="auto"/>
          <w:kern w:val="0"/>
          <w:sz w:val="24"/>
          <w:szCs w:val="24"/>
          <w:highlight w:val="none"/>
        </w:rPr>
        <w:t>。</w:t>
      </w:r>
    </w:p>
    <w:p w14:paraId="2566A4A8">
      <w:pPr>
        <w:keepNext w:val="0"/>
        <w:keepLines w:val="0"/>
        <w:pageBreakBefore w:val="0"/>
        <w:widowControl w:val="0"/>
        <w:numPr>
          <w:ilvl w:val="0"/>
          <w:numId w:val="6"/>
        </w:numPr>
        <w:kinsoku/>
        <w:wordWrap/>
        <w:overflowPunct/>
        <w:topLinePunct w:val="0"/>
        <w:autoSpaceDE w:val="0"/>
        <w:autoSpaceDN w:val="0"/>
        <w:bidi w:val="0"/>
        <w:adjustRightInd w:val="0"/>
        <w:spacing w:line="360" w:lineRule="auto"/>
        <w:textAlignment w:val="auto"/>
        <w:outlineLvl w:val="2"/>
        <w:rPr>
          <w:rFonts w:ascii="黑体" w:hAnsi="宋体" w:eastAsia="黑体" w:cs="黑体"/>
          <w:color w:val="auto"/>
          <w:kern w:val="0"/>
          <w:sz w:val="24"/>
          <w:szCs w:val="24"/>
          <w:highlight w:val="none"/>
        </w:rPr>
      </w:pPr>
      <w:bookmarkStart w:id="111" w:name="_Toc26502"/>
      <w:bookmarkStart w:id="112" w:name="_Toc75284963"/>
      <w:bookmarkStart w:id="113" w:name="_Toc76381785"/>
      <w:bookmarkStart w:id="114" w:name="_Toc9748"/>
      <w:bookmarkStart w:id="115" w:name="_Toc10728"/>
      <w:r>
        <w:rPr>
          <w:rFonts w:hint="eastAsia" w:ascii="黑体" w:hAnsi="宋体" w:eastAsia="黑体" w:cs="黑体"/>
          <w:color w:val="auto"/>
          <w:kern w:val="0"/>
          <w:sz w:val="24"/>
          <w:szCs w:val="24"/>
          <w:highlight w:val="none"/>
        </w:rPr>
        <w:t>纪律和监督</w:t>
      </w:r>
      <w:bookmarkEnd w:id="110"/>
      <w:bookmarkEnd w:id="111"/>
      <w:bookmarkEnd w:id="112"/>
      <w:bookmarkEnd w:id="113"/>
      <w:bookmarkEnd w:id="114"/>
      <w:bookmarkEnd w:id="115"/>
    </w:p>
    <w:p w14:paraId="198ED9B1">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ascii="宋体" w:hAnsi="宋体" w:cs="黑体"/>
          <w:color w:val="auto"/>
          <w:kern w:val="0"/>
          <w:sz w:val="24"/>
          <w:szCs w:val="24"/>
          <w:highlight w:val="none"/>
        </w:rPr>
      </w:pPr>
      <w:bookmarkStart w:id="116" w:name="_Toc195921839"/>
      <w:r>
        <w:rPr>
          <w:rFonts w:hint="eastAsia" w:ascii="宋体" w:hAnsi="宋体" w:cs="黑体"/>
          <w:color w:val="auto"/>
          <w:kern w:val="0"/>
          <w:sz w:val="24"/>
          <w:szCs w:val="24"/>
          <w:highlight w:val="none"/>
        </w:rPr>
        <w:t>对采购人的要求</w:t>
      </w:r>
      <w:bookmarkEnd w:id="116"/>
    </w:p>
    <w:p w14:paraId="58662995">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ascii="宋体" w:hAnsi="宋体" w:cs="黑体"/>
          <w:color w:val="auto"/>
          <w:kern w:val="0"/>
          <w:sz w:val="24"/>
          <w:szCs w:val="24"/>
          <w:highlight w:val="none"/>
        </w:rPr>
      </w:pPr>
      <w:r>
        <w:rPr>
          <w:rFonts w:hAnsi="宋体" w:cs="宋体"/>
          <w:color w:val="auto"/>
          <w:sz w:val="24"/>
          <w:szCs w:val="24"/>
          <w:highlight w:val="none"/>
        </w:rPr>
        <w:t>采购人在政府采购活动中应当维护国家利益和社会公共利益，公正廉洁，诚实守信，执行政府采购政策</w:t>
      </w:r>
      <w:r>
        <w:rPr>
          <w:rFonts w:hint="eastAsia" w:hAnsi="宋体" w:cs="宋体"/>
          <w:color w:val="auto"/>
          <w:sz w:val="24"/>
          <w:szCs w:val="24"/>
          <w:highlight w:val="none"/>
        </w:rPr>
        <w:t>。</w:t>
      </w:r>
      <w:r>
        <w:rPr>
          <w:rFonts w:hAnsi="宋体" w:cs="宋体"/>
          <w:color w:val="auto"/>
          <w:sz w:val="24"/>
          <w:szCs w:val="24"/>
          <w:highlight w:val="none"/>
        </w:rPr>
        <w:t>采购人不得向供应商索要或者接受其给予的赠品、回扣或者与采购无关的其他商品、服务</w:t>
      </w:r>
      <w:r>
        <w:rPr>
          <w:rFonts w:hint="eastAsia" w:ascii="宋体" w:hAnsi="宋体" w:cs="黑体"/>
          <w:color w:val="auto"/>
          <w:kern w:val="0"/>
          <w:sz w:val="24"/>
          <w:szCs w:val="24"/>
          <w:highlight w:val="none"/>
        </w:rPr>
        <w:t>。</w:t>
      </w:r>
    </w:p>
    <w:p w14:paraId="50CCC7F5">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ascii="宋体" w:hAnsi="宋体" w:cs="黑体"/>
          <w:color w:val="auto"/>
          <w:kern w:val="0"/>
          <w:sz w:val="24"/>
          <w:szCs w:val="24"/>
          <w:highlight w:val="none"/>
        </w:rPr>
      </w:pPr>
      <w:bookmarkStart w:id="117" w:name="_Toc195921840"/>
      <w:r>
        <w:rPr>
          <w:rFonts w:hint="eastAsia" w:ascii="宋体" w:hAnsi="宋体" w:cs="黑体"/>
          <w:color w:val="auto"/>
          <w:kern w:val="0"/>
          <w:sz w:val="24"/>
          <w:szCs w:val="24"/>
          <w:highlight w:val="none"/>
        </w:rPr>
        <w:t>对采购代理机构的要求</w:t>
      </w:r>
    </w:p>
    <w:p w14:paraId="01D4228A">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Ansi="宋体" w:cs="宋体"/>
          <w:color w:val="auto"/>
          <w:sz w:val="24"/>
          <w:szCs w:val="24"/>
          <w:highlight w:val="none"/>
        </w:rPr>
      </w:pPr>
      <w:r>
        <w:rPr>
          <w:rFonts w:hAnsi="宋体" w:cs="宋体"/>
          <w:color w:val="auto"/>
          <w:sz w:val="24"/>
          <w:szCs w:val="24"/>
          <w:highlight w:val="none"/>
        </w:rPr>
        <w:t>采购代理机构不得与采购人、供应商恶意串通操纵政府采购活动。</w:t>
      </w:r>
    </w:p>
    <w:p w14:paraId="323389B3">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Ansi="宋体" w:cs="宋体"/>
          <w:color w:val="auto"/>
          <w:sz w:val="24"/>
          <w:szCs w:val="24"/>
          <w:highlight w:val="none"/>
        </w:rPr>
      </w:pPr>
      <w:r>
        <w:rPr>
          <w:rFonts w:hAnsi="宋体" w:cs="宋体"/>
          <w:color w:val="auto"/>
          <w:sz w:val="24"/>
          <w:szCs w:val="24"/>
          <w:highlight w:val="none"/>
        </w:rPr>
        <w:t>采购代理机构工作人员不得接受采购人或者供应商组织的宴请、旅游、娱乐，不得收受礼品、现金、有价证券等，不得向采购人或者供应商报销应当由个人承担的费用。</w:t>
      </w:r>
    </w:p>
    <w:p w14:paraId="7AA9F237">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对供应商的纪律要求</w:t>
      </w:r>
      <w:bookmarkEnd w:id="117"/>
    </w:p>
    <w:p w14:paraId="1F3B2E38">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供应商不得相互串通或者与采购人串通，不得向采购人或者磋商小组成员行贿谋取成交，不得以他人名义或者以其他方式弄虚作假骗取成交；供应商不得以任何方式干扰、影响磋商工作。</w:t>
      </w:r>
    </w:p>
    <w:p w14:paraId="221FA1F3">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ascii="宋体" w:hAnsi="宋体" w:cs="黑体"/>
          <w:color w:val="auto"/>
          <w:kern w:val="0"/>
          <w:sz w:val="24"/>
          <w:szCs w:val="24"/>
          <w:highlight w:val="none"/>
        </w:rPr>
      </w:pPr>
      <w:bookmarkStart w:id="118" w:name="_Toc195921841"/>
      <w:r>
        <w:rPr>
          <w:rFonts w:hint="eastAsia" w:ascii="宋体" w:hAnsi="宋体" w:cs="黑体"/>
          <w:color w:val="auto"/>
          <w:kern w:val="0"/>
          <w:sz w:val="24"/>
          <w:szCs w:val="24"/>
          <w:highlight w:val="none"/>
        </w:rPr>
        <w:t>磋商小组及其成员不得有下列行为</w:t>
      </w:r>
      <w:bookmarkEnd w:id="118"/>
    </w:p>
    <w:p w14:paraId="145D6FA1">
      <w:pPr>
        <w:pStyle w:val="440"/>
        <w:keepNext w:val="0"/>
        <w:keepLines w:val="0"/>
        <w:pageBreakBefore w:val="0"/>
        <w:widowControl w:val="0"/>
        <w:numPr>
          <w:ilvl w:val="0"/>
          <w:numId w:val="11"/>
        </w:numPr>
        <w:kinsoku/>
        <w:wordWrap/>
        <w:overflowPunct/>
        <w:topLinePunct w:val="0"/>
        <w:bidi w:val="0"/>
        <w:snapToGrid w:val="0"/>
        <w:spacing w:line="360" w:lineRule="auto"/>
        <w:ind w:left="1985" w:hanging="853" w:firstLineChars="0"/>
        <w:textAlignment w:val="auto"/>
        <w:rPr>
          <w:rFonts w:ascii="宋体" w:hAnsi="宋体"/>
          <w:color w:val="auto"/>
          <w:sz w:val="24"/>
          <w:szCs w:val="24"/>
          <w:highlight w:val="none"/>
        </w:rPr>
      </w:pPr>
      <w:r>
        <w:rPr>
          <w:rFonts w:hint="eastAsia" w:ascii="宋体" w:hAnsi="宋体"/>
          <w:color w:val="auto"/>
          <w:sz w:val="24"/>
          <w:szCs w:val="24"/>
          <w:highlight w:val="none"/>
        </w:rPr>
        <w:t>确定参与磋商至磋商结束前私自接触供应商；</w:t>
      </w:r>
    </w:p>
    <w:p w14:paraId="47675CC5">
      <w:pPr>
        <w:pStyle w:val="440"/>
        <w:keepNext w:val="0"/>
        <w:keepLines w:val="0"/>
        <w:pageBreakBefore w:val="0"/>
        <w:widowControl w:val="0"/>
        <w:numPr>
          <w:ilvl w:val="0"/>
          <w:numId w:val="11"/>
        </w:numPr>
        <w:kinsoku/>
        <w:wordWrap/>
        <w:overflowPunct/>
        <w:topLinePunct w:val="0"/>
        <w:bidi w:val="0"/>
        <w:snapToGrid w:val="0"/>
        <w:spacing w:line="360" w:lineRule="auto"/>
        <w:ind w:left="1985" w:hanging="853" w:firstLineChars="0"/>
        <w:textAlignment w:val="auto"/>
        <w:rPr>
          <w:rFonts w:ascii="宋体" w:hAnsi="宋体"/>
          <w:color w:val="auto"/>
          <w:sz w:val="24"/>
          <w:szCs w:val="24"/>
          <w:highlight w:val="none"/>
        </w:rPr>
      </w:pPr>
      <w:r>
        <w:rPr>
          <w:rFonts w:hint="eastAsia" w:ascii="宋体" w:hAnsi="宋体"/>
          <w:color w:val="auto"/>
          <w:sz w:val="24"/>
          <w:szCs w:val="24"/>
          <w:highlight w:val="none"/>
        </w:rPr>
        <w:t>接受供应商提出的与响应文件不一致的澄清或者说明，磋商小组要求供应商作出必要的澄清、说明或者补正的情形除外；</w:t>
      </w:r>
    </w:p>
    <w:p w14:paraId="4BD4FAB3">
      <w:pPr>
        <w:pStyle w:val="440"/>
        <w:keepNext w:val="0"/>
        <w:keepLines w:val="0"/>
        <w:pageBreakBefore w:val="0"/>
        <w:widowControl w:val="0"/>
        <w:numPr>
          <w:ilvl w:val="0"/>
          <w:numId w:val="11"/>
        </w:numPr>
        <w:kinsoku/>
        <w:wordWrap/>
        <w:overflowPunct/>
        <w:topLinePunct w:val="0"/>
        <w:bidi w:val="0"/>
        <w:snapToGrid w:val="0"/>
        <w:spacing w:line="360" w:lineRule="auto"/>
        <w:ind w:left="1985" w:hanging="853" w:firstLineChars="0"/>
        <w:textAlignment w:val="auto"/>
        <w:rPr>
          <w:rFonts w:ascii="宋体" w:hAnsi="宋体"/>
          <w:color w:val="auto"/>
          <w:sz w:val="24"/>
          <w:szCs w:val="24"/>
          <w:highlight w:val="none"/>
        </w:rPr>
      </w:pPr>
      <w:r>
        <w:rPr>
          <w:rFonts w:hint="eastAsia" w:ascii="宋体" w:hAnsi="宋体"/>
          <w:color w:val="auto"/>
          <w:sz w:val="24"/>
          <w:szCs w:val="24"/>
          <w:highlight w:val="none"/>
        </w:rPr>
        <w:t>违反评审纪律发表倾向性意见或者征询采购人的倾向性意见；</w:t>
      </w:r>
    </w:p>
    <w:p w14:paraId="12599707">
      <w:pPr>
        <w:pStyle w:val="440"/>
        <w:keepNext w:val="0"/>
        <w:keepLines w:val="0"/>
        <w:pageBreakBefore w:val="0"/>
        <w:widowControl w:val="0"/>
        <w:numPr>
          <w:ilvl w:val="0"/>
          <w:numId w:val="11"/>
        </w:numPr>
        <w:kinsoku/>
        <w:wordWrap/>
        <w:overflowPunct/>
        <w:topLinePunct w:val="0"/>
        <w:bidi w:val="0"/>
        <w:snapToGrid w:val="0"/>
        <w:spacing w:line="360" w:lineRule="auto"/>
        <w:ind w:left="1985" w:hanging="853" w:firstLineChars="0"/>
        <w:textAlignment w:val="auto"/>
        <w:rPr>
          <w:rFonts w:ascii="宋体" w:hAnsi="宋体"/>
          <w:color w:val="auto"/>
          <w:sz w:val="24"/>
          <w:szCs w:val="24"/>
          <w:highlight w:val="none"/>
        </w:rPr>
      </w:pPr>
      <w:r>
        <w:rPr>
          <w:rFonts w:hint="eastAsia" w:ascii="宋体" w:hAnsi="宋体"/>
          <w:color w:val="auto"/>
          <w:sz w:val="24"/>
          <w:szCs w:val="24"/>
          <w:highlight w:val="none"/>
        </w:rPr>
        <w:t>在评审与磋商过程中擅离职守，影响评审程序正常进行的；</w:t>
      </w:r>
    </w:p>
    <w:p w14:paraId="457968D4">
      <w:pPr>
        <w:pStyle w:val="440"/>
        <w:keepNext w:val="0"/>
        <w:keepLines w:val="0"/>
        <w:pageBreakBefore w:val="0"/>
        <w:widowControl w:val="0"/>
        <w:numPr>
          <w:ilvl w:val="0"/>
          <w:numId w:val="11"/>
        </w:numPr>
        <w:kinsoku/>
        <w:wordWrap/>
        <w:overflowPunct/>
        <w:topLinePunct w:val="0"/>
        <w:bidi w:val="0"/>
        <w:snapToGrid w:val="0"/>
        <w:spacing w:line="360" w:lineRule="auto"/>
        <w:ind w:left="1985" w:hanging="853" w:firstLineChars="0"/>
        <w:textAlignment w:val="auto"/>
        <w:rPr>
          <w:rFonts w:ascii="宋体" w:hAnsi="宋体"/>
          <w:color w:val="auto"/>
          <w:sz w:val="24"/>
          <w:szCs w:val="24"/>
          <w:highlight w:val="none"/>
        </w:rPr>
      </w:pPr>
      <w:r>
        <w:rPr>
          <w:rFonts w:hint="eastAsia" w:ascii="宋体" w:hAnsi="宋体"/>
          <w:color w:val="auto"/>
          <w:sz w:val="24"/>
          <w:szCs w:val="24"/>
          <w:highlight w:val="none"/>
        </w:rPr>
        <w:t>记录、复制或者带走任何评审资料；</w:t>
      </w:r>
    </w:p>
    <w:p w14:paraId="204C072D">
      <w:pPr>
        <w:pStyle w:val="440"/>
        <w:keepNext w:val="0"/>
        <w:keepLines w:val="0"/>
        <w:pageBreakBefore w:val="0"/>
        <w:widowControl w:val="0"/>
        <w:numPr>
          <w:ilvl w:val="0"/>
          <w:numId w:val="11"/>
        </w:numPr>
        <w:kinsoku/>
        <w:wordWrap/>
        <w:overflowPunct/>
        <w:topLinePunct w:val="0"/>
        <w:bidi w:val="0"/>
        <w:snapToGrid w:val="0"/>
        <w:spacing w:line="360" w:lineRule="auto"/>
        <w:ind w:left="1985" w:hanging="853" w:firstLineChars="0"/>
        <w:textAlignment w:val="auto"/>
        <w:rPr>
          <w:rFonts w:ascii="宋体" w:hAnsi="宋体"/>
          <w:color w:val="auto"/>
          <w:sz w:val="24"/>
          <w:szCs w:val="24"/>
          <w:highlight w:val="none"/>
        </w:rPr>
      </w:pPr>
      <w:r>
        <w:rPr>
          <w:rFonts w:hint="eastAsia" w:ascii="宋体" w:hAnsi="宋体"/>
          <w:color w:val="auto"/>
          <w:sz w:val="24"/>
          <w:szCs w:val="24"/>
          <w:highlight w:val="none"/>
        </w:rPr>
        <w:t>其他不遵守评审纪律的行为。</w:t>
      </w:r>
    </w:p>
    <w:p w14:paraId="472B11E8">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ascii="宋体" w:hAnsi="宋体" w:cs="黑体"/>
          <w:color w:val="auto"/>
          <w:kern w:val="0"/>
          <w:sz w:val="24"/>
          <w:szCs w:val="24"/>
          <w:highlight w:val="none"/>
        </w:rPr>
      </w:pPr>
      <w:bookmarkStart w:id="119" w:name="_Toc195921842"/>
      <w:r>
        <w:rPr>
          <w:rFonts w:hint="eastAsia" w:ascii="宋体" w:hAnsi="宋体" w:cs="黑体"/>
          <w:color w:val="auto"/>
          <w:kern w:val="0"/>
          <w:sz w:val="24"/>
          <w:szCs w:val="24"/>
          <w:highlight w:val="none"/>
        </w:rPr>
        <w:t>对与评审活动有关的工作人员的纪律要求</w:t>
      </w:r>
      <w:bookmarkEnd w:id="119"/>
    </w:p>
    <w:p w14:paraId="53CFB1A5">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与</w:t>
      </w:r>
      <w:r>
        <w:rPr>
          <w:rFonts w:hint="eastAsia" w:ascii="宋体" w:hAnsi="宋体"/>
          <w:color w:val="auto"/>
          <w:sz w:val="24"/>
          <w:szCs w:val="24"/>
          <w:highlight w:val="none"/>
        </w:rPr>
        <w:t>评审与磋商</w:t>
      </w:r>
      <w:r>
        <w:rPr>
          <w:rFonts w:hint="eastAsia" w:ascii="宋体" w:hAnsi="宋体" w:cs="黑体"/>
          <w:color w:val="auto"/>
          <w:kern w:val="0"/>
          <w:sz w:val="24"/>
          <w:szCs w:val="24"/>
          <w:highlight w:val="none"/>
        </w:rPr>
        <w:t>活动有关的工作人员不得收受他人的财物或者其他好处，不得向他人透漏对响应文件的</w:t>
      </w:r>
      <w:r>
        <w:rPr>
          <w:rFonts w:hint="eastAsia" w:ascii="宋体" w:hAnsi="宋体"/>
          <w:color w:val="auto"/>
          <w:sz w:val="24"/>
          <w:szCs w:val="24"/>
          <w:highlight w:val="none"/>
        </w:rPr>
        <w:t>评审与磋商</w:t>
      </w:r>
      <w:r>
        <w:rPr>
          <w:rFonts w:hint="eastAsia" w:ascii="宋体" w:hAnsi="宋体" w:cs="黑体"/>
          <w:color w:val="auto"/>
          <w:kern w:val="0"/>
          <w:sz w:val="24"/>
          <w:szCs w:val="24"/>
          <w:highlight w:val="none"/>
        </w:rPr>
        <w:t>、成交候选人的推荐情况以及</w:t>
      </w:r>
      <w:r>
        <w:rPr>
          <w:rFonts w:hint="eastAsia" w:ascii="宋体" w:hAnsi="宋体"/>
          <w:color w:val="auto"/>
          <w:sz w:val="24"/>
          <w:szCs w:val="24"/>
          <w:highlight w:val="none"/>
        </w:rPr>
        <w:t>评审与磋商</w:t>
      </w:r>
      <w:r>
        <w:rPr>
          <w:rFonts w:hint="eastAsia" w:ascii="宋体" w:hAnsi="宋体" w:cs="黑体"/>
          <w:color w:val="auto"/>
          <w:kern w:val="0"/>
          <w:sz w:val="24"/>
          <w:szCs w:val="24"/>
          <w:highlight w:val="none"/>
        </w:rPr>
        <w:t>有关的其他情况。在评审活动中，参与</w:t>
      </w:r>
      <w:r>
        <w:rPr>
          <w:rFonts w:hint="eastAsia" w:ascii="宋体" w:hAnsi="宋体"/>
          <w:color w:val="auto"/>
          <w:sz w:val="24"/>
          <w:szCs w:val="24"/>
          <w:highlight w:val="none"/>
        </w:rPr>
        <w:t>评审与磋商</w:t>
      </w:r>
      <w:r>
        <w:rPr>
          <w:rFonts w:hint="eastAsia" w:ascii="宋体" w:hAnsi="宋体" w:cs="黑体"/>
          <w:color w:val="auto"/>
          <w:kern w:val="0"/>
          <w:sz w:val="24"/>
          <w:szCs w:val="24"/>
          <w:highlight w:val="none"/>
        </w:rPr>
        <w:t>活动有关的工作人员不得擅离职守，影响</w:t>
      </w:r>
      <w:r>
        <w:rPr>
          <w:rFonts w:hint="eastAsia" w:ascii="宋体" w:hAnsi="宋体"/>
          <w:color w:val="auto"/>
          <w:sz w:val="24"/>
          <w:szCs w:val="24"/>
          <w:highlight w:val="none"/>
        </w:rPr>
        <w:t>评审与磋商</w:t>
      </w:r>
      <w:r>
        <w:rPr>
          <w:rFonts w:hint="eastAsia" w:ascii="宋体" w:hAnsi="宋体" w:cs="黑体"/>
          <w:color w:val="auto"/>
          <w:kern w:val="0"/>
          <w:sz w:val="24"/>
          <w:szCs w:val="24"/>
          <w:highlight w:val="none"/>
        </w:rPr>
        <w:t>程序正常进行。</w:t>
      </w:r>
    </w:p>
    <w:p w14:paraId="122C3F9A">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920" w:hanging="1920" w:hangingChars="800"/>
        <w:textAlignment w:val="auto"/>
        <w:rPr>
          <w:rFonts w:ascii="宋体" w:hAnsi="宋体" w:cs="黑体"/>
          <w:color w:val="auto"/>
          <w:kern w:val="0"/>
          <w:sz w:val="24"/>
          <w:szCs w:val="24"/>
          <w:highlight w:val="none"/>
        </w:rPr>
      </w:pPr>
      <w:bookmarkStart w:id="120" w:name="_Toc195921843"/>
      <w:r>
        <w:rPr>
          <w:rFonts w:hint="eastAsia" w:ascii="宋体" w:hAnsi="宋体" w:cs="黑体"/>
          <w:color w:val="auto"/>
          <w:kern w:val="0"/>
          <w:sz w:val="24"/>
          <w:szCs w:val="24"/>
          <w:highlight w:val="none"/>
          <w:lang w:val="en-US" w:eastAsia="zh-CN"/>
        </w:rPr>
        <w:t>质疑</w:t>
      </w:r>
    </w:p>
    <w:p w14:paraId="2378AA7F">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lang w:eastAsia="zh-CN"/>
        </w:rPr>
        <w:t>供应商</w:t>
      </w:r>
      <w:r>
        <w:rPr>
          <w:rFonts w:hint="eastAsia" w:ascii="宋体" w:hAnsi="宋体" w:cs="黑体"/>
          <w:color w:val="auto"/>
          <w:kern w:val="0"/>
          <w:sz w:val="24"/>
          <w:szCs w:val="24"/>
          <w:highlight w:val="none"/>
        </w:rPr>
        <w:t>或潜在</w:t>
      </w:r>
      <w:r>
        <w:rPr>
          <w:rFonts w:hint="eastAsia" w:ascii="宋体" w:hAnsi="宋体" w:cs="黑体"/>
          <w:color w:val="auto"/>
          <w:kern w:val="0"/>
          <w:sz w:val="24"/>
          <w:szCs w:val="24"/>
          <w:highlight w:val="none"/>
          <w:lang w:eastAsia="zh-CN"/>
        </w:rPr>
        <w:t>供应商</w:t>
      </w:r>
      <w:r>
        <w:rPr>
          <w:rFonts w:hint="eastAsia" w:ascii="宋体" w:hAnsi="宋体" w:cs="黑体"/>
          <w:color w:val="auto"/>
          <w:kern w:val="0"/>
          <w:sz w:val="24"/>
          <w:szCs w:val="24"/>
          <w:highlight w:val="none"/>
        </w:rPr>
        <w:t>认为磋商文件、磋商过程、成交结果使自己的权益受到损害的，可以在知道或者应知其权益受到损害之日起 7 个工作日内，通过</w:t>
      </w:r>
      <w:r>
        <w:rPr>
          <w:rFonts w:hint="eastAsia" w:ascii="宋体" w:hAnsi="宋体" w:cs="黑体"/>
          <w:color w:val="auto"/>
          <w:kern w:val="0"/>
          <w:sz w:val="24"/>
          <w:szCs w:val="24"/>
          <w:highlight w:val="none"/>
          <w:lang w:val="en-US" w:eastAsia="zh-CN"/>
        </w:rPr>
        <w:t>政采云</w:t>
      </w:r>
      <w:r>
        <w:rPr>
          <w:rFonts w:hint="eastAsia" w:ascii="宋体" w:hAnsi="宋体" w:cs="黑体"/>
          <w:color w:val="auto"/>
          <w:kern w:val="0"/>
          <w:sz w:val="24"/>
          <w:szCs w:val="24"/>
          <w:highlight w:val="none"/>
        </w:rPr>
        <w:t>系统向</w:t>
      </w:r>
      <w:r>
        <w:rPr>
          <w:rFonts w:hint="eastAsia" w:ascii="宋体" w:hAnsi="宋体" w:cs="黑体"/>
          <w:color w:val="auto"/>
          <w:kern w:val="0"/>
          <w:sz w:val="24"/>
          <w:szCs w:val="24"/>
          <w:highlight w:val="none"/>
          <w:lang w:eastAsia="zh-CN"/>
        </w:rPr>
        <w:t>采购代理机构</w:t>
      </w:r>
      <w:r>
        <w:rPr>
          <w:rFonts w:hint="eastAsia" w:ascii="宋体" w:hAnsi="宋体" w:cs="黑体"/>
          <w:color w:val="auto"/>
          <w:kern w:val="0"/>
          <w:sz w:val="24"/>
          <w:szCs w:val="24"/>
          <w:highlight w:val="none"/>
        </w:rPr>
        <w:t>提出质疑，以纸质文件、传真或电子邮件等其他方式提交的，</w:t>
      </w:r>
      <w:r>
        <w:rPr>
          <w:rFonts w:hint="eastAsia" w:ascii="宋体" w:hAnsi="宋体" w:cs="黑体"/>
          <w:color w:val="auto"/>
          <w:kern w:val="0"/>
          <w:sz w:val="24"/>
          <w:szCs w:val="24"/>
          <w:highlight w:val="none"/>
          <w:lang w:val="en-US" w:eastAsia="zh-CN"/>
        </w:rPr>
        <w:t>采购代理机构</w:t>
      </w:r>
      <w:r>
        <w:rPr>
          <w:rFonts w:hint="eastAsia" w:ascii="宋体" w:hAnsi="宋体" w:cs="黑体"/>
          <w:color w:val="auto"/>
          <w:kern w:val="0"/>
          <w:sz w:val="24"/>
          <w:szCs w:val="24"/>
          <w:highlight w:val="none"/>
        </w:rPr>
        <w:t>有权不予受理。</w:t>
      </w:r>
      <w:r>
        <w:rPr>
          <w:rFonts w:hint="eastAsia" w:ascii="宋体" w:hAnsi="宋体" w:cs="黑体"/>
          <w:color w:val="auto"/>
          <w:kern w:val="0"/>
          <w:sz w:val="24"/>
          <w:szCs w:val="24"/>
          <w:highlight w:val="none"/>
          <w:lang w:eastAsia="zh-CN"/>
        </w:rPr>
        <w:t>供应商</w:t>
      </w:r>
      <w:r>
        <w:rPr>
          <w:rFonts w:hint="eastAsia" w:ascii="宋体" w:hAnsi="宋体" w:cs="黑体"/>
          <w:color w:val="auto"/>
          <w:kern w:val="0"/>
          <w:sz w:val="24"/>
          <w:szCs w:val="24"/>
          <w:highlight w:val="none"/>
        </w:rPr>
        <w:t>或潜在</w:t>
      </w:r>
      <w:r>
        <w:rPr>
          <w:rFonts w:hint="eastAsia" w:ascii="宋体" w:hAnsi="宋体" w:cs="黑体"/>
          <w:color w:val="auto"/>
          <w:kern w:val="0"/>
          <w:sz w:val="24"/>
          <w:szCs w:val="24"/>
          <w:highlight w:val="none"/>
          <w:lang w:eastAsia="zh-CN"/>
        </w:rPr>
        <w:t>供应商</w:t>
      </w:r>
      <w:r>
        <w:rPr>
          <w:rFonts w:hint="eastAsia" w:ascii="宋体" w:hAnsi="宋体" w:cs="黑体"/>
          <w:color w:val="auto"/>
          <w:kern w:val="0"/>
          <w:sz w:val="24"/>
          <w:szCs w:val="24"/>
          <w:highlight w:val="none"/>
        </w:rPr>
        <w:t>应知其权益受到损害之日，是指：</w:t>
      </w:r>
    </w:p>
    <w:p w14:paraId="0B3D8A1E">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(1) 对磋商文件提出质疑的，为获取磋商文件之日或者磋商文件公告期限届满之日；</w:t>
      </w:r>
    </w:p>
    <w:p w14:paraId="34736AED">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(2) 对磋商过程提出质疑的，为磋商程序环节结束之日；</w:t>
      </w:r>
    </w:p>
    <w:p w14:paraId="2C55CF5F">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(3) 对成交结果提出质疑的，为成交结果公告期限届满之日。</w:t>
      </w:r>
    </w:p>
    <w:p w14:paraId="5D8FA4D2">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lang w:eastAsia="zh-CN"/>
        </w:rPr>
        <w:t>供应商</w:t>
      </w:r>
      <w:r>
        <w:rPr>
          <w:rFonts w:hint="eastAsia" w:ascii="宋体" w:hAnsi="宋体" w:cs="黑体"/>
          <w:color w:val="auto"/>
          <w:kern w:val="0"/>
          <w:sz w:val="24"/>
          <w:szCs w:val="24"/>
          <w:highlight w:val="none"/>
        </w:rPr>
        <w:t>或潜在</w:t>
      </w:r>
      <w:r>
        <w:rPr>
          <w:rFonts w:hint="eastAsia" w:ascii="宋体" w:hAnsi="宋体" w:cs="黑体"/>
          <w:color w:val="auto"/>
          <w:kern w:val="0"/>
          <w:sz w:val="24"/>
          <w:szCs w:val="24"/>
          <w:highlight w:val="none"/>
          <w:lang w:eastAsia="zh-CN"/>
        </w:rPr>
        <w:t>供应商</w:t>
      </w:r>
      <w:r>
        <w:rPr>
          <w:rFonts w:hint="eastAsia" w:ascii="宋体" w:hAnsi="宋体" w:cs="黑体"/>
          <w:color w:val="auto"/>
          <w:kern w:val="0"/>
          <w:sz w:val="24"/>
          <w:szCs w:val="24"/>
          <w:highlight w:val="none"/>
        </w:rPr>
        <w:t>针对同一采购程序环节的质疑须一次性提出，对一个项目的不同包提出质疑的，应当将各包质疑事项集中在一份质疑函中提出。</w:t>
      </w:r>
    </w:p>
    <w:p w14:paraId="68085C7F">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提出质疑的</w:t>
      </w:r>
      <w:r>
        <w:rPr>
          <w:rFonts w:hint="eastAsia" w:ascii="宋体" w:hAnsi="宋体" w:cs="黑体"/>
          <w:color w:val="auto"/>
          <w:kern w:val="0"/>
          <w:sz w:val="24"/>
          <w:szCs w:val="24"/>
          <w:highlight w:val="none"/>
          <w:lang w:eastAsia="zh-CN"/>
        </w:rPr>
        <w:t>供应商</w:t>
      </w:r>
      <w:r>
        <w:rPr>
          <w:rFonts w:hint="eastAsia" w:ascii="宋体" w:hAnsi="宋体" w:cs="黑体"/>
          <w:color w:val="auto"/>
          <w:kern w:val="0"/>
          <w:sz w:val="24"/>
          <w:szCs w:val="24"/>
          <w:highlight w:val="none"/>
        </w:rPr>
        <w:t>或潜在</w:t>
      </w:r>
      <w:r>
        <w:rPr>
          <w:rFonts w:hint="eastAsia" w:ascii="宋体" w:hAnsi="宋体" w:cs="黑体"/>
          <w:color w:val="auto"/>
          <w:kern w:val="0"/>
          <w:sz w:val="24"/>
          <w:szCs w:val="24"/>
          <w:highlight w:val="none"/>
          <w:lang w:eastAsia="zh-CN"/>
        </w:rPr>
        <w:t>供应商</w:t>
      </w:r>
      <w:r>
        <w:rPr>
          <w:rFonts w:hint="eastAsia" w:ascii="宋体" w:hAnsi="宋体" w:cs="黑体"/>
          <w:color w:val="auto"/>
          <w:kern w:val="0"/>
          <w:sz w:val="24"/>
          <w:szCs w:val="24"/>
          <w:highlight w:val="none"/>
        </w:rPr>
        <w:t>应当是参与所质疑项目采购活动的供应商，潜在</w:t>
      </w:r>
      <w:r>
        <w:rPr>
          <w:rFonts w:hint="eastAsia" w:ascii="宋体" w:hAnsi="宋体" w:cs="黑体"/>
          <w:color w:val="auto"/>
          <w:kern w:val="0"/>
          <w:sz w:val="24"/>
          <w:szCs w:val="24"/>
          <w:highlight w:val="none"/>
          <w:lang w:eastAsia="zh-CN"/>
        </w:rPr>
        <w:t>供应商</w:t>
      </w:r>
      <w:r>
        <w:rPr>
          <w:rFonts w:hint="eastAsia" w:ascii="宋体" w:hAnsi="宋体" w:cs="黑体"/>
          <w:color w:val="auto"/>
          <w:kern w:val="0"/>
          <w:sz w:val="24"/>
          <w:szCs w:val="24"/>
          <w:highlight w:val="none"/>
        </w:rPr>
        <w:t>已依法获取其可质疑的磋商文件的，可以对该文件提出质疑。</w:t>
      </w:r>
    </w:p>
    <w:p w14:paraId="61BA5E2F">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lang w:eastAsia="zh-CN"/>
        </w:rPr>
        <w:t>供应商</w:t>
      </w:r>
      <w:r>
        <w:rPr>
          <w:rFonts w:hint="eastAsia" w:ascii="宋体" w:hAnsi="宋体" w:cs="黑体"/>
          <w:color w:val="auto"/>
          <w:kern w:val="0"/>
          <w:sz w:val="24"/>
          <w:szCs w:val="24"/>
          <w:highlight w:val="none"/>
        </w:rPr>
        <w:t>或潜在</w:t>
      </w:r>
      <w:r>
        <w:rPr>
          <w:rFonts w:hint="eastAsia" w:ascii="宋体" w:hAnsi="宋体" w:cs="黑体"/>
          <w:color w:val="auto"/>
          <w:kern w:val="0"/>
          <w:sz w:val="24"/>
          <w:szCs w:val="24"/>
          <w:highlight w:val="none"/>
          <w:lang w:eastAsia="zh-CN"/>
        </w:rPr>
        <w:t>供应商</w:t>
      </w:r>
      <w:r>
        <w:rPr>
          <w:rFonts w:hint="eastAsia" w:ascii="宋体" w:hAnsi="宋体" w:cs="黑体"/>
          <w:color w:val="auto"/>
          <w:kern w:val="0"/>
          <w:sz w:val="24"/>
          <w:szCs w:val="24"/>
          <w:highlight w:val="none"/>
        </w:rPr>
        <w:t>以质疑函形式提交，但无具体、明确质疑事项，实质内容为询问的，</w:t>
      </w:r>
      <w:r>
        <w:rPr>
          <w:rFonts w:hint="eastAsia" w:ascii="宋体" w:hAnsi="宋体" w:cs="黑体"/>
          <w:color w:val="auto"/>
          <w:kern w:val="0"/>
          <w:sz w:val="24"/>
          <w:szCs w:val="24"/>
          <w:highlight w:val="none"/>
          <w:lang w:val="en-US" w:eastAsia="zh-CN"/>
        </w:rPr>
        <w:t>采购代理机构</w:t>
      </w:r>
      <w:r>
        <w:rPr>
          <w:rFonts w:hint="eastAsia" w:ascii="宋体" w:hAnsi="宋体" w:cs="黑体"/>
          <w:color w:val="auto"/>
          <w:kern w:val="0"/>
          <w:sz w:val="24"/>
          <w:szCs w:val="24"/>
          <w:highlight w:val="none"/>
        </w:rPr>
        <w:t>可视为书面询问受理并及时告知供应商，后续事宜按照询问答复流程办理。</w:t>
      </w:r>
    </w:p>
    <w:p w14:paraId="0AD7BAF7">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920" w:hanging="1920" w:hangingChars="800"/>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投诉</w:t>
      </w:r>
      <w:bookmarkEnd w:id="120"/>
    </w:p>
    <w:p w14:paraId="2A8D6A3F">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ascii="宋体" w:hAnsi="宋体" w:cs="黑体"/>
          <w:color w:val="auto"/>
          <w:kern w:val="0"/>
          <w:sz w:val="24"/>
          <w:szCs w:val="24"/>
          <w:highlight w:val="none"/>
        </w:rPr>
      </w:pPr>
      <w:r>
        <w:rPr>
          <w:rFonts w:hint="eastAsia" w:ascii="宋体" w:hAnsi="宋体" w:cs="黑体"/>
          <w:color w:val="auto"/>
          <w:kern w:val="0"/>
          <w:sz w:val="24"/>
          <w:szCs w:val="24"/>
          <w:highlight w:val="none"/>
        </w:rPr>
        <w:t>质疑供应商对采购人、采购代理机构的答复不满意或者采购人、采购代理机构未在规定的时间内作出答复的，可以在答复期满后十五个工作日内向同级政府采购监督管理部门投诉。</w:t>
      </w:r>
    </w:p>
    <w:p w14:paraId="610AF828">
      <w:pPr>
        <w:keepNext w:val="0"/>
        <w:keepLines w:val="0"/>
        <w:pageBreakBefore w:val="0"/>
        <w:widowControl w:val="0"/>
        <w:numPr>
          <w:ilvl w:val="0"/>
          <w:numId w:val="6"/>
        </w:numPr>
        <w:kinsoku/>
        <w:wordWrap/>
        <w:overflowPunct/>
        <w:topLinePunct w:val="0"/>
        <w:autoSpaceDE w:val="0"/>
        <w:autoSpaceDN w:val="0"/>
        <w:bidi w:val="0"/>
        <w:adjustRightInd w:val="0"/>
        <w:spacing w:line="360" w:lineRule="auto"/>
        <w:textAlignment w:val="auto"/>
        <w:outlineLvl w:val="2"/>
        <w:rPr>
          <w:rFonts w:ascii="黑体" w:hAnsi="宋体" w:eastAsia="黑体" w:cs="黑体"/>
          <w:color w:val="auto"/>
          <w:kern w:val="0"/>
          <w:sz w:val="24"/>
          <w:szCs w:val="24"/>
          <w:highlight w:val="none"/>
        </w:rPr>
      </w:pPr>
      <w:bookmarkStart w:id="121" w:name="_Toc75284964"/>
      <w:bookmarkStart w:id="122" w:name="_Ref527103019"/>
      <w:bookmarkStart w:id="123" w:name="_Toc76381786"/>
      <w:bookmarkStart w:id="124" w:name="_Toc3331"/>
      <w:bookmarkStart w:id="125" w:name="_Toc195921844"/>
      <w:bookmarkStart w:id="126" w:name="_Toc16035"/>
      <w:bookmarkStart w:id="127" w:name="_Toc32229"/>
      <w:r>
        <w:rPr>
          <w:rFonts w:hint="eastAsia" w:ascii="黑体" w:hAnsi="宋体" w:eastAsia="黑体" w:cs="黑体"/>
          <w:color w:val="auto"/>
          <w:kern w:val="0"/>
          <w:sz w:val="24"/>
          <w:szCs w:val="24"/>
          <w:highlight w:val="none"/>
        </w:rPr>
        <w:t>其他</w:t>
      </w:r>
      <w:bookmarkEnd w:id="121"/>
      <w:bookmarkEnd w:id="122"/>
      <w:bookmarkEnd w:id="123"/>
      <w:bookmarkEnd w:id="124"/>
      <w:bookmarkEnd w:id="125"/>
      <w:bookmarkEnd w:id="126"/>
      <w:bookmarkEnd w:id="127"/>
    </w:p>
    <w:p w14:paraId="0D55F053">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需要补充的其他内容见供应商须知前附表。</w:t>
      </w:r>
    </w:p>
    <w:p w14:paraId="2DA02395">
      <w:pPr>
        <w:keepNext w:val="0"/>
        <w:keepLines w:val="0"/>
        <w:pageBreakBefore w:val="0"/>
        <w:widowControl w:val="0"/>
        <w:numPr>
          <w:ilvl w:val="0"/>
          <w:numId w:val="6"/>
        </w:numPr>
        <w:kinsoku/>
        <w:wordWrap/>
        <w:overflowPunct/>
        <w:topLinePunct w:val="0"/>
        <w:autoSpaceDE w:val="0"/>
        <w:autoSpaceDN w:val="0"/>
        <w:bidi w:val="0"/>
        <w:adjustRightInd w:val="0"/>
        <w:spacing w:line="360" w:lineRule="auto"/>
        <w:textAlignment w:val="auto"/>
        <w:outlineLvl w:val="2"/>
        <w:rPr>
          <w:rFonts w:hint="eastAsia" w:ascii="黑体" w:hAnsi="宋体" w:eastAsia="黑体" w:cs="黑体"/>
          <w:color w:val="auto"/>
          <w:kern w:val="0"/>
          <w:sz w:val="24"/>
          <w:szCs w:val="24"/>
          <w:highlight w:val="none"/>
        </w:rPr>
      </w:pPr>
      <w:r>
        <w:rPr>
          <w:rFonts w:hint="eastAsia" w:ascii="黑体" w:hAnsi="宋体" w:eastAsia="黑体" w:cs="黑体"/>
          <w:color w:val="auto"/>
          <w:kern w:val="0"/>
          <w:sz w:val="24"/>
          <w:szCs w:val="24"/>
          <w:highlight w:val="none"/>
        </w:rPr>
        <w:t>关于中小企业</w:t>
      </w:r>
    </w:p>
    <w:p w14:paraId="7E6B0B94">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根据《关于印发&lt;政府采购促进中小企业发展管理办法&gt;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52C2064A">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符合中小企业划分标准的个体工商户，在政府采购活动中视同中小企业。</w:t>
      </w:r>
    </w:p>
    <w:p w14:paraId="41689C0C">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在政府采购活动中，供应商提供的货物、工程或者服务符合下列情形的，享受《关于印发&lt;政府采购促进中小企业发展管理办法&gt;的通知》（财库〔2020〕46号）规定的中小企业扶持政策：</w:t>
      </w:r>
    </w:p>
    <w:p w14:paraId="06BF9525">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（一）在货物采购项目中，货物由中小企业制造，即货物由中小企业生产且使用该中小企业商号或者注册商标；</w:t>
      </w:r>
    </w:p>
    <w:p w14:paraId="19E53C56">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（二）在工程采购项目中，工程由中小企业承建，即工程施工单位为中小企业；</w:t>
      </w:r>
    </w:p>
    <w:p w14:paraId="4C8717B4">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（三）在服务采购项目中，服务由中小企业承接，即提供服务的人员为中小企业依照《中华人民共和国劳动合同法》订立劳动合同的从业人员。</w:t>
      </w:r>
    </w:p>
    <w:p w14:paraId="58366332">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在货物采购项目中，供应商提供的货物既有中小企业制造货物，也有大型企业制造货物的，不享受本办法规定的中小企业扶持政策。</w:t>
      </w:r>
    </w:p>
    <w:p w14:paraId="179C5EFF">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以联合体形式参加政府采购活动，联合体各方均为中小企业的，联合体视同中小企业。其中，联合体各方均为小微企业的</w:t>
      </w:r>
      <w:r>
        <w:rPr>
          <w:rFonts w:hint="eastAsia" w:ascii="宋体" w:hAnsi="宋体" w:cs="黑体"/>
          <w:color w:val="auto"/>
          <w:kern w:val="0"/>
          <w:sz w:val="24"/>
          <w:szCs w:val="24"/>
          <w:highlight w:val="none"/>
          <w:lang w:eastAsia="zh-CN"/>
        </w:rPr>
        <w:t>，</w:t>
      </w:r>
      <w:r>
        <w:rPr>
          <w:rFonts w:hint="eastAsia" w:ascii="宋体" w:hAnsi="宋体" w:cs="黑体"/>
          <w:color w:val="auto"/>
          <w:kern w:val="0"/>
          <w:sz w:val="24"/>
          <w:szCs w:val="24"/>
          <w:highlight w:val="none"/>
        </w:rPr>
        <w:t>联合体视同小微企业。</w:t>
      </w:r>
    </w:p>
    <w:p w14:paraId="75BE0928">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中小企业参加政府采购活动，应当出具《关于印发&lt;政府采购促进中小企业发展管理办法&gt;的通知》（财库〔2020〕46号）规定的《中小企业声明函》，否则不得享受相关中小企业扶持政策。</w:t>
      </w:r>
    </w:p>
    <w:p w14:paraId="039AF26A">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依据《关于印发&lt;政府采购促进中小企业发展管理办法&gt;的通知》（财库〔2020〕46号）规定享受扶持政策获得政府采购合同的，小微企业不得将合同分包给大中型企业，中型企业不得将合同分包给大型企业。</w:t>
      </w:r>
    </w:p>
    <w:p w14:paraId="60C3CA1D">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中标、成交人享受本办法规定的中小企业扶持政策的，采购人、采购代理机构应当随中标、成交结果公开中标、成交人的《中小企业声明函》。供应商按照本办法规定提供声明函内容不实的，属于提供虚假材料谋取中标、成交，依照《中华人民共和国政府采购法》等国家有关规定追究相应责任。</w:t>
      </w:r>
    </w:p>
    <w:p w14:paraId="38B86FB1">
      <w:pPr>
        <w:keepNext w:val="0"/>
        <w:keepLines w:val="0"/>
        <w:pageBreakBefore w:val="0"/>
        <w:widowControl w:val="0"/>
        <w:numPr>
          <w:ilvl w:val="0"/>
          <w:numId w:val="6"/>
        </w:numPr>
        <w:kinsoku/>
        <w:wordWrap/>
        <w:overflowPunct/>
        <w:topLinePunct w:val="0"/>
        <w:autoSpaceDE w:val="0"/>
        <w:autoSpaceDN w:val="0"/>
        <w:bidi w:val="0"/>
        <w:adjustRightInd w:val="0"/>
        <w:spacing w:line="360" w:lineRule="auto"/>
        <w:textAlignment w:val="auto"/>
        <w:outlineLvl w:val="2"/>
        <w:rPr>
          <w:rFonts w:hint="eastAsia" w:ascii="黑体" w:hAnsi="宋体" w:eastAsia="黑体" w:cs="黑体"/>
          <w:color w:val="auto"/>
          <w:kern w:val="0"/>
          <w:sz w:val="24"/>
          <w:szCs w:val="24"/>
          <w:highlight w:val="none"/>
        </w:rPr>
      </w:pPr>
      <w:r>
        <w:rPr>
          <w:rFonts w:hint="eastAsia" w:ascii="黑体" w:hAnsi="宋体" w:eastAsia="黑体" w:cs="黑体"/>
          <w:color w:val="auto"/>
          <w:kern w:val="0"/>
          <w:sz w:val="24"/>
          <w:szCs w:val="24"/>
          <w:highlight w:val="none"/>
        </w:rPr>
        <w:t>关于节能产品及环境标志产品</w:t>
      </w:r>
    </w:p>
    <w:p w14:paraId="3D10C13E">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根据《财政部 发展改革委 生态环境部 市场监管总局 关于调整优化节能产品、环境标志产品政府采购执行机制的通知》（财库〔2019〕9号），对政府采购节能产品、环境标志产品实施品目清单管理。</w:t>
      </w:r>
    </w:p>
    <w:p w14:paraId="3CE7F3F3">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节能产品是指列入财政部和发展改革委公布的《关于印发节能产品政府采购品目清单的通知》（财库〔2019〕19号）《节能产品政府采购品目清单》中的产品，其中以“★”标注的为政府强制采购产品。</w:t>
      </w:r>
    </w:p>
    <w:p w14:paraId="24666984">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环境标志产品是指列入财政部和生态环境部公布的《关于印发环境标志产品政府采购品目清单的通知》（财库〔2019〕18号）《环境标志产品政府采购品目清单》中的产品。</w:t>
      </w:r>
    </w:p>
    <w:p w14:paraId="63554CEF">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产品属于节能产品或环境标志产品的，供应商需在响应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716B0138">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若供应商在响应文件中未提供或未按要求提供产品经国家确定的参与实施政府采购节能产品认证机构或参与实施政府采购环境标志产品认证机构出具的、处于有效期之内的节能产品、环境标志产品认证证书，在评审过程中将不予认可，由此造成的一切后果供应商自行承担。</w:t>
      </w:r>
    </w:p>
    <w:p w14:paraId="68BB2135">
      <w:pPr>
        <w:keepNext w:val="0"/>
        <w:keepLines w:val="0"/>
        <w:pageBreakBefore w:val="0"/>
        <w:widowControl w:val="0"/>
        <w:numPr>
          <w:ilvl w:val="0"/>
          <w:numId w:val="6"/>
        </w:numPr>
        <w:kinsoku/>
        <w:wordWrap/>
        <w:overflowPunct/>
        <w:topLinePunct w:val="0"/>
        <w:autoSpaceDE w:val="0"/>
        <w:autoSpaceDN w:val="0"/>
        <w:bidi w:val="0"/>
        <w:adjustRightInd w:val="0"/>
        <w:spacing w:line="360" w:lineRule="auto"/>
        <w:textAlignment w:val="auto"/>
        <w:outlineLvl w:val="2"/>
        <w:rPr>
          <w:rFonts w:hint="eastAsia" w:ascii="黑体" w:hAnsi="宋体" w:eastAsia="黑体" w:cs="黑体"/>
          <w:color w:val="auto"/>
          <w:kern w:val="0"/>
          <w:sz w:val="24"/>
          <w:szCs w:val="24"/>
          <w:highlight w:val="none"/>
        </w:rPr>
      </w:pPr>
      <w:r>
        <w:rPr>
          <w:rFonts w:hint="eastAsia" w:ascii="黑体" w:hAnsi="宋体" w:eastAsia="黑体" w:cs="黑体"/>
          <w:color w:val="auto"/>
          <w:kern w:val="0"/>
          <w:sz w:val="24"/>
          <w:szCs w:val="24"/>
          <w:highlight w:val="none"/>
        </w:rPr>
        <w:t>关于监狱企业</w:t>
      </w:r>
    </w:p>
    <w:p w14:paraId="0DC51EB2">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98CA9FE">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监狱企业参加政府采购活动时，应当提供由省级以上监狱管理局、戒毒管理局（含新疆生产建设兵团）出具的属于监狱企业的证明文件。</w:t>
      </w:r>
    </w:p>
    <w:p w14:paraId="36589E08">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在政府采购活动中，监狱企业视同小型、微型企业，享受预留份额、评审中价格扣除等政府采购促进中小企业发展的政府采购政策。</w:t>
      </w:r>
      <w:r>
        <w:rPr>
          <w:rFonts w:hint="eastAsia" w:ascii="宋体" w:hAnsi="宋体" w:cs="黑体"/>
          <w:color w:val="auto"/>
          <w:kern w:val="0"/>
          <w:sz w:val="24"/>
          <w:szCs w:val="24"/>
          <w:highlight w:val="none"/>
          <w:lang w:eastAsia="zh-CN"/>
        </w:rPr>
        <w:t>监狱企业</w:t>
      </w:r>
      <w:r>
        <w:rPr>
          <w:rFonts w:hint="eastAsia" w:ascii="宋体" w:hAnsi="宋体" w:cs="黑体"/>
          <w:color w:val="auto"/>
          <w:kern w:val="0"/>
          <w:sz w:val="24"/>
          <w:szCs w:val="24"/>
          <w:highlight w:val="none"/>
        </w:rPr>
        <w:t>属于小型、微型企业的，不重复享受政策</w:t>
      </w:r>
      <w:r>
        <w:rPr>
          <w:rFonts w:hint="eastAsia" w:ascii="宋体" w:hAnsi="宋体" w:cs="黑体"/>
          <w:color w:val="auto"/>
          <w:kern w:val="0"/>
          <w:sz w:val="24"/>
          <w:szCs w:val="24"/>
          <w:highlight w:val="none"/>
          <w:lang w:eastAsia="zh-CN"/>
        </w:rPr>
        <w:t>。</w:t>
      </w:r>
    </w:p>
    <w:p w14:paraId="258F6701">
      <w:pPr>
        <w:keepNext w:val="0"/>
        <w:keepLines w:val="0"/>
        <w:pageBreakBefore w:val="0"/>
        <w:widowControl w:val="0"/>
        <w:numPr>
          <w:ilvl w:val="0"/>
          <w:numId w:val="6"/>
        </w:numPr>
        <w:kinsoku/>
        <w:wordWrap/>
        <w:overflowPunct/>
        <w:topLinePunct w:val="0"/>
        <w:autoSpaceDE w:val="0"/>
        <w:autoSpaceDN w:val="0"/>
        <w:bidi w:val="0"/>
        <w:adjustRightInd w:val="0"/>
        <w:spacing w:line="360" w:lineRule="auto"/>
        <w:textAlignment w:val="auto"/>
        <w:outlineLvl w:val="2"/>
        <w:rPr>
          <w:rFonts w:hint="eastAsia" w:ascii="黑体" w:hAnsi="宋体" w:eastAsia="黑体" w:cs="黑体"/>
          <w:color w:val="auto"/>
          <w:kern w:val="0"/>
          <w:sz w:val="24"/>
          <w:szCs w:val="24"/>
          <w:highlight w:val="none"/>
        </w:rPr>
      </w:pPr>
      <w:r>
        <w:rPr>
          <w:rFonts w:hint="eastAsia" w:ascii="黑体" w:hAnsi="宋体" w:eastAsia="黑体" w:cs="黑体"/>
          <w:color w:val="auto"/>
          <w:kern w:val="0"/>
          <w:sz w:val="24"/>
          <w:szCs w:val="24"/>
          <w:highlight w:val="none"/>
        </w:rPr>
        <w:t>关于残疾人福利性单位</w:t>
      </w:r>
    </w:p>
    <w:p w14:paraId="0E780475">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根据《三部门联合发布关于促进残疾人就业政府采购政策的通知》（财库〔2017〕141号）的规定，享受政府采购支持政策的残疾人福利性单位应当同时满足以下条件：</w:t>
      </w:r>
    </w:p>
    <w:p w14:paraId="14AEAD1A">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（一）安置的残疾人占本单位在职职工人数的比例不低于25%（含25%），并且安置的残疾人人数不少于10人（含10人）；</w:t>
      </w:r>
    </w:p>
    <w:p w14:paraId="5189903F">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（二）依法与安置的每位残疾人签订了一年以上（含一年）的劳动合同或服务协议；</w:t>
      </w:r>
    </w:p>
    <w:p w14:paraId="085AD76E">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（三）为安置的每位残疾人按月足额缴纳了基本养老保险、基本医疗保险、失业保险、工伤保险和生育保险等社会保险费；</w:t>
      </w:r>
    </w:p>
    <w:p w14:paraId="6C7B5BC5">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（四）通过银行等金融机构向安置的每位残疾人，按月支付了不低于单位所在区县适用的经省级人民政府批准的月最低工资标准的工资；</w:t>
      </w:r>
    </w:p>
    <w:p w14:paraId="4D14DB1F">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（五）提供本单位制造的货物、承担的工程或者服务（以下简称产品），或者提供其他残疾人福利性单位制造的货物（不包括使用非残疾人福利性单位注册商标的货物）。</w:t>
      </w:r>
    </w:p>
    <w:p w14:paraId="040EADDF">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BAA1C2A">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cs="黑体"/>
          <w:color w:val="auto"/>
          <w:kern w:val="0"/>
          <w:sz w:val="24"/>
          <w:szCs w:val="24"/>
          <w:highlight w:val="none"/>
        </w:rPr>
      </w:pPr>
      <w:r>
        <w:rPr>
          <w:rFonts w:hint="eastAsia" w:ascii="宋体" w:hAnsi="宋体" w:cs="黑体"/>
          <w:color w:val="auto"/>
          <w:kern w:val="0"/>
          <w:sz w:val="24"/>
          <w:szCs w:val="24"/>
          <w:highlight w:val="none"/>
        </w:rPr>
        <w:t>符合条件的残疾人福利性单位在参加政府采购活动时，应当按《三部门联合发布关于促进残疾人就业政府采购政策的通知》（财库〔2017〕141号）提供规定的《残疾人福利性单位声明函》，并对声明的真实性负责。</w:t>
      </w:r>
    </w:p>
    <w:p w14:paraId="1FB67B88">
      <w:pPr>
        <w:keepNext w:val="0"/>
        <w:keepLines w:val="0"/>
        <w:pageBreakBefore w:val="0"/>
        <w:widowControl w:val="0"/>
        <w:numPr>
          <w:ilvl w:val="1"/>
          <w:numId w:val="6"/>
        </w:numPr>
        <w:kinsoku/>
        <w:wordWrap/>
        <w:overflowPunct/>
        <w:topLinePunct w:val="0"/>
        <w:autoSpaceDE w:val="0"/>
        <w:autoSpaceDN w:val="0"/>
        <w:bidi w:val="0"/>
        <w:adjustRightInd w:val="0"/>
        <w:snapToGrid w:val="0"/>
        <w:spacing w:line="360" w:lineRule="auto"/>
        <w:ind w:left="1137" w:hanging="1132" w:hangingChars="472"/>
        <w:textAlignment w:val="auto"/>
        <w:rPr>
          <w:rFonts w:hint="eastAsia" w:ascii="宋体" w:hAnsi="宋体" w:cs="黑体"/>
          <w:color w:val="auto"/>
          <w:kern w:val="0"/>
          <w:sz w:val="24"/>
          <w:szCs w:val="24"/>
          <w:highlight w:val="none"/>
        </w:rPr>
        <w:sectPr>
          <w:headerReference r:id="rId6" w:type="default"/>
          <w:footerReference r:id="rId7" w:type="default"/>
          <w:pgSz w:w="11906" w:h="16838"/>
          <w:pgMar w:top="1440" w:right="1083" w:bottom="1440" w:left="1083" w:header="851" w:footer="992" w:gutter="0"/>
          <w:pgNumType w:fmt="numberInDash"/>
          <w:cols w:space="0" w:num="1"/>
          <w:rtlGutter w:val="0"/>
          <w:docGrid w:type="lines" w:linePitch="314" w:charSpace="0"/>
        </w:sectPr>
      </w:pPr>
      <w:r>
        <w:rPr>
          <w:rFonts w:hint="eastAsia" w:ascii="宋体" w:hAnsi="宋体" w:cs="黑体"/>
          <w:color w:val="auto"/>
          <w:kern w:val="0"/>
          <w:sz w:val="24"/>
          <w:szCs w:val="24"/>
          <w:highlight w:val="none"/>
        </w:rPr>
        <w:t>在政府采购活动中，监狱企业视同小型、微型企业，享受预留份额、评审中价格扣除等政府采购促进中小企业发展的政府采购政策。残疾人福利性单位属于小型、微型企业的，不重复享受政策。</w:t>
      </w:r>
    </w:p>
    <w:p w14:paraId="27ABB379">
      <w:pPr>
        <w:pStyle w:val="3"/>
        <w:shd w:val="clear"/>
        <w:bidi w:val="0"/>
        <w:jc w:val="center"/>
        <w:rPr>
          <w:rFonts w:hint="eastAsia" w:ascii="黑体" w:hAnsi="黑体" w:eastAsia="黑体" w:cs="黑体"/>
          <w:b/>
          <w:bCs/>
          <w:color w:val="auto"/>
          <w:highlight w:val="none"/>
          <w:lang w:val="en-US" w:eastAsia="zh-CN"/>
        </w:rPr>
      </w:pPr>
      <w:bookmarkStart w:id="128" w:name="_Toc195921851"/>
      <w:bookmarkStart w:id="129" w:name="_Toc11216"/>
      <w:r>
        <w:rPr>
          <w:rFonts w:hint="eastAsia" w:ascii="黑体" w:hAnsi="黑体" w:eastAsia="黑体" w:cs="黑体"/>
          <w:b/>
          <w:bCs/>
          <w:color w:val="auto"/>
          <w:highlight w:val="none"/>
          <w:lang w:val="en-US" w:eastAsia="zh-CN"/>
        </w:rPr>
        <w:t>第三章  评审办法</w:t>
      </w:r>
      <w:bookmarkEnd w:id="128"/>
      <w:r>
        <w:rPr>
          <w:rFonts w:hint="eastAsia" w:ascii="黑体" w:hAnsi="黑体" w:eastAsia="黑体" w:cs="黑体"/>
          <w:b/>
          <w:bCs/>
          <w:color w:val="auto"/>
          <w:highlight w:val="none"/>
          <w:lang w:val="en-US" w:eastAsia="zh-CN"/>
        </w:rPr>
        <w:t>和标准</w:t>
      </w:r>
      <w:bookmarkEnd w:id="129"/>
    </w:p>
    <w:p w14:paraId="76B3F299">
      <w:pPr>
        <w:keepNext w:val="0"/>
        <w:keepLines w:val="0"/>
        <w:pageBreakBefore w:val="0"/>
        <w:widowControl w:val="0"/>
        <w:numPr>
          <w:ilvl w:val="0"/>
          <w:numId w:val="12"/>
        </w:numPr>
        <w:shd w:val="clear"/>
        <w:tabs>
          <w:tab w:val="left" w:pos="993"/>
        </w:tabs>
        <w:kinsoku/>
        <w:wordWrap/>
        <w:overflowPunct/>
        <w:topLinePunct w:val="0"/>
        <w:autoSpaceDE w:val="0"/>
        <w:autoSpaceDN w:val="0"/>
        <w:bidi w:val="0"/>
        <w:adjustRightInd w:val="0"/>
        <w:snapToGrid w:val="0"/>
        <w:spacing w:line="360" w:lineRule="auto"/>
        <w:ind w:left="993" w:hanging="993"/>
        <w:jc w:val="left"/>
        <w:textAlignment w:val="auto"/>
        <w:outlineLvl w:val="1"/>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评审方法</w:t>
      </w:r>
    </w:p>
    <w:p w14:paraId="6D105D39">
      <w:pPr>
        <w:keepNext w:val="0"/>
        <w:keepLines w:val="0"/>
        <w:pageBreakBefore w:val="0"/>
        <w:widowControl w:val="0"/>
        <w:numPr>
          <w:ilvl w:val="0"/>
          <w:numId w:val="12"/>
        </w:numPr>
        <w:shd w:val="clear"/>
        <w:tabs>
          <w:tab w:val="left" w:pos="993"/>
        </w:tabs>
        <w:kinsoku/>
        <w:wordWrap/>
        <w:overflowPunct/>
        <w:topLinePunct w:val="0"/>
        <w:autoSpaceDE w:val="0"/>
        <w:autoSpaceDN w:val="0"/>
        <w:bidi w:val="0"/>
        <w:adjustRightInd w:val="0"/>
        <w:snapToGrid w:val="0"/>
        <w:spacing w:line="360" w:lineRule="auto"/>
        <w:ind w:left="993" w:hanging="993"/>
        <w:jc w:val="left"/>
        <w:textAlignment w:val="auto"/>
        <w:outlineLvl w:val="1"/>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w:t>
      </w:r>
    </w:p>
    <w:p w14:paraId="03F96116">
      <w:pPr>
        <w:keepNext w:val="0"/>
        <w:keepLines w:val="0"/>
        <w:pageBreakBefore w:val="0"/>
        <w:widowControl w:val="0"/>
        <w:numPr>
          <w:ilvl w:val="0"/>
          <w:numId w:val="12"/>
        </w:numPr>
        <w:shd w:val="clear"/>
        <w:tabs>
          <w:tab w:val="left" w:pos="993"/>
        </w:tabs>
        <w:kinsoku/>
        <w:wordWrap/>
        <w:overflowPunct/>
        <w:topLinePunct w:val="0"/>
        <w:autoSpaceDE w:val="0"/>
        <w:autoSpaceDN w:val="0"/>
        <w:bidi w:val="0"/>
        <w:adjustRightInd w:val="0"/>
        <w:snapToGrid w:val="0"/>
        <w:spacing w:line="360" w:lineRule="auto"/>
        <w:ind w:left="993" w:hanging="993"/>
        <w:jc w:val="left"/>
        <w:textAlignment w:val="auto"/>
        <w:outlineLvl w:val="1"/>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评审过程中，不得去掉报价中的最高报价和最低报价。因落实政府采购政策进行价格调整的，以调整后的价格计算磋商基准价和最后磋商报价。本次评审总分 100 分，如无明确要求或特殊说明，每一</w:t>
      </w:r>
      <w:r>
        <w:rPr>
          <w:rFonts w:hint="eastAsia" w:ascii="宋体" w:hAnsi="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的最终得分为所有磋商小组成员给其评分的算术平均值。</w:t>
      </w:r>
    </w:p>
    <w:p w14:paraId="4EE88F28">
      <w:pPr>
        <w:keepNext w:val="0"/>
        <w:keepLines w:val="0"/>
        <w:pageBreakBefore w:val="0"/>
        <w:widowControl w:val="0"/>
        <w:numPr>
          <w:ilvl w:val="0"/>
          <w:numId w:val="12"/>
        </w:numPr>
        <w:shd w:val="clear"/>
        <w:tabs>
          <w:tab w:val="left" w:pos="993"/>
        </w:tabs>
        <w:kinsoku/>
        <w:wordWrap/>
        <w:overflowPunct/>
        <w:topLinePunct w:val="0"/>
        <w:autoSpaceDE w:val="0"/>
        <w:autoSpaceDN w:val="0"/>
        <w:bidi w:val="0"/>
        <w:adjustRightInd w:val="0"/>
        <w:snapToGrid w:val="0"/>
        <w:spacing w:line="360" w:lineRule="auto"/>
        <w:ind w:left="993" w:hanging="993"/>
        <w:jc w:val="left"/>
        <w:textAlignment w:val="auto"/>
        <w:outlineLvl w:val="1"/>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分值构成：总分 100 分。评审标准</w:t>
      </w:r>
    </w:p>
    <w:p w14:paraId="6D04202C">
      <w:pPr>
        <w:keepNext w:val="0"/>
        <w:keepLines w:val="0"/>
        <w:pageBreakBefore w:val="0"/>
        <w:widowControl w:val="0"/>
        <w:numPr>
          <w:ilvl w:val="1"/>
          <w:numId w:val="12"/>
        </w:numPr>
        <w:shd w:val="clear"/>
        <w:tabs>
          <w:tab w:val="left" w:pos="993"/>
        </w:tabs>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资格审查和符合性评审标准：见附表一和附表二。</w:t>
      </w:r>
    </w:p>
    <w:p w14:paraId="672A1102">
      <w:pPr>
        <w:keepNext w:val="0"/>
        <w:keepLines w:val="0"/>
        <w:pageBreakBefore w:val="0"/>
        <w:widowControl w:val="0"/>
        <w:numPr>
          <w:ilvl w:val="1"/>
          <w:numId w:val="12"/>
        </w:numPr>
        <w:shd w:val="clear"/>
        <w:tabs>
          <w:tab w:val="left" w:pos="993"/>
        </w:tabs>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分值构成</w:t>
      </w:r>
    </w:p>
    <w:p w14:paraId="56AA042F">
      <w:pPr>
        <w:keepNext w:val="0"/>
        <w:keepLines w:val="0"/>
        <w:pageBreakBefore w:val="0"/>
        <w:widowControl w:val="0"/>
        <w:shd w:val="clear"/>
        <w:tabs>
          <w:tab w:val="left" w:pos="993"/>
        </w:tabs>
        <w:kinsoku/>
        <w:wordWrap/>
        <w:overflowPunct/>
        <w:topLinePunct w:val="0"/>
        <w:autoSpaceDE w:val="0"/>
        <w:autoSpaceDN w:val="0"/>
        <w:bidi w:val="0"/>
        <w:adjustRightInd w:val="0"/>
        <w:snapToGrid w:val="0"/>
        <w:spacing w:line="360" w:lineRule="auto"/>
        <w:ind w:left="2264" w:leftChars="514" w:hanging="1185" w:hangingChars="494"/>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分值构成：总分100分，其中</w:t>
      </w:r>
    </w:p>
    <w:p w14:paraId="7959D44A">
      <w:pPr>
        <w:keepNext w:val="0"/>
        <w:keepLines w:val="0"/>
        <w:pageBreakBefore w:val="0"/>
        <w:widowControl w:val="0"/>
        <w:shd w:val="clear"/>
        <w:tabs>
          <w:tab w:val="left" w:pos="993"/>
        </w:tabs>
        <w:kinsoku/>
        <w:wordWrap/>
        <w:overflowPunct/>
        <w:topLinePunct w:val="0"/>
        <w:autoSpaceDE w:val="0"/>
        <w:autoSpaceDN w:val="0"/>
        <w:bidi w:val="0"/>
        <w:adjustRightInd w:val="0"/>
        <w:snapToGrid w:val="0"/>
        <w:spacing w:line="360" w:lineRule="auto"/>
        <w:ind w:left="2409" w:leftChars="1147" w:firstLine="2" w:firstLineChars="1"/>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商务</w:t>
      </w:r>
      <w:r>
        <w:rPr>
          <w:rFonts w:hint="eastAsia" w:ascii="宋体" w:hAnsi="宋体" w:eastAsia="宋体" w:cs="宋体"/>
          <w:color w:val="auto"/>
          <w:kern w:val="0"/>
          <w:sz w:val="24"/>
          <w:szCs w:val="24"/>
          <w:highlight w:val="none"/>
          <w:lang w:val="en-US" w:eastAsia="zh-CN"/>
        </w:rPr>
        <w:t>技术</w:t>
      </w:r>
      <w:r>
        <w:rPr>
          <w:rFonts w:hint="eastAsia" w:ascii="宋体" w:hAnsi="宋体" w:eastAsia="宋体" w:cs="宋体"/>
          <w:color w:val="auto"/>
          <w:kern w:val="0"/>
          <w:sz w:val="24"/>
          <w:szCs w:val="24"/>
          <w:highlight w:val="none"/>
        </w:rPr>
        <w:t>部分</w:t>
      </w:r>
      <w:r>
        <w:rPr>
          <w:rFonts w:hint="eastAsia" w:ascii="宋体" w:hAnsi="宋体" w:cs="宋体"/>
          <w:color w:val="auto"/>
          <w:kern w:val="0"/>
          <w:sz w:val="24"/>
          <w:szCs w:val="24"/>
          <w:highlight w:val="none"/>
          <w:lang w:val="en-US" w:eastAsia="zh-CN"/>
        </w:rPr>
        <w:t>得分</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80分</w:t>
      </w:r>
    </w:p>
    <w:p w14:paraId="6EEDE5EA">
      <w:pPr>
        <w:keepNext w:val="0"/>
        <w:keepLines w:val="0"/>
        <w:pageBreakBefore w:val="0"/>
        <w:widowControl w:val="0"/>
        <w:shd w:val="clear"/>
        <w:tabs>
          <w:tab w:val="left" w:pos="993"/>
        </w:tabs>
        <w:kinsoku/>
        <w:wordWrap/>
        <w:overflowPunct/>
        <w:topLinePunct w:val="0"/>
        <w:autoSpaceDE w:val="0"/>
        <w:autoSpaceDN w:val="0"/>
        <w:bidi w:val="0"/>
        <w:adjustRightInd w:val="0"/>
        <w:snapToGrid w:val="0"/>
        <w:spacing w:line="360" w:lineRule="auto"/>
        <w:ind w:left="2409" w:leftChars="1147" w:firstLine="2" w:firstLineChars="1"/>
        <w:jc w:val="left"/>
        <w:textAlignment w:val="auto"/>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报价</w:t>
      </w:r>
      <w:r>
        <w:rPr>
          <w:rFonts w:hint="eastAsia" w:ascii="宋体" w:hAnsi="宋体" w:eastAsia="宋体" w:cs="宋体"/>
          <w:color w:val="auto"/>
          <w:kern w:val="0"/>
          <w:sz w:val="24"/>
          <w:szCs w:val="24"/>
          <w:highlight w:val="none"/>
        </w:rPr>
        <w:t>部分</w:t>
      </w:r>
      <w:r>
        <w:rPr>
          <w:rFonts w:hint="eastAsia" w:ascii="宋体" w:hAnsi="宋体" w:cs="宋体"/>
          <w:color w:val="auto"/>
          <w:kern w:val="0"/>
          <w:sz w:val="24"/>
          <w:szCs w:val="24"/>
          <w:highlight w:val="none"/>
          <w:lang w:val="en-US" w:eastAsia="zh-CN"/>
        </w:rPr>
        <w:t>得分</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20分</w:t>
      </w:r>
    </w:p>
    <w:p w14:paraId="413F0431">
      <w:pPr>
        <w:keepNext w:val="0"/>
        <w:keepLines w:val="0"/>
        <w:pageBreakBefore w:val="0"/>
        <w:widowControl w:val="0"/>
        <w:numPr>
          <w:ilvl w:val="1"/>
          <w:numId w:val="12"/>
        </w:numPr>
        <w:shd w:val="clear"/>
        <w:tabs>
          <w:tab w:val="left" w:pos="993"/>
        </w:tabs>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color w:val="auto"/>
          <w:kern w:val="0"/>
          <w:sz w:val="24"/>
          <w:szCs w:val="24"/>
          <w:highlight w:val="none"/>
        </w:rPr>
      </w:pPr>
      <w:bookmarkStart w:id="130" w:name="_Ref426362114"/>
      <w:r>
        <w:rPr>
          <w:rFonts w:hint="eastAsia" w:ascii="宋体" w:hAnsi="宋体" w:eastAsia="宋体" w:cs="宋体"/>
          <w:color w:val="auto"/>
          <w:kern w:val="0"/>
          <w:sz w:val="24"/>
          <w:szCs w:val="24"/>
          <w:highlight w:val="none"/>
        </w:rPr>
        <w:t>商务和技术评审标准</w:t>
      </w:r>
      <w:bookmarkEnd w:id="130"/>
    </w:p>
    <w:p w14:paraId="47765DA9">
      <w:pPr>
        <w:keepNext w:val="0"/>
        <w:keepLines w:val="0"/>
        <w:pageBreakBefore w:val="0"/>
        <w:widowControl w:val="0"/>
        <w:numPr>
          <w:ilvl w:val="2"/>
          <w:numId w:val="12"/>
        </w:numPr>
        <w:shd w:val="clear"/>
        <w:tabs>
          <w:tab w:val="left" w:pos="993"/>
        </w:tabs>
        <w:kinsoku/>
        <w:wordWrap/>
        <w:overflowPunct/>
        <w:topLinePunct w:val="0"/>
        <w:autoSpaceDE w:val="0"/>
        <w:autoSpaceDN w:val="0"/>
        <w:bidi w:val="0"/>
        <w:adjustRightInd w:val="0"/>
        <w:snapToGrid w:val="0"/>
        <w:spacing w:line="360" w:lineRule="auto"/>
        <w:ind w:left="993" w:hanging="993"/>
        <w:jc w:val="left"/>
        <w:textAlignment w:val="auto"/>
        <w:rPr>
          <w:rFonts w:hint="eastAsia" w:ascii="宋体" w:hAnsi="宋体" w:eastAsia="宋体" w:cs="宋体"/>
          <w:color w:val="auto"/>
          <w:kern w:val="0"/>
          <w:sz w:val="24"/>
          <w:szCs w:val="24"/>
          <w:highlight w:val="none"/>
        </w:rPr>
      </w:pPr>
      <w:bookmarkStart w:id="131" w:name="_Ref426362140"/>
      <w:r>
        <w:rPr>
          <w:rFonts w:hint="eastAsia" w:ascii="宋体" w:hAnsi="宋体" w:eastAsia="宋体" w:cs="宋体"/>
          <w:color w:val="auto"/>
          <w:kern w:val="0"/>
          <w:sz w:val="24"/>
          <w:szCs w:val="24"/>
          <w:highlight w:val="none"/>
        </w:rPr>
        <w:t>商务</w:t>
      </w:r>
      <w:r>
        <w:rPr>
          <w:rFonts w:hint="eastAsia" w:ascii="宋体" w:hAnsi="宋体" w:eastAsia="宋体" w:cs="宋体"/>
          <w:color w:val="auto"/>
          <w:kern w:val="0"/>
          <w:sz w:val="24"/>
          <w:szCs w:val="24"/>
          <w:highlight w:val="none"/>
          <w:lang w:val="en-US" w:eastAsia="zh-CN"/>
        </w:rPr>
        <w:t>技术</w:t>
      </w:r>
      <w:r>
        <w:rPr>
          <w:rFonts w:hint="eastAsia" w:ascii="宋体" w:hAnsi="宋体" w:eastAsia="宋体" w:cs="宋体"/>
          <w:color w:val="auto"/>
          <w:kern w:val="0"/>
          <w:sz w:val="24"/>
          <w:szCs w:val="24"/>
          <w:highlight w:val="none"/>
        </w:rPr>
        <w:t>部分评分标准：见附表</w:t>
      </w:r>
      <w:bookmarkEnd w:id="131"/>
      <w:r>
        <w:rPr>
          <w:rFonts w:hint="eastAsia" w:ascii="宋体" w:hAnsi="宋体" w:eastAsia="宋体" w:cs="宋体"/>
          <w:color w:val="auto"/>
          <w:kern w:val="0"/>
          <w:sz w:val="24"/>
          <w:szCs w:val="24"/>
          <w:highlight w:val="none"/>
        </w:rPr>
        <w:t>三</w:t>
      </w:r>
    </w:p>
    <w:p w14:paraId="0F5994B2">
      <w:pPr>
        <w:keepNext w:val="0"/>
        <w:keepLines w:val="0"/>
        <w:pageBreakBefore w:val="0"/>
        <w:widowControl w:val="0"/>
        <w:numPr>
          <w:ilvl w:val="2"/>
          <w:numId w:val="12"/>
        </w:numPr>
        <w:shd w:val="clear"/>
        <w:tabs>
          <w:tab w:val="left" w:pos="993"/>
        </w:tabs>
        <w:kinsoku/>
        <w:wordWrap/>
        <w:overflowPunct/>
        <w:topLinePunct w:val="0"/>
        <w:autoSpaceDE w:val="0"/>
        <w:autoSpaceDN w:val="0"/>
        <w:bidi w:val="0"/>
        <w:adjustRightInd w:val="0"/>
        <w:snapToGrid w:val="0"/>
        <w:spacing w:line="360" w:lineRule="auto"/>
        <w:ind w:left="993" w:hanging="993"/>
        <w:jc w:val="left"/>
        <w:textAlignment w:val="auto"/>
        <w:rPr>
          <w:rFonts w:hint="default" w:ascii="宋体" w:hAnsi="宋体" w:cs="宋体"/>
          <w:color w:val="auto"/>
          <w:kern w:val="0"/>
          <w:sz w:val="24"/>
          <w:szCs w:val="24"/>
          <w:highlight w:val="none"/>
          <w:lang w:val="en-US" w:eastAsia="zh-CN"/>
        </w:rPr>
      </w:pPr>
      <w:bookmarkStart w:id="132" w:name="_Ref426362176"/>
      <w:r>
        <w:rPr>
          <w:rFonts w:hint="eastAsia" w:ascii="宋体" w:hAnsi="宋体" w:eastAsia="宋体" w:cs="宋体"/>
          <w:color w:val="auto"/>
          <w:kern w:val="0"/>
          <w:sz w:val="24"/>
          <w:szCs w:val="24"/>
          <w:highlight w:val="none"/>
        </w:rPr>
        <w:t>报价评分标准：</w:t>
      </w:r>
      <w:bookmarkEnd w:id="132"/>
      <w:r>
        <w:rPr>
          <w:rFonts w:hint="eastAsia" w:ascii="宋体" w:hAnsi="宋体" w:eastAsia="宋体" w:cs="宋体"/>
          <w:color w:val="auto"/>
          <w:kern w:val="0"/>
          <w:sz w:val="24"/>
          <w:szCs w:val="24"/>
          <w:highlight w:val="none"/>
        </w:rPr>
        <w:t>价格分统一采用低价优先法计算，即满足磋商文件要求且最后报价</w:t>
      </w:r>
      <w:r>
        <w:rPr>
          <w:rFonts w:hint="eastAsia" w:ascii="宋体" w:hAnsi="宋体" w:cs="宋体"/>
          <w:color w:val="auto"/>
          <w:kern w:val="0"/>
          <w:sz w:val="24"/>
          <w:szCs w:val="24"/>
          <w:highlight w:val="none"/>
          <w:lang w:eastAsia="zh-CN"/>
        </w:rPr>
        <w:t>（即响应总价）</w:t>
      </w:r>
      <w:r>
        <w:rPr>
          <w:rFonts w:hint="eastAsia" w:ascii="宋体" w:hAnsi="宋体" w:eastAsia="宋体" w:cs="宋体"/>
          <w:color w:val="auto"/>
          <w:kern w:val="0"/>
          <w:sz w:val="24"/>
          <w:szCs w:val="24"/>
          <w:highlight w:val="none"/>
        </w:rPr>
        <w:t>最低的供应商的价格为磋商基准价，其价格分为满分。其他供应商的价格分统一按照下列公式计算：</w:t>
      </w:r>
      <w:r>
        <w:rPr>
          <w:rFonts w:hint="eastAsia" w:ascii="宋体" w:hAnsi="宋体" w:cs="宋体"/>
          <w:color w:val="auto"/>
          <w:kern w:val="0"/>
          <w:sz w:val="24"/>
          <w:szCs w:val="24"/>
          <w:highlight w:val="none"/>
          <w:lang w:val="en-US" w:eastAsia="zh-CN"/>
        </w:rPr>
        <w:t>磋商报价得分=（磋商基准价/最后磋商报价）×20。</w:t>
      </w:r>
    </w:p>
    <w:p w14:paraId="6B11ED04">
      <w:pPr>
        <w:keepNext w:val="0"/>
        <w:keepLines w:val="0"/>
        <w:pageBreakBefore w:val="0"/>
        <w:widowControl w:val="0"/>
        <w:numPr>
          <w:ilvl w:val="0"/>
          <w:numId w:val="12"/>
        </w:numPr>
        <w:shd w:val="clear"/>
        <w:tabs>
          <w:tab w:val="left" w:pos="1134"/>
        </w:tabs>
        <w:kinsoku/>
        <w:wordWrap/>
        <w:overflowPunct/>
        <w:topLinePunct w:val="0"/>
        <w:autoSpaceDE w:val="0"/>
        <w:autoSpaceDN w:val="0"/>
        <w:bidi w:val="0"/>
        <w:adjustRightInd w:val="0"/>
        <w:snapToGrid w:val="0"/>
        <w:spacing w:line="360" w:lineRule="auto"/>
        <w:ind w:left="1134" w:hanging="1134"/>
        <w:jc w:val="left"/>
        <w:textAlignment w:val="auto"/>
        <w:outlineLvl w:val="1"/>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评审程序</w:t>
      </w:r>
    </w:p>
    <w:p w14:paraId="0E659F40">
      <w:pPr>
        <w:keepNext w:val="0"/>
        <w:keepLines w:val="0"/>
        <w:pageBreakBefore w:val="0"/>
        <w:widowControl w:val="0"/>
        <w:numPr>
          <w:ilvl w:val="1"/>
          <w:numId w:val="12"/>
        </w:numPr>
        <w:shd w:val="clear"/>
        <w:tabs>
          <w:tab w:val="left" w:pos="1134"/>
        </w:tabs>
        <w:kinsoku/>
        <w:wordWrap/>
        <w:overflowPunct/>
        <w:topLinePunct w:val="0"/>
        <w:autoSpaceDE w:val="0"/>
        <w:autoSpaceDN w:val="0"/>
        <w:bidi w:val="0"/>
        <w:adjustRightInd w:val="0"/>
        <w:snapToGrid w:val="0"/>
        <w:spacing w:line="360" w:lineRule="auto"/>
        <w:jc w:val="left"/>
        <w:textAlignment w:val="auto"/>
        <w:outlineLvl w:val="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资格审查及符合性审查</w:t>
      </w:r>
    </w:p>
    <w:p w14:paraId="3BC5E4DB">
      <w:pPr>
        <w:keepNext w:val="0"/>
        <w:keepLines w:val="0"/>
        <w:pageBreakBefore w:val="0"/>
        <w:widowControl w:val="0"/>
        <w:numPr>
          <w:ilvl w:val="2"/>
          <w:numId w:val="12"/>
        </w:numPr>
        <w:shd w:val="clear"/>
        <w:tabs>
          <w:tab w:val="left" w:pos="1134"/>
          <w:tab w:val="left" w:pos="1560"/>
        </w:tabs>
        <w:kinsoku/>
        <w:wordWrap/>
        <w:overflowPunct/>
        <w:topLinePunct w:val="0"/>
        <w:autoSpaceDE w:val="0"/>
        <w:autoSpaceDN w:val="0"/>
        <w:bidi w:val="0"/>
        <w:adjustRightInd w:val="0"/>
        <w:snapToGrid w:val="0"/>
        <w:spacing w:line="360" w:lineRule="auto"/>
        <w:ind w:left="1134" w:hanging="1134"/>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磋商小组按附表一所列审查标准，对供应商资格进行审查，以确定供应商是否具备磋商资格。</w:t>
      </w:r>
    </w:p>
    <w:p w14:paraId="29DD2F70">
      <w:pPr>
        <w:keepNext w:val="0"/>
        <w:keepLines w:val="0"/>
        <w:pageBreakBefore w:val="0"/>
        <w:widowControl w:val="0"/>
        <w:numPr>
          <w:ilvl w:val="2"/>
          <w:numId w:val="12"/>
        </w:numPr>
        <w:shd w:val="clear"/>
        <w:tabs>
          <w:tab w:val="left" w:pos="1134"/>
          <w:tab w:val="left" w:pos="1560"/>
        </w:tabs>
        <w:kinsoku/>
        <w:wordWrap/>
        <w:overflowPunct/>
        <w:topLinePunct w:val="0"/>
        <w:autoSpaceDE w:val="0"/>
        <w:autoSpaceDN w:val="0"/>
        <w:bidi w:val="0"/>
        <w:adjustRightInd w:val="0"/>
        <w:snapToGrid w:val="0"/>
        <w:spacing w:line="360" w:lineRule="auto"/>
        <w:ind w:left="1134" w:hanging="1134"/>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磋商小组对符合资格要求的供应商按附表二进行符合性审查，以确定其是否满足磋商文件的实质性要求（见本章内的符合性审查表）。</w:t>
      </w:r>
    </w:p>
    <w:p w14:paraId="6223DA69">
      <w:pPr>
        <w:keepNext w:val="0"/>
        <w:keepLines w:val="0"/>
        <w:pageBreakBefore w:val="0"/>
        <w:widowControl w:val="0"/>
        <w:numPr>
          <w:ilvl w:val="2"/>
          <w:numId w:val="12"/>
        </w:numPr>
        <w:shd w:val="clear"/>
        <w:tabs>
          <w:tab w:val="left" w:pos="1134"/>
          <w:tab w:val="left" w:pos="1560"/>
        </w:tabs>
        <w:kinsoku/>
        <w:wordWrap/>
        <w:overflowPunct/>
        <w:topLinePunct w:val="0"/>
        <w:autoSpaceDE w:val="0"/>
        <w:autoSpaceDN w:val="0"/>
        <w:bidi w:val="0"/>
        <w:adjustRightInd w:val="0"/>
        <w:snapToGrid w:val="0"/>
        <w:spacing w:line="360" w:lineRule="auto"/>
        <w:ind w:left="1134" w:hanging="1134"/>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磋商小组在资格审查和符合性审查时，可以要求供应商对响应文件中含义不明确、同类问题表述不一致或者有明显文字和计算错误的内容作出必要的澄清、说明或更正。供应商的澄清、说明或更正不得超出响应文件的范围或者改变响应文件的实质性内容。</w:t>
      </w:r>
    </w:p>
    <w:p w14:paraId="0BE12093">
      <w:pPr>
        <w:keepNext w:val="0"/>
        <w:keepLines w:val="0"/>
        <w:pageBreakBefore w:val="0"/>
        <w:widowControl w:val="0"/>
        <w:shd w:val="clear"/>
        <w:tabs>
          <w:tab w:val="left" w:pos="993"/>
          <w:tab w:val="left" w:pos="1418"/>
        </w:tabs>
        <w:kinsoku/>
        <w:wordWrap/>
        <w:overflowPunct/>
        <w:topLinePunct w:val="0"/>
        <w:autoSpaceDE w:val="0"/>
        <w:autoSpaceDN w:val="0"/>
        <w:bidi w:val="0"/>
        <w:adjustRightInd w:val="0"/>
        <w:snapToGrid w:val="0"/>
        <w:spacing w:line="360" w:lineRule="auto"/>
        <w:ind w:left="1132" w:leftChars="539"/>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磋商小组不接受供应商主动提出的澄清、说明或补正。</w:t>
      </w:r>
    </w:p>
    <w:p w14:paraId="141464DE">
      <w:pPr>
        <w:keepNext w:val="0"/>
        <w:keepLines w:val="0"/>
        <w:pageBreakBefore w:val="0"/>
        <w:widowControl w:val="0"/>
        <w:shd w:val="clear"/>
        <w:tabs>
          <w:tab w:val="left" w:pos="993"/>
          <w:tab w:val="left" w:pos="1418"/>
        </w:tabs>
        <w:kinsoku/>
        <w:wordWrap/>
        <w:overflowPunct/>
        <w:topLinePunct w:val="0"/>
        <w:autoSpaceDE w:val="0"/>
        <w:autoSpaceDN w:val="0"/>
        <w:bidi w:val="0"/>
        <w:adjustRightInd w:val="0"/>
        <w:snapToGrid w:val="0"/>
        <w:spacing w:line="360" w:lineRule="auto"/>
        <w:ind w:left="1132" w:leftChars="539"/>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供应商的书面澄清、说明和补正属于响应文件的组成部分。</w:t>
      </w:r>
    </w:p>
    <w:p w14:paraId="0DAE4644">
      <w:pPr>
        <w:keepNext w:val="0"/>
        <w:keepLines w:val="0"/>
        <w:pageBreakBefore w:val="0"/>
        <w:widowControl w:val="0"/>
        <w:shd w:val="clear"/>
        <w:tabs>
          <w:tab w:val="left" w:pos="993"/>
          <w:tab w:val="left" w:pos="1418"/>
        </w:tabs>
        <w:kinsoku/>
        <w:wordWrap/>
        <w:overflowPunct/>
        <w:topLinePunct w:val="0"/>
        <w:autoSpaceDE w:val="0"/>
        <w:autoSpaceDN w:val="0"/>
        <w:bidi w:val="0"/>
        <w:adjustRightInd w:val="0"/>
        <w:snapToGrid w:val="0"/>
        <w:spacing w:line="360" w:lineRule="auto"/>
        <w:ind w:left="1132" w:leftChars="539"/>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磋商小组对供应商提交的澄清、说明或补正有疑问的，可以要求供应商进一步澄清、说明或补正，直至满足评审小组的要求。</w:t>
      </w:r>
    </w:p>
    <w:p w14:paraId="331DEACE">
      <w:pPr>
        <w:keepNext w:val="0"/>
        <w:keepLines w:val="0"/>
        <w:pageBreakBefore w:val="0"/>
        <w:widowControl w:val="0"/>
        <w:numPr>
          <w:ilvl w:val="2"/>
          <w:numId w:val="12"/>
        </w:numPr>
        <w:shd w:val="clear"/>
        <w:tabs>
          <w:tab w:val="left" w:pos="1134"/>
          <w:tab w:val="left" w:pos="1560"/>
        </w:tabs>
        <w:kinsoku/>
        <w:wordWrap/>
        <w:overflowPunct/>
        <w:topLinePunct w:val="0"/>
        <w:autoSpaceDE w:val="0"/>
        <w:autoSpaceDN w:val="0"/>
        <w:bidi w:val="0"/>
        <w:adjustRightInd w:val="0"/>
        <w:snapToGrid w:val="0"/>
        <w:spacing w:line="360" w:lineRule="auto"/>
        <w:ind w:left="1134" w:hanging="1134"/>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不具备磋商文件要求的资格或未通过符合性审查的供应商，不参与磋商，由磋商小组告知该供应商。</w:t>
      </w:r>
    </w:p>
    <w:p w14:paraId="3D8A9B0C">
      <w:pPr>
        <w:keepNext w:val="0"/>
        <w:keepLines w:val="0"/>
        <w:pageBreakBefore w:val="0"/>
        <w:widowControl w:val="0"/>
        <w:numPr>
          <w:ilvl w:val="1"/>
          <w:numId w:val="12"/>
        </w:numPr>
        <w:shd w:val="clear"/>
        <w:tabs>
          <w:tab w:val="left" w:pos="1134"/>
        </w:tabs>
        <w:kinsoku/>
        <w:wordWrap/>
        <w:overflowPunct/>
        <w:topLinePunct w:val="0"/>
        <w:autoSpaceDE w:val="0"/>
        <w:autoSpaceDN w:val="0"/>
        <w:bidi w:val="0"/>
        <w:adjustRightInd w:val="0"/>
        <w:snapToGrid w:val="0"/>
        <w:spacing w:line="360" w:lineRule="auto"/>
        <w:jc w:val="left"/>
        <w:textAlignment w:val="auto"/>
        <w:outlineLvl w:val="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磋商</w:t>
      </w:r>
    </w:p>
    <w:p w14:paraId="7990374C">
      <w:pPr>
        <w:keepNext w:val="0"/>
        <w:keepLines w:val="0"/>
        <w:pageBreakBefore w:val="0"/>
        <w:widowControl w:val="0"/>
        <w:numPr>
          <w:ilvl w:val="2"/>
          <w:numId w:val="12"/>
        </w:numPr>
        <w:shd w:val="clear"/>
        <w:tabs>
          <w:tab w:val="left" w:pos="1134"/>
          <w:tab w:val="left" w:pos="1560"/>
        </w:tabs>
        <w:kinsoku/>
        <w:wordWrap/>
        <w:overflowPunct/>
        <w:topLinePunct w:val="0"/>
        <w:autoSpaceDE w:val="0"/>
        <w:autoSpaceDN w:val="0"/>
        <w:bidi w:val="0"/>
        <w:adjustRightInd w:val="0"/>
        <w:snapToGrid w:val="0"/>
        <w:spacing w:line="360" w:lineRule="auto"/>
        <w:ind w:left="1134" w:hanging="1134"/>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按“供应商须知”第5条规定，由磋商小组与供应商进行磋商。</w:t>
      </w:r>
    </w:p>
    <w:p w14:paraId="1D23B6B4">
      <w:pPr>
        <w:keepNext w:val="0"/>
        <w:keepLines w:val="0"/>
        <w:pageBreakBefore w:val="0"/>
        <w:widowControl w:val="0"/>
        <w:numPr>
          <w:ilvl w:val="2"/>
          <w:numId w:val="12"/>
        </w:numPr>
        <w:shd w:val="clear"/>
        <w:tabs>
          <w:tab w:val="left" w:pos="1134"/>
          <w:tab w:val="left" w:pos="1560"/>
        </w:tabs>
        <w:kinsoku/>
        <w:wordWrap/>
        <w:overflowPunct/>
        <w:topLinePunct w:val="0"/>
        <w:autoSpaceDE w:val="0"/>
        <w:autoSpaceDN w:val="0"/>
        <w:bidi w:val="0"/>
        <w:adjustRightInd w:val="0"/>
        <w:snapToGrid w:val="0"/>
        <w:spacing w:line="360" w:lineRule="auto"/>
        <w:ind w:left="1134" w:hanging="1134"/>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磋商过程中，磋商小组可以根据与供应商的磋商情况，在不违反相关法律法规、强制性标准、规范情况下，并经采购人代表同意后，对磋商文件的技术标准、拟签订合同的部分条款进行变动。变动内容是磋商文件的有效组成部分，磋商小组以书面形式通知所有参加磋商的供应商。</w:t>
      </w:r>
    </w:p>
    <w:p w14:paraId="1FBA5418">
      <w:pPr>
        <w:keepNext w:val="0"/>
        <w:keepLines w:val="0"/>
        <w:pageBreakBefore w:val="0"/>
        <w:widowControl w:val="0"/>
        <w:numPr>
          <w:ilvl w:val="2"/>
          <w:numId w:val="12"/>
        </w:numPr>
        <w:shd w:val="clear"/>
        <w:tabs>
          <w:tab w:val="left" w:pos="1134"/>
          <w:tab w:val="left" w:pos="1560"/>
        </w:tabs>
        <w:kinsoku/>
        <w:wordWrap/>
        <w:overflowPunct/>
        <w:topLinePunct w:val="0"/>
        <w:autoSpaceDE w:val="0"/>
        <w:autoSpaceDN w:val="0"/>
        <w:bidi w:val="0"/>
        <w:adjustRightInd w:val="0"/>
        <w:snapToGrid w:val="0"/>
        <w:spacing w:line="360" w:lineRule="auto"/>
        <w:ind w:left="1134" w:hanging="1134"/>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磋商结束后，磋商小组可以要求所有继续参加磋商的供应商在规定时间内提交最后报价函</w:t>
      </w:r>
      <w:r>
        <w:rPr>
          <w:rFonts w:hint="eastAsia" w:ascii="宋体" w:hAnsi="宋体" w:cs="宋体"/>
          <w:color w:val="auto"/>
          <w:kern w:val="0"/>
          <w:sz w:val="24"/>
          <w:szCs w:val="24"/>
          <w:highlight w:val="none"/>
          <w:lang w:eastAsia="zh-CN"/>
        </w:rPr>
        <w:t>。</w:t>
      </w:r>
    </w:p>
    <w:p w14:paraId="72431A88">
      <w:pPr>
        <w:keepNext w:val="0"/>
        <w:keepLines w:val="0"/>
        <w:pageBreakBefore w:val="0"/>
        <w:widowControl w:val="0"/>
        <w:numPr>
          <w:ilvl w:val="1"/>
          <w:numId w:val="12"/>
        </w:numPr>
        <w:shd w:val="clear"/>
        <w:tabs>
          <w:tab w:val="left" w:pos="1134"/>
        </w:tabs>
        <w:kinsoku/>
        <w:wordWrap/>
        <w:overflowPunct/>
        <w:topLinePunct w:val="0"/>
        <w:autoSpaceDE w:val="0"/>
        <w:autoSpaceDN w:val="0"/>
        <w:bidi w:val="0"/>
        <w:adjustRightInd w:val="0"/>
        <w:snapToGrid w:val="0"/>
        <w:spacing w:line="360" w:lineRule="auto"/>
        <w:jc w:val="left"/>
        <w:textAlignment w:val="auto"/>
        <w:outlineLvl w:val="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异常低价审查</w:t>
      </w:r>
    </w:p>
    <w:p w14:paraId="6557C106">
      <w:pPr>
        <w:keepNext w:val="0"/>
        <w:keepLines w:val="0"/>
        <w:pageBreakBefore w:val="0"/>
        <w:widowControl w:val="0"/>
        <w:numPr>
          <w:ilvl w:val="2"/>
          <w:numId w:val="12"/>
        </w:numPr>
        <w:shd w:val="clear"/>
        <w:tabs>
          <w:tab w:val="left" w:pos="1134"/>
          <w:tab w:val="left" w:pos="1560"/>
        </w:tabs>
        <w:kinsoku/>
        <w:wordWrap/>
        <w:overflowPunct/>
        <w:topLinePunct w:val="0"/>
        <w:autoSpaceDE w:val="0"/>
        <w:autoSpaceDN w:val="0"/>
        <w:bidi w:val="0"/>
        <w:adjustRightInd w:val="0"/>
        <w:snapToGrid w:val="0"/>
        <w:spacing w:line="360" w:lineRule="auto"/>
        <w:ind w:left="1134" w:hanging="1134"/>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评审中出现下列情形之一的，</w:t>
      </w:r>
      <w:r>
        <w:rPr>
          <w:rFonts w:hint="eastAsia" w:ascii="宋体" w:hAnsi="宋体" w:cs="宋体"/>
          <w:color w:val="auto"/>
          <w:kern w:val="0"/>
          <w:sz w:val="24"/>
          <w:szCs w:val="24"/>
          <w:highlight w:val="none"/>
          <w:lang w:val="en-US" w:eastAsia="zh-CN"/>
        </w:rPr>
        <w:t>评审委员会</w:t>
      </w:r>
      <w:r>
        <w:rPr>
          <w:rFonts w:hint="eastAsia" w:ascii="宋体" w:hAnsi="宋体" w:eastAsia="宋体" w:cs="宋体"/>
          <w:color w:val="auto"/>
          <w:kern w:val="0"/>
          <w:sz w:val="24"/>
          <w:szCs w:val="24"/>
          <w:highlight w:val="none"/>
          <w:lang w:val="en-US" w:eastAsia="zh-CN"/>
        </w:rPr>
        <w:t>启动异常低价</w:t>
      </w:r>
      <w:r>
        <w:rPr>
          <w:rFonts w:hint="eastAsia" w:ascii="宋体" w:hAnsi="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lang w:val="en-US" w:eastAsia="zh-CN"/>
        </w:rPr>
        <w:t xml:space="preserve">审查程序： </w:t>
      </w:r>
    </w:p>
    <w:p w14:paraId="67E9B213">
      <w:pPr>
        <w:keepNext w:val="0"/>
        <w:keepLines w:val="0"/>
        <w:pageBreakBefore w:val="0"/>
        <w:widowControl w:val="0"/>
        <w:numPr>
          <w:ilvl w:val="0"/>
          <w:numId w:val="13"/>
        </w:numPr>
        <w:shd w:val="clear"/>
        <w:tabs>
          <w:tab w:val="left" w:pos="993"/>
        </w:tabs>
        <w:kinsoku/>
        <w:wordWrap/>
        <w:overflowPunct/>
        <w:topLinePunct w:val="0"/>
        <w:autoSpaceDE w:val="0"/>
        <w:autoSpaceDN w:val="0"/>
        <w:bidi w:val="0"/>
        <w:adjustRightInd w:val="0"/>
        <w:snapToGrid w:val="0"/>
        <w:spacing w:line="360" w:lineRule="auto"/>
        <w:ind w:left="1696" w:leftChars="513" w:hanging="619" w:hangingChars="258"/>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响应报价低于全部通过符合性审查供应商响应报价平均值50%的，即响应报价＜全部通过符合性审查供应商响应报价平均值×50%；</w:t>
      </w:r>
    </w:p>
    <w:p w14:paraId="26F26E4A">
      <w:pPr>
        <w:keepNext w:val="0"/>
        <w:keepLines w:val="0"/>
        <w:pageBreakBefore w:val="0"/>
        <w:widowControl w:val="0"/>
        <w:numPr>
          <w:ilvl w:val="0"/>
          <w:numId w:val="13"/>
        </w:numPr>
        <w:shd w:val="clear"/>
        <w:tabs>
          <w:tab w:val="left" w:pos="993"/>
        </w:tabs>
        <w:kinsoku/>
        <w:wordWrap/>
        <w:overflowPunct/>
        <w:topLinePunct w:val="0"/>
        <w:autoSpaceDE w:val="0"/>
        <w:autoSpaceDN w:val="0"/>
        <w:bidi w:val="0"/>
        <w:adjustRightInd w:val="0"/>
        <w:snapToGrid w:val="0"/>
        <w:spacing w:line="360" w:lineRule="auto"/>
        <w:ind w:left="1696" w:leftChars="513" w:hanging="619" w:hangingChars="258"/>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响应报价低于通过符合性审查的次低报价供应商响应报价50%的，即响应报价＜通过符合性审查的次低报价供应商响应报价×50%；</w:t>
      </w:r>
    </w:p>
    <w:p w14:paraId="593F03C3">
      <w:pPr>
        <w:keepNext w:val="0"/>
        <w:keepLines w:val="0"/>
        <w:pageBreakBefore w:val="0"/>
        <w:widowControl w:val="0"/>
        <w:numPr>
          <w:ilvl w:val="0"/>
          <w:numId w:val="13"/>
        </w:numPr>
        <w:shd w:val="clear"/>
        <w:tabs>
          <w:tab w:val="left" w:pos="993"/>
        </w:tabs>
        <w:kinsoku/>
        <w:wordWrap/>
        <w:overflowPunct/>
        <w:topLinePunct w:val="0"/>
        <w:autoSpaceDE w:val="0"/>
        <w:autoSpaceDN w:val="0"/>
        <w:bidi w:val="0"/>
        <w:adjustRightInd w:val="0"/>
        <w:snapToGrid w:val="0"/>
        <w:spacing w:line="360" w:lineRule="auto"/>
        <w:ind w:left="1696" w:leftChars="513" w:hanging="619" w:hangingChars="258"/>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响应报价低于采购项目最高限价45%的，即响应报价＜采购项目最高限价×45%；</w:t>
      </w:r>
    </w:p>
    <w:p w14:paraId="02D81561">
      <w:pPr>
        <w:keepNext w:val="0"/>
        <w:keepLines w:val="0"/>
        <w:pageBreakBefore w:val="0"/>
        <w:widowControl w:val="0"/>
        <w:numPr>
          <w:ilvl w:val="0"/>
          <w:numId w:val="13"/>
        </w:numPr>
        <w:shd w:val="clear"/>
        <w:tabs>
          <w:tab w:val="left" w:pos="993"/>
        </w:tabs>
        <w:kinsoku/>
        <w:wordWrap/>
        <w:overflowPunct/>
        <w:topLinePunct w:val="0"/>
        <w:autoSpaceDE w:val="0"/>
        <w:autoSpaceDN w:val="0"/>
        <w:bidi w:val="0"/>
        <w:adjustRightInd w:val="0"/>
        <w:snapToGrid w:val="0"/>
        <w:spacing w:line="360" w:lineRule="auto"/>
        <w:ind w:left="1696" w:leftChars="513" w:hanging="619" w:hangingChars="258"/>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评审委员会基于专业判断，认为供应商报价过低，有可能影响产品质量或者不能诚信履约的其他情形。</w:t>
      </w:r>
    </w:p>
    <w:p w14:paraId="35E74611">
      <w:pPr>
        <w:keepNext w:val="0"/>
        <w:keepLines w:val="0"/>
        <w:pageBreakBefore w:val="0"/>
        <w:widowControl w:val="0"/>
        <w:numPr>
          <w:ilvl w:val="2"/>
          <w:numId w:val="12"/>
        </w:numPr>
        <w:shd w:val="clear"/>
        <w:tabs>
          <w:tab w:val="left" w:pos="1134"/>
          <w:tab w:val="left" w:pos="1560"/>
        </w:tabs>
        <w:kinsoku/>
        <w:wordWrap/>
        <w:overflowPunct/>
        <w:topLinePunct w:val="0"/>
        <w:autoSpaceDE w:val="0"/>
        <w:autoSpaceDN w:val="0"/>
        <w:bidi w:val="0"/>
        <w:adjustRightInd w:val="0"/>
        <w:snapToGrid w:val="0"/>
        <w:spacing w:line="360" w:lineRule="auto"/>
        <w:ind w:left="1134" w:hanging="1134"/>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异常低价审查程序</w:t>
      </w:r>
    </w:p>
    <w:p w14:paraId="42A6ACDF">
      <w:pPr>
        <w:keepNext w:val="0"/>
        <w:keepLines w:val="0"/>
        <w:pageBreakBefore w:val="0"/>
        <w:widowControl w:val="0"/>
        <w:numPr>
          <w:ilvl w:val="0"/>
          <w:numId w:val="14"/>
        </w:numPr>
        <w:shd w:val="clear"/>
        <w:tabs>
          <w:tab w:val="left" w:pos="993"/>
        </w:tabs>
        <w:kinsoku/>
        <w:wordWrap/>
        <w:overflowPunct/>
        <w:topLinePunct w:val="0"/>
        <w:autoSpaceDE w:val="0"/>
        <w:autoSpaceDN w:val="0"/>
        <w:bidi w:val="0"/>
        <w:adjustRightInd w:val="0"/>
        <w:snapToGrid w:val="0"/>
        <w:spacing w:line="360" w:lineRule="auto"/>
        <w:ind w:left="1696" w:leftChars="513" w:hanging="619" w:hangingChars="258"/>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eastAsia="zh-CN"/>
        </w:rPr>
        <w:t>磋商小组</w:t>
      </w:r>
      <w:r>
        <w:rPr>
          <w:rFonts w:hint="eastAsia" w:ascii="宋体" w:hAnsi="宋体" w:eastAsia="宋体" w:cs="宋体"/>
          <w:color w:val="auto"/>
          <w:kern w:val="0"/>
          <w:sz w:val="24"/>
          <w:szCs w:val="24"/>
          <w:highlight w:val="none"/>
        </w:rPr>
        <w:t>启动异常低价响应审查后，属于</w:t>
      </w:r>
      <w:r>
        <w:rPr>
          <w:rFonts w:hint="eastAsia" w:ascii="宋体" w:hAnsi="宋体" w:cs="宋体"/>
          <w:color w:val="auto"/>
          <w:kern w:val="0"/>
          <w:sz w:val="24"/>
          <w:szCs w:val="24"/>
          <w:highlight w:val="none"/>
          <w:lang w:eastAsia="zh-CN"/>
        </w:rPr>
        <w:t>本章第</w:t>
      </w:r>
      <w:r>
        <w:rPr>
          <w:rFonts w:hint="eastAsia" w:ascii="宋体" w:hAnsi="宋体" w:cs="宋体"/>
          <w:color w:val="auto"/>
          <w:kern w:val="0"/>
          <w:sz w:val="24"/>
          <w:szCs w:val="24"/>
          <w:highlight w:val="none"/>
          <w:lang w:val="en-US" w:eastAsia="zh-CN"/>
        </w:rPr>
        <w:t>5.3.1款</w:t>
      </w:r>
      <w:r>
        <w:rPr>
          <w:rFonts w:hint="eastAsia" w:ascii="宋体" w:hAnsi="宋体" w:eastAsia="宋体" w:cs="宋体"/>
          <w:color w:val="auto"/>
          <w:kern w:val="0"/>
          <w:sz w:val="24"/>
          <w:szCs w:val="24"/>
          <w:highlight w:val="none"/>
        </w:rPr>
        <w:t>第（1）项至第（4）项情形的，应当要求相关供应商在评审现场合理的时间内对响应价格作出解释</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提供项目具体成本测算等与报价合理性相关的书面说明及必要的证明材料，包括但不限于原材料成本、人工成本、制造费用等，给予相关供应商的合理时间一般不少于30分钟。其中，属于</w:t>
      </w:r>
      <w:r>
        <w:rPr>
          <w:rFonts w:hint="eastAsia" w:ascii="宋体" w:hAnsi="宋体" w:cs="宋体"/>
          <w:color w:val="auto"/>
          <w:kern w:val="0"/>
          <w:sz w:val="24"/>
          <w:szCs w:val="24"/>
          <w:highlight w:val="none"/>
          <w:lang w:eastAsia="zh-CN"/>
        </w:rPr>
        <w:t>第</w:t>
      </w:r>
      <w:r>
        <w:rPr>
          <w:rFonts w:hint="eastAsia" w:ascii="宋体" w:hAnsi="宋体" w:cs="宋体"/>
          <w:color w:val="auto"/>
          <w:kern w:val="0"/>
          <w:sz w:val="24"/>
          <w:szCs w:val="24"/>
          <w:highlight w:val="none"/>
          <w:lang w:val="en-US" w:eastAsia="zh-CN"/>
        </w:rPr>
        <w:t>5.3.1款</w:t>
      </w:r>
      <w:r>
        <w:rPr>
          <w:rFonts w:hint="eastAsia" w:ascii="宋体" w:hAnsi="宋体" w:eastAsia="宋体" w:cs="宋体"/>
          <w:color w:val="auto"/>
          <w:kern w:val="0"/>
          <w:sz w:val="24"/>
          <w:szCs w:val="24"/>
          <w:highlight w:val="none"/>
        </w:rPr>
        <w:t>第（3）项情形，供应商已随响应文件一并提交相关书面说明及必要的证明材料的，在评审现场可不再重复提交。</w:t>
      </w:r>
    </w:p>
    <w:p w14:paraId="56CA6C69">
      <w:pPr>
        <w:keepNext w:val="0"/>
        <w:keepLines w:val="0"/>
        <w:pageBreakBefore w:val="0"/>
        <w:widowControl w:val="0"/>
        <w:numPr>
          <w:ilvl w:val="0"/>
          <w:numId w:val="14"/>
        </w:numPr>
        <w:shd w:val="clear"/>
        <w:tabs>
          <w:tab w:val="left" w:pos="993"/>
        </w:tabs>
        <w:kinsoku/>
        <w:wordWrap/>
        <w:overflowPunct/>
        <w:topLinePunct w:val="0"/>
        <w:autoSpaceDE w:val="0"/>
        <w:autoSpaceDN w:val="0"/>
        <w:bidi w:val="0"/>
        <w:adjustRightInd w:val="0"/>
        <w:snapToGrid w:val="0"/>
        <w:spacing w:line="360" w:lineRule="auto"/>
        <w:ind w:left="1696" w:leftChars="513" w:hanging="619" w:hangingChars="258"/>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eastAsia="zh-CN"/>
        </w:rPr>
        <w:t>磋商小组</w:t>
      </w:r>
      <w:r>
        <w:rPr>
          <w:rFonts w:hint="eastAsia" w:ascii="宋体" w:hAnsi="宋体" w:eastAsia="宋体" w:cs="宋体"/>
          <w:color w:val="auto"/>
          <w:kern w:val="0"/>
          <w:sz w:val="24"/>
          <w:szCs w:val="24"/>
          <w:highlight w:val="none"/>
          <w:lang w:eastAsia="zh-CN"/>
        </w:rPr>
        <w:t>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cs="宋体"/>
          <w:color w:val="auto"/>
          <w:kern w:val="0"/>
          <w:sz w:val="24"/>
          <w:szCs w:val="24"/>
          <w:highlight w:val="none"/>
          <w:lang w:eastAsia="zh-CN"/>
        </w:rPr>
        <w:t>磋商小组</w:t>
      </w:r>
      <w:r>
        <w:rPr>
          <w:rFonts w:hint="eastAsia" w:ascii="宋体" w:hAnsi="宋体" w:eastAsia="宋体" w:cs="宋体"/>
          <w:color w:val="auto"/>
          <w:kern w:val="0"/>
          <w:sz w:val="24"/>
          <w:szCs w:val="24"/>
          <w:highlight w:val="none"/>
          <w:lang w:eastAsia="zh-CN"/>
        </w:rPr>
        <w:t>应当将其作为无效响应处理</w:t>
      </w:r>
      <w:r>
        <w:rPr>
          <w:rFonts w:hint="eastAsia" w:ascii="宋体" w:hAnsi="宋体" w:eastAsia="宋体" w:cs="宋体"/>
          <w:color w:val="auto"/>
          <w:kern w:val="0"/>
          <w:sz w:val="24"/>
          <w:szCs w:val="24"/>
          <w:highlight w:val="none"/>
        </w:rPr>
        <w:t>。</w:t>
      </w:r>
    </w:p>
    <w:p w14:paraId="2489314E">
      <w:pPr>
        <w:keepNext w:val="0"/>
        <w:keepLines w:val="0"/>
        <w:pageBreakBefore w:val="0"/>
        <w:widowControl w:val="0"/>
        <w:numPr>
          <w:ilvl w:val="0"/>
          <w:numId w:val="14"/>
        </w:numPr>
        <w:shd w:val="clear"/>
        <w:tabs>
          <w:tab w:val="left" w:pos="993"/>
        </w:tabs>
        <w:kinsoku/>
        <w:wordWrap/>
        <w:overflowPunct/>
        <w:topLinePunct w:val="0"/>
        <w:autoSpaceDE w:val="0"/>
        <w:autoSpaceDN w:val="0"/>
        <w:bidi w:val="0"/>
        <w:adjustRightInd w:val="0"/>
        <w:snapToGrid w:val="0"/>
        <w:spacing w:line="360" w:lineRule="auto"/>
        <w:ind w:left="1696" w:leftChars="513" w:hanging="619" w:hangingChars="258"/>
        <w:jc w:val="left"/>
        <w:textAlignment w:val="auto"/>
        <w:rPr>
          <w:rFonts w:hint="eastAsia" w:ascii="宋体" w:hAnsi="宋体" w:eastAsia="宋体" w:cs="宋体"/>
          <w:color w:val="auto"/>
          <w:kern w:val="0"/>
          <w:sz w:val="24"/>
          <w:szCs w:val="24"/>
          <w:highlight w:val="none"/>
        </w:rPr>
      </w:pPr>
      <w:bookmarkStart w:id="133" w:name="_Hlk190337965"/>
      <w:r>
        <w:rPr>
          <w:rFonts w:hint="eastAsia" w:eastAsiaTheme="minorEastAsia"/>
          <w:color w:val="auto"/>
          <w:sz w:val="24"/>
          <w:highlight w:val="none"/>
        </w:rPr>
        <w:t>上述响应报价指按照本章</w:t>
      </w:r>
      <w:r>
        <w:rPr>
          <w:rFonts w:hint="eastAsia" w:eastAsiaTheme="minorEastAsia"/>
          <w:color w:val="auto"/>
          <w:sz w:val="24"/>
          <w:highlight w:val="none"/>
          <w:lang w:val="en-US" w:eastAsia="zh-CN"/>
        </w:rPr>
        <w:t>6</w:t>
      </w:r>
      <w:r>
        <w:rPr>
          <w:rFonts w:eastAsiaTheme="minorEastAsia"/>
          <w:color w:val="auto"/>
          <w:sz w:val="24"/>
          <w:highlight w:val="none"/>
        </w:rPr>
        <w:t>.2</w:t>
      </w:r>
      <w:r>
        <w:rPr>
          <w:rFonts w:hint="eastAsia" w:eastAsiaTheme="minorEastAsia"/>
          <w:color w:val="auto"/>
          <w:sz w:val="24"/>
          <w:highlight w:val="none"/>
        </w:rPr>
        <w:t>修正后的报价</w:t>
      </w:r>
      <w:bookmarkEnd w:id="133"/>
      <w:r>
        <w:rPr>
          <w:rFonts w:hint="eastAsia" w:eastAsiaTheme="minorEastAsia"/>
          <w:color w:val="auto"/>
          <w:sz w:val="24"/>
          <w:highlight w:val="none"/>
          <w:lang w:eastAsia="zh-CN"/>
        </w:rPr>
        <w:t>。</w:t>
      </w:r>
    </w:p>
    <w:p w14:paraId="4F837D73">
      <w:pPr>
        <w:keepNext w:val="0"/>
        <w:keepLines w:val="0"/>
        <w:pageBreakBefore w:val="0"/>
        <w:widowControl w:val="0"/>
        <w:numPr>
          <w:ilvl w:val="0"/>
          <w:numId w:val="14"/>
        </w:numPr>
        <w:shd w:val="clear"/>
        <w:tabs>
          <w:tab w:val="left" w:pos="993"/>
        </w:tabs>
        <w:kinsoku/>
        <w:wordWrap/>
        <w:overflowPunct/>
        <w:topLinePunct w:val="0"/>
        <w:autoSpaceDE w:val="0"/>
        <w:autoSpaceDN w:val="0"/>
        <w:bidi w:val="0"/>
        <w:adjustRightInd w:val="0"/>
        <w:snapToGrid w:val="0"/>
        <w:spacing w:line="360" w:lineRule="auto"/>
        <w:ind w:left="1696" w:leftChars="513" w:hanging="619" w:hangingChars="258"/>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采购人、采购代理机构应当为</w:t>
      </w:r>
      <w:r>
        <w:rPr>
          <w:rFonts w:hint="eastAsia" w:ascii="宋体" w:hAnsi="宋体" w:eastAsia="宋体" w:cs="宋体"/>
          <w:color w:val="auto"/>
          <w:kern w:val="0"/>
          <w:sz w:val="24"/>
          <w:szCs w:val="24"/>
          <w:highlight w:val="none"/>
          <w:lang w:eastAsia="zh-CN"/>
        </w:rPr>
        <w:t>磋商小组</w:t>
      </w:r>
      <w:r>
        <w:rPr>
          <w:rFonts w:hint="eastAsia" w:ascii="宋体" w:hAnsi="宋体" w:eastAsia="宋体" w:cs="宋体"/>
          <w:color w:val="auto"/>
          <w:kern w:val="0"/>
          <w:sz w:val="24"/>
          <w:szCs w:val="24"/>
          <w:highlight w:val="none"/>
        </w:rPr>
        <w:t>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color w:val="auto"/>
          <w:kern w:val="0"/>
          <w:sz w:val="24"/>
          <w:szCs w:val="24"/>
          <w:highlight w:val="none"/>
          <w:lang w:eastAsia="zh-CN"/>
        </w:rPr>
        <w:t>磋商小组</w:t>
      </w:r>
      <w:r>
        <w:rPr>
          <w:rFonts w:hint="eastAsia" w:ascii="宋体" w:hAnsi="宋体" w:eastAsia="宋体" w:cs="宋体"/>
          <w:color w:val="auto"/>
          <w:kern w:val="0"/>
          <w:sz w:val="24"/>
          <w:szCs w:val="24"/>
          <w:highlight w:val="none"/>
        </w:rPr>
        <w:t>借助互联网等渠道查询相关信息的，应当严格遵守评审工作纪律，不得实施影响评审公正的行为。</w:t>
      </w:r>
    </w:p>
    <w:p w14:paraId="35C3879D">
      <w:pPr>
        <w:keepNext w:val="0"/>
        <w:keepLines w:val="0"/>
        <w:pageBreakBefore w:val="0"/>
        <w:widowControl w:val="0"/>
        <w:numPr>
          <w:ilvl w:val="0"/>
          <w:numId w:val="14"/>
        </w:numPr>
        <w:shd w:val="clear"/>
        <w:tabs>
          <w:tab w:val="left" w:pos="993"/>
        </w:tabs>
        <w:kinsoku/>
        <w:wordWrap/>
        <w:overflowPunct/>
        <w:topLinePunct w:val="0"/>
        <w:autoSpaceDE w:val="0"/>
        <w:autoSpaceDN w:val="0"/>
        <w:bidi w:val="0"/>
        <w:adjustRightInd w:val="0"/>
        <w:snapToGrid w:val="0"/>
        <w:spacing w:line="360" w:lineRule="auto"/>
        <w:ind w:left="1696" w:leftChars="513" w:hanging="619" w:hangingChars="258"/>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异常低价</w:t>
      </w:r>
      <w:r>
        <w:rPr>
          <w:rFonts w:hint="eastAsia" w:ascii="宋体" w:hAnsi="宋体" w:cs="宋体"/>
          <w:color w:val="auto"/>
          <w:kern w:val="0"/>
          <w:sz w:val="24"/>
          <w:szCs w:val="24"/>
          <w:highlight w:val="none"/>
          <w:lang w:eastAsia="zh-CN"/>
        </w:rPr>
        <w:t>磋商</w:t>
      </w:r>
      <w:r>
        <w:rPr>
          <w:rFonts w:hint="eastAsia" w:ascii="宋体" w:hAnsi="宋体" w:eastAsia="宋体" w:cs="宋体"/>
          <w:color w:val="auto"/>
          <w:kern w:val="0"/>
          <w:sz w:val="24"/>
          <w:szCs w:val="24"/>
          <w:highlight w:val="none"/>
        </w:rPr>
        <w:t>审查的启动原因、审查意见和审查结果应当在评审报告中记录，并随供应商提供的相关书面说明及证明材料，以及</w:t>
      </w:r>
      <w:r>
        <w:rPr>
          <w:rFonts w:hint="eastAsia" w:ascii="宋体" w:hAnsi="宋体" w:eastAsia="宋体" w:cs="宋体"/>
          <w:color w:val="auto"/>
          <w:kern w:val="0"/>
          <w:sz w:val="24"/>
          <w:szCs w:val="24"/>
          <w:highlight w:val="none"/>
          <w:lang w:eastAsia="zh-CN"/>
        </w:rPr>
        <w:t>磋商小组</w:t>
      </w:r>
      <w:r>
        <w:rPr>
          <w:rFonts w:hint="eastAsia" w:ascii="宋体" w:hAnsi="宋体" w:eastAsia="宋体" w:cs="宋体"/>
          <w:color w:val="auto"/>
          <w:kern w:val="0"/>
          <w:sz w:val="24"/>
          <w:szCs w:val="24"/>
          <w:highlight w:val="none"/>
        </w:rPr>
        <w:t>有关互联网浏览、查询历史一并归档。</w:t>
      </w:r>
    </w:p>
    <w:p w14:paraId="5FA15CE5">
      <w:pPr>
        <w:keepNext w:val="0"/>
        <w:keepLines w:val="0"/>
        <w:pageBreakBefore w:val="0"/>
        <w:widowControl w:val="0"/>
        <w:numPr>
          <w:ilvl w:val="1"/>
          <w:numId w:val="12"/>
        </w:numPr>
        <w:shd w:val="clear"/>
        <w:tabs>
          <w:tab w:val="left" w:pos="1134"/>
        </w:tabs>
        <w:kinsoku/>
        <w:wordWrap/>
        <w:overflowPunct/>
        <w:topLinePunct w:val="0"/>
        <w:autoSpaceDE w:val="0"/>
        <w:autoSpaceDN w:val="0"/>
        <w:bidi w:val="0"/>
        <w:adjustRightInd w:val="0"/>
        <w:snapToGrid w:val="0"/>
        <w:spacing w:line="360" w:lineRule="auto"/>
        <w:jc w:val="left"/>
        <w:textAlignment w:val="auto"/>
        <w:outlineLvl w:val="2"/>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050405E8">
      <w:pPr>
        <w:keepNext w:val="0"/>
        <w:keepLines w:val="0"/>
        <w:pageBreakBefore w:val="0"/>
        <w:widowControl w:val="0"/>
        <w:numPr>
          <w:ilvl w:val="1"/>
          <w:numId w:val="12"/>
        </w:numPr>
        <w:shd w:val="clear"/>
        <w:tabs>
          <w:tab w:val="left" w:pos="1134"/>
        </w:tabs>
        <w:kinsoku/>
        <w:wordWrap/>
        <w:overflowPunct/>
        <w:topLinePunct w:val="0"/>
        <w:autoSpaceDE w:val="0"/>
        <w:autoSpaceDN w:val="0"/>
        <w:bidi w:val="0"/>
        <w:adjustRightInd w:val="0"/>
        <w:snapToGrid w:val="0"/>
        <w:spacing w:line="360" w:lineRule="auto"/>
        <w:jc w:val="left"/>
        <w:textAlignment w:val="auto"/>
        <w:outlineLvl w:val="2"/>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最后报价是供应商响应文件的有效组成部分。</w:t>
      </w:r>
    </w:p>
    <w:p w14:paraId="3B874513">
      <w:pPr>
        <w:keepNext w:val="0"/>
        <w:keepLines w:val="0"/>
        <w:pageBreakBefore w:val="0"/>
        <w:widowControl w:val="0"/>
        <w:numPr>
          <w:ilvl w:val="1"/>
          <w:numId w:val="12"/>
        </w:numPr>
        <w:shd w:val="clear"/>
        <w:tabs>
          <w:tab w:val="left" w:pos="1134"/>
        </w:tabs>
        <w:kinsoku/>
        <w:wordWrap/>
        <w:overflowPunct/>
        <w:topLinePunct w:val="0"/>
        <w:autoSpaceDE w:val="0"/>
        <w:autoSpaceDN w:val="0"/>
        <w:bidi w:val="0"/>
        <w:adjustRightInd w:val="0"/>
        <w:snapToGrid w:val="0"/>
        <w:spacing w:line="360" w:lineRule="auto"/>
        <w:jc w:val="left"/>
        <w:textAlignment w:val="auto"/>
        <w:outlineLvl w:val="2"/>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已提交响应文件的供应商，在提交最后报价之前，可以根据磋商情况退出磋商。</w:t>
      </w:r>
    </w:p>
    <w:p w14:paraId="7641A068">
      <w:pPr>
        <w:keepNext w:val="0"/>
        <w:keepLines w:val="0"/>
        <w:pageBreakBefore w:val="0"/>
        <w:widowControl w:val="0"/>
        <w:numPr>
          <w:ilvl w:val="0"/>
          <w:numId w:val="12"/>
        </w:numPr>
        <w:shd w:val="clear"/>
        <w:tabs>
          <w:tab w:val="left" w:pos="1134"/>
        </w:tabs>
        <w:kinsoku/>
        <w:wordWrap/>
        <w:overflowPunct/>
        <w:topLinePunct w:val="0"/>
        <w:autoSpaceDE w:val="0"/>
        <w:autoSpaceDN w:val="0"/>
        <w:bidi w:val="0"/>
        <w:adjustRightInd w:val="0"/>
        <w:snapToGrid w:val="0"/>
        <w:spacing w:line="360" w:lineRule="auto"/>
        <w:ind w:left="1134" w:hanging="1134"/>
        <w:jc w:val="left"/>
        <w:textAlignment w:val="auto"/>
        <w:outlineLvl w:val="1"/>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最后报价的算术修正</w:t>
      </w:r>
    </w:p>
    <w:p w14:paraId="58BD74BF">
      <w:pPr>
        <w:keepNext w:val="0"/>
        <w:keepLines w:val="0"/>
        <w:pageBreakBefore w:val="0"/>
        <w:widowControl w:val="0"/>
        <w:numPr>
          <w:ilvl w:val="1"/>
          <w:numId w:val="12"/>
        </w:numPr>
        <w:shd w:val="clear"/>
        <w:tabs>
          <w:tab w:val="left" w:pos="1134"/>
        </w:tabs>
        <w:kinsoku/>
        <w:wordWrap/>
        <w:overflowPunct/>
        <w:topLinePunct w:val="0"/>
        <w:autoSpaceDE w:val="0"/>
        <w:autoSpaceDN w:val="0"/>
        <w:bidi w:val="0"/>
        <w:adjustRightInd w:val="0"/>
        <w:snapToGrid w:val="0"/>
        <w:spacing w:line="360" w:lineRule="auto"/>
        <w:jc w:val="left"/>
        <w:textAlignment w:val="auto"/>
        <w:outlineLvl w:val="2"/>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响应无效。</w:t>
      </w:r>
    </w:p>
    <w:p w14:paraId="05802355">
      <w:pPr>
        <w:keepNext w:val="0"/>
        <w:keepLines w:val="0"/>
        <w:pageBreakBefore w:val="0"/>
        <w:widowControl w:val="0"/>
        <w:numPr>
          <w:ilvl w:val="1"/>
          <w:numId w:val="12"/>
        </w:numPr>
        <w:shd w:val="clear"/>
        <w:tabs>
          <w:tab w:val="left" w:pos="1134"/>
        </w:tabs>
        <w:kinsoku/>
        <w:wordWrap/>
        <w:overflowPunct/>
        <w:topLinePunct w:val="0"/>
        <w:autoSpaceDE w:val="0"/>
        <w:autoSpaceDN w:val="0"/>
        <w:bidi w:val="0"/>
        <w:adjustRightInd w:val="0"/>
        <w:snapToGrid w:val="0"/>
        <w:spacing w:line="360" w:lineRule="auto"/>
        <w:jc w:val="left"/>
        <w:textAlignment w:val="auto"/>
        <w:outlineLvl w:val="2"/>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最后报价出现前后不一致的，按照下列规定修正：</w:t>
      </w:r>
    </w:p>
    <w:p w14:paraId="31EA370C">
      <w:pPr>
        <w:keepNext w:val="0"/>
        <w:keepLines w:val="0"/>
        <w:pageBreakBefore w:val="0"/>
        <w:widowControl w:val="0"/>
        <w:numPr>
          <w:ilvl w:val="2"/>
          <w:numId w:val="12"/>
        </w:numPr>
        <w:shd w:val="clear"/>
        <w:tabs>
          <w:tab w:val="left" w:pos="1134"/>
          <w:tab w:val="left" w:pos="1560"/>
        </w:tabs>
        <w:kinsoku/>
        <w:wordWrap/>
        <w:overflowPunct/>
        <w:topLinePunct w:val="0"/>
        <w:autoSpaceDE w:val="0"/>
        <w:autoSpaceDN w:val="0"/>
        <w:bidi w:val="0"/>
        <w:adjustRightInd w:val="0"/>
        <w:snapToGrid w:val="0"/>
        <w:spacing w:line="360" w:lineRule="auto"/>
        <w:ind w:left="1134" w:hanging="1134"/>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大写金额和小写金额不一致的，以大写金额为准；</w:t>
      </w:r>
    </w:p>
    <w:p w14:paraId="3B65B7C9">
      <w:pPr>
        <w:keepNext w:val="0"/>
        <w:keepLines w:val="0"/>
        <w:pageBreakBefore w:val="0"/>
        <w:widowControl w:val="0"/>
        <w:numPr>
          <w:ilvl w:val="2"/>
          <w:numId w:val="12"/>
        </w:numPr>
        <w:shd w:val="clear"/>
        <w:tabs>
          <w:tab w:val="left" w:pos="1134"/>
          <w:tab w:val="left" w:pos="1560"/>
        </w:tabs>
        <w:kinsoku/>
        <w:wordWrap/>
        <w:overflowPunct/>
        <w:topLinePunct w:val="0"/>
        <w:autoSpaceDE w:val="0"/>
        <w:autoSpaceDN w:val="0"/>
        <w:bidi w:val="0"/>
        <w:adjustRightInd w:val="0"/>
        <w:snapToGrid w:val="0"/>
        <w:spacing w:line="360" w:lineRule="auto"/>
        <w:ind w:left="1134" w:hanging="1134"/>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单价金额小数点或者百分比有明显错位的，以总价为准，并修改单价；</w:t>
      </w:r>
    </w:p>
    <w:p w14:paraId="6C323963">
      <w:pPr>
        <w:keepNext w:val="0"/>
        <w:keepLines w:val="0"/>
        <w:pageBreakBefore w:val="0"/>
        <w:widowControl w:val="0"/>
        <w:numPr>
          <w:ilvl w:val="2"/>
          <w:numId w:val="12"/>
        </w:numPr>
        <w:shd w:val="clear"/>
        <w:tabs>
          <w:tab w:val="left" w:pos="1134"/>
          <w:tab w:val="left" w:pos="1560"/>
        </w:tabs>
        <w:kinsoku/>
        <w:wordWrap/>
        <w:overflowPunct/>
        <w:topLinePunct w:val="0"/>
        <w:autoSpaceDE w:val="0"/>
        <w:autoSpaceDN w:val="0"/>
        <w:bidi w:val="0"/>
        <w:adjustRightInd w:val="0"/>
        <w:snapToGrid w:val="0"/>
        <w:spacing w:line="360" w:lineRule="auto"/>
        <w:ind w:left="1134" w:hanging="1134"/>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总价金额与按单价汇总金额不一致的，以单价金额计算结果为准。</w:t>
      </w:r>
    </w:p>
    <w:p w14:paraId="161D0A05">
      <w:pPr>
        <w:keepNext w:val="0"/>
        <w:keepLines w:val="0"/>
        <w:pageBreakBefore w:val="0"/>
        <w:widowControl w:val="0"/>
        <w:numPr>
          <w:ilvl w:val="2"/>
          <w:numId w:val="12"/>
        </w:numPr>
        <w:shd w:val="clear"/>
        <w:tabs>
          <w:tab w:val="left" w:pos="1134"/>
          <w:tab w:val="left" w:pos="1560"/>
        </w:tabs>
        <w:kinsoku/>
        <w:wordWrap/>
        <w:overflowPunct/>
        <w:topLinePunct w:val="0"/>
        <w:autoSpaceDE w:val="0"/>
        <w:autoSpaceDN w:val="0"/>
        <w:bidi w:val="0"/>
        <w:adjustRightInd w:val="0"/>
        <w:snapToGrid w:val="0"/>
        <w:spacing w:line="360" w:lineRule="auto"/>
        <w:ind w:left="1134" w:hanging="1134"/>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同时出现两种以上不一致的，按照前款规定的顺序修正。</w:t>
      </w:r>
    </w:p>
    <w:p w14:paraId="49C75C5D">
      <w:pPr>
        <w:keepNext w:val="0"/>
        <w:keepLines w:val="0"/>
        <w:pageBreakBefore w:val="0"/>
        <w:widowControl w:val="0"/>
        <w:numPr>
          <w:ilvl w:val="2"/>
          <w:numId w:val="12"/>
        </w:numPr>
        <w:shd w:val="clear"/>
        <w:tabs>
          <w:tab w:val="left" w:pos="1134"/>
          <w:tab w:val="left" w:pos="1560"/>
        </w:tabs>
        <w:kinsoku/>
        <w:wordWrap/>
        <w:overflowPunct/>
        <w:topLinePunct w:val="0"/>
        <w:autoSpaceDE w:val="0"/>
        <w:autoSpaceDN w:val="0"/>
        <w:bidi w:val="0"/>
        <w:adjustRightInd w:val="0"/>
        <w:snapToGrid w:val="0"/>
        <w:spacing w:line="360" w:lineRule="auto"/>
        <w:ind w:left="1134" w:hanging="1134"/>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修正后的报价经供应商书面确认后产生约束力，供应商不确认的，其响应无效。</w:t>
      </w:r>
    </w:p>
    <w:p w14:paraId="5944CEA4">
      <w:pPr>
        <w:keepNext w:val="0"/>
        <w:keepLines w:val="0"/>
        <w:pageBreakBefore w:val="0"/>
        <w:widowControl w:val="0"/>
        <w:numPr>
          <w:ilvl w:val="0"/>
          <w:numId w:val="12"/>
        </w:numPr>
        <w:shd w:val="clear"/>
        <w:tabs>
          <w:tab w:val="left" w:pos="1134"/>
        </w:tabs>
        <w:kinsoku/>
        <w:wordWrap/>
        <w:overflowPunct/>
        <w:topLinePunct w:val="0"/>
        <w:autoSpaceDE w:val="0"/>
        <w:autoSpaceDN w:val="0"/>
        <w:bidi w:val="0"/>
        <w:adjustRightInd w:val="0"/>
        <w:snapToGrid w:val="0"/>
        <w:spacing w:line="360" w:lineRule="auto"/>
        <w:ind w:left="1134" w:hanging="1134"/>
        <w:jc w:val="left"/>
        <w:textAlignment w:val="auto"/>
        <w:outlineLvl w:val="1"/>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磋商环节及提交最后报价后如出现以下情况的，供应商的响应文件无效：</w:t>
      </w:r>
    </w:p>
    <w:p w14:paraId="6E331F55">
      <w:pPr>
        <w:keepNext w:val="0"/>
        <w:keepLines w:val="0"/>
        <w:pageBreakBefore w:val="0"/>
        <w:widowControl w:val="0"/>
        <w:numPr>
          <w:ilvl w:val="1"/>
          <w:numId w:val="12"/>
        </w:numPr>
        <w:shd w:val="clear"/>
        <w:tabs>
          <w:tab w:val="left" w:pos="1134"/>
        </w:tabs>
        <w:kinsoku/>
        <w:wordWrap/>
        <w:overflowPunct/>
        <w:topLinePunct w:val="0"/>
        <w:autoSpaceDE w:val="0"/>
        <w:autoSpaceDN w:val="0"/>
        <w:bidi w:val="0"/>
        <w:adjustRightInd w:val="0"/>
        <w:snapToGrid w:val="0"/>
        <w:spacing w:line="360" w:lineRule="auto"/>
        <w:jc w:val="left"/>
        <w:textAlignment w:val="auto"/>
        <w:outlineLvl w:val="2"/>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供应商对实质性变动不予确认的；</w:t>
      </w:r>
    </w:p>
    <w:p w14:paraId="06F65A0A">
      <w:pPr>
        <w:keepNext w:val="0"/>
        <w:keepLines w:val="0"/>
        <w:pageBreakBefore w:val="0"/>
        <w:widowControl w:val="0"/>
        <w:numPr>
          <w:ilvl w:val="1"/>
          <w:numId w:val="12"/>
        </w:numPr>
        <w:shd w:val="clear"/>
        <w:tabs>
          <w:tab w:val="left" w:pos="1134"/>
        </w:tabs>
        <w:kinsoku/>
        <w:wordWrap/>
        <w:overflowPunct/>
        <w:topLinePunct w:val="0"/>
        <w:autoSpaceDE w:val="0"/>
        <w:autoSpaceDN w:val="0"/>
        <w:bidi w:val="0"/>
        <w:adjustRightInd w:val="0"/>
        <w:snapToGrid w:val="0"/>
        <w:spacing w:line="360" w:lineRule="auto"/>
        <w:jc w:val="left"/>
        <w:textAlignment w:val="auto"/>
        <w:outlineLvl w:val="2"/>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未按照磋商小组规定的时间、逾期提交最后报价的；</w:t>
      </w:r>
    </w:p>
    <w:p w14:paraId="1BE95437">
      <w:pPr>
        <w:keepNext w:val="0"/>
        <w:keepLines w:val="0"/>
        <w:pageBreakBefore w:val="0"/>
        <w:widowControl w:val="0"/>
        <w:numPr>
          <w:ilvl w:val="1"/>
          <w:numId w:val="12"/>
        </w:numPr>
        <w:shd w:val="clear"/>
        <w:tabs>
          <w:tab w:val="left" w:pos="1134"/>
        </w:tabs>
        <w:kinsoku/>
        <w:wordWrap/>
        <w:overflowPunct/>
        <w:topLinePunct w:val="0"/>
        <w:autoSpaceDE w:val="0"/>
        <w:autoSpaceDN w:val="0"/>
        <w:bidi w:val="0"/>
        <w:adjustRightInd w:val="0"/>
        <w:snapToGrid w:val="0"/>
        <w:spacing w:line="360" w:lineRule="auto"/>
        <w:jc w:val="left"/>
        <w:textAlignment w:val="auto"/>
        <w:outlineLvl w:val="2"/>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如供应商的最后报价超过竞争性磋商文件中规定的项目预算金额或者项目最高限价的；</w:t>
      </w:r>
    </w:p>
    <w:p w14:paraId="03F4BDBE">
      <w:pPr>
        <w:keepNext w:val="0"/>
        <w:keepLines w:val="0"/>
        <w:pageBreakBefore w:val="0"/>
        <w:widowControl w:val="0"/>
        <w:numPr>
          <w:ilvl w:val="1"/>
          <w:numId w:val="12"/>
        </w:numPr>
        <w:shd w:val="clear"/>
        <w:tabs>
          <w:tab w:val="left" w:pos="1134"/>
        </w:tabs>
        <w:kinsoku/>
        <w:wordWrap/>
        <w:overflowPunct/>
        <w:topLinePunct w:val="0"/>
        <w:autoSpaceDE w:val="0"/>
        <w:autoSpaceDN w:val="0"/>
        <w:bidi w:val="0"/>
        <w:adjustRightInd w:val="0"/>
        <w:snapToGrid w:val="0"/>
        <w:spacing w:line="360" w:lineRule="auto"/>
        <w:jc w:val="left"/>
        <w:textAlignment w:val="auto"/>
        <w:outlineLvl w:val="2"/>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响应文件中出现可选择性或可调整的报价的（竞争性磋商文件另有规定的除外）；</w:t>
      </w:r>
    </w:p>
    <w:p w14:paraId="32D58D57">
      <w:pPr>
        <w:keepNext w:val="0"/>
        <w:keepLines w:val="0"/>
        <w:pageBreakBefore w:val="0"/>
        <w:widowControl w:val="0"/>
        <w:numPr>
          <w:ilvl w:val="1"/>
          <w:numId w:val="12"/>
        </w:numPr>
        <w:shd w:val="clear"/>
        <w:tabs>
          <w:tab w:val="left" w:pos="1134"/>
        </w:tabs>
        <w:kinsoku/>
        <w:wordWrap/>
        <w:overflowPunct/>
        <w:topLinePunct w:val="0"/>
        <w:autoSpaceDE w:val="0"/>
        <w:autoSpaceDN w:val="0"/>
        <w:bidi w:val="0"/>
        <w:adjustRightInd w:val="0"/>
        <w:snapToGrid w:val="0"/>
        <w:spacing w:line="360" w:lineRule="auto"/>
        <w:jc w:val="left"/>
        <w:textAlignment w:val="auto"/>
        <w:outlineLvl w:val="2"/>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最后报价出现前后不一致，供应商对修正后的报价不予确认的；</w:t>
      </w:r>
    </w:p>
    <w:p w14:paraId="285C45E9">
      <w:pPr>
        <w:keepNext w:val="0"/>
        <w:keepLines w:val="0"/>
        <w:pageBreakBefore w:val="0"/>
        <w:widowControl w:val="0"/>
        <w:numPr>
          <w:ilvl w:val="1"/>
          <w:numId w:val="12"/>
        </w:numPr>
        <w:shd w:val="clear"/>
        <w:tabs>
          <w:tab w:val="left" w:pos="1134"/>
        </w:tabs>
        <w:kinsoku/>
        <w:wordWrap/>
        <w:overflowPunct/>
        <w:topLinePunct w:val="0"/>
        <w:autoSpaceDE w:val="0"/>
        <w:autoSpaceDN w:val="0"/>
        <w:bidi w:val="0"/>
        <w:adjustRightInd w:val="0"/>
        <w:snapToGrid w:val="0"/>
        <w:spacing w:line="360" w:lineRule="auto"/>
        <w:jc w:val="left"/>
        <w:textAlignment w:val="auto"/>
        <w:outlineLvl w:val="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法律法规或磋商文件规定的其他情形。</w:t>
      </w:r>
    </w:p>
    <w:p w14:paraId="64B54AD0">
      <w:pPr>
        <w:keepNext w:val="0"/>
        <w:keepLines w:val="0"/>
        <w:pageBreakBefore w:val="0"/>
        <w:widowControl w:val="0"/>
        <w:numPr>
          <w:ilvl w:val="0"/>
          <w:numId w:val="12"/>
        </w:numPr>
        <w:shd w:val="clear"/>
        <w:tabs>
          <w:tab w:val="left" w:pos="1134"/>
        </w:tabs>
        <w:kinsoku/>
        <w:wordWrap/>
        <w:overflowPunct/>
        <w:topLinePunct w:val="0"/>
        <w:autoSpaceDE w:val="0"/>
        <w:autoSpaceDN w:val="0"/>
        <w:bidi w:val="0"/>
        <w:adjustRightInd w:val="0"/>
        <w:snapToGrid w:val="0"/>
        <w:spacing w:line="360" w:lineRule="auto"/>
        <w:ind w:left="1134" w:hanging="1134"/>
        <w:jc w:val="left"/>
        <w:textAlignment w:val="auto"/>
        <w:outlineLvl w:val="1"/>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评审</w:t>
      </w:r>
    </w:p>
    <w:p w14:paraId="2EBD1771">
      <w:pPr>
        <w:keepNext w:val="0"/>
        <w:keepLines w:val="0"/>
        <w:pageBreakBefore w:val="0"/>
        <w:widowControl w:val="0"/>
        <w:numPr>
          <w:ilvl w:val="2"/>
          <w:numId w:val="12"/>
        </w:numPr>
        <w:shd w:val="clear"/>
        <w:tabs>
          <w:tab w:val="left" w:pos="1134"/>
          <w:tab w:val="left" w:pos="1560"/>
        </w:tabs>
        <w:kinsoku/>
        <w:wordWrap/>
        <w:overflowPunct/>
        <w:topLinePunct w:val="0"/>
        <w:autoSpaceDE w:val="0"/>
        <w:autoSpaceDN w:val="0"/>
        <w:bidi w:val="0"/>
        <w:adjustRightInd w:val="0"/>
        <w:snapToGrid w:val="0"/>
        <w:spacing w:line="360" w:lineRule="auto"/>
        <w:ind w:left="1134" w:hanging="1134"/>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比较与评价</w:t>
      </w:r>
    </w:p>
    <w:p w14:paraId="614D860F">
      <w:pPr>
        <w:keepNext w:val="0"/>
        <w:keepLines w:val="0"/>
        <w:pageBreakBefore w:val="0"/>
        <w:widowControl w:val="0"/>
        <w:shd w:val="clear"/>
        <w:tabs>
          <w:tab w:val="left" w:pos="1077"/>
          <w:tab w:val="left" w:pos="1134"/>
        </w:tabs>
        <w:kinsoku/>
        <w:wordWrap/>
        <w:overflowPunct/>
        <w:topLinePunct w:val="0"/>
        <w:autoSpaceDE w:val="0"/>
        <w:autoSpaceDN w:val="0"/>
        <w:bidi w:val="0"/>
        <w:adjustRightInd w:val="0"/>
        <w:snapToGrid w:val="0"/>
        <w:spacing w:line="360" w:lineRule="auto"/>
        <w:ind w:left="1134" w:leftChars="54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磋商小组按本章第2.3款[商务和技术评审标准]对供应商提交的响应文件（包括最后报价函）进行商务和技术评估，综合比较与评价。</w:t>
      </w:r>
    </w:p>
    <w:p w14:paraId="5D20B82C">
      <w:pPr>
        <w:keepNext w:val="0"/>
        <w:keepLines w:val="0"/>
        <w:pageBreakBefore w:val="0"/>
        <w:widowControl w:val="0"/>
        <w:numPr>
          <w:ilvl w:val="2"/>
          <w:numId w:val="12"/>
        </w:numPr>
        <w:shd w:val="clear"/>
        <w:tabs>
          <w:tab w:val="left" w:pos="1134"/>
          <w:tab w:val="left" w:pos="1560"/>
        </w:tabs>
        <w:kinsoku/>
        <w:wordWrap/>
        <w:overflowPunct/>
        <w:topLinePunct w:val="0"/>
        <w:autoSpaceDE w:val="0"/>
        <w:autoSpaceDN w:val="0"/>
        <w:bidi w:val="0"/>
        <w:adjustRightInd w:val="0"/>
        <w:snapToGrid w:val="0"/>
        <w:spacing w:line="360" w:lineRule="auto"/>
        <w:ind w:left="1134" w:hanging="1134"/>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磋商小组按本章第</w:t>
      </w: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.3款规定的量化因素和分值进行打分，并计算出综合评估得分。</w:t>
      </w:r>
    </w:p>
    <w:p w14:paraId="506245A9">
      <w:pPr>
        <w:keepNext w:val="0"/>
        <w:keepLines w:val="0"/>
        <w:pageBreakBefore w:val="0"/>
        <w:widowControl w:val="0"/>
        <w:shd w:val="clear"/>
        <w:tabs>
          <w:tab w:val="left" w:pos="1077"/>
          <w:tab w:val="left" w:pos="1134"/>
        </w:tabs>
        <w:kinsoku/>
        <w:wordWrap/>
        <w:overflowPunct/>
        <w:topLinePunct w:val="0"/>
        <w:autoSpaceDE w:val="0"/>
        <w:autoSpaceDN w:val="0"/>
        <w:bidi w:val="0"/>
        <w:adjustRightInd w:val="0"/>
        <w:snapToGrid w:val="0"/>
        <w:spacing w:line="360" w:lineRule="auto"/>
        <w:ind w:left="1134" w:leftChars="54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（1）按本章第</w:t>
      </w: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.3.1项规定的评审因素和分值对</w:t>
      </w:r>
      <w:r>
        <w:rPr>
          <w:rFonts w:hint="eastAsia" w:ascii="宋体" w:hAnsi="宋体" w:eastAsia="宋体" w:cs="宋体"/>
          <w:color w:val="auto"/>
          <w:kern w:val="0"/>
          <w:sz w:val="24"/>
          <w:szCs w:val="24"/>
          <w:highlight w:val="none"/>
          <w:lang w:val="en-US" w:eastAsia="zh-CN"/>
        </w:rPr>
        <w:t>商务、</w:t>
      </w:r>
      <w:r>
        <w:rPr>
          <w:rFonts w:hint="eastAsia" w:ascii="宋体" w:hAnsi="宋体" w:eastAsia="宋体" w:cs="宋体"/>
          <w:color w:val="auto"/>
          <w:kern w:val="0"/>
          <w:sz w:val="24"/>
          <w:szCs w:val="24"/>
          <w:highlight w:val="none"/>
        </w:rPr>
        <w:t>技术部分计算出得分A；</w:t>
      </w:r>
    </w:p>
    <w:p w14:paraId="739EC759">
      <w:pPr>
        <w:keepNext w:val="0"/>
        <w:keepLines w:val="0"/>
        <w:pageBreakBefore w:val="0"/>
        <w:widowControl w:val="0"/>
        <w:shd w:val="clear"/>
        <w:tabs>
          <w:tab w:val="left" w:pos="1077"/>
          <w:tab w:val="left" w:pos="1134"/>
        </w:tabs>
        <w:kinsoku/>
        <w:wordWrap/>
        <w:overflowPunct/>
        <w:topLinePunct w:val="0"/>
        <w:autoSpaceDE w:val="0"/>
        <w:autoSpaceDN w:val="0"/>
        <w:bidi w:val="0"/>
        <w:adjustRightInd w:val="0"/>
        <w:snapToGrid w:val="0"/>
        <w:spacing w:line="360" w:lineRule="auto"/>
        <w:ind w:left="1134" w:leftChars="540"/>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（2）按本章第</w:t>
      </w: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.3.2项规定的评审因素和分值对</w:t>
      </w:r>
      <w:r>
        <w:rPr>
          <w:rFonts w:hint="eastAsia" w:ascii="宋体" w:hAnsi="宋体" w:cs="宋体"/>
          <w:color w:val="auto"/>
          <w:kern w:val="0"/>
          <w:sz w:val="24"/>
          <w:szCs w:val="24"/>
          <w:highlight w:val="none"/>
          <w:lang w:eastAsia="zh-CN"/>
        </w:rPr>
        <w:t>报价</w:t>
      </w:r>
      <w:r>
        <w:rPr>
          <w:rFonts w:hint="eastAsia" w:ascii="宋体" w:hAnsi="宋体" w:eastAsia="宋体" w:cs="宋体"/>
          <w:color w:val="auto"/>
          <w:kern w:val="0"/>
          <w:sz w:val="24"/>
          <w:szCs w:val="24"/>
          <w:highlight w:val="none"/>
        </w:rPr>
        <w:t>部分计算出得分B</w:t>
      </w:r>
      <w:r>
        <w:rPr>
          <w:rFonts w:hint="eastAsia" w:ascii="宋体" w:hAnsi="宋体" w:cs="宋体"/>
          <w:color w:val="auto"/>
          <w:kern w:val="0"/>
          <w:sz w:val="24"/>
          <w:szCs w:val="24"/>
          <w:highlight w:val="none"/>
          <w:lang w:eastAsia="zh-CN"/>
        </w:rPr>
        <w:t>。</w:t>
      </w:r>
    </w:p>
    <w:p w14:paraId="5D0307CC">
      <w:pPr>
        <w:keepNext w:val="0"/>
        <w:keepLines w:val="0"/>
        <w:pageBreakBefore w:val="0"/>
        <w:widowControl w:val="0"/>
        <w:numPr>
          <w:ilvl w:val="2"/>
          <w:numId w:val="12"/>
        </w:numPr>
        <w:shd w:val="clear"/>
        <w:tabs>
          <w:tab w:val="left" w:pos="1134"/>
          <w:tab w:val="left" w:pos="1560"/>
        </w:tabs>
        <w:kinsoku/>
        <w:wordWrap/>
        <w:overflowPunct/>
        <w:topLinePunct w:val="0"/>
        <w:autoSpaceDE w:val="0"/>
        <w:autoSpaceDN w:val="0"/>
        <w:bidi w:val="0"/>
        <w:adjustRightInd w:val="0"/>
        <w:snapToGrid w:val="0"/>
        <w:spacing w:line="360" w:lineRule="auto"/>
        <w:ind w:left="1134" w:hanging="1134"/>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评分分值计算保留小数点后两位，小数点后第三位“四舍五入”。</w:t>
      </w:r>
    </w:p>
    <w:p w14:paraId="4F5FB1D0">
      <w:pPr>
        <w:keepNext w:val="0"/>
        <w:keepLines w:val="0"/>
        <w:pageBreakBefore w:val="0"/>
        <w:widowControl w:val="0"/>
        <w:numPr>
          <w:ilvl w:val="2"/>
          <w:numId w:val="12"/>
        </w:numPr>
        <w:shd w:val="clear"/>
        <w:tabs>
          <w:tab w:val="left" w:pos="1134"/>
          <w:tab w:val="left" w:pos="1560"/>
        </w:tabs>
        <w:kinsoku/>
        <w:wordWrap/>
        <w:overflowPunct/>
        <w:topLinePunct w:val="0"/>
        <w:autoSpaceDE w:val="0"/>
        <w:autoSpaceDN w:val="0"/>
        <w:bidi w:val="0"/>
        <w:adjustRightInd w:val="0"/>
        <w:snapToGrid w:val="0"/>
        <w:spacing w:line="360" w:lineRule="auto"/>
        <w:ind w:left="1134" w:hanging="1134"/>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供应商得分=</w:t>
      </w:r>
      <w:r>
        <w:rPr>
          <w:rFonts w:hint="eastAsia" w:ascii="宋体" w:hAnsi="宋体" w:cs="宋体"/>
          <w:color w:val="auto"/>
          <w:kern w:val="0"/>
          <w:sz w:val="24"/>
          <w:szCs w:val="24"/>
          <w:highlight w:val="none"/>
          <w:lang w:val="en-US" w:eastAsia="zh-CN"/>
        </w:rPr>
        <w:t>A+B。</w:t>
      </w:r>
    </w:p>
    <w:p w14:paraId="3F637FD6">
      <w:pPr>
        <w:keepNext w:val="0"/>
        <w:keepLines w:val="0"/>
        <w:pageBreakBefore w:val="0"/>
        <w:widowControl w:val="0"/>
        <w:numPr>
          <w:ilvl w:val="0"/>
          <w:numId w:val="12"/>
        </w:numPr>
        <w:shd w:val="clear"/>
        <w:tabs>
          <w:tab w:val="left" w:pos="1134"/>
        </w:tabs>
        <w:kinsoku/>
        <w:wordWrap/>
        <w:overflowPunct/>
        <w:topLinePunct w:val="0"/>
        <w:autoSpaceDE w:val="0"/>
        <w:autoSpaceDN w:val="0"/>
        <w:bidi w:val="0"/>
        <w:adjustRightInd w:val="0"/>
        <w:snapToGrid w:val="0"/>
        <w:spacing w:line="360" w:lineRule="auto"/>
        <w:ind w:left="1134" w:hanging="1134"/>
        <w:jc w:val="left"/>
        <w:textAlignment w:val="auto"/>
        <w:outlineLvl w:val="1"/>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评审结果</w:t>
      </w:r>
    </w:p>
    <w:p w14:paraId="0F20BFB4">
      <w:pPr>
        <w:keepNext w:val="0"/>
        <w:keepLines w:val="0"/>
        <w:pageBreakBefore w:val="0"/>
        <w:widowControl w:val="0"/>
        <w:numPr>
          <w:ilvl w:val="2"/>
          <w:numId w:val="12"/>
        </w:numPr>
        <w:shd w:val="clear"/>
        <w:tabs>
          <w:tab w:val="left" w:pos="1134"/>
          <w:tab w:val="left" w:pos="1560"/>
        </w:tabs>
        <w:kinsoku/>
        <w:wordWrap/>
        <w:overflowPunct/>
        <w:topLinePunct w:val="0"/>
        <w:autoSpaceDE w:val="0"/>
        <w:autoSpaceDN w:val="0"/>
        <w:bidi w:val="0"/>
        <w:adjustRightInd w:val="0"/>
        <w:snapToGrid w:val="0"/>
        <w:spacing w:line="360" w:lineRule="auto"/>
        <w:ind w:left="1134" w:hanging="1134"/>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除第二章“供应商须知”前附表授权直接确定成交供应商外，磋商小组按照得分由高到低的顺序推荐3名成交候选人。</w:t>
      </w:r>
    </w:p>
    <w:p w14:paraId="024D85BD">
      <w:pPr>
        <w:keepNext w:val="0"/>
        <w:keepLines w:val="0"/>
        <w:pageBreakBefore w:val="0"/>
        <w:widowControl w:val="0"/>
        <w:numPr>
          <w:ilvl w:val="2"/>
          <w:numId w:val="12"/>
        </w:numPr>
        <w:shd w:val="clear"/>
        <w:tabs>
          <w:tab w:val="left" w:pos="1134"/>
          <w:tab w:val="left" w:pos="1560"/>
        </w:tabs>
        <w:kinsoku/>
        <w:wordWrap/>
        <w:overflowPunct/>
        <w:topLinePunct w:val="0"/>
        <w:autoSpaceDE w:val="0"/>
        <w:autoSpaceDN w:val="0"/>
        <w:bidi w:val="0"/>
        <w:adjustRightInd w:val="0"/>
        <w:snapToGrid w:val="0"/>
        <w:spacing w:line="360" w:lineRule="auto"/>
        <w:ind w:left="1134" w:hanging="1134"/>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磋商小组完成评审后，应当向采购人提交书面评审报告。</w:t>
      </w:r>
    </w:p>
    <w:p w14:paraId="097CB783">
      <w:pPr>
        <w:shd w:val="clear"/>
        <w:tabs>
          <w:tab w:val="left" w:pos="-94"/>
          <w:tab w:val="left" w:pos="428"/>
        </w:tabs>
        <w:adjustRightInd w:val="0"/>
        <w:spacing w:line="360" w:lineRule="auto"/>
        <w:ind w:left="23" w:leftChars="11"/>
        <w:jc w:val="center"/>
        <w:textAlignment w:val="baseline"/>
        <w:outlineLvl w:val="1"/>
        <w:rPr>
          <w:rFonts w:hint="eastAsia" w:eastAsia="宋体"/>
          <w:b/>
          <w:color w:val="auto"/>
          <w:sz w:val="28"/>
          <w:szCs w:val="28"/>
          <w:highlight w:val="none"/>
        </w:rPr>
      </w:pPr>
      <w:r>
        <w:rPr>
          <w:rFonts w:hint="eastAsia" w:eastAsia="宋体"/>
          <w:b/>
          <w:color w:val="auto"/>
          <w:sz w:val="28"/>
          <w:szCs w:val="28"/>
          <w:highlight w:val="none"/>
        </w:rPr>
        <w:t>附表一 资格审查表</w:t>
      </w:r>
    </w:p>
    <w:tbl>
      <w:tblPr>
        <w:tblStyle w:val="73"/>
        <w:tblW w:w="9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3898"/>
        <w:gridCol w:w="5139"/>
      </w:tblGrid>
      <w:tr w14:paraId="161A1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766" w:type="dxa"/>
            <w:vAlign w:val="center"/>
          </w:tcPr>
          <w:p w14:paraId="548042DC">
            <w:pPr>
              <w:shd w:val="clear"/>
              <w:snapToGrid w:val="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3898" w:type="dxa"/>
            <w:vAlign w:val="center"/>
          </w:tcPr>
          <w:p w14:paraId="6ED88AB1">
            <w:pPr>
              <w:shd w:val="clear"/>
              <w:snapToGrid w:val="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评审内容</w:t>
            </w:r>
          </w:p>
        </w:tc>
        <w:tc>
          <w:tcPr>
            <w:tcW w:w="5139" w:type="dxa"/>
            <w:vAlign w:val="center"/>
          </w:tcPr>
          <w:p w14:paraId="68E3486C">
            <w:pPr>
              <w:shd w:val="clear"/>
              <w:snapToGrid w:val="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评审合格标准</w:t>
            </w:r>
          </w:p>
        </w:tc>
      </w:tr>
      <w:tr w14:paraId="00461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766" w:type="dxa"/>
            <w:vAlign w:val="center"/>
          </w:tcPr>
          <w:p w14:paraId="1A99C0AB">
            <w:pPr>
              <w:shd w:val="clear"/>
              <w:snapToGrid w:val="0"/>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w:t>
            </w:r>
          </w:p>
        </w:tc>
        <w:tc>
          <w:tcPr>
            <w:tcW w:w="3898" w:type="dxa"/>
            <w:vAlign w:val="center"/>
          </w:tcPr>
          <w:p w14:paraId="49BEFFED">
            <w:pPr>
              <w:shd w:val="clear"/>
              <w:snapToGrid w:val="0"/>
              <w:jc w:val="left"/>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名称</w:t>
            </w:r>
          </w:p>
        </w:tc>
        <w:tc>
          <w:tcPr>
            <w:tcW w:w="5139" w:type="dxa"/>
            <w:vAlign w:val="center"/>
          </w:tcPr>
          <w:p w14:paraId="4C2C92B5">
            <w:pPr>
              <w:shd w:val="clear"/>
              <w:snapToGrid w:val="0"/>
              <w:jc w:val="left"/>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rPr>
              <w:t>与营业执照</w:t>
            </w:r>
            <w:r>
              <w:rPr>
                <w:rFonts w:hint="eastAsia" w:ascii="宋体" w:hAnsi="宋体" w:cs="宋体"/>
                <w:color w:val="auto"/>
                <w:sz w:val="24"/>
                <w:szCs w:val="24"/>
                <w:highlight w:val="none"/>
                <w:lang w:eastAsia="zh-CN"/>
              </w:rPr>
              <w:t>、资质证书</w:t>
            </w:r>
            <w:r>
              <w:rPr>
                <w:rFonts w:hint="eastAsia" w:ascii="宋体" w:hAnsi="宋体" w:eastAsia="宋体" w:cs="宋体"/>
                <w:color w:val="auto"/>
                <w:sz w:val="24"/>
                <w:szCs w:val="24"/>
                <w:highlight w:val="none"/>
              </w:rPr>
              <w:t>一致（符合法定工商变更程序除外）</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审核营业执照</w:t>
            </w:r>
            <w:r>
              <w:rPr>
                <w:rFonts w:hint="eastAsia" w:ascii="宋体" w:hAnsi="宋体" w:cs="宋体"/>
                <w:color w:val="auto"/>
                <w:sz w:val="24"/>
                <w:szCs w:val="24"/>
                <w:highlight w:val="none"/>
                <w:lang w:eastAsia="zh-CN"/>
              </w:rPr>
              <w:t>、资质证书扫描件。</w:t>
            </w:r>
          </w:p>
        </w:tc>
      </w:tr>
      <w:tr w14:paraId="2E535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766" w:type="dxa"/>
            <w:vAlign w:val="center"/>
          </w:tcPr>
          <w:p w14:paraId="51103193">
            <w:pPr>
              <w:shd w:val="clea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898" w:type="dxa"/>
            <w:vAlign w:val="center"/>
          </w:tcPr>
          <w:p w14:paraId="15983420">
            <w:pPr>
              <w:shd w:val="clear"/>
              <w:snapToGrid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具有独立承担民事责任的能力</w:t>
            </w:r>
          </w:p>
        </w:tc>
        <w:tc>
          <w:tcPr>
            <w:tcW w:w="5139" w:type="dxa"/>
          </w:tcPr>
          <w:p w14:paraId="24AFEACE">
            <w:pPr>
              <w:shd w:val="clear"/>
              <w:snapToGrid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提供了有效的法人或者其他组织的营业执照等证明文件，自然人的身份证明。</w:t>
            </w:r>
          </w:p>
          <w:p w14:paraId="32F331B5">
            <w:pPr>
              <w:shd w:val="clear"/>
              <w:snapToGrid w:val="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审核营业执照</w:t>
            </w:r>
            <w:r>
              <w:rPr>
                <w:rFonts w:hint="eastAsia" w:ascii="宋体" w:hAnsi="宋体" w:cs="宋体"/>
                <w:color w:val="auto"/>
                <w:sz w:val="24"/>
                <w:szCs w:val="24"/>
                <w:highlight w:val="none"/>
                <w:lang w:eastAsia="zh-CN"/>
              </w:rPr>
              <w:t>等法定证明文件扫描件。</w:t>
            </w:r>
          </w:p>
        </w:tc>
      </w:tr>
      <w:tr w14:paraId="32285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6" w:hRule="atLeast"/>
          <w:jc w:val="center"/>
        </w:trPr>
        <w:tc>
          <w:tcPr>
            <w:tcW w:w="766" w:type="dxa"/>
            <w:vAlign w:val="center"/>
          </w:tcPr>
          <w:p w14:paraId="55B4D673">
            <w:pPr>
              <w:shd w:val="clea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898" w:type="dxa"/>
            <w:vAlign w:val="center"/>
          </w:tcPr>
          <w:p w14:paraId="682D82F1">
            <w:pPr>
              <w:shd w:val="clear"/>
              <w:snapToGrid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具有健全的财务会计制度</w:t>
            </w:r>
          </w:p>
        </w:tc>
        <w:tc>
          <w:tcPr>
            <w:tcW w:w="5139" w:type="dxa"/>
          </w:tcPr>
          <w:p w14:paraId="593C6BFA">
            <w:pPr>
              <w:shd w:val="clear"/>
              <w:snapToGrid w:val="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供应商具有健全的财务会计制度，提供下列两项证明材料之一：</w:t>
            </w:r>
          </w:p>
          <w:p w14:paraId="5BA54458">
            <w:pPr>
              <w:keepNext w:val="0"/>
              <w:keepLines w:val="0"/>
              <w:pageBreakBefore w:val="0"/>
              <w:widowControl w:val="0"/>
              <w:shd w:val="clear"/>
              <w:kinsoku/>
              <w:wordWrap w:val="0"/>
              <w:overflowPunct/>
              <w:topLinePunct/>
              <w:autoSpaceDE/>
              <w:autoSpaceDN/>
              <w:bidi w:val="0"/>
              <w:adjustRightInd/>
              <w:snapToGrid w:val="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（1）提供近三年（202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至202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年）任意一年第三方审计机构出具的财务审计报告正文和必要的财务报表（至少包括资产负债表、现金流量表、利润表/损益表、附注），根据《财政部关于注册会计师在审计报告上签字盖章有关问题的通知》、《关于加强审计报告查验工作的通知》，2022年及之后的审计报告应在注册会计师行业统一监管平台（网址http://acc.mof.gov.cn）赋二维码，审计报告盖有会计师事务所公章和两名中国注册会计师签名盖章，并附有会计师事务所营业执照、会计师事务所执业证书、注册会计师证书；成立时间不足一个完整会计年度的供应商，</w:t>
            </w:r>
            <w:r>
              <w:rPr>
                <w:rFonts w:hint="eastAsia" w:ascii="宋体" w:hAnsi="宋体" w:cs="宋体"/>
                <w:color w:val="auto"/>
                <w:sz w:val="24"/>
                <w:szCs w:val="24"/>
                <w:highlight w:val="none"/>
                <w:lang w:eastAsia="zh-CN"/>
              </w:rPr>
              <w:t>响应文件</w:t>
            </w:r>
            <w:r>
              <w:rPr>
                <w:rFonts w:hint="eastAsia" w:ascii="宋体" w:hAnsi="宋体" w:eastAsia="宋体" w:cs="宋体"/>
                <w:color w:val="auto"/>
                <w:sz w:val="24"/>
                <w:szCs w:val="24"/>
                <w:highlight w:val="none"/>
                <w:lang w:eastAsia="zh-CN"/>
              </w:rPr>
              <w:t>中提供提交</w:t>
            </w:r>
            <w:r>
              <w:rPr>
                <w:rFonts w:hint="eastAsia" w:ascii="宋体" w:hAnsi="宋体" w:cs="宋体"/>
                <w:color w:val="auto"/>
                <w:sz w:val="24"/>
                <w:szCs w:val="24"/>
                <w:highlight w:val="none"/>
                <w:lang w:eastAsia="zh-CN"/>
              </w:rPr>
              <w:t>响应文件</w:t>
            </w:r>
            <w:r>
              <w:rPr>
                <w:rFonts w:hint="eastAsia" w:ascii="宋体" w:hAnsi="宋体" w:eastAsia="宋体" w:cs="宋体"/>
                <w:color w:val="auto"/>
                <w:sz w:val="24"/>
                <w:szCs w:val="24"/>
                <w:highlight w:val="none"/>
                <w:lang w:eastAsia="zh-CN"/>
              </w:rPr>
              <w:t>截止时间前近三个月内基本开户银行出具的资信证明。请注意2024年9月5日后出具的财务报告财务报表（至少包括资产负债表、现金流量表、利润表/损益表、附注）也应附二维码。（二维码指注册会计师行业统一监管平台赋码，并非会计师事务所自行赋码）</w:t>
            </w:r>
          </w:p>
          <w:p w14:paraId="5DF862C2">
            <w:pPr>
              <w:keepNext w:val="0"/>
              <w:keepLines w:val="0"/>
              <w:pageBreakBefore w:val="0"/>
              <w:widowControl w:val="0"/>
              <w:shd w:val="clear"/>
              <w:kinsoku/>
              <w:wordWrap w:val="0"/>
              <w:overflowPunct/>
              <w:topLinePunct/>
              <w:autoSpaceDE/>
              <w:autoSpaceDN/>
              <w:bidi w:val="0"/>
              <w:adjustRightInd/>
              <w:snapToGrid w:val="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（2）提供具有健全的财务会计制度且财务状况良好的书面承诺函。</w:t>
            </w:r>
          </w:p>
          <w:p w14:paraId="3D2373EC">
            <w:pPr>
              <w:keepNext w:val="0"/>
              <w:keepLines w:val="0"/>
              <w:pageBreakBefore w:val="0"/>
              <w:widowControl w:val="0"/>
              <w:shd w:val="clear"/>
              <w:kinsoku/>
              <w:wordWrap w:val="0"/>
              <w:overflowPunct/>
              <w:topLinePunct/>
              <w:autoSpaceDE/>
              <w:autoSpaceDN/>
              <w:bidi w:val="0"/>
              <w:adjustRightInd/>
              <w:snapToGrid w:val="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审核近三年（202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年至202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年）任意一年第三方审计机构出具的财务审计报告正文和必要的财务报表（至少包括资产负债表、现金流量表、利润表/损益表、附注），成立时间不足一个完整会计年度的供应商，审核提交</w:t>
            </w:r>
            <w:r>
              <w:rPr>
                <w:rFonts w:hint="eastAsia" w:ascii="宋体" w:hAnsi="宋体" w:cs="宋体"/>
                <w:color w:val="auto"/>
                <w:sz w:val="24"/>
                <w:szCs w:val="24"/>
                <w:highlight w:val="none"/>
                <w:lang w:eastAsia="zh-CN"/>
              </w:rPr>
              <w:t>响应文件</w:t>
            </w:r>
            <w:r>
              <w:rPr>
                <w:rFonts w:hint="eastAsia" w:ascii="宋体" w:hAnsi="宋体" w:eastAsia="宋体" w:cs="宋体"/>
                <w:color w:val="auto"/>
                <w:sz w:val="24"/>
                <w:szCs w:val="24"/>
                <w:highlight w:val="none"/>
                <w:lang w:eastAsia="zh-CN"/>
              </w:rPr>
              <w:t>截止时间前近三个月内基本开户银行出具的资信证明扫描件；或具有健全的财务会计制度且财务状况良好的书面承诺函（承诺函格式可自拟）。</w:t>
            </w:r>
          </w:p>
        </w:tc>
      </w:tr>
      <w:tr w14:paraId="22E3A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6" w:type="dxa"/>
            <w:vAlign w:val="center"/>
          </w:tcPr>
          <w:p w14:paraId="548976E6">
            <w:pPr>
              <w:shd w:val="clea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3898" w:type="dxa"/>
            <w:vAlign w:val="center"/>
          </w:tcPr>
          <w:p w14:paraId="74F7FC33">
            <w:pPr>
              <w:shd w:val="clear"/>
              <w:snapToGrid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具有履行合同所必需的设备和专业技术能力</w:t>
            </w:r>
          </w:p>
        </w:tc>
        <w:tc>
          <w:tcPr>
            <w:tcW w:w="5139" w:type="dxa"/>
            <w:vAlign w:val="top"/>
          </w:tcPr>
          <w:p w14:paraId="4F641E43">
            <w:pPr>
              <w:shd w:val="clear"/>
              <w:snapToGrid w:val="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提供了可充分满足履行合同所需</w:t>
            </w:r>
            <w:r>
              <w:rPr>
                <w:rFonts w:hint="eastAsia" w:ascii="宋体" w:hAnsi="宋体" w:cs="宋体"/>
                <w:color w:val="auto"/>
                <w:sz w:val="24"/>
                <w:szCs w:val="24"/>
                <w:highlight w:val="none"/>
                <w:lang w:eastAsia="zh-CN"/>
              </w:rPr>
              <w:t>的设备</w:t>
            </w:r>
            <w:r>
              <w:rPr>
                <w:rFonts w:hint="eastAsia" w:ascii="宋体" w:hAnsi="宋体" w:eastAsia="宋体" w:cs="宋体"/>
                <w:color w:val="auto"/>
                <w:sz w:val="24"/>
                <w:szCs w:val="24"/>
                <w:highlight w:val="none"/>
              </w:rPr>
              <w:t>和专业技术能力的证明材料或承诺</w:t>
            </w:r>
            <w:r>
              <w:rPr>
                <w:rFonts w:hint="eastAsia" w:ascii="宋体" w:hAnsi="宋体" w:eastAsia="宋体" w:cs="宋体"/>
                <w:color w:val="auto"/>
                <w:sz w:val="24"/>
                <w:szCs w:val="24"/>
                <w:highlight w:val="none"/>
                <w:lang w:eastAsia="zh-CN"/>
              </w:rPr>
              <w:t>。</w:t>
            </w:r>
          </w:p>
          <w:p w14:paraId="5A7D65AB">
            <w:pPr>
              <w:shd w:val="clear"/>
              <w:snapToGrid w:val="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审核</w:t>
            </w:r>
            <w:r>
              <w:rPr>
                <w:rFonts w:hint="eastAsia" w:ascii="宋体" w:hAnsi="宋体" w:cs="宋体"/>
                <w:color w:val="auto"/>
                <w:sz w:val="24"/>
                <w:szCs w:val="24"/>
                <w:highlight w:val="none"/>
                <w:lang w:val="en-US" w:eastAsia="zh-CN"/>
              </w:rPr>
              <w:t>电子</w:t>
            </w:r>
            <w:r>
              <w:rPr>
                <w:rFonts w:hint="eastAsia" w:ascii="宋体" w:hAnsi="宋体" w:cs="宋体"/>
                <w:color w:val="auto"/>
                <w:sz w:val="24"/>
                <w:szCs w:val="24"/>
                <w:highlight w:val="none"/>
                <w:lang w:eastAsia="zh-CN"/>
              </w:rPr>
              <w:t>原件。</w:t>
            </w:r>
          </w:p>
        </w:tc>
      </w:tr>
      <w:tr w14:paraId="60341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jc w:val="center"/>
        </w:trPr>
        <w:tc>
          <w:tcPr>
            <w:tcW w:w="766" w:type="dxa"/>
            <w:vAlign w:val="center"/>
          </w:tcPr>
          <w:p w14:paraId="6312E0FC">
            <w:pPr>
              <w:shd w:val="clea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3898" w:type="dxa"/>
            <w:vAlign w:val="center"/>
          </w:tcPr>
          <w:p w14:paraId="44D82F8E">
            <w:pPr>
              <w:shd w:val="clear"/>
              <w:snapToGrid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有依法缴纳税收和社会保障资金的良好记录</w:t>
            </w:r>
          </w:p>
        </w:tc>
        <w:tc>
          <w:tcPr>
            <w:tcW w:w="5139" w:type="dxa"/>
          </w:tcPr>
          <w:p w14:paraId="013BC6E1">
            <w:pPr>
              <w:shd w:val="clear"/>
              <w:snapToGrid w:val="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提供公司2025年1月（含）以来至今任意1个月缴纳税收证明文件（银行出具的缴税凭证或税务机关出具的证明的扫描件）或免税证明，或</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lang w:eastAsia="zh-CN"/>
              </w:rPr>
              <w:t>自行出具的具有良好依法缴税的承诺函。</w:t>
            </w:r>
          </w:p>
          <w:p w14:paraId="39368BAD">
            <w:pPr>
              <w:shd w:val="clear"/>
              <w:snapToGrid w:val="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提供公司2025年1月（含）以来至今任意1个月的社会保障资金缴纳记录（其中基本养老保险、基本医疗保险（含生育保险）、工伤保险、失业保险均须依法缴纳）或免缴纳证明，或</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lang w:eastAsia="zh-CN"/>
              </w:rPr>
              <w:t>自行出具的具有良好依法缴纳社会保障资金的承诺函。</w:t>
            </w:r>
          </w:p>
          <w:p w14:paraId="02028FDF">
            <w:pPr>
              <w:shd w:val="clear"/>
              <w:snapToGrid w:val="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审核本款</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和</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要求的材料（承诺函格式可自拟）。</w:t>
            </w:r>
          </w:p>
        </w:tc>
      </w:tr>
      <w:tr w14:paraId="7FC56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766" w:type="dxa"/>
            <w:vAlign w:val="center"/>
          </w:tcPr>
          <w:p w14:paraId="3018F4BD">
            <w:pPr>
              <w:shd w:val="clea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3898" w:type="dxa"/>
            <w:vAlign w:val="center"/>
          </w:tcPr>
          <w:p w14:paraId="750E174F">
            <w:pPr>
              <w:shd w:val="clear"/>
              <w:snapToGrid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参加政府采购活动前三年内，在经营活动中没有重大违法记录</w:t>
            </w:r>
          </w:p>
        </w:tc>
        <w:tc>
          <w:tcPr>
            <w:tcW w:w="5139" w:type="dxa"/>
          </w:tcPr>
          <w:p w14:paraId="71315FE8">
            <w:pPr>
              <w:shd w:val="clear"/>
              <w:snapToGrid w:val="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提供了有效的参加政府采购活动前3年内在经营活动中没有重大违法记录的书面声明</w:t>
            </w:r>
            <w:r>
              <w:rPr>
                <w:rFonts w:hint="eastAsia" w:ascii="宋体" w:hAnsi="宋体" w:cs="宋体"/>
                <w:color w:val="auto"/>
                <w:sz w:val="24"/>
                <w:szCs w:val="24"/>
                <w:highlight w:val="none"/>
                <w:lang w:eastAsia="zh-CN"/>
              </w:rPr>
              <w:t>。</w:t>
            </w:r>
          </w:p>
          <w:p w14:paraId="3D73192D">
            <w:pPr>
              <w:shd w:val="clear"/>
              <w:snapToGrid w:val="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审核</w:t>
            </w:r>
            <w:r>
              <w:rPr>
                <w:rFonts w:hint="eastAsia" w:ascii="宋体" w:hAnsi="宋体" w:cs="宋体"/>
                <w:color w:val="auto"/>
                <w:sz w:val="24"/>
                <w:szCs w:val="24"/>
                <w:highlight w:val="none"/>
                <w:lang w:val="en-US" w:eastAsia="zh-CN"/>
              </w:rPr>
              <w:t>电子</w:t>
            </w:r>
            <w:r>
              <w:rPr>
                <w:rFonts w:hint="eastAsia" w:ascii="宋体" w:hAnsi="宋体" w:cs="宋体"/>
                <w:color w:val="auto"/>
                <w:sz w:val="24"/>
                <w:szCs w:val="24"/>
                <w:highlight w:val="none"/>
                <w:lang w:eastAsia="zh-CN"/>
              </w:rPr>
              <w:t>原件。</w:t>
            </w:r>
          </w:p>
        </w:tc>
      </w:tr>
      <w:tr w14:paraId="4C452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66" w:type="dxa"/>
            <w:vAlign w:val="center"/>
          </w:tcPr>
          <w:p w14:paraId="6A7ED8D6">
            <w:pPr>
              <w:shd w:val="clea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3898" w:type="dxa"/>
            <w:vAlign w:val="center"/>
          </w:tcPr>
          <w:p w14:paraId="6FC1E1B9">
            <w:pPr>
              <w:shd w:val="clear"/>
              <w:snapToGrid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“信用中国”网站和中国政府采购网（www.ccgp.gov.cn）查询记录</w:t>
            </w:r>
          </w:p>
        </w:tc>
        <w:tc>
          <w:tcPr>
            <w:tcW w:w="5139" w:type="dxa"/>
          </w:tcPr>
          <w:p w14:paraId="55B3A6F0">
            <w:pPr>
              <w:keepNext w:val="0"/>
              <w:keepLines w:val="0"/>
              <w:pageBreakBefore w:val="0"/>
              <w:widowControl w:val="0"/>
              <w:shd w:val="clear"/>
              <w:kinsoku/>
              <w:wordWrap w:val="0"/>
              <w:overflowPunct/>
              <w:topLinePunct/>
              <w:autoSpaceDE/>
              <w:autoSpaceDN/>
              <w:bidi w:val="0"/>
              <w:adjustRightInd/>
              <w:snapToGrid w:val="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未被“信用中国”网站（www.creditchina.gov.cn）中列入失信被执行人、重大税收违法失信主体的供应商；未被中国政府采购网（www.ccgp.gov.cn）列入政府采购严重违法失信行为记录名单中被财政部门禁止参加政府采购活动的供应商</w:t>
            </w:r>
            <w:r>
              <w:rPr>
                <w:rFonts w:hint="eastAsia" w:ascii="宋体" w:hAnsi="宋体" w:cs="宋体"/>
                <w:color w:val="auto"/>
                <w:sz w:val="24"/>
                <w:szCs w:val="24"/>
                <w:highlight w:val="none"/>
                <w:lang w:eastAsia="zh-CN"/>
              </w:rPr>
              <w:t>。</w:t>
            </w:r>
          </w:p>
          <w:p w14:paraId="6E0C7539">
            <w:pPr>
              <w:keepNext w:val="0"/>
              <w:keepLines w:val="0"/>
              <w:pageBreakBefore w:val="0"/>
              <w:widowControl w:val="0"/>
              <w:shd w:val="clear"/>
              <w:kinsoku/>
              <w:wordWrap w:val="0"/>
              <w:overflowPunct/>
              <w:topLinePunct/>
              <w:autoSpaceDE/>
              <w:autoSpaceDN/>
              <w:bidi w:val="0"/>
              <w:adjustRightInd/>
              <w:snapToGrid w:val="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由采购代理机构统一查询</w:t>
            </w:r>
            <w:r>
              <w:rPr>
                <w:rFonts w:hint="eastAsia" w:ascii="宋体" w:hAnsi="宋体" w:cs="宋体"/>
                <w:color w:val="auto"/>
                <w:sz w:val="24"/>
                <w:szCs w:val="24"/>
                <w:highlight w:val="none"/>
                <w:lang w:eastAsia="zh-CN"/>
              </w:rPr>
              <w:t>后提交磋商小组。</w:t>
            </w:r>
          </w:p>
        </w:tc>
      </w:tr>
      <w:tr w14:paraId="526F4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766" w:type="dxa"/>
            <w:vAlign w:val="center"/>
          </w:tcPr>
          <w:p w14:paraId="0F70C13F">
            <w:pPr>
              <w:shd w:val="clea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3898" w:type="dxa"/>
            <w:vAlign w:val="center"/>
          </w:tcPr>
          <w:p w14:paraId="7B03E068">
            <w:pPr>
              <w:shd w:val="clear"/>
              <w:snapToGrid w:val="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单位负责人为同一人或者存在直接控股、管理关系的不同供应商，不得参加同一合同项下的政府采购活动。</w:t>
            </w:r>
          </w:p>
        </w:tc>
        <w:tc>
          <w:tcPr>
            <w:tcW w:w="5139" w:type="dxa"/>
            <w:vAlign w:val="center"/>
          </w:tcPr>
          <w:p w14:paraId="1D2DA394">
            <w:pPr>
              <w:shd w:val="clear"/>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提供了“</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关联企业情况声明”。各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之间不存在单位负责人为同一人或者</w:t>
            </w:r>
            <w:r>
              <w:rPr>
                <w:rFonts w:hint="eastAsia" w:ascii="宋体" w:hAnsi="宋体" w:cs="宋体"/>
                <w:color w:val="auto"/>
                <w:sz w:val="24"/>
                <w:szCs w:val="24"/>
                <w:highlight w:val="none"/>
                <w:lang w:eastAsia="zh-CN"/>
              </w:rPr>
              <w:t>存在直接控股</w:t>
            </w:r>
            <w:r>
              <w:rPr>
                <w:rFonts w:hint="eastAsia" w:ascii="宋体" w:hAnsi="宋体" w:eastAsia="宋体" w:cs="宋体"/>
                <w:color w:val="auto"/>
                <w:sz w:val="24"/>
                <w:szCs w:val="24"/>
                <w:highlight w:val="none"/>
              </w:rPr>
              <w:t>、管理关系情形。</w:t>
            </w:r>
          </w:p>
          <w:p w14:paraId="6924DB3F">
            <w:pPr>
              <w:shd w:val="clear"/>
              <w:snapToGrid w:val="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审核</w:t>
            </w:r>
            <w:r>
              <w:rPr>
                <w:rFonts w:hint="eastAsia" w:ascii="宋体" w:hAnsi="宋体" w:cs="宋体"/>
                <w:color w:val="auto"/>
                <w:sz w:val="24"/>
                <w:szCs w:val="24"/>
                <w:highlight w:val="none"/>
                <w:lang w:val="en-US" w:eastAsia="zh-CN"/>
              </w:rPr>
              <w:t>电子</w:t>
            </w:r>
            <w:r>
              <w:rPr>
                <w:rFonts w:hint="eastAsia" w:ascii="宋体" w:hAnsi="宋体" w:cs="宋体"/>
                <w:color w:val="auto"/>
                <w:sz w:val="24"/>
                <w:szCs w:val="24"/>
                <w:highlight w:val="none"/>
                <w:lang w:eastAsia="zh-CN"/>
              </w:rPr>
              <w:t>原件。</w:t>
            </w:r>
          </w:p>
        </w:tc>
      </w:tr>
      <w:tr w14:paraId="423C3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766" w:type="dxa"/>
            <w:vAlign w:val="center"/>
          </w:tcPr>
          <w:p w14:paraId="781A7978">
            <w:pPr>
              <w:shd w:val="clea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3898" w:type="dxa"/>
            <w:vAlign w:val="center"/>
          </w:tcPr>
          <w:p w14:paraId="4BAC627A">
            <w:pPr>
              <w:shd w:val="clear"/>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为本项目提供整体设计、规范编制或者项目管理、监理、检测等服务的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，不得再参加本项目</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w:t>
            </w:r>
          </w:p>
        </w:tc>
        <w:tc>
          <w:tcPr>
            <w:tcW w:w="5139" w:type="dxa"/>
            <w:vAlign w:val="center"/>
          </w:tcPr>
          <w:p w14:paraId="7D1D8497">
            <w:pPr>
              <w:shd w:val="clear"/>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提供了</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未为本项目提供整体设计、规范编制或者项目管理、监理、检测等服务的声明。</w:t>
            </w:r>
          </w:p>
          <w:p w14:paraId="5577C319">
            <w:pPr>
              <w:shd w:val="clear"/>
              <w:snapToGrid w:val="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审核</w:t>
            </w:r>
            <w:r>
              <w:rPr>
                <w:rFonts w:hint="eastAsia" w:ascii="宋体" w:hAnsi="宋体" w:cs="宋体"/>
                <w:color w:val="auto"/>
                <w:sz w:val="24"/>
                <w:szCs w:val="24"/>
                <w:highlight w:val="none"/>
                <w:lang w:val="en-US" w:eastAsia="zh-CN"/>
              </w:rPr>
              <w:t>电子</w:t>
            </w:r>
            <w:r>
              <w:rPr>
                <w:rFonts w:hint="eastAsia" w:ascii="宋体" w:hAnsi="宋体" w:cs="宋体"/>
                <w:color w:val="auto"/>
                <w:sz w:val="24"/>
                <w:szCs w:val="24"/>
                <w:highlight w:val="none"/>
                <w:lang w:eastAsia="zh-CN"/>
              </w:rPr>
              <w:t>原件。</w:t>
            </w:r>
          </w:p>
        </w:tc>
      </w:tr>
      <w:tr w14:paraId="6745D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66" w:type="dxa"/>
            <w:vAlign w:val="center"/>
          </w:tcPr>
          <w:p w14:paraId="1BC2A965">
            <w:pPr>
              <w:shd w:val="clea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3898" w:type="dxa"/>
            <w:vAlign w:val="center"/>
          </w:tcPr>
          <w:p w14:paraId="66F19AB7">
            <w:pPr>
              <w:shd w:val="clear"/>
              <w:snapToGrid w:val="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联合体</w:t>
            </w:r>
          </w:p>
        </w:tc>
        <w:tc>
          <w:tcPr>
            <w:tcW w:w="5139" w:type="dxa"/>
            <w:vAlign w:val="center"/>
          </w:tcPr>
          <w:p w14:paraId="10D03FCF">
            <w:pPr>
              <w:shd w:val="clear"/>
              <w:snapToGrid w:val="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非</w:t>
            </w:r>
            <w:r>
              <w:rPr>
                <w:rFonts w:hint="eastAsia" w:ascii="宋体" w:hAnsi="宋体" w:eastAsia="宋体" w:cs="宋体"/>
                <w:color w:val="auto"/>
                <w:sz w:val="24"/>
                <w:szCs w:val="24"/>
                <w:highlight w:val="none"/>
                <w:lang w:eastAsia="zh-CN"/>
              </w:rPr>
              <w:t>联合体</w:t>
            </w:r>
            <w:r>
              <w:rPr>
                <w:rFonts w:hint="eastAsia" w:ascii="宋体" w:hAnsi="宋体" w:cs="宋体"/>
                <w:color w:val="auto"/>
                <w:sz w:val="24"/>
                <w:szCs w:val="24"/>
                <w:highlight w:val="none"/>
                <w:lang w:eastAsia="zh-CN"/>
              </w:rPr>
              <w:t>磋商。</w:t>
            </w:r>
          </w:p>
        </w:tc>
      </w:tr>
      <w:tr w14:paraId="67348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66" w:type="dxa"/>
            <w:vAlign w:val="center"/>
          </w:tcPr>
          <w:p w14:paraId="08D6C37D">
            <w:pPr>
              <w:shd w:val="clear"/>
              <w:snapToGrid w:val="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w:t>
            </w:r>
          </w:p>
        </w:tc>
        <w:tc>
          <w:tcPr>
            <w:tcW w:w="3898" w:type="dxa"/>
            <w:vAlign w:val="center"/>
          </w:tcPr>
          <w:p w14:paraId="724B4F32">
            <w:pPr>
              <w:shd w:val="clear"/>
              <w:snapToGrid w:val="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中小企业资格</w:t>
            </w:r>
          </w:p>
        </w:tc>
        <w:tc>
          <w:tcPr>
            <w:tcW w:w="5139" w:type="dxa"/>
            <w:vAlign w:val="center"/>
          </w:tcPr>
          <w:p w14:paraId="3F211535">
            <w:pPr>
              <w:shd w:val="clear"/>
              <w:snapToGrid w:val="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根据财政部、工业和信息化部关于印发《政府采购促进中小企业发展管理办法》的通知(财库(2020)46号)等相关文件要求，本项目专门面向中型企业、小型企业、微型企业、残疾人福利性单位、监狱企业进行采购。(符合要求的供应商须提供《中小企业声明函》或《残疾人福利性单位声明函》或属于监狱企业的证明文件，否则响应无效)</w:t>
            </w:r>
          </w:p>
          <w:p w14:paraId="67FC079C">
            <w:pPr>
              <w:shd w:val="clear"/>
              <w:snapToGrid w:val="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审核中型企业、小型企业、微型企业、残疾人福利性单位、监狱企业证明材料。</w:t>
            </w:r>
          </w:p>
        </w:tc>
      </w:tr>
      <w:tr w14:paraId="4BE11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66" w:type="dxa"/>
            <w:vAlign w:val="center"/>
          </w:tcPr>
          <w:p w14:paraId="39083DED">
            <w:pPr>
              <w:shd w:val="clear"/>
              <w:snapToGrid w:val="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w:t>
            </w:r>
          </w:p>
        </w:tc>
        <w:tc>
          <w:tcPr>
            <w:tcW w:w="3898" w:type="dxa"/>
            <w:vAlign w:val="center"/>
          </w:tcPr>
          <w:p w14:paraId="2BAFD534">
            <w:pPr>
              <w:shd w:val="clear"/>
              <w:snapToGrid w:val="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资质要求</w:t>
            </w:r>
          </w:p>
        </w:tc>
        <w:tc>
          <w:tcPr>
            <w:tcW w:w="5139" w:type="dxa"/>
            <w:vAlign w:val="center"/>
          </w:tcPr>
          <w:p w14:paraId="3D0B51E2">
            <w:pPr>
              <w:shd w:val="clear"/>
              <w:snapToGrid w:val="0"/>
              <w:rPr>
                <w:rFonts w:hint="default" w:ascii="宋体" w:hAnsi="宋体" w:cs="宋体"/>
                <w:i w:val="0"/>
                <w:iCs w:val="0"/>
                <w:caps w:val="0"/>
                <w:color w:val="auto"/>
                <w:spacing w:val="0"/>
                <w:sz w:val="24"/>
                <w:szCs w:val="24"/>
                <w:highlight w:val="none"/>
                <w:shd w:val="clear" w:fill="FFFFFF"/>
                <w:lang w:val="en-US" w:eastAsia="zh-CN"/>
              </w:rPr>
            </w:pPr>
            <w:r>
              <w:rPr>
                <w:rFonts w:hint="default" w:ascii="宋体" w:hAnsi="宋体" w:cs="宋体"/>
                <w:i w:val="0"/>
                <w:iCs w:val="0"/>
                <w:caps w:val="0"/>
                <w:color w:val="auto"/>
                <w:spacing w:val="0"/>
                <w:sz w:val="24"/>
                <w:szCs w:val="24"/>
                <w:highlight w:val="none"/>
                <w:shd w:val="clear" w:fill="FFFFFF"/>
                <w:lang w:val="en-US" w:eastAsia="zh-CN"/>
              </w:rPr>
              <w:t>具备建设行政主管部门核发的合法有效的建筑工程施工总承包叁级及以上资质，具备有效的安全生产许可证（安全生产许可证取消年检的，提供主管部门的证明文件）。</w:t>
            </w:r>
          </w:p>
          <w:p w14:paraId="77AB2D2A">
            <w:pPr>
              <w:shd w:val="clear"/>
              <w:snapToGrid w:val="0"/>
              <w:rPr>
                <w:rFonts w:hint="default" w:ascii="宋体" w:hAnsi="宋体" w:cs="宋体"/>
                <w:i w:val="0"/>
                <w:iCs w:val="0"/>
                <w:caps w:val="0"/>
                <w:color w:val="auto"/>
                <w:spacing w:val="0"/>
                <w:sz w:val="24"/>
                <w:szCs w:val="24"/>
                <w:highlight w:val="none"/>
                <w:shd w:val="clear" w:fill="FFFFFF"/>
                <w:lang w:val="en-US" w:eastAsia="zh-CN"/>
              </w:rPr>
            </w:pPr>
            <w:r>
              <w:rPr>
                <w:rFonts w:hint="eastAsia" w:ascii="宋体" w:hAnsi="宋体" w:cs="宋体"/>
                <w:i w:val="0"/>
                <w:iCs w:val="0"/>
                <w:caps w:val="0"/>
                <w:color w:val="auto"/>
                <w:spacing w:val="0"/>
                <w:sz w:val="24"/>
                <w:szCs w:val="24"/>
                <w:highlight w:val="none"/>
                <w:shd w:val="clear" w:fill="FFFFFF"/>
                <w:lang w:val="en-US" w:eastAsia="zh-CN"/>
              </w:rPr>
              <w:t>审核资质证书和</w:t>
            </w:r>
            <w:r>
              <w:rPr>
                <w:rFonts w:hint="default" w:ascii="宋体" w:hAnsi="宋体" w:cs="宋体"/>
                <w:i w:val="0"/>
                <w:iCs w:val="0"/>
                <w:caps w:val="0"/>
                <w:color w:val="auto"/>
                <w:spacing w:val="0"/>
                <w:sz w:val="24"/>
                <w:szCs w:val="24"/>
                <w:highlight w:val="none"/>
                <w:shd w:val="clear" w:fill="FFFFFF"/>
                <w:lang w:val="en-US" w:eastAsia="zh-CN"/>
              </w:rPr>
              <w:t>安全生产许可证</w:t>
            </w:r>
            <w:r>
              <w:rPr>
                <w:rFonts w:hint="eastAsia" w:ascii="宋体" w:hAnsi="宋体" w:cs="宋体"/>
                <w:i w:val="0"/>
                <w:iCs w:val="0"/>
                <w:caps w:val="0"/>
                <w:color w:val="auto"/>
                <w:spacing w:val="0"/>
                <w:sz w:val="24"/>
                <w:szCs w:val="24"/>
                <w:highlight w:val="none"/>
                <w:shd w:val="clear" w:fill="FFFFFF"/>
                <w:lang w:val="en-US" w:eastAsia="zh-CN"/>
              </w:rPr>
              <w:t>扫描件。</w:t>
            </w:r>
          </w:p>
        </w:tc>
      </w:tr>
      <w:tr w14:paraId="7343E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66" w:type="dxa"/>
            <w:vAlign w:val="center"/>
          </w:tcPr>
          <w:p w14:paraId="22984B36">
            <w:pPr>
              <w:shd w:val="clear"/>
              <w:snapToGrid w:val="0"/>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13</w:t>
            </w:r>
          </w:p>
        </w:tc>
        <w:tc>
          <w:tcPr>
            <w:tcW w:w="3898" w:type="dxa"/>
            <w:vAlign w:val="center"/>
          </w:tcPr>
          <w:p w14:paraId="33A0DCF5">
            <w:pPr>
              <w:shd w:val="clear"/>
              <w:snapToGrid w:val="0"/>
              <w:jc w:val="lef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项目经理</w:t>
            </w:r>
          </w:p>
        </w:tc>
        <w:tc>
          <w:tcPr>
            <w:tcW w:w="5139" w:type="dxa"/>
            <w:vAlign w:val="center"/>
          </w:tcPr>
          <w:p w14:paraId="0CFD9E85">
            <w:pPr>
              <w:shd w:val="clear"/>
              <w:snapToGrid w:val="0"/>
              <w:rPr>
                <w:rFonts w:hint="eastAsia" w:ascii="宋体" w:hAnsi="宋体" w:cs="宋体"/>
                <w:i w:val="0"/>
                <w:iCs w:val="0"/>
                <w:caps w:val="0"/>
                <w:color w:val="auto"/>
                <w:spacing w:val="0"/>
                <w:sz w:val="24"/>
                <w:szCs w:val="24"/>
                <w:highlight w:val="none"/>
                <w:shd w:val="clear" w:fill="FFFFFF"/>
                <w:lang w:val="en-US" w:eastAsia="zh-CN"/>
              </w:rPr>
            </w:pPr>
            <w:r>
              <w:rPr>
                <w:rFonts w:hint="eastAsia" w:ascii="宋体" w:hAnsi="宋体" w:cs="宋体"/>
                <w:i w:val="0"/>
                <w:iCs w:val="0"/>
                <w:caps w:val="0"/>
                <w:color w:val="auto"/>
                <w:spacing w:val="0"/>
                <w:sz w:val="24"/>
                <w:szCs w:val="24"/>
                <w:highlight w:val="none"/>
                <w:shd w:val="clear" w:fill="FFFFFF"/>
                <w:lang w:val="en-US" w:eastAsia="zh-CN"/>
              </w:rPr>
              <w:t>供应商拟派项目经理具备二级及以上注册建造师（建筑工程专业）执业资格，具有有效的安全生产考核合格证书，目前以及项目在建期间不得担任其他在建工程项目的项目经理，并不得兼任本项目或其他项目的其他管理人员。</w:t>
            </w:r>
          </w:p>
          <w:p w14:paraId="60FE080F">
            <w:pPr>
              <w:shd w:val="clear"/>
              <w:snapToGrid w:val="0"/>
              <w:rPr>
                <w:rFonts w:hint="default" w:ascii="宋体" w:hAnsi="宋体" w:cs="宋体"/>
                <w:i w:val="0"/>
                <w:iCs w:val="0"/>
                <w:caps w:val="0"/>
                <w:color w:val="auto"/>
                <w:spacing w:val="0"/>
                <w:sz w:val="24"/>
                <w:szCs w:val="24"/>
                <w:highlight w:val="none"/>
                <w:shd w:val="clear" w:fill="FFFFFF"/>
                <w:lang w:val="en-US" w:eastAsia="zh-CN"/>
              </w:rPr>
            </w:pPr>
            <w:r>
              <w:rPr>
                <w:rFonts w:hint="eastAsia" w:ascii="宋体" w:hAnsi="宋体" w:cs="宋体"/>
                <w:i w:val="0"/>
                <w:iCs w:val="0"/>
                <w:caps w:val="0"/>
                <w:color w:val="auto"/>
                <w:spacing w:val="0"/>
                <w:sz w:val="24"/>
                <w:szCs w:val="24"/>
                <w:highlight w:val="none"/>
                <w:shd w:val="clear" w:fill="FFFFFF"/>
                <w:lang w:val="en-US" w:eastAsia="zh-CN"/>
              </w:rPr>
              <w:t>审核项目经理</w:t>
            </w:r>
            <w:r>
              <w:rPr>
                <w:rFonts w:hint="default" w:ascii="宋体" w:hAnsi="宋体" w:cs="宋体"/>
                <w:i w:val="0"/>
                <w:iCs w:val="0"/>
                <w:caps w:val="0"/>
                <w:color w:val="auto"/>
                <w:spacing w:val="0"/>
                <w:sz w:val="24"/>
                <w:szCs w:val="24"/>
                <w:highlight w:val="none"/>
                <w:shd w:val="clear" w:fill="FFFFFF"/>
                <w:lang w:val="en-US" w:eastAsia="zh-CN"/>
              </w:rPr>
              <w:t>注册建造师</w:t>
            </w:r>
            <w:r>
              <w:rPr>
                <w:rFonts w:hint="eastAsia" w:ascii="宋体" w:hAnsi="宋体" w:cs="宋体"/>
                <w:i w:val="0"/>
                <w:iCs w:val="0"/>
                <w:caps w:val="0"/>
                <w:color w:val="auto"/>
                <w:spacing w:val="0"/>
                <w:sz w:val="24"/>
                <w:szCs w:val="24"/>
                <w:highlight w:val="none"/>
                <w:shd w:val="clear" w:fill="FFFFFF"/>
                <w:lang w:val="en-US" w:eastAsia="zh-CN"/>
              </w:rPr>
              <w:t>执业证书扫描件、</w:t>
            </w:r>
            <w:r>
              <w:rPr>
                <w:rFonts w:hint="default" w:ascii="宋体" w:hAnsi="宋体" w:cs="宋体"/>
                <w:i w:val="0"/>
                <w:iCs w:val="0"/>
                <w:caps w:val="0"/>
                <w:color w:val="auto"/>
                <w:spacing w:val="0"/>
                <w:sz w:val="24"/>
                <w:szCs w:val="24"/>
                <w:highlight w:val="none"/>
                <w:shd w:val="clear" w:fill="FFFFFF"/>
                <w:lang w:val="en-US" w:eastAsia="zh-CN"/>
              </w:rPr>
              <w:t>安全生产考核合格证书</w:t>
            </w:r>
            <w:r>
              <w:rPr>
                <w:rFonts w:hint="eastAsia" w:ascii="宋体" w:hAnsi="宋体" w:cs="宋体"/>
                <w:i w:val="0"/>
                <w:iCs w:val="0"/>
                <w:caps w:val="0"/>
                <w:color w:val="auto"/>
                <w:spacing w:val="0"/>
                <w:sz w:val="24"/>
                <w:szCs w:val="24"/>
                <w:highlight w:val="none"/>
                <w:shd w:val="clear" w:fill="FFFFFF"/>
                <w:lang w:val="en-US" w:eastAsia="zh-CN"/>
              </w:rPr>
              <w:t>扫描件、</w:t>
            </w:r>
            <w:r>
              <w:rPr>
                <w:rFonts w:hint="default" w:ascii="宋体" w:hAnsi="宋体" w:cs="宋体"/>
                <w:i w:val="0"/>
                <w:iCs w:val="0"/>
                <w:caps w:val="0"/>
                <w:color w:val="auto"/>
                <w:spacing w:val="0"/>
                <w:sz w:val="24"/>
                <w:szCs w:val="24"/>
                <w:highlight w:val="none"/>
                <w:shd w:val="clear" w:fill="FFFFFF"/>
                <w:lang w:val="en-US" w:eastAsia="zh-CN"/>
              </w:rPr>
              <w:t>目前以及项目在建期间不得担任其他在建工程项目的项目经理，并不得兼任本项目或其他项目的其他管理人员</w:t>
            </w:r>
            <w:r>
              <w:rPr>
                <w:rFonts w:hint="eastAsia" w:ascii="宋体" w:hAnsi="宋体" w:cs="宋体"/>
                <w:i w:val="0"/>
                <w:iCs w:val="0"/>
                <w:caps w:val="0"/>
                <w:color w:val="auto"/>
                <w:spacing w:val="0"/>
                <w:sz w:val="24"/>
                <w:szCs w:val="24"/>
                <w:highlight w:val="none"/>
                <w:shd w:val="clear" w:fill="FFFFFF"/>
                <w:lang w:val="en-US" w:eastAsia="zh-CN"/>
              </w:rPr>
              <w:t>承诺书电子原件。</w:t>
            </w:r>
          </w:p>
        </w:tc>
      </w:tr>
      <w:tr w14:paraId="48F09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66" w:type="dxa"/>
            <w:vAlign w:val="center"/>
          </w:tcPr>
          <w:p w14:paraId="6987D0A6">
            <w:pPr>
              <w:shd w:val="clear"/>
              <w:snapToGrid w:val="0"/>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14</w:t>
            </w:r>
            <w:bookmarkStart w:id="575" w:name="_GoBack"/>
            <w:bookmarkEnd w:id="575"/>
          </w:p>
        </w:tc>
        <w:tc>
          <w:tcPr>
            <w:tcW w:w="3898" w:type="dxa"/>
            <w:vAlign w:val="center"/>
          </w:tcPr>
          <w:p w14:paraId="42C606E7">
            <w:pPr>
              <w:shd w:val="clear"/>
              <w:snapToGrid w:val="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安全生产考核合格证书</w:t>
            </w:r>
          </w:p>
        </w:tc>
        <w:tc>
          <w:tcPr>
            <w:tcW w:w="5139" w:type="dxa"/>
            <w:vAlign w:val="center"/>
          </w:tcPr>
          <w:p w14:paraId="53FFE4AD">
            <w:pPr>
              <w:shd w:val="clear"/>
              <w:snapToGrid w:val="0"/>
              <w:rPr>
                <w:rFonts w:hint="default" w:ascii="宋体" w:hAnsi="宋体" w:cs="宋体"/>
                <w:i w:val="0"/>
                <w:iCs w:val="0"/>
                <w:caps w:val="0"/>
                <w:color w:val="auto"/>
                <w:spacing w:val="0"/>
                <w:sz w:val="24"/>
                <w:szCs w:val="24"/>
                <w:highlight w:val="none"/>
                <w:shd w:val="clear" w:fill="FFFFFF"/>
                <w:lang w:val="en-US" w:eastAsia="zh-CN"/>
              </w:rPr>
            </w:pPr>
            <w:r>
              <w:rPr>
                <w:rFonts w:hint="default" w:ascii="宋体" w:hAnsi="宋体" w:cs="宋体"/>
                <w:i w:val="0"/>
                <w:iCs w:val="0"/>
                <w:caps w:val="0"/>
                <w:color w:val="auto"/>
                <w:spacing w:val="0"/>
                <w:sz w:val="24"/>
                <w:szCs w:val="24"/>
                <w:highlight w:val="none"/>
                <w:shd w:val="clear" w:fill="FFFFFF"/>
                <w:lang w:val="en-US" w:eastAsia="zh-CN"/>
              </w:rPr>
              <w:t>按照《建筑施工企业安全生产许可证动态监管暂行办法》</w:t>
            </w:r>
            <w:r>
              <w:rPr>
                <w:rFonts w:hint="eastAsia" w:ascii="宋体" w:hAnsi="宋体" w:cs="宋体"/>
                <w:i w:val="0"/>
                <w:iCs w:val="0"/>
                <w:caps w:val="0"/>
                <w:color w:val="auto"/>
                <w:spacing w:val="0"/>
                <w:sz w:val="24"/>
                <w:szCs w:val="24"/>
                <w:highlight w:val="none"/>
                <w:shd w:val="clear" w:fill="FFFFFF"/>
                <w:lang w:val="en-US" w:eastAsia="zh-CN"/>
              </w:rPr>
              <w:t>，</w:t>
            </w:r>
            <w:r>
              <w:rPr>
                <w:rFonts w:hint="default" w:ascii="宋体" w:hAnsi="宋体" w:cs="宋体"/>
                <w:i w:val="0"/>
                <w:iCs w:val="0"/>
                <w:caps w:val="0"/>
                <w:color w:val="auto"/>
                <w:spacing w:val="0"/>
                <w:sz w:val="24"/>
                <w:szCs w:val="24"/>
                <w:highlight w:val="none"/>
                <w:shd w:val="clear" w:fill="FFFFFF"/>
                <w:lang w:val="en-US" w:eastAsia="zh-CN"/>
              </w:rPr>
              <w:t>供应商应提供安全生产许可证，以及企业主要负责人、拟担任该项目经理和专职安全生产管理人员的安全生产考核合格证书。</w:t>
            </w:r>
          </w:p>
          <w:p w14:paraId="66DE101F">
            <w:pPr>
              <w:shd w:val="clear"/>
              <w:snapToGrid w:val="0"/>
              <w:rPr>
                <w:rFonts w:hint="default" w:ascii="宋体" w:hAnsi="宋体" w:cs="宋体"/>
                <w:i w:val="0"/>
                <w:iCs w:val="0"/>
                <w:caps w:val="0"/>
                <w:color w:val="auto"/>
                <w:spacing w:val="0"/>
                <w:sz w:val="24"/>
                <w:szCs w:val="24"/>
                <w:highlight w:val="none"/>
                <w:shd w:val="clear" w:fill="FFFFFF"/>
                <w:lang w:val="en-US" w:eastAsia="zh-CN"/>
              </w:rPr>
            </w:pPr>
            <w:r>
              <w:rPr>
                <w:rFonts w:hint="eastAsia" w:ascii="宋体" w:hAnsi="宋体" w:cs="宋体"/>
                <w:i w:val="0"/>
                <w:iCs w:val="0"/>
                <w:caps w:val="0"/>
                <w:color w:val="auto"/>
                <w:spacing w:val="0"/>
                <w:sz w:val="24"/>
                <w:szCs w:val="24"/>
                <w:highlight w:val="none"/>
                <w:shd w:val="clear" w:fill="FFFFFF"/>
                <w:lang w:val="en-US" w:eastAsia="zh-CN"/>
              </w:rPr>
              <w:t>审核</w:t>
            </w:r>
            <w:r>
              <w:rPr>
                <w:rFonts w:hint="default" w:ascii="宋体" w:hAnsi="宋体" w:cs="宋体"/>
                <w:i w:val="0"/>
                <w:iCs w:val="0"/>
                <w:caps w:val="0"/>
                <w:color w:val="auto"/>
                <w:spacing w:val="0"/>
                <w:sz w:val="24"/>
                <w:szCs w:val="24"/>
                <w:highlight w:val="none"/>
                <w:shd w:val="clear" w:fill="FFFFFF"/>
                <w:lang w:val="en-US" w:eastAsia="zh-CN"/>
              </w:rPr>
              <w:t>企业主要负责人、拟担任该项目经理和专职安全生产管理人员的安全生产考核合格证书</w:t>
            </w:r>
            <w:r>
              <w:rPr>
                <w:rFonts w:hint="eastAsia" w:ascii="宋体" w:hAnsi="宋体" w:cs="宋体"/>
                <w:i w:val="0"/>
                <w:iCs w:val="0"/>
                <w:caps w:val="0"/>
                <w:color w:val="auto"/>
                <w:spacing w:val="0"/>
                <w:sz w:val="24"/>
                <w:szCs w:val="24"/>
                <w:highlight w:val="none"/>
                <w:shd w:val="clear" w:fill="FFFFFF"/>
                <w:lang w:val="en-US" w:eastAsia="zh-CN"/>
              </w:rPr>
              <w:t>扫描件。</w:t>
            </w:r>
          </w:p>
        </w:tc>
      </w:tr>
    </w:tbl>
    <w:p w14:paraId="4C3F5E5A">
      <w:pPr>
        <w:shd w:val="clear"/>
        <w:tabs>
          <w:tab w:val="left" w:pos="-94"/>
          <w:tab w:val="left" w:pos="428"/>
        </w:tabs>
        <w:adjustRightInd w:val="0"/>
        <w:spacing w:line="360" w:lineRule="auto"/>
        <w:ind w:left="23" w:leftChars="11"/>
        <w:jc w:val="center"/>
        <w:textAlignment w:val="baseline"/>
        <w:outlineLvl w:val="1"/>
        <w:rPr>
          <w:b/>
          <w:color w:val="auto"/>
          <w:sz w:val="28"/>
          <w:szCs w:val="28"/>
          <w:highlight w:val="none"/>
        </w:rPr>
      </w:pPr>
      <w:r>
        <w:rPr>
          <w:color w:val="auto"/>
          <w:szCs w:val="21"/>
          <w:highlight w:val="none"/>
        </w:rPr>
        <w:br w:type="page"/>
      </w:r>
      <w:r>
        <w:rPr>
          <w:rFonts w:hint="eastAsia"/>
          <w:b/>
          <w:color w:val="auto"/>
          <w:sz w:val="28"/>
          <w:szCs w:val="28"/>
          <w:highlight w:val="none"/>
        </w:rPr>
        <w:t xml:space="preserve">附表二 </w:t>
      </w:r>
      <w:r>
        <w:rPr>
          <w:b/>
          <w:color w:val="auto"/>
          <w:sz w:val="28"/>
          <w:szCs w:val="28"/>
          <w:highlight w:val="none"/>
        </w:rPr>
        <w:t>符合性审查表</w:t>
      </w:r>
    </w:p>
    <w:tbl>
      <w:tblPr>
        <w:tblStyle w:val="73"/>
        <w:tblW w:w="978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7"/>
        <w:gridCol w:w="2396"/>
        <w:gridCol w:w="6399"/>
      </w:tblGrid>
      <w:tr w14:paraId="4BBA9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28" w:hRule="atLeast"/>
          <w:jc w:val="center"/>
        </w:trPr>
        <w:tc>
          <w:tcPr>
            <w:tcW w:w="987" w:type="dxa"/>
            <w:vAlign w:val="center"/>
          </w:tcPr>
          <w:p w14:paraId="10147FA0">
            <w:pPr>
              <w:shd w:val="clear"/>
              <w:tabs>
                <w:tab w:val="left" w:pos="1260"/>
                <w:tab w:val="left" w:pos="1620"/>
              </w:tabs>
              <w:adjustRightInd w:val="0"/>
              <w:snapToGrid w:val="0"/>
              <w:jc w:val="center"/>
              <w:textAlignment w:val="baseline"/>
              <w:rPr>
                <w:rFonts w:hint="eastAsia" w:ascii="宋体" w:hAnsi="宋体" w:eastAsia="宋体" w:cs="宋体"/>
                <w:b/>
                <w:caps/>
                <w:color w:val="auto"/>
                <w:sz w:val="24"/>
                <w:szCs w:val="24"/>
                <w:highlight w:val="none"/>
              </w:rPr>
            </w:pPr>
            <w:r>
              <w:rPr>
                <w:rFonts w:hint="eastAsia" w:ascii="宋体" w:hAnsi="宋体" w:eastAsia="宋体" w:cs="宋体"/>
                <w:b/>
                <w:caps/>
                <w:color w:val="auto"/>
                <w:sz w:val="24"/>
                <w:szCs w:val="24"/>
                <w:highlight w:val="none"/>
              </w:rPr>
              <w:t>序号</w:t>
            </w:r>
          </w:p>
        </w:tc>
        <w:tc>
          <w:tcPr>
            <w:tcW w:w="2396" w:type="dxa"/>
            <w:vAlign w:val="center"/>
          </w:tcPr>
          <w:p w14:paraId="18BA4227">
            <w:pPr>
              <w:shd w:val="clear"/>
              <w:tabs>
                <w:tab w:val="left" w:pos="1260"/>
                <w:tab w:val="left" w:pos="1620"/>
              </w:tabs>
              <w:adjustRightInd w:val="0"/>
              <w:snapToGrid w:val="0"/>
              <w:jc w:val="center"/>
              <w:textAlignment w:val="baseline"/>
              <w:rPr>
                <w:rFonts w:hint="eastAsia" w:ascii="宋体" w:hAnsi="宋体" w:eastAsia="宋体" w:cs="宋体"/>
                <w:b/>
                <w:caps/>
                <w:color w:val="auto"/>
                <w:sz w:val="24"/>
                <w:szCs w:val="24"/>
                <w:highlight w:val="none"/>
              </w:rPr>
            </w:pPr>
            <w:r>
              <w:rPr>
                <w:rFonts w:hint="eastAsia" w:ascii="宋体" w:hAnsi="宋体" w:eastAsia="宋体" w:cs="宋体"/>
                <w:b/>
                <w:caps/>
                <w:color w:val="auto"/>
                <w:sz w:val="24"/>
                <w:szCs w:val="24"/>
                <w:highlight w:val="none"/>
              </w:rPr>
              <w:t>评审项目</w:t>
            </w:r>
          </w:p>
        </w:tc>
        <w:tc>
          <w:tcPr>
            <w:tcW w:w="6399" w:type="dxa"/>
            <w:vAlign w:val="center"/>
          </w:tcPr>
          <w:p w14:paraId="7940779B">
            <w:pPr>
              <w:shd w:val="clear"/>
              <w:tabs>
                <w:tab w:val="left" w:pos="1260"/>
                <w:tab w:val="left" w:pos="1620"/>
              </w:tabs>
              <w:adjustRightInd w:val="0"/>
              <w:snapToGrid w:val="0"/>
              <w:jc w:val="center"/>
              <w:textAlignment w:val="baseline"/>
              <w:rPr>
                <w:rFonts w:hint="eastAsia" w:ascii="宋体" w:hAnsi="宋体" w:eastAsia="宋体" w:cs="宋体"/>
                <w:b/>
                <w:caps/>
                <w:color w:val="auto"/>
                <w:sz w:val="24"/>
                <w:szCs w:val="24"/>
                <w:highlight w:val="none"/>
              </w:rPr>
            </w:pPr>
            <w:r>
              <w:rPr>
                <w:rFonts w:hint="eastAsia" w:ascii="宋体" w:hAnsi="宋体" w:eastAsia="宋体" w:cs="宋体"/>
                <w:b/>
                <w:caps/>
                <w:color w:val="auto"/>
                <w:sz w:val="24"/>
                <w:szCs w:val="24"/>
                <w:highlight w:val="none"/>
              </w:rPr>
              <w:t>评审标准</w:t>
            </w:r>
          </w:p>
        </w:tc>
      </w:tr>
      <w:tr w14:paraId="42482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28" w:hRule="atLeast"/>
          <w:jc w:val="center"/>
        </w:trPr>
        <w:tc>
          <w:tcPr>
            <w:tcW w:w="987" w:type="dxa"/>
            <w:vAlign w:val="center"/>
          </w:tcPr>
          <w:p w14:paraId="39CE520D">
            <w:pPr>
              <w:numPr>
                <w:ilvl w:val="0"/>
                <w:numId w:val="0"/>
              </w:numPr>
              <w:shd w:val="clear"/>
              <w:tabs>
                <w:tab w:val="left" w:pos="1260"/>
                <w:tab w:val="left" w:pos="1620"/>
              </w:tabs>
              <w:adjustRightInd w:val="0"/>
              <w:snapToGrid w:val="0"/>
              <w:ind w:left="425" w:leftChars="0" w:hanging="425" w:firstLineChars="0"/>
              <w:jc w:val="center"/>
              <w:textAlignment w:val="baseline"/>
              <w:rPr>
                <w:rFonts w:hint="eastAsia" w:ascii="宋体" w:hAnsi="宋体" w:eastAsia="宋体" w:cs="宋体"/>
                <w:color w:val="auto"/>
                <w:sz w:val="24"/>
                <w:szCs w:val="24"/>
                <w:highlight w:val="none"/>
              </w:rPr>
            </w:pPr>
            <w:r>
              <w:rPr>
                <w:rFonts w:hint="default" w:ascii="宋体" w:hAnsi="宋体" w:eastAsia="宋体" w:cs="宋体"/>
                <w:color w:val="auto"/>
                <w:kern w:val="2"/>
                <w:sz w:val="24"/>
                <w:szCs w:val="24"/>
                <w:highlight w:val="none"/>
                <w:lang w:val="en-US" w:eastAsia="zh-CN" w:bidi="ar-SA"/>
              </w:rPr>
              <w:t>1</w:t>
            </w:r>
          </w:p>
        </w:tc>
        <w:tc>
          <w:tcPr>
            <w:tcW w:w="2396" w:type="dxa"/>
            <w:vAlign w:val="center"/>
          </w:tcPr>
          <w:p w14:paraId="1C8C2F1A">
            <w:pPr>
              <w:shd w:val="clear"/>
              <w:tabs>
                <w:tab w:val="left" w:pos="1260"/>
                <w:tab w:val="left" w:pos="1620"/>
              </w:tabs>
              <w:adjustRightInd w:val="0"/>
              <w:snapToGrid w:val="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文件签署盖章</w:t>
            </w:r>
          </w:p>
        </w:tc>
        <w:tc>
          <w:tcPr>
            <w:tcW w:w="6399" w:type="dxa"/>
            <w:vAlign w:val="center"/>
          </w:tcPr>
          <w:p w14:paraId="19D27B1B">
            <w:pPr>
              <w:shd w:val="clear"/>
              <w:tabs>
                <w:tab w:val="left" w:pos="1260"/>
                <w:tab w:val="left" w:pos="1620"/>
              </w:tabs>
              <w:adjustRightInd w:val="0"/>
              <w:snapToGrid w:val="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按</w:t>
            </w:r>
            <w:r>
              <w:rPr>
                <w:rFonts w:hint="eastAsia" w:ascii="宋体" w:hAnsi="宋体" w:cs="宋体"/>
                <w:color w:val="auto"/>
                <w:sz w:val="24"/>
                <w:szCs w:val="24"/>
                <w:highlight w:val="none"/>
                <w:lang w:eastAsia="zh-CN"/>
              </w:rPr>
              <w:t>采购文件</w:t>
            </w:r>
            <w:r>
              <w:rPr>
                <w:rFonts w:hint="eastAsia" w:ascii="宋体" w:hAnsi="宋体" w:eastAsia="宋体" w:cs="宋体"/>
                <w:color w:val="auto"/>
                <w:sz w:val="24"/>
                <w:szCs w:val="24"/>
                <w:highlight w:val="none"/>
              </w:rPr>
              <w:t>要求在规定位置加盖</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公章和有法定代表人或其授权代表签字加盖人名章的</w:t>
            </w:r>
            <w:r>
              <w:rPr>
                <w:rFonts w:hint="eastAsia" w:ascii="宋体" w:hAnsi="宋体" w:cs="宋体"/>
                <w:color w:val="auto"/>
                <w:sz w:val="24"/>
                <w:szCs w:val="24"/>
                <w:highlight w:val="none"/>
                <w:lang w:eastAsia="zh-CN"/>
              </w:rPr>
              <w:t>。</w:t>
            </w:r>
          </w:p>
        </w:tc>
      </w:tr>
      <w:tr w14:paraId="42FF0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6" w:hRule="atLeast"/>
          <w:jc w:val="center"/>
        </w:trPr>
        <w:tc>
          <w:tcPr>
            <w:tcW w:w="987" w:type="dxa"/>
            <w:vAlign w:val="center"/>
          </w:tcPr>
          <w:p w14:paraId="1FF1ECFD">
            <w:pPr>
              <w:numPr>
                <w:ilvl w:val="0"/>
                <w:numId w:val="0"/>
              </w:numPr>
              <w:shd w:val="clear"/>
              <w:tabs>
                <w:tab w:val="left" w:pos="1260"/>
                <w:tab w:val="left" w:pos="1620"/>
              </w:tabs>
              <w:adjustRightInd w:val="0"/>
              <w:snapToGrid w:val="0"/>
              <w:ind w:left="425" w:leftChars="0" w:hanging="425" w:firstLineChars="0"/>
              <w:jc w:val="center"/>
              <w:textAlignment w:val="baseline"/>
              <w:rPr>
                <w:rFonts w:hint="eastAsia" w:ascii="宋体" w:hAnsi="宋体" w:eastAsia="宋体" w:cs="宋体"/>
                <w:color w:val="auto"/>
                <w:sz w:val="24"/>
                <w:szCs w:val="24"/>
                <w:highlight w:val="none"/>
              </w:rPr>
            </w:pPr>
            <w:r>
              <w:rPr>
                <w:rFonts w:hint="default" w:ascii="宋体" w:hAnsi="宋体" w:eastAsia="宋体" w:cs="宋体"/>
                <w:color w:val="auto"/>
                <w:kern w:val="2"/>
                <w:sz w:val="24"/>
                <w:szCs w:val="24"/>
                <w:highlight w:val="none"/>
                <w:lang w:val="en-US" w:eastAsia="zh-CN" w:bidi="ar-SA"/>
              </w:rPr>
              <w:t>2</w:t>
            </w:r>
          </w:p>
        </w:tc>
        <w:tc>
          <w:tcPr>
            <w:tcW w:w="2396" w:type="dxa"/>
            <w:vAlign w:val="center"/>
          </w:tcPr>
          <w:p w14:paraId="21B0A748">
            <w:pPr>
              <w:shd w:val="clear"/>
              <w:tabs>
                <w:tab w:val="left" w:pos="1260"/>
                <w:tab w:val="left" w:pos="1620"/>
              </w:tabs>
              <w:adjustRightInd w:val="0"/>
              <w:snapToGrid w:val="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报价</w:t>
            </w:r>
          </w:p>
        </w:tc>
        <w:tc>
          <w:tcPr>
            <w:tcW w:w="6399" w:type="dxa"/>
            <w:vAlign w:val="center"/>
          </w:tcPr>
          <w:p w14:paraId="1B60F6B2">
            <w:pPr>
              <w:shd w:val="clear"/>
              <w:tabs>
                <w:tab w:val="left" w:pos="1260"/>
                <w:tab w:val="left" w:pos="1620"/>
              </w:tabs>
              <w:adjustRightInd w:val="0"/>
              <w:snapToGrid w:val="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磋商报价是固定价且未超过招标工程量清单“最高投标限价公布表”中公布的对应项。</w:t>
            </w:r>
          </w:p>
        </w:tc>
      </w:tr>
      <w:tr w14:paraId="00054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6" w:hRule="atLeast"/>
          <w:jc w:val="center"/>
        </w:trPr>
        <w:tc>
          <w:tcPr>
            <w:tcW w:w="987" w:type="dxa"/>
            <w:vAlign w:val="center"/>
          </w:tcPr>
          <w:p w14:paraId="0CF5D192">
            <w:pPr>
              <w:numPr>
                <w:ilvl w:val="0"/>
                <w:numId w:val="0"/>
              </w:numPr>
              <w:shd w:val="clear"/>
              <w:tabs>
                <w:tab w:val="left" w:pos="1260"/>
                <w:tab w:val="left" w:pos="1620"/>
              </w:tabs>
              <w:adjustRightInd w:val="0"/>
              <w:snapToGrid w:val="0"/>
              <w:ind w:left="425" w:leftChars="0" w:hanging="425" w:firstLineChars="0"/>
              <w:jc w:val="center"/>
              <w:textAlignment w:val="baseline"/>
              <w:rPr>
                <w:rFonts w:hint="eastAsia" w:ascii="宋体" w:hAnsi="宋体" w:eastAsia="宋体" w:cs="宋体"/>
                <w:color w:val="auto"/>
                <w:sz w:val="24"/>
                <w:szCs w:val="24"/>
                <w:highlight w:val="none"/>
              </w:rPr>
            </w:pPr>
            <w:r>
              <w:rPr>
                <w:rFonts w:hint="default" w:ascii="宋体" w:hAnsi="宋体" w:eastAsia="宋体" w:cs="宋体"/>
                <w:color w:val="auto"/>
                <w:kern w:val="2"/>
                <w:sz w:val="24"/>
                <w:szCs w:val="24"/>
                <w:highlight w:val="none"/>
                <w:lang w:val="en-US" w:eastAsia="zh-CN" w:bidi="ar-SA"/>
              </w:rPr>
              <w:t>3</w:t>
            </w:r>
          </w:p>
        </w:tc>
        <w:tc>
          <w:tcPr>
            <w:tcW w:w="2396" w:type="dxa"/>
            <w:vAlign w:val="center"/>
          </w:tcPr>
          <w:p w14:paraId="61E24255">
            <w:pPr>
              <w:shd w:val="clear"/>
              <w:tabs>
                <w:tab w:val="left" w:pos="1260"/>
                <w:tab w:val="left" w:pos="1620"/>
              </w:tabs>
              <w:adjustRightInd w:val="0"/>
              <w:snapToGrid w:val="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附加条件</w:t>
            </w:r>
          </w:p>
        </w:tc>
        <w:tc>
          <w:tcPr>
            <w:tcW w:w="6399" w:type="dxa"/>
            <w:vAlign w:val="center"/>
          </w:tcPr>
          <w:p w14:paraId="57987186">
            <w:pPr>
              <w:shd w:val="clear"/>
              <w:tabs>
                <w:tab w:val="left" w:pos="1260"/>
                <w:tab w:val="left" w:pos="1620"/>
              </w:tabs>
              <w:adjustRightInd w:val="0"/>
              <w:snapToGrid w:val="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文件不含有采购人不能接受的附加条件</w:t>
            </w:r>
            <w:r>
              <w:rPr>
                <w:rFonts w:hint="eastAsia" w:ascii="宋体" w:hAnsi="宋体" w:cs="宋体"/>
                <w:color w:val="auto"/>
                <w:sz w:val="24"/>
                <w:szCs w:val="24"/>
                <w:highlight w:val="none"/>
                <w:lang w:eastAsia="zh-CN"/>
              </w:rPr>
              <w:t>。</w:t>
            </w:r>
          </w:p>
        </w:tc>
      </w:tr>
      <w:tr w14:paraId="6DB8C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28" w:hRule="atLeast"/>
          <w:jc w:val="center"/>
        </w:trPr>
        <w:tc>
          <w:tcPr>
            <w:tcW w:w="987" w:type="dxa"/>
            <w:vAlign w:val="center"/>
          </w:tcPr>
          <w:p w14:paraId="39D42239">
            <w:pPr>
              <w:numPr>
                <w:ilvl w:val="0"/>
                <w:numId w:val="0"/>
              </w:numPr>
              <w:shd w:val="clear"/>
              <w:tabs>
                <w:tab w:val="left" w:pos="1260"/>
                <w:tab w:val="left" w:pos="1620"/>
              </w:tabs>
              <w:adjustRightInd w:val="0"/>
              <w:snapToGrid w:val="0"/>
              <w:ind w:left="425" w:leftChars="0" w:hanging="425" w:firstLineChars="0"/>
              <w:jc w:val="center"/>
              <w:textAlignment w:val="baseline"/>
              <w:rPr>
                <w:rFonts w:hint="eastAsia" w:ascii="宋体" w:hAnsi="宋体" w:eastAsia="宋体" w:cs="宋体"/>
                <w:color w:val="auto"/>
                <w:sz w:val="24"/>
                <w:szCs w:val="24"/>
                <w:highlight w:val="none"/>
              </w:rPr>
            </w:pPr>
            <w:r>
              <w:rPr>
                <w:rFonts w:hint="default" w:ascii="宋体" w:hAnsi="宋体" w:eastAsia="宋体" w:cs="宋体"/>
                <w:color w:val="auto"/>
                <w:kern w:val="2"/>
                <w:sz w:val="24"/>
                <w:szCs w:val="24"/>
                <w:highlight w:val="none"/>
                <w:lang w:val="en-US" w:eastAsia="zh-CN" w:bidi="ar-SA"/>
              </w:rPr>
              <w:t>4</w:t>
            </w:r>
          </w:p>
        </w:tc>
        <w:tc>
          <w:tcPr>
            <w:tcW w:w="2396" w:type="dxa"/>
            <w:vAlign w:val="center"/>
          </w:tcPr>
          <w:p w14:paraId="2DEC3597">
            <w:pPr>
              <w:shd w:val="clear"/>
              <w:tabs>
                <w:tab w:val="left" w:pos="1260"/>
                <w:tab w:val="left" w:pos="1620"/>
              </w:tabs>
              <w:adjustRightInd w:val="0"/>
              <w:snapToGrid w:val="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公平竞争</w:t>
            </w:r>
          </w:p>
        </w:tc>
        <w:tc>
          <w:tcPr>
            <w:tcW w:w="6399" w:type="dxa"/>
            <w:vAlign w:val="center"/>
          </w:tcPr>
          <w:p w14:paraId="78CF388F">
            <w:pPr>
              <w:shd w:val="clear"/>
              <w:tabs>
                <w:tab w:val="left" w:pos="1260"/>
                <w:tab w:val="left" w:pos="1620"/>
              </w:tabs>
              <w:adjustRightInd w:val="0"/>
              <w:snapToGrid w:val="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遵循公平竞争的原则，没有弄虚作假、恶意串通或妨碍其他</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的竞争行为，损害采购人或者其他</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的合法权益。</w:t>
            </w:r>
          </w:p>
          <w:p w14:paraId="5A1C44CA">
            <w:pPr>
              <w:shd w:val="clear"/>
              <w:tabs>
                <w:tab w:val="left" w:pos="1260"/>
                <w:tab w:val="left" w:pos="1620"/>
              </w:tabs>
              <w:adjustRightInd w:val="0"/>
              <w:snapToGrid w:val="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弄虚作假、串通</w:t>
            </w:r>
            <w:r>
              <w:rPr>
                <w:rFonts w:hint="eastAsia" w:ascii="宋体" w:hAnsi="宋体" w:cs="宋体"/>
                <w:color w:val="auto"/>
                <w:sz w:val="24"/>
                <w:szCs w:val="24"/>
                <w:highlight w:val="none"/>
                <w:lang w:eastAsia="zh-CN"/>
              </w:rPr>
              <w:t>投标</w:t>
            </w:r>
            <w:r>
              <w:rPr>
                <w:rFonts w:hint="eastAsia" w:ascii="宋体" w:hAnsi="宋体" w:eastAsia="宋体" w:cs="宋体"/>
                <w:color w:val="auto"/>
                <w:sz w:val="24"/>
                <w:szCs w:val="24"/>
                <w:highlight w:val="none"/>
              </w:rPr>
              <w:t>的情形见附注</w:t>
            </w:r>
            <w:r>
              <w:rPr>
                <w:rFonts w:hint="eastAsia" w:ascii="宋体" w:hAnsi="宋体" w:cs="宋体"/>
                <w:color w:val="auto"/>
                <w:sz w:val="24"/>
                <w:szCs w:val="24"/>
                <w:highlight w:val="none"/>
                <w:lang w:eastAsia="zh-CN"/>
              </w:rPr>
              <w:t>。</w:t>
            </w:r>
          </w:p>
        </w:tc>
      </w:tr>
      <w:tr w14:paraId="0B43E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455" w:hRule="atLeast"/>
          <w:jc w:val="center"/>
        </w:trPr>
        <w:tc>
          <w:tcPr>
            <w:tcW w:w="987" w:type="dxa"/>
            <w:vAlign w:val="center"/>
          </w:tcPr>
          <w:p w14:paraId="6051906E">
            <w:pPr>
              <w:numPr>
                <w:ilvl w:val="0"/>
                <w:numId w:val="0"/>
              </w:numPr>
              <w:shd w:val="clear"/>
              <w:tabs>
                <w:tab w:val="left" w:pos="1260"/>
                <w:tab w:val="left" w:pos="1620"/>
              </w:tabs>
              <w:adjustRightInd w:val="0"/>
              <w:snapToGrid w:val="0"/>
              <w:ind w:left="425" w:leftChars="0" w:hanging="425" w:firstLineChars="0"/>
              <w:jc w:val="center"/>
              <w:textAlignment w:val="baseline"/>
              <w:rPr>
                <w:rFonts w:hint="eastAsia" w:ascii="宋体" w:hAnsi="宋体" w:eastAsia="宋体" w:cs="宋体"/>
                <w:color w:val="auto"/>
                <w:sz w:val="24"/>
                <w:szCs w:val="24"/>
                <w:highlight w:val="none"/>
              </w:rPr>
            </w:pPr>
            <w:r>
              <w:rPr>
                <w:rFonts w:hint="default" w:ascii="宋体" w:hAnsi="宋体" w:eastAsia="宋体" w:cs="宋体"/>
                <w:color w:val="auto"/>
                <w:kern w:val="2"/>
                <w:sz w:val="24"/>
                <w:szCs w:val="24"/>
                <w:highlight w:val="none"/>
                <w:lang w:val="en-US" w:eastAsia="zh-CN" w:bidi="ar-SA"/>
              </w:rPr>
              <w:t>5</w:t>
            </w:r>
          </w:p>
        </w:tc>
        <w:tc>
          <w:tcPr>
            <w:tcW w:w="2396" w:type="dxa"/>
            <w:vAlign w:val="center"/>
          </w:tcPr>
          <w:p w14:paraId="342D48EB">
            <w:pPr>
              <w:shd w:val="clear"/>
              <w:tabs>
                <w:tab w:val="left" w:pos="1260"/>
                <w:tab w:val="left" w:pos="1620"/>
              </w:tabs>
              <w:adjustRightInd w:val="0"/>
              <w:snapToGrid w:val="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报价修正</w:t>
            </w:r>
          </w:p>
        </w:tc>
        <w:tc>
          <w:tcPr>
            <w:tcW w:w="6399" w:type="dxa"/>
            <w:vAlign w:val="center"/>
          </w:tcPr>
          <w:p w14:paraId="575DBBFF">
            <w:pPr>
              <w:shd w:val="clear"/>
              <w:tabs>
                <w:tab w:val="left" w:pos="1260"/>
                <w:tab w:val="left" w:pos="1620"/>
              </w:tabs>
              <w:adjustRightInd w:val="0"/>
              <w:snapToGrid w:val="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报价出现前后不一致时，</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按照</w:t>
            </w:r>
            <w:r>
              <w:rPr>
                <w:rFonts w:hint="eastAsia" w:ascii="宋体" w:hAnsi="宋体" w:cs="宋体"/>
                <w:color w:val="auto"/>
                <w:sz w:val="24"/>
                <w:szCs w:val="24"/>
                <w:highlight w:val="none"/>
                <w:lang w:eastAsia="zh-CN"/>
              </w:rPr>
              <w:t>采购文件</w:t>
            </w:r>
            <w:r>
              <w:rPr>
                <w:rFonts w:hint="eastAsia" w:ascii="宋体" w:hAnsi="宋体" w:eastAsia="宋体" w:cs="宋体"/>
                <w:color w:val="auto"/>
                <w:sz w:val="24"/>
                <w:szCs w:val="24"/>
                <w:highlight w:val="none"/>
              </w:rPr>
              <w:t>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办法要求确认修正后的报价。</w:t>
            </w:r>
          </w:p>
        </w:tc>
      </w:tr>
      <w:tr w14:paraId="34758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6" w:hRule="atLeast"/>
          <w:jc w:val="center"/>
        </w:trPr>
        <w:tc>
          <w:tcPr>
            <w:tcW w:w="987" w:type="dxa"/>
            <w:vAlign w:val="center"/>
          </w:tcPr>
          <w:p w14:paraId="64B0D1A3">
            <w:pPr>
              <w:numPr>
                <w:ilvl w:val="0"/>
                <w:numId w:val="0"/>
              </w:numPr>
              <w:shd w:val="clear"/>
              <w:tabs>
                <w:tab w:val="left" w:pos="1260"/>
                <w:tab w:val="left" w:pos="1620"/>
              </w:tabs>
              <w:adjustRightInd w:val="0"/>
              <w:snapToGrid w:val="0"/>
              <w:ind w:left="425" w:leftChars="0" w:hanging="425" w:firstLineChars="0"/>
              <w:jc w:val="center"/>
              <w:textAlignment w:val="baseline"/>
              <w:rPr>
                <w:rFonts w:hint="eastAsia" w:ascii="宋体" w:hAnsi="宋体" w:eastAsia="宋体" w:cs="宋体"/>
                <w:color w:val="auto"/>
                <w:sz w:val="24"/>
                <w:szCs w:val="24"/>
                <w:highlight w:val="none"/>
              </w:rPr>
            </w:pPr>
            <w:r>
              <w:rPr>
                <w:rFonts w:hint="default" w:ascii="宋体" w:hAnsi="宋体" w:eastAsia="宋体" w:cs="宋体"/>
                <w:color w:val="auto"/>
                <w:kern w:val="2"/>
                <w:sz w:val="24"/>
                <w:szCs w:val="24"/>
                <w:highlight w:val="none"/>
                <w:lang w:val="en-US" w:eastAsia="zh-CN" w:bidi="ar-SA"/>
              </w:rPr>
              <w:t>6</w:t>
            </w:r>
          </w:p>
        </w:tc>
        <w:tc>
          <w:tcPr>
            <w:tcW w:w="2396" w:type="dxa"/>
            <w:vAlign w:val="center"/>
          </w:tcPr>
          <w:p w14:paraId="0B5BEC7A">
            <w:pPr>
              <w:shd w:val="clear"/>
              <w:tabs>
                <w:tab w:val="left" w:pos="1260"/>
                <w:tab w:val="left" w:pos="1620"/>
              </w:tabs>
              <w:adjustRightInd w:val="0"/>
              <w:snapToGrid w:val="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其他无效情形</w:t>
            </w:r>
          </w:p>
        </w:tc>
        <w:tc>
          <w:tcPr>
            <w:tcW w:w="6399" w:type="dxa"/>
            <w:vAlign w:val="center"/>
          </w:tcPr>
          <w:p w14:paraId="096C33C4">
            <w:pPr>
              <w:shd w:val="clear"/>
              <w:tabs>
                <w:tab w:val="left" w:pos="1260"/>
                <w:tab w:val="left" w:pos="1620"/>
              </w:tabs>
              <w:adjustRightInd w:val="0"/>
              <w:snapToGrid w:val="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法律、法规和</w:t>
            </w:r>
            <w:r>
              <w:rPr>
                <w:rFonts w:hint="eastAsia" w:ascii="宋体" w:hAnsi="宋体" w:cs="宋体"/>
                <w:color w:val="auto"/>
                <w:sz w:val="24"/>
                <w:szCs w:val="24"/>
                <w:highlight w:val="none"/>
                <w:lang w:eastAsia="zh-CN"/>
              </w:rPr>
              <w:t>采购文件</w:t>
            </w:r>
            <w:r>
              <w:rPr>
                <w:rFonts w:hint="eastAsia" w:ascii="宋体" w:hAnsi="宋体" w:eastAsia="宋体" w:cs="宋体"/>
                <w:color w:val="auto"/>
                <w:sz w:val="24"/>
                <w:szCs w:val="24"/>
                <w:highlight w:val="none"/>
              </w:rPr>
              <w:t>规定的其他无效情形</w:t>
            </w:r>
            <w:r>
              <w:rPr>
                <w:rFonts w:hint="eastAsia" w:ascii="宋体" w:hAnsi="宋体" w:cs="宋体"/>
                <w:color w:val="auto"/>
                <w:sz w:val="24"/>
                <w:szCs w:val="24"/>
                <w:highlight w:val="none"/>
                <w:lang w:eastAsia="zh-CN"/>
              </w:rPr>
              <w:t>。</w:t>
            </w:r>
          </w:p>
        </w:tc>
      </w:tr>
      <w:tr w14:paraId="521AA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28" w:hRule="atLeast"/>
          <w:jc w:val="center"/>
        </w:trPr>
        <w:tc>
          <w:tcPr>
            <w:tcW w:w="987" w:type="dxa"/>
            <w:vAlign w:val="center"/>
          </w:tcPr>
          <w:p w14:paraId="13E73D1B">
            <w:pPr>
              <w:numPr>
                <w:ilvl w:val="0"/>
                <w:numId w:val="0"/>
              </w:numPr>
              <w:shd w:val="clear"/>
              <w:tabs>
                <w:tab w:val="left" w:pos="1260"/>
                <w:tab w:val="left" w:pos="1620"/>
              </w:tabs>
              <w:adjustRightInd w:val="0"/>
              <w:snapToGrid w:val="0"/>
              <w:ind w:leftChars="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p>
        </w:tc>
        <w:tc>
          <w:tcPr>
            <w:tcW w:w="2396" w:type="dxa"/>
            <w:vAlign w:val="center"/>
          </w:tcPr>
          <w:p w14:paraId="769AACA4">
            <w:pPr>
              <w:shd w:val="clear"/>
              <w:tabs>
                <w:tab w:val="left" w:pos="1260"/>
                <w:tab w:val="left" w:pos="1620"/>
              </w:tabs>
              <w:adjustRightInd w:val="0"/>
              <w:snapToGrid w:val="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eastAsia="zh-CN"/>
              </w:rPr>
              <w:t>响应</w:t>
            </w:r>
            <w:r>
              <w:rPr>
                <w:rFonts w:hint="eastAsia" w:ascii="宋体" w:hAnsi="宋体" w:eastAsia="宋体" w:cs="宋体"/>
                <w:color w:val="auto"/>
                <w:sz w:val="24"/>
                <w:szCs w:val="24"/>
                <w:highlight w:val="none"/>
              </w:rPr>
              <w:t>有效期</w:t>
            </w:r>
          </w:p>
        </w:tc>
        <w:tc>
          <w:tcPr>
            <w:tcW w:w="6399" w:type="dxa"/>
            <w:vAlign w:val="center"/>
          </w:tcPr>
          <w:p w14:paraId="72842A43">
            <w:pPr>
              <w:shd w:val="clear"/>
              <w:tabs>
                <w:tab w:val="left" w:pos="1260"/>
                <w:tab w:val="left" w:pos="1620"/>
              </w:tabs>
              <w:adjustRightInd w:val="0"/>
              <w:snapToGrid w:val="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eastAsia="zh-CN"/>
              </w:rPr>
              <w:t>响应</w:t>
            </w:r>
            <w:r>
              <w:rPr>
                <w:rFonts w:hint="eastAsia" w:ascii="宋体" w:hAnsi="宋体" w:eastAsia="宋体" w:cs="宋体"/>
                <w:color w:val="auto"/>
                <w:sz w:val="24"/>
                <w:szCs w:val="24"/>
                <w:highlight w:val="none"/>
              </w:rPr>
              <w:t>有效期满足</w:t>
            </w:r>
            <w:r>
              <w:rPr>
                <w:rFonts w:hint="eastAsia" w:ascii="宋体" w:hAnsi="宋体" w:cs="宋体"/>
                <w:color w:val="auto"/>
                <w:sz w:val="24"/>
                <w:szCs w:val="24"/>
                <w:highlight w:val="none"/>
                <w:lang w:eastAsia="zh-CN"/>
              </w:rPr>
              <w:t>采购文件</w:t>
            </w:r>
            <w:r>
              <w:rPr>
                <w:rFonts w:hint="eastAsia" w:ascii="宋体" w:hAnsi="宋体" w:eastAsia="宋体" w:cs="宋体"/>
                <w:color w:val="auto"/>
                <w:sz w:val="24"/>
                <w:szCs w:val="24"/>
                <w:highlight w:val="none"/>
              </w:rPr>
              <w:t>要求的</w:t>
            </w:r>
            <w:r>
              <w:rPr>
                <w:rFonts w:hint="eastAsia" w:ascii="宋体" w:hAnsi="宋体" w:cs="宋体"/>
                <w:color w:val="auto"/>
                <w:sz w:val="24"/>
                <w:szCs w:val="24"/>
                <w:highlight w:val="none"/>
                <w:lang w:eastAsia="zh-CN"/>
              </w:rPr>
              <w:t>。</w:t>
            </w:r>
          </w:p>
        </w:tc>
      </w:tr>
      <w:tr w14:paraId="2A82C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28" w:hRule="atLeast"/>
          <w:jc w:val="center"/>
        </w:trPr>
        <w:tc>
          <w:tcPr>
            <w:tcW w:w="987" w:type="dxa"/>
            <w:vAlign w:val="center"/>
          </w:tcPr>
          <w:p w14:paraId="42AFB56B">
            <w:pPr>
              <w:numPr>
                <w:ilvl w:val="0"/>
                <w:numId w:val="0"/>
              </w:numPr>
              <w:shd w:val="clear"/>
              <w:tabs>
                <w:tab w:val="left" w:pos="1260"/>
                <w:tab w:val="left" w:pos="1620"/>
              </w:tabs>
              <w:adjustRightInd w:val="0"/>
              <w:snapToGrid w:val="0"/>
              <w:ind w:left="425" w:leftChars="0" w:hanging="425" w:firstLineChars="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p>
        </w:tc>
        <w:tc>
          <w:tcPr>
            <w:tcW w:w="2396" w:type="dxa"/>
            <w:vAlign w:val="center"/>
          </w:tcPr>
          <w:p w14:paraId="2EFAEC29">
            <w:pPr>
              <w:shd w:val="clear"/>
              <w:tabs>
                <w:tab w:val="left" w:pos="1260"/>
                <w:tab w:val="left" w:pos="1620"/>
              </w:tabs>
              <w:adjustRightInd w:val="0"/>
              <w:snapToGrid w:val="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备选方案</w:t>
            </w:r>
          </w:p>
        </w:tc>
        <w:tc>
          <w:tcPr>
            <w:tcW w:w="6399" w:type="dxa"/>
            <w:vAlign w:val="center"/>
          </w:tcPr>
          <w:p w14:paraId="6716FEF7">
            <w:pPr>
              <w:shd w:val="clear"/>
              <w:tabs>
                <w:tab w:val="left" w:pos="1260"/>
                <w:tab w:val="left" w:pos="1620"/>
              </w:tabs>
              <w:adjustRightInd w:val="0"/>
              <w:snapToGrid w:val="0"/>
              <w:textAlignment w:val="baseline"/>
              <w:rPr>
                <w:rFonts w:hint="eastAsia" w:ascii="宋体" w:hAnsi="宋体" w:eastAsia="宋体" w:cs="宋体"/>
                <w:strike/>
                <w:color w:val="auto"/>
                <w:kern w:val="2"/>
                <w:sz w:val="24"/>
                <w:szCs w:val="24"/>
                <w:highlight w:val="none"/>
                <w:lang w:val="en-US" w:eastAsia="zh-CN" w:bidi="ar-SA"/>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不得提交两份或者多份内容不同的</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文件，或者在同一份</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文件中对同一招标项目有两个或者多个报价。</w:t>
            </w:r>
          </w:p>
        </w:tc>
      </w:tr>
      <w:tr w14:paraId="3EAD1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00" w:hRule="atLeast"/>
          <w:jc w:val="center"/>
        </w:trPr>
        <w:tc>
          <w:tcPr>
            <w:tcW w:w="987" w:type="dxa"/>
            <w:vAlign w:val="center"/>
          </w:tcPr>
          <w:p w14:paraId="7351EA35">
            <w:pPr>
              <w:numPr>
                <w:ilvl w:val="0"/>
                <w:numId w:val="0"/>
              </w:numPr>
              <w:shd w:val="clear"/>
              <w:tabs>
                <w:tab w:val="left" w:pos="1260"/>
                <w:tab w:val="left" w:pos="1620"/>
              </w:tabs>
              <w:adjustRightInd w:val="0"/>
              <w:snapToGrid w:val="0"/>
              <w:ind w:left="425" w:leftChars="0" w:hanging="425" w:firstLineChars="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w:t>
            </w:r>
          </w:p>
        </w:tc>
        <w:tc>
          <w:tcPr>
            <w:tcW w:w="2396" w:type="dxa"/>
            <w:vAlign w:val="center"/>
          </w:tcPr>
          <w:p w14:paraId="6980EBD6">
            <w:pPr>
              <w:shd w:val="clear"/>
              <w:tabs>
                <w:tab w:val="left" w:pos="1260"/>
                <w:tab w:val="left" w:pos="1620"/>
              </w:tabs>
              <w:adjustRightInd w:val="0"/>
              <w:snapToGrid w:val="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内容</w:t>
            </w:r>
          </w:p>
        </w:tc>
        <w:tc>
          <w:tcPr>
            <w:tcW w:w="6399" w:type="dxa"/>
            <w:vAlign w:val="center"/>
          </w:tcPr>
          <w:p w14:paraId="5E695E0A">
            <w:pPr>
              <w:shd w:val="clear"/>
              <w:tabs>
                <w:tab w:val="left" w:pos="1260"/>
                <w:tab w:val="left" w:pos="1620"/>
              </w:tabs>
              <w:adjustRightInd w:val="0"/>
              <w:snapToGrid w:val="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提供的</w:t>
            </w:r>
            <w:r>
              <w:rPr>
                <w:rFonts w:hint="eastAsia" w:ascii="宋体" w:hAnsi="宋体" w:cs="宋体"/>
                <w:color w:val="auto"/>
                <w:sz w:val="24"/>
                <w:szCs w:val="24"/>
                <w:highlight w:val="none"/>
                <w:lang w:eastAsia="zh-CN"/>
              </w:rPr>
              <w:t>工程</w:t>
            </w:r>
            <w:r>
              <w:rPr>
                <w:rFonts w:hint="eastAsia" w:ascii="宋体" w:hAnsi="宋体" w:eastAsia="宋体" w:cs="宋体"/>
                <w:color w:val="auto"/>
                <w:sz w:val="24"/>
                <w:szCs w:val="24"/>
                <w:highlight w:val="none"/>
              </w:rPr>
              <w:t>无实质性遗漏</w:t>
            </w:r>
            <w:r>
              <w:rPr>
                <w:rFonts w:hint="eastAsia" w:ascii="宋体" w:hAnsi="宋体" w:cs="宋体"/>
                <w:color w:val="auto"/>
                <w:sz w:val="24"/>
                <w:szCs w:val="24"/>
                <w:highlight w:val="none"/>
                <w:lang w:eastAsia="zh-CN"/>
              </w:rPr>
              <w:t>。</w:t>
            </w:r>
          </w:p>
        </w:tc>
      </w:tr>
      <w:tr w14:paraId="37A88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28" w:hRule="atLeast"/>
          <w:jc w:val="center"/>
        </w:trPr>
        <w:tc>
          <w:tcPr>
            <w:tcW w:w="987" w:type="dxa"/>
            <w:vAlign w:val="center"/>
          </w:tcPr>
          <w:p w14:paraId="2E57AFEC">
            <w:pPr>
              <w:numPr>
                <w:ilvl w:val="0"/>
                <w:numId w:val="0"/>
              </w:numPr>
              <w:shd w:val="clear"/>
              <w:tabs>
                <w:tab w:val="left" w:pos="1260"/>
                <w:tab w:val="left" w:pos="1620"/>
              </w:tabs>
              <w:adjustRightInd w:val="0"/>
              <w:snapToGrid w:val="0"/>
              <w:ind w:left="425" w:leftChars="0" w:hanging="425" w:firstLineChars="0"/>
              <w:jc w:val="center"/>
              <w:textAlignment w:val="baseline"/>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2396" w:type="dxa"/>
            <w:vAlign w:val="center"/>
          </w:tcPr>
          <w:p w14:paraId="3125A4C5">
            <w:pPr>
              <w:shd w:val="clear"/>
              <w:tabs>
                <w:tab w:val="left" w:pos="1260"/>
                <w:tab w:val="left" w:pos="1620"/>
              </w:tabs>
              <w:adjustRightInd w:val="0"/>
              <w:snapToGrid w:val="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是否允许采用分包方式履行合同</w:t>
            </w:r>
          </w:p>
        </w:tc>
        <w:tc>
          <w:tcPr>
            <w:tcW w:w="6399" w:type="dxa"/>
            <w:vAlign w:val="center"/>
          </w:tcPr>
          <w:p w14:paraId="7501EBF7">
            <w:pPr>
              <w:shd w:val="clear"/>
              <w:tabs>
                <w:tab w:val="left" w:pos="1260"/>
                <w:tab w:val="left" w:pos="1620"/>
              </w:tabs>
              <w:adjustRightInd w:val="0"/>
              <w:snapToGrid w:val="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eastAsia="zh-CN"/>
              </w:rPr>
              <w:t>采购文件</w:t>
            </w:r>
            <w:r>
              <w:rPr>
                <w:rFonts w:hint="eastAsia" w:ascii="宋体" w:hAnsi="宋体" w:eastAsia="宋体" w:cs="宋体"/>
                <w:color w:val="auto"/>
                <w:sz w:val="24"/>
                <w:szCs w:val="24"/>
                <w:highlight w:val="none"/>
              </w:rPr>
              <w:t>不允许分包时，</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未分包</w:t>
            </w:r>
            <w:r>
              <w:rPr>
                <w:rFonts w:hint="eastAsia" w:ascii="宋体" w:hAnsi="宋体" w:cs="宋体"/>
                <w:color w:val="auto"/>
                <w:sz w:val="24"/>
                <w:szCs w:val="24"/>
                <w:highlight w:val="none"/>
                <w:lang w:eastAsia="zh-CN"/>
              </w:rPr>
              <w:t>。</w:t>
            </w:r>
          </w:p>
        </w:tc>
      </w:tr>
      <w:tr w14:paraId="63040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00" w:hRule="atLeast"/>
          <w:jc w:val="center"/>
        </w:trPr>
        <w:tc>
          <w:tcPr>
            <w:tcW w:w="987" w:type="dxa"/>
            <w:vAlign w:val="center"/>
          </w:tcPr>
          <w:p w14:paraId="0A8EBD6A">
            <w:pPr>
              <w:numPr>
                <w:ilvl w:val="0"/>
                <w:numId w:val="0"/>
              </w:numPr>
              <w:shd w:val="clear"/>
              <w:tabs>
                <w:tab w:val="left" w:pos="1260"/>
                <w:tab w:val="left" w:pos="1620"/>
              </w:tabs>
              <w:adjustRightInd w:val="0"/>
              <w:snapToGrid w:val="0"/>
              <w:ind w:left="425" w:leftChars="0" w:hanging="425" w:firstLineChars="0"/>
              <w:jc w:val="center"/>
              <w:textAlignment w:val="baseline"/>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w:t>
            </w:r>
          </w:p>
        </w:tc>
        <w:tc>
          <w:tcPr>
            <w:tcW w:w="2396" w:type="dxa"/>
            <w:vAlign w:val="center"/>
          </w:tcPr>
          <w:p w14:paraId="5FE922B6">
            <w:pPr>
              <w:shd w:val="clear"/>
              <w:tabs>
                <w:tab w:val="left" w:pos="1260"/>
                <w:tab w:val="left" w:pos="1620"/>
              </w:tabs>
              <w:adjustRightInd w:val="0"/>
              <w:snapToGrid w:val="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技术响应</w:t>
            </w:r>
          </w:p>
        </w:tc>
        <w:tc>
          <w:tcPr>
            <w:tcW w:w="6399" w:type="dxa"/>
            <w:vAlign w:val="center"/>
          </w:tcPr>
          <w:p w14:paraId="05E560E8">
            <w:pPr>
              <w:shd w:val="clear"/>
              <w:tabs>
                <w:tab w:val="left" w:pos="1260"/>
                <w:tab w:val="left" w:pos="1620"/>
              </w:tabs>
              <w:adjustRightInd w:val="0"/>
              <w:snapToGrid w:val="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符合“采购需求”要求，标记为“</w:t>
            </w:r>
            <w:r>
              <w:rPr>
                <w:rFonts w:hint="eastAsia" w:ascii="宋体" w:hAnsi="宋体" w:eastAsia="宋体" w:cs="宋体"/>
                <w:b/>
                <w:bCs/>
                <w:i/>
                <w:iCs/>
                <w:color w:val="auto"/>
                <w:sz w:val="24"/>
                <w:szCs w:val="24"/>
                <w:highlight w:val="none"/>
                <w:lang w:val="en-US" w:eastAsia="zh-CN"/>
              </w:rPr>
              <w:t>*</w:t>
            </w:r>
            <w:r>
              <w:rPr>
                <w:rFonts w:hint="eastAsia" w:ascii="宋体" w:hAnsi="宋体" w:eastAsia="宋体" w:cs="宋体"/>
                <w:color w:val="auto"/>
                <w:sz w:val="24"/>
                <w:szCs w:val="24"/>
                <w:highlight w:val="none"/>
              </w:rPr>
              <w:t>”的内容无重大负偏差</w:t>
            </w:r>
            <w:r>
              <w:rPr>
                <w:rFonts w:hint="eastAsia" w:ascii="宋体" w:hAnsi="宋体" w:cs="宋体"/>
                <w:color w:val="auto"/>
                <w:sz w:val="24"/>
                <w:szCs w:val="24"/>
                <w:highlight w:val="none"/>
                <w:lang w:eastAsia="zh-CN"/>
              </w:rPr>
              <w:t>。</w:t>
            </w:r>
          </w:p>
        </w:tc>
      </w:tr>
      <w:tr w14:paraId="4AA5A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6" w:hRule="atLeast"/>
          <w:jc w:val="center"/>
        </w:trPr>
        <w:tc>
          <w:tcPr>
            <w:tcW w:w="987" w:type="dxa"/>
            <w:vAlign w:val="center"/>
          </w:tcPr>
          <w:p w14:paraId="5A93A4B0">
            <w:pPr>
              <w:numPr>
                <w:ilvl w:val="0"/>
                <w:numId w:val="0"/>
              </w:numPr>
              <w:shd w:val="clear"/>
              <w:tabs>
                <w:tab w:val="left" w:pos="1260"/>
                <w:tab w:val="left" w:pos="1620"/>
              </w:tabs>
              <w:adjustRightInd w:val="0"/>
              <w:snapToGrid w:val="0"/>
              <w:ind w:left="425" w:leftChars="0" w:hanging="425" w:firstLineChars="0"/>
              <w:jc w:val="center"/>
              <w:textAlignment w:val="baseline"/>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w:t>
            </w:r>
          </w:p>
        </w:tc>
        <w:tc>
          <w:tcPr>
            <w:tcW w:w="2396" w:type="dxa"/>
            <w:vAlign w:val="center"/>
          </w:tcPr>
          <w:p w14:paraId="52F0CE56">
            <w:pPr>
              <w:shd w:val="clear"/>
              <w:tabs>
                <w:tab w:val="left" w:pos="1260"/>
                <w:tab w:val="left" w:pos="1620"/>
              </w:tabs>
              <w:adjustRightInd w:val="0"/>
              <w:snapToGrid w:val="0"/>
              <w:textAlignment w:val="baseline"/>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工期和建设地点</w:t>
            </w:r>
          </w:p>
        </w:tc>
        <w:tc>
          <w:tcPr>
            <w:tcW w:w="6399" w:type="dxa"/>
            <w:vAlign w:val="center"/>
          </w:tcPr>
          <w:p w14:paraId="6C8E0F77">
            <w:pPr>
              <w:shd w:val="clear"/>
              <w:tabs>
                <w:tab w:val="left" w:pos="1260"/>
                <w:tab w:val="left" w:pos="1620"/>
              </w:tabs>
              <w:adjustRightInd w:val="0"/>
              <w:snapToGrid w:val="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满足</w:t>
            </w:r>
            <w:r>
              <w:rPr>
                <w:rFonts w:hint="eastAsia" w:ascii="宋体" w:hAnsi="宋体" w:cs="宋体"/>
                <w:color w:val="auto"/>
                <w:sz w:val="24"/>
                <w:szCs w:val="24"/>
                <w:highlight w:val="none"/>
                <w:lang w:eastAsia="zh-CN"/>
              </w:rPr>
              <w:t>采购文件</w:t>
            </w:r>
            <w:r>
              <w:rPr>
                <w:rFonts w:hint="eastAsia" w:ascii="宋体" w:hAnsi="宋体" w:eastAsia="宋体" w:cs="宋体"/>
                <w:color w:val="auto"/>
                <w:sz w:val="24"/>
                <w:szCs w:val="24"/>
                <w:highlight w:val="none"/>
              </w:rPr>
              <w:t>要求</w:t>
            </w:r>
            <w:r>
              <w:rPr>
                <w:rFonts w:hint="eastAsia" w:ascii="宋体" w:hAnsi="宋体" w:cs="宋体"/>
                <w:color w:val="auto"/>
                <w:sz w:val="24"/>
                <w:szCs w:val="24"/>
                <w:highlight w:val="none"/>
                <w:lang w:eastAsia="zh-CN"/>
              </w:rPr>
              <w:t>。</w:t>
            </w:r>
          </w:p>
        </w:tc>
      </w:tr>
      <w:tr w14:paraId="3E09A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6" w:hRule="atLeast"/>
          <w:jc w:val="center"/>
        </w:trPr>
        <w:tc>
          <w:tcPr>
            <w:tcW w:w="987" w:type="dxa"/>
            <w:vAlign w:val="center"/>
          </w:tcPr>
          <w:p w14:paraId="1C24BDAF">
            <w:pPr>
              <w:numPr>
                <w:ilvl w:val="0"/>
                <w:numId w:val="0"/>
              </w:numPr>
              <w:shd w:val="clear"/>
              <w:tabs>
                <w:tab w:val="left" w:pos="1260"/>
                <w:tab w:val="left" w:pos="1620"/>
              </w:tabs>
              <w:adjustRightInd w:val="0"/>
              <w:snapToGrid w:val="0"/>
              <w:ind w:leftChars="0"/>
              <w:jc w:val="center"/>
              <w:textAlignment w:val="baseline"/>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13</w:t>
            </w:r>
          </w:p>
        </w:tc>
        <w:tc>
          <w:tcPr>
            <w:tcW w:w="2396" w:type="dxa"/>
            <w:vAlign w:val="center"/>
          </w:tcPr>
          <w:p w14:paraId="1AECD17E">
            <w:pPr>
              <w:shd w:val="clear"/>
              <w:tabs>
                <w:tab w:val="left" w:pos="1260"/>
                <w:tab w:val="left" w:pos="1620"/>
              </w:tabs>
              <w:adjustRightInd w:val="0"/>
              <w:snapToGrid w:val="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付款方式</w:t>
            </w:r>
          </w:p>
        </w:tc>
        <w:tc>
          <w:tcPr>
            <w:tcW w:w="6399" w:type="dxa"/>
            <w:vAlign w:val="center"/>
          </w:tcPr>
          <w:p w14:paraId="0C1E6ABC">
            <w:pPr>
              <w:shd w:val="clear"/>
              <w:tabs>
                <w:tab w:val="left" w:pos="1260"/>
                <w:tab w:val="left" w:pos="1620"/>
              </w:tabs>
              <w:adjustRightInd w:val="0"/>
              <w:snapToGrid w:val="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eastAsia="zh-CN"/>
              </w:rPr>
              <w:t>采购文件</w:t>
            </w:r>
            <w:r>
              <w:rPr>
                <w:rFonts w:hint="eastAsia" w:ascii="宋体" w:hAnsi="宋体" w:eastAsia="宋体" w:cs="宋体"/>
                <w:color w:val="auto"/>
                <w:sz w:val="24"/>
                <w:szCs w:val="24"/>
                <w:highlight w:val="none"/>
              </w:rPr>
              <w:t>不允许偏差时，</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文件无负偏差。</w:t>
            </w:r>
          </w:p>
        </w:tc>
      </w:tr>
    </w:tbl>
    <w:p w14:paraId="4AF598B9">
      <w:pPr>
        <w:shd w:val="clear"/>
        <w:tabs>
          <w:tab w:val="left" w:pos="1260"/>
          <w:tab w:val="left" w:pos="1620"/>
        </w:tabs>
        <w:adjustRightInd w:val="0"/>
        <w:spacing w:line="360" w:lineRule="auto"/>
        <w:jc w:val="left"/>
        <w:textAlignment w:val="baseline"/>
        <w:rPr>
          <w:rFonts w:hint="eastAsia"/>
          <w:b/>
          <w:color w:val="auto"/>
          <w:sz w:val="24"/>
          <w:szCs w:val="24"/>
          <w:highlight w:val="none"/>
        </w:rPr>
      </w:pPr>
      <w:r>
        <w:rPr>
          <w:rFonts w:hint="eastAsia"/>
          <w:b/>
          <w:color w:val="auto"/>
          <w:sz w:val="24"/>
          <w:szCs w:val="24"/>
          <w:highlight w:val="none"/>
        </w:rPr>
        <w:t>注：</w:t>
      </w:r>
    </w:p>
    <w:p w14:paraId="6DABAFF8">
      <w:pPr>
        <w:shd w:val="clear"/>
        <w:tabs>
          <w:tab w:val="left" w:pos="1260"/>
          <w:tab w:val="left" w:pos="1620"/>
        </w:tabs>
        <w:adjustRightInd w:val="0"/>
        <w:spacing w:line="360" w:lineRule="auto"/>
        <w:jc w:val="left"/>
        <w:textAlignment w:val="baseline"/>
        <w:rPr>
          <w:b/>
          <w:color w:val="auto"/>
          <w:sz w:val="24"/>
          <w:szCs w:val="24"/>
          <w:highlight w:val="none"/>
        </w:rPr>
      </w:pPr>
      <w:r>
        <w:rPr>
          <w:rFonts w:hint="eastAsia"/>
          <w:b/>
          <w:color w:val="auto"/>
          <w:sz w:val="24"/>
          <w:szCs w:val="24"/>
          <w:highlight w:val="none"/>
        </w:rPr>
        <w:t>1、有一项不符合要求，结论为不合格。</w:t>
      </w:r>
    </w:p>
    <w:p w14:paraId="6C4D10E8">
      <w:pPr>
        <w:shd w:val="clear"/>
        <w:tabs>
          <w:tab w:val="left" w:pos="1260"/>
          <w:tab w:val="left" w:pos="1620"/>
        </w:tabs>
        <w:adjustRightInd w:val="0"/>
        <w:spacing w:line="360" w:lineRule="auto"/>
        <w:jc w:val="left"/>
        <w:textAlignment w:val="baseline"/>
        <w:rPr>
          <w:b/>
          <w:color w:val="auto"/>
          <w:sz w:val="24"/>
          <w:szCs w:val="24"/>
          <w:highlight w:val="none"/>
        </w:rPr>
      </w:pPr>
      <w:r>
        <w:rPr>
          <w:rFonts w:hint="eastAsia"/>
          <w:b/>
          <w:color w:val="auto"/>
          <w:sz w:val="24"/>
          <w:szCs w:val="24"/>
          <w:highlight w:val="none"/>
        </w:rPr>
        <w:t>2、有下列情形之一的，视为供应商相互串通：</w:t>
      </w:r>
    </w:p>
    <w:p w14:paraId="001BC396">
      <w:pPr>
        <w:shd w:val="clear"/>
        <w:tabs>
          <w:tab w:val="left" w:pos="1260"/>
          <w:tab w:val="left" w:pos="1620"/>
        </w:tabs>
        <w:adjustRightInd w:val="0"/>
        <w:spacing w:line="360" w:lineRule="auto"/>
        <w:jc w:val="left"/>
        <w:textAlignment w:val="baseline"/>
        <w:rPr>
          <w:b/>
          <w:color w:val="auto"/>
          <w:sz w:val="24"/>
          <w:szCs w:val="24"/>
          <w:highlight w:val="none"/>
        </w:rPr>
      </w:pPr>
      <w:r>
        <w:rPr>
          <w:rFonts w:hint="eastAsia"/>
          <w:b/>
          <w:color w:val="auto"/>
          <w:sz w:val="24"/>
          <w:szCs w:val="24"/>
          <w:highlight w:val="none"/>
        </w:rPr>
        <w:t>（1）不同供应商的响应文件由同一单位或者个人编制；</w:t>
      </w:r>
    </w:p>
    <w:p w14:paraId="6897569C">
      <w:pPr>
        <w:shd w:val="clear"/>
        <w:tabs>
          <w:tab w:val="left" w:pos="1260"/>
          <w:tab w:val="left" w:pos="1620"/>
        </w:tabs>
        <w:adjustRightInd w:val="0"/>
        <w:spacing w:line="360" w:lineRule="auto"/>
        <w:jc w:val="left"/>
        <w:textAlignment w:val="baseline"/>
        <w:rPr>
          <w:b/>
          <w:color w:val="auto"/>
          <w:sz w:val="24"/>
          <w:szCs w:val="24"/>
          <w:highlight w:val="none"/>
        </w:rPr>
      </w:pPr>
      <w:r>
        <w:rPr>
          <w:rFonts w:hint="eastAsia"/>
          <w:b/>
          <w:color w:val="auto"/>
          <w:sz w:val="24"/>
          <w:szCs w:val="24"/>
          <w:highlight w:val="none"/>
        </w:rPr>
        <w:t>（2）不同供应商委托同一单位或者个人办理参与磋商事宜；</w:t>
      </w:r>
    </w:p>
    <w:p w14:paraId="29D1FB9C">
      <w:pPr>
        <w:shd w:val="clear"/>
        <w:tabs>
          <w:tab w:val="left" w:pos="1260"/>
          <w:tab w:val="left" w:pos="1620"/>
        </w:tabs>
        <w:adjustRightInd w:val="0"/>
        <w:spacing w:line="360" w:lineRule="auto"/>
        <w:jc w:val="left"/>
        <w:textAlignment w:val="baseline"/>
        <w:rPr>
          <w:b/>
          <w:color w:val="auto"/>
          <w:sz w:val="24"/>
          <w:szCs w:val="24"/>
          <w:highlight w:val="none"/>
        </w:rPr>
      </w:pPr>
      <w:r>
        <w:rPr>
          <w:rFonts w:hint="eastAsia"/>
          <w:b/>
          <w:color w:val="auto"/>
          <w:sz w:val="24"/>
          <w:szCs w:val="24"/>
          <w:highlight w:val="none"/>
        </w:rPr>
        <w:t>（3）不同供应商的响应文件载明的项目管理成员或者联系人员为同一人；</w:t>
      </w:r>
    </w:p>
    <w:p w14:paraId="520A04BC">
      <w:pPr>
        <w:shd w:val="clear"/>
        <w:tabs>
          <w:tab w:val="left" w:pos="1260"/>
          <w:tab w:val="left" w:pos="1620"/>
        </w:tabs>
        <w:adjustRightInd w:val="0"/>
        <w:spacing w:line="360" w:lineRule="auto"/>
        <w:jc w:val="left"/>
        <w:textAlignment w:val="baseline"/>
        <w:rPr>
          <w:b/>
          <w:color w:val="auto"/>
          <w:sz w:val="24"/>
          <w:szCs w:val="24"/>
          <w:highlight w:val="none"/>
        </w:rPr>
      </w:pPr>
      <w:r>
        <w:rPr>
          <w:rFonts w:hint="eastAsia"/>
          <w:b/>
          <w:color w:val="auto"/>
          <w:sz w:val="24"/>
          <w:szCs w:val="24"/>
          <w:highlight w:val="none"/>
        </w:rPr>
        <w:t>（4）不同供应商的响应文件异常一致或者报价呈规律性差异；</w:t>
      </w:r>
    </w:p>
    <w:p w14:paraId="7B5DEA31">
      <w:pPr>
        <w:shd w:val="clear"/>
        <w:tabs>
          <w:tab w:val="left" w:pos="1260"/>
          <w:tab w:val="left" w:pos="1620"/>
        </w:tabs>
        <w:adjustRightInd w:val="0"/>
        <w:spacing w:line="360" w:lineRule="auto"/>
        <w:jc w:val="left"/>
        <w:textAlignment w:val="baseline"/>
        <w:rPr>
          <w:b/>
          <w:color w:val="auto"/>
          <w:sz w:val="24"/>
          <w:szCs w:val="24"/>
          <w:highlight w:val="none"/>
        </w:rPr>
      </w:pPr>
      <w:r>
        <w:rPr>
          <w:rFonts w:hint="eastAsia"/>
          <w:b/>
          <w:color w:val="auto"/>
          <w:sz w:val="24"/>
          <w:szCs w:val="24"/>
          <w:highlight w:val="none"/>
        </w:rPr>
        <w:t>（5）不同供应商的响应文件相互混装；</w:t>
      </w:r>
    </w:p>
    <w:p w14:paraId="1E045077">
      <w:pPr>
        <w:shd w:val="clear"/>
        <w:tabs>
          <w:tab w:val="left" w:pos="1260"/>
          <w:tab w:val="left" w:pos="1620"/>
        </w:tabs>
        <w:adjustRightInd w:val="0"/>
        <w:spacing w:line="360" w:lineRule="auto"/>
        <w:jc w:val="left"/>
        <w:textAlignment w:val="baseline"/>
        <w:rPr>
          <w:b/>
          <w:color w:val="auto"/>
          <w:sz w:val="24"/>
          <w:szCs w:val="24"/>
          <w:highlight w:val="none"/>
        </w:rPr>
      </w:pPr>
      <w:r>
        <w:rPr>
          <w:rFonts w:hint="eastAsia"/>
          <w:b/>
          <w:color w:val="auto"/>
          <w:sz w:val="24"/>
          <w:szCs w:val="24"/>
          <w:highlight w:val="none"/>
        </w:rPr>
        <w:t>（6）不同供应商的磋商保证金从同一单位或者个人的账户转出。</w:t>
      </w:r>
    </w:p>
    <w:p w14:paraId="44E8F54A">
      <w:pPr>
        <w:shd w:val="clear"/>
        <w:tabs>
          <w:tab w:val="left" w:pos="1260"/>
          <w:tab w:val="left" w:pos="1620"/>
        </w:tabs>
        <w:adjustRightInd w:val="0"/>
        <w:spacing w:line="360" w:lineRule="auto"/>
        <w:jc w:val="left"/>
        <w:textAlignment w:val="baseline"/>
        <w:rPr>
          <w:b/>
          <w:color w:val="auto"/>
          <w:sz w:val="24"/>
          <w:szCs w:val="24"/>
          <w:highlight w:val="none"/>
        </w:rPr>
      </w:pPr>
      <w:r>
        <w:rPr>
          <w:rFonts w:hint="eastAsia"/>
          <w:b/>
          <w:color w:val="auto"/>
          <w:sz w:val="24"/>
          <w:szCs w:val="24"/>
          <w:highlight w:val="none"/>
        </w:rPr>
        <w:t>3、有下列情形之一的，属于提供虚假材料谋取成交的行为：</w:t>
      </w:r>
    </w:p>
    <w:p w14:paraId="2B5D0C15">
      <w:pPr>
        <w:shd w:val="clear"/>
        <w:tabs>
          <w:tab w:val="left" w:pos="1260"/>
          <w:tab w:val="left" w:pos="1620"/>
        </w:tabs>
        <w:adjustRightInd w:val="0"/>
        <w:spacing w:line="360" w:lineRule="auto"/>
        <w:jc w:val="left"/>
        <w:textAlignment w:val="baseline"/>
        <w:rPr>
          <w:b/>
          <w:color w:val="auto"/>
          <w:sz w:val="24"/>
          <w:szCs w:val="24"/>
          <w:highlight w:val="none"/>
        </w:rPr>
      </w:pPr>
      <w:r>
        <w:rPr>
          <w:rFonts w:hint="eastAsia"/>
          <w:b/>
          <w:color w:val="auto"/>
          <w:sz w:val="24"/>
          <w:szCs w:val="24"/>
          <w:highlight w:val="none"/>
        </w:rPr>
        <w:t>（1）使用伪造、变造的许可证件；</w:t>
      </w:r>
    </w:p>
    <w:p w14:paraId="07D41FAF">
      <w:pPr>
        <w:shd w:val="clear"/>
        <w:tabs>
          <w:tab w:val="left" w:pos="1260"/>
          <w:tab w:val="left" w:pos="1620"/>
        </w:tabs>
        <w:adjustRightInd w:val="0"/>
        <w:spacing w:line="360" w:lineRule="auto"/>
        <w:jc w:val="left"/>
        <w:textAlignment w:val="baseline"/>
        <w:rPr>
          <w:b/>
          <w:color w:val="auto"/>
          <w:sz w:val="24"/>
          <w:szCs w:val="24"/>
          <w:highlight w:val="none"/>
        </w:rPr>
      </w:pPr>
      <w:r>
        <w:rPr>
          <w:rFonts w:hint="eastAsia"/>
          <w:b/>
          <w:color w:val="auto"/>
          <w:sz w:val="24"/>
          <w:szCs w:val="24"/>
          <w:highlight w:val="none"/>
        </w:rPr>
        <w:t>（2）提供虚假的财务状况或者业绩；</w:t>
      </w:r>
    </w:p>
    <w:p w14:paraId="02213FA6">
      <w:pPr>
        <w:shd w:val="clear"/>
        <w:tabs>
          <w:tab w:val="left" w:pos="1260"/>
          <w:tab w:val="left" w:pos="1620"/>
        </w:tabs>
        <w:adjustRightInd w:val="0"/>
        <w:spacing w:line="360" w:lineRule="auto"/>
        <w:jc w:val="left"/>
        <w:textAlignment w:val="baseline"/>
        <w:rPr>
          <w:b/>
          <w:color w:val="auto"/>
          <w:sz w:val="24"/>
          <w:szCs w:val="24"/>
          <w:highlight w:val="none"/>
        </w:rPr>
      </w:pPr>
      <w:r>
        <w:rPr>
          <w:rFonts w:hint="eastAsia"/>
          <w:b/>
          <w:color w:val="auto"/>
          <w:sz w:val="24"/>
          <w:szCs w:val="24"/>
          <w:highlight w:val="none"/>
        </w:rPr>
        <w:t>（3）提供虚假的项目负责人或者主要技术人员简历、劳动关系证明；</w:t>
      </w:r>
    </w:p>
    <w:p w14:paraId="37EF27F7">
      <w:pPr>
        <w:shd w:val="clear"/>
        <w:tabs>
          <w:tab w:val="left" w:pos="1260"/>
          <w:tab w:val="left" w:pos="1620"/>
        </w:tabs>
        <w:adjustRightInd w:val="0"/>
        <w:spacing w:line="360" w:lineRule="auto"/>
        <w:jc w:val="left"/>
        <w:textAlignment w:val="baseline"/>
        <w:rPr>
          <w:b/>
          <w:color w:val="auto"/>
          <w:sz w:val="24"/>
          <w:szCs w:val="24"/>
          <w:highlight w:val="none"/>
        </w:rPr>
      </w:pPr>
      <w:r>
        <w:rPr>
          <w:rFonts w:hint="eastAsia"/>
          <w:b/>
          <w:color w:val="auto"/>
          <w:sz w:val="24"/>
          <w:szCs w:val="24"/>
          <w:highlight w:val="none"/>
        </w:rPr>
        <w:t>（4）提供虚假的信用状况；</w:t>
      </w:r>
    </w:p>
    <w:p w14:paraId="4F5E65C1">
      <w:pPr>
        <w:shd w:val="clear"/>
        <w:tabs>
          <w:tab w:val="left" w:pos="1260"/>
          <w:tab w:val="left" w:pos="1620"/>
        </w:tabs>
        <w:adjustRightInd w:val="0"/>
        <w:spacing w:line="360" w:lineRule="auto"/>
        <w:jc w:val="left"/>
        <w:textAlignment w:val="baseline"/>
        <w:rPr>
          <w:b/>
          <w:color w:val="auto"/>
          <w:sz w:val="24"/>
          <w:szCs w:val="24"/>
          <w:highlight w:val="none"/>
        </w:rPr>
      </w:pPr>
      <w:r>
        <w:rPr>
          <w:rFonts w:hint="eastAsia"/>
          <w:b/>
          <w:color w:val="auto"/>
          <w:sz w:val="24"/>
          <w:szCs w:val="24"/>
          <w:highlight w:val="none"/>
        </w:rPr>
        <w:t>（5）其他弄虚作假的行为。</w:t>
      </w:r>
    </w:p>
    <w:p w14:paraId="580FBB04">
      <w:pPr>
        <w:shd w:val="clear"/>
        <w:tabs>
          <w:tab w:val="left" w:pos="1260"/>
          <w:tab w:val="left" w:pos="1620"/>
        </w:tabs>
        <w:adjustRightInd w:val="0"/>
        <w:spacing w:line="360" w:lineRule="auto"/>
        <w:jc w:val="left"/>
        <w:textAlignment w:val="baseline"/>
        <w:rPr>
          <w:b/>
          <w:color w:val="auto"/>
          <w:sz w:val="24"/>
          <w:szCs w:val="24"/>
          <w:highlight w:val="none"/>
        </w:rPr>
      </w:pPr>
    </w:p>
    <w:p w14:paraId="4A1E4C73">
      <w:pPr>
        <w:shd w:val="clear"/>
        <w:tabs>
          <w:tab w:val="left" w:pos="1260"/>
          <w:tab w:val="left" w:pos="1620"/>
        </w:tabs>
        <w:adjustRightInd w:val="0"/>
        <w:spacing w:line="360" w:lineRule="auto"/>
        <w:jc w:val="left"/>
        <w:textAlignment w:val="baseline"/>
        <w:rPr>
          <w:b/>
          <w:color w:val="auto"/>
          <w:sz w:val="24"/>
          <w:szCs w:val="24"/>
          <w:highlight w:val="none"/>
        </w:rPr>
      </w:pPr>
      <w:r>
        <w:rPr>
          <w:b/>
          <w:color w:val="auto"/>
          <w:sz w:val="24"/>
          <w:szCs w:val="24"/>
          <w:highlight w:val="none"/>
        </w:rPr>
        <w:br w:type="page"/>
      </w:r>
    </w:p>
    <w:p w14:paraId="5F4FBFFE">
      <w:pPr>
        <w:shd w:val="clear"/>
        <w:tabs>
          <w:tab w:val="left" w:pos="-94"/>
          <w:tab w:val="left" w:pos="428"/>
        </w:tabs>
        <w:adjustRightInd w:val="0"/>
        <w:spacing w:line="360" w:lineRule="auto"/>
        <w:ind w:left="23" w:leftChars="11"/>
        <w:jc w:val="center"/>
        <w:textAlignment w:val="baseline"/>
        <w:outlineLvl w:val="1"/>
        <w:rPr>
          <w:b/>
          <w:color w:val="auto"/>
          <w:sz w:val="28"/>
          <w:szCs w:val="28"/>
          <w:highlight w:val="none"/>
        </w:rPr>
      </w:pPr>
      <w:bookmarkStart w:id="134" w:name="_Toc414446034"/>
      <w:bookmarkStart w:id="135" w:name="_Toc410631198"/>
      <w:r>
        <w:rPr>
          <w:b/>
          <w:color w:val="auto"/>
          <w:sz w:val="28"/>
          <w:szCs w:val="28"/>
          <w:highlight w:val="none"/>
        </w:rPr>
        <w:t>附表</w:t>
      </w:r>
      <w:r>
        <w:rPr>
          <w:rFonts w:hint="eastAsia"/>
          <w:b/>
          <w:color w:val="auto"/>
          <w:sz w:val="28"/>
          <w:szCs w:val="28"/>
          <w:highlight w:val="none"/>
        </w:rPr>
        <w:t xml:space="preserve">三 </w:t>
      </w:r>
      <w:r>
        <w:rPr>
          <w:b/>
          <w:color w:val="auto"/>
          <w:sz w:val="28"/>
          <w:szCs w:val="28"/>
          <w:highlight w:val="none"/>
        </w:rPr>
        <w:t>商务</w:t>
      </w:r>
      <w:r>
        <w:rPr>
          <w:rFonts w:hint="eastAsia"/>
          <w:b/>
          <w:color w:val="auto"/>
          <w:sz w:val="28"/>
          <w:szCs w:val="28"/>
          <w:highlight w:val="none"/>
          <w:lang w:val="en-US" w:eastAsia="zh-CN"/>
        </w:rPr>
        <w:t>技术</w:t>
      </w:r>
      <w:r>
        <w:rPr>
          <w:b/>
          <w:color w:val="auto"/>
          <w:sz w:val="28"/>
          <w:szCs w:val="28"/>
          <w:highlight w:val="none"/>
        </w:rPr>
        <w:t>评审因素及分值分配表</w:t>
      </w:r>
      <w:bookmarkEnd w:id="134"/>
      <w:bookmarkEnd w:id="135"/>
    </w:p>
    <w:p w14:paraId="2296B230">
      <w:pPr>
        <w:shd w:val="clear"/>
        <w:spacing w:line="360" w:lineRule="auto"/>
        <w:jc w:val="center"/>
        <w:rPr>
          <w:rFonts w:hint="eastAsia" w:ascii="Times New Roman" w:hAnsi="Times New Roman" w:eastAsia="宋体" w:cs="Times New Roman"/>
          <w:b w:val="0"/>
          <w:bCs/>
          <w:color w:val="auto"/>
          <w:sz w:val="24"/>
          <w:szCs w:val="24"/>
          <w:highlight w:val="none"/>
        </w:rPr>
      </w:pPr>
      <w:r>
        <w:rPr>
          <w:rFonts w:hint="eastAsia" w:ascii="Times New Roman" w:hAnsi="Times New Roman" w:eastAsia="宋体" w:cs="Times New Roman"/>
          <w:b w:val="0"/>
          <w:bCs/>
          <w:color w:val="auto"/>
          <w:sz w:val="24"/>
          <w:szCs w:val="24"/>
          <w:highlight w:val="none"/>
        </w:rPr>
        <w:t>（满分</w:t>
      </w:r>
      <w:r>
        <w:rPr>
          <w:rFonts w:hint="eastAsia" w:cs="Times New Roman"/>
          <w:b w:val="0"/>
          <w:bCs/>
          <w:color w:val="auto"/>
          <w:sz w:val="24"/>
          <w:szCs w:val="24"/>
          <w:highlight w:val="none"/>
          <w:lang w:val="en-US" w:eastAsia="zh-CN"/>
        </w:rPr>
        <w:t>8</w:t>
      </w:r>
      <w:r>
        <w:rPr>
          <w:rFonts w:hint="eastAsia" w:ascii="Times New Roman" w:hAnsi="Times New Roman" w:eastAsia="宋体" w:cs="Times New Roman"/>
          <w:b w:val="0"/>
          <w:bCs/>
          <w:color w:val="auto"/>
          <w:sz w:val="24"/>
          <w:szCs w:val="24"/>
          <w:highlight w:val="none"/>
          <w:lang w:val="en-US" w:eastAsia="zh-CN"/>
        </w:rPr>
        <w:t>0</w:t>
      </w:r>
      <w:r>
        <w:rPr>
          <w:rFonts w:hint="eastAsia" w:ascii="Times New Roman" w:hAnsi="Times New Roman" w:eastAsia="宋体" w:cs="Times New Roman"/>
          <w:b w:val="0"/>
          <w:bCs/>
          <w:color w:val="auto"/>
          <w:sz w:val="24"/>
          <w:szCs w:val="24"/>
          <w:highlight w:val="none"/>
        </w:rPr>
        <w:t>分）</w:t>
      </w:r>
    </w:p>
    <w:tbl>
      <w:tblPr>
        <w:tblStyle w:val="73"/>
        <w:tblW w:w="938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937"/>
        <w:gridCol w:w="7444"/>
      </w:tblGrid>
      <w:tr w14:paraId="581E225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429" w:hRule="exact"/>
          <w:tblHeader/>
          <w:jc w:val="center"/>
        </w:trPr>
        <w:tc>
          <w:tcPr>
            <w:tcW w:w="1937" w:type="dxa"/>
            <w:tcBorders>
              <w:top w:val="single" w:color="auto" w:sz="2" w:space="0"/>
              <w:left w:val="single" w:color="auto" w:sz="2" w:space="0"/>
              <w:bottom w:val="single" w:color="auto" w:sz="2" w:space="0"/>
              <w:right w:val="single" w:color="auto" w:sz="2" w:space="0"/>
            </w:tcBorders>
            <w:vAlign w:val="center"/>
          </w:tcPr>
          <w:p w14:paraId="0CD64612">
            <w:pPr>
              <w:shd w:val="clear"/>
              <w:spacing w:line="360" w:lineRule="auto"/>
              <w:jc w:val="center"/>
              <w:rPr>
                <w:b/>
                <w:bCs w:val="0"/>
                <w:color w:val="auto"/>
                <w:sz w:val="24"/>
                <w:szCs w:val="24"/>
                <w:highlight w:val="none"/>
              </w:rPr>
            </w:pPr>
            <w:r>
              <w:rPr>
                <w:rFonts w:hint="eastAsia"/>
                <w:b/>
                <w:bCs w:val="0"/>
                <w:color w:val="auto"/>
                <w:sz w:val="24"/>
                <w:szCs w:val="24"/>
                <w:highlight w:val="none"/>
              </w:rPr>
              <w:t>评分因素</w:t>
            </w:r>
          </w:p>
        </w:tc>
        <w:tc>
          <w:tcPr>
            <w:tcW w:w="7444" w:type="dxa"/>
            <w:tcBorders>
              <w:top w:val="single" w:color="auto" w:sz="2" w:space="0"/>
              <w:left w:val="single" w:color="auto" w:sz="2" w:space="0"/>
              <w:bottom w:val="single" w:color="auto" w:sz="2" w:space="0"/>
              <w:right w:val="single" w:color="auto" w:sz="2" w:space="0"/>
            </w:tcBorders>
            <w:vAlign w:val="center"/>
          </w:tcPr>
          <w:p w14:paraId="7BC3AB02">
            <w:pPr>
              <w:shd w:val="clear"/>
              <w:spacing w:line="360" w:lineRule="auto"/>
              <w:jc w:val="center"/>
              <w:rPr>
                <w:b/>
                <w:bCs w:val="0"/>
                <w:color w:val="auto"/>
                <w:sz w:val="24"/>
                <w:szCs w:val="24"/>
                <w:highlight w:val="none"/>
              </w:rPr>
            </w:pPr>
            <w:r>
              <w:rPr>
                <w:rFonts w:hint="eastAsia"/>
                <w:b/>
                <w:bCs w:val="0"/>
                <w:color w:val="auto"/>
                <w:sz w:val="24"/>
                <w:szCs w:val="24"/>
                <w:highlight w:val="none"/>
              </w:rPr>
              <w:t>评分标准</w:t>
            </w:r>
          </w:p>
        </w:tc>
      </w:tr>
      <w:tr w14:paraId="7B61D6A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27" w:hRule="atLeast"/>
          <w:jc w:val="center"/>
        </w:trPr>
        <w:tc>
          <w:tcPr>
            <w:tcW w:w="1937" w:type="dxa"/>
            <w:tcBorders>
              <w:top w:val="single" w:color="auto" w:sz="2" w:space="0"/>
              <w:left w:val="single" w:color="auto" w:sz="2" w:space="0"/>
              <w:bottom w:val="single" w:color="auto" w:sz="2" w:space="0"/>
              <w:right w:val="single" w:color="auto" w:sz="2" w:space="0"/>
            </w:tcBorders>
            <w:shd w:val="clear" w:color="auto" w:fill="auto"/>
            <w:vAlign w:val="center"/>
          </w:tcPr>
          <w:p w14:paraId="78C53D1A">
            <w:pPr>
              <w:shd w:val="clear"/>
              <w:spacing w:line="360" w:lineRule="auto"/>
              <w:jc w:val="left"/>
              <w:rPr>
                <w:rFonts w:hint="eastAsia" w:ascii="Times New Roman" w:hAnsi="Times New Roman" w:eastAsia="宋体" w:cs="Times New Roman"/>
                <w:b w:val="0"/>
                <w:bCs/>
                <w:color w:val="auto"/>
                <w:kern w:val="2"/>
                <w:sz w:val="24"/>
                <w:szCs w:val="24"/>
                <w:highlight w:val="none"/>
                <w:lang w:val="en-US" w:eastAsia="zh-CN" w:bidi="ar-SA"/>
              </w:rPr>
            </w:pPr>
            <w:r>
              <w:rPr>
                <w:rFonts w:hint="eastAsia"/>
                <w:b w:val="0"/>
                <w:bCs/>
                <w:color w:val="auto"/>
                <w:sz w:val="24"/>
                <w:szCs w:val="24"/>
                <w:highlight w:val="none"/>
              </w:rPr>
              <w:t>对项目的理解、重难点分析及合理化建议评分（</w:t>
            </w:r>
            <w:r>
              <w:rPr>
                <w:rFonts w:hint="eastAsia"/>
                <w:b w:val="0"/>
                <w:bCs/>
                <w:color w:val="auto"/>
                <w:sz w:val="24"/>
                <w:szCs w:val="24"/>
                <w:highlight w:val="none"/>
                <w:lang w:val="en-US" w:eastAsia="zh-CN"/>
              </w:rPr>
              <w:t>满分</w:t>
            </w:r>
            <w:r>
              <w:rPr>
                <w:rFonts w:hint="eastAsia"/>
                <w:b w:val="0"/>
                <w:bCs/>
                <w:color w:val="auto"/>
                <w:sz w:val="24"/>
                <w:szCs w:val="24"/>
                <w:highlight w:val="none"/>
              </w:rPr>
              <w:t>10分）</w:t>
            </w:r>
          </w:p>
        </w:tc>
        <w:tc>
          <w:tcPr>
            <w:tcW w:w="7444" w:type="dxa"/>
            <w:tcBorders>
              <w:top w:val="single" w:color="auto" w:sz="2" w:space="0"/>
              <w:left w:val="single" w:color="auto" w:sz="2" w:space="0"/>
              <w:bottom w:val="single" w:color="auto" w:sz="2" w:space="0"/>
              <w:right w:val="single" w:color="auto" w:sz="2" w:space="0"/>
            </w:tcBorders>
            <w:shd w:val="clear" w:color="auto" w:fill="auto"/>
            <w:vAlign w:val="center"/>
          </w:tcPr>
          <w:p w14:paraId="098E4E3E">
            <w:pPr>
              <w:shd w:val="clear"/>
              <w:spacing w:line="360" w:lineRule="auto"/>
              <w:jc w:val="left"/>
              <w:rPr>
                <w:rFonts w:hint="eastAsia"/>
                <w:b w:val="0"/>
                <w:bCs/>
                <w:color w:val="auto"/>
                <w:sz w:val="24"/>
                <w:szCs w:val="24"/>
                <w:highlight w:val="none"/>
              </w:rPr>
            </w:pPr>
            <w:r>
              <w:rPr>
                <w:rFonts w:hint="eastAsia"/>
                <w:b w:val="0"/>
                <w:bCs/>
                <w:color w:val="auto"/>
                <w:sz w:val="24"/>
                <w:szCs w:val="24"/>
                <w:highlight w:val="none"/>
              </w:rPr>
              <w:t>第一档次：对项目的关键技术、工艺有明确、深入的表述，对施工重点、难点、经济、安全的解决方案和保证措施方案及合理化建议切实可行，得10分；</w:t>
            </w:r>
          </w:p>
          <w:p w14:paraId="7277976A">
            <w:pPr>
              <w:shd w:val="clear"/>
              <w:spacing w:line="360" w:lineRule="auto"/>
              <w:jc w:val="left"/>
              <w:rPr>
                <w:rFonts w:hint="eastAsia"/>
                <w:b w:val="0"/>
                <w:bCs/>
                <w:color w:val="auto"/>
                <w:sz w:val="24"/>
                <w:szCs w:val="24"/>
                <w:highlight w:val="none"/>
              </w:rPr>
            </w:pPr>
            <w:r>
              <w:rPr>
                <w:rFonts w:hint="eastAsia"/>
                <w:b w:val="0"/>
                <w:bCs/>
                <w:color w:val="auto"/>
                <w:sz w:val="24"/>
                <w:szCs w:val="24"/>
                <w:highlight w:val="none"/>
              </w:rPr>
              <w:t>第二档次：对项目的关键技术、工艺有较明确的表述</w:t>
            </w:r>
            <w:r>
              <w:rPr>
                <w:rFonts w:hint="eastAsia"/>
                <w:b w:val="0"/>
                <w:bCs/>
                <w:color w:val="auto"/>
                <w:sz w:val="24"/>
                <w:szCs w:val="24"/>
                <w:highlight w:val="none"/>
                <w:lang w:eastAsia="zh-CN"/>
              </w:rPr>
              <w:t>，</w:t>
            </w:r>
            <w:r>
              <w:rPr>
                <w:rFonts w:hint="eastAsia"/>
                <w:b w:val="0"/>
                <w:bCs/>
                <w:color w:val="auto"/>
                <w:sz w:val="24"/>
                <w:szCs w:val="24"/>
                <w:highlight w:val="none"/>
              </w:rPr>
              <w:t>对施工重点、难点、经济、安全的解决方案和保证措施方案及合理化建议可行，得8分；</w:t>
            </w:r>
          </w:p>
          <w:p w14:paraId="592E77A1">
            <w:pPr>
              <w:shd w:val="clear"/>
              <w:spacing w:line="360" w:lineRule="auto"/>
              <w:jc w:val="left"/>
              <w:rPr>
                <w:rFonts w:hint="eastAsia"/>
                <w:b w:val="0"/>
                <w:bCs/>
                <w:color w:val="auto"/>
                <w:sz w:val="24"/>
                <w:szCs w:val="24"/>
                <w:highlight w:val="none"/>
              </w:rPr>
            </w:pPr>
            <w:r>
              <w:rPr>
                <w:rFonts w:hint="eastAsia"/>
                <w:b w:val="0"/>
                <w:bCs/>
                <w:color w:val="auto"/>
                <w:sz w:val="24"/>
                <w:szCs w:val="24"/>
                <w:highlight w:val="none"/>
              </w:rPr>
              <w:t>第三档次：对项目的关键技术、工艺的表述不够明确</w:t>
            </w:r>
            <w:r>
              <w:rPr>
                <w:rFonts w:hint="eastAsia"/>
                <w:b w:val="0"/>
                <w:bCs/>
                <w:color w:val="auto"/>
                <w:sz w:val="24"/>
                <w:szCs w:val="24"/>
                <w:highlight w:val="none"/>
                <w:lang w:eastAsia="zh-CN"/>
              </w:rPr>
              <w:t>，</w:t>
            </w:r>
            <w:r>
              <w:rPr>
                <w:rFonts w:hint="eastAsia"/>
                <w:b w:val="0"/>
                <w:bCs/>
                <w:color w:val="auto"/>
                <w:sz w:val="24"/>
                <w:szCs w:val="24"/>
                <w:highlight w:val="none"/>
              </w:rPr>
              <w:t>对施工重点、难点、经济、安全的解决方案和保证措施方案及合理化建议基本可行，得</w:t>
            </w:r>
            <w:r>
              <w:rPr>
                <w:rFonts w:hint="eastAsia"/>
                <w:b w:val="0"/>
                <w:bCs/>
                <w:color w:val="auto"/>
                <w:sz w:val="24"/>
                <w:szCs w:val="24"/>
                <w:highlight w:val="none"/>
                <w:lang w:val="en-US" w:eastAsia="zh-CN"/>
              </w:rPr>
              <w:t>6</w:t>
            </w:r>
            <w:r>
              <w:rPr>
                <w:rFonts w:hint="eastAsia"/>
                <w:b w:val="0"/>
                <w:bCs/>
                <w:color w:val="auto"/>
                <w:sz w:val="24"/>
                <w:szCs w:val="24"/>
                <w:highlight w:val="none"/>
              </w:rPr>
              <w:t>分；</w:t>
            </w:r>
          </w:p>
          <w:p w14:paraId="04D07934">
            <w:pPr>
              <w:shd w:val="clear"/>
              <w:spacing w:line="360" w:lineRule="auto"/>
              <w:jc w:val="left"/>
              <w:rPr>
                <w:rFonts w:hint="eastAsia" w:ascii="Times New Roman" w:hAnsi="Times New Roman" w:eastAsia="宋体" w:cs="Times New Roman"/>
                <w:b w:val="0"/>
                <w:bCs/>
                <w:color w:val="auto"/>
                <w:kern w:val="2"/>
                <w:sz w:val="24"/>
                <w:szCs w:val="24"/>
                <w:highlight w:val="none"/>
                <w:lang w:val="en-US" w:eastAsia="zh-CN" w:bidi="ar-SA"/>
              </w:rPr>
            </w:pPr>
            <w:r>
              <w:rPr>
                <w:rFonts w:hint="eastAsia"/>
                <w:b w:val="0"/>
                <w:bCs/>
                <w:color w:val="auto"/>
                <w:sz w:val="24"/>
                <w:szCs w:val="24"/>
                <w:highlight w:val="none"/>
              </w:rPr>
              <w:t>注：未提供本项不得分。</w:t>
            </w:r>
          </w:p>
        </w:tc>
      </w:tr>
      <w:tr w14:paraId="38233C7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51" w:hRule="atLeast"/>
          <w:jc w:val="center"/>
        </w:trPr>
        <w:tc>
          <w:tcPr>
            <w:tcW w:w="1937" w:type="dxa"/>
            <w:tcBorders>
              <w:top w:val="single" w:color="auto" w:sz="2" w:space="0"/>
              <w:left w:val="single" w:color="auto" w:sz="2" w:space="0"/>
              <w:bottom w:val="single" w:color="auto" w:sz="2" w:space="0"/>
              <w:right w:val="single" w:color="auto" w:sz="2" w:space="0"/>
            </w:tcBorders>
            <w:vAlign w:val="center"/>
          </w:tcPr>
          <w:p w14:paraId="55DB488C">
            <w:pPr>
              <w:shd w:val="clear"/>
              <w:spacing w:line="360" w:lineRule="auto"/>
              <w:jc w:val="left"/>
              <w:rPr>
                <w:rFonts w:hint="default"/>
                <w:b/>
                <w:bCs w:val="0"/>
                <w:color w:val="auto"/>
                <w:sz w:val="24"/>
                <w:szCs w:val="24"/>
                <w:highlight w:val="none"/>
                <w:lang w:val="en-US" w:eastAsia="zh-CN"/>
              </w:rPr>
            </w:pPr>
            <w:r>
              <w:rPr>
                <w:rFonts w:hint="eastAsia"/>
                <w:b w:val="0"/>
                <w:bCs/>
                <w:color w:val="auto"/>
                <w:sz w:val="24"/>
                <w:szCs w:val="24"/>
                <w:highlight w:val="none"/>
                <w:lang w:val="en-US" w:eastAsia="zh-CN"/>
              </w:rPr>
              <w:t>建设方案与技术措施评分（满分15分）</w:t>
            </w:r>
          </w:p>
        </w:tc>
        <w:tc>
          <w:tcPr>
            <w:tcW w:w="7444" w:type="dxa"/>
            <w:tcBorders>
              <w:top w:val="single" w:color="auto" w:sz="2" w:space="0"/>
              <w:left w:val="single" w:color="auto" w:sz="2" w:space="0"/>
              <w:bottom w:val="single" w:color="auto" w:sz="2" w:space="0"/>
              <w:right w:val="single" w:color="auto" w:sz="2" w:space="0"/>
            </w:tcBorders>
            <w:vAlign w:val="center"/>
          </w:tcPr>
          <w:p w14:paraId="2ED118B6">
            <w:pPr>
              <w:shd w:val="clear"/>
              <w:spacing w:line="360" w:lineRule="auto"/>
              <w:jc w:val="left"/>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第一档次：对项目总体概况表述清晰、完整；部署及措施先进、可靠；符合环保、安全、文明生产要求，得15分；</w:t>
            </w:r>
          </w:p>
          <w:p w14:paraId="4E56CE8C">
            <w:pPr>
              <w:shd w:val="clear"/>
              <w:spacing w:line="360" w:lineRule="auto"/>
              <w:jc w:val="left"/>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第二档次：对项目总体概况表述较清晰、完整；部署及措施具体较可靠；较符合环保、安全、文明生产要求，得12分；</w:t>
            </w:r>
          </w:p>
          <w:p w14:paraId="2CED3F77">
            <w:pPr>
              <w:shd w:val="clear"/>
              <w:spacing w:line="360" w:lineRule="auto"/>
              <w:jc w:val="left"/>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第三档次：对项目总体概况表述不够清晰；部署及措施不够具体；对项目主要及关键方案表述不够清晰，得8分；</w:t>
            </w:r>
          </w:p>
          <w:p w14:paraId="19A16FE0">
            <w:pPr>
              <w:shd w:val="clear"/>
              <w:spacing w:line="360" w:lineRule="auto"/>
              <w:jc w:val="left"/>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注：未提供本项不得分。</w:t>
            </w:r>
          </w:p>
        </w:tc>
      </w:tr>
      <w:tr w14:paraId="74BCA5B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51" w:hRule="atLeast"/>
          <w:jc w:val="center"/>
        </w:trPr>
        <w:tc>
          <w:tcPr>
            <w:tcW w:w="1937" w:type="dxa"/>
            <w:tcBorders>
              <w:top w:val="single" w:color="auto" w:sz="2" w:space="0"/>
              <w:left w:val="single" w:color="auto" w:sz="2" w:space="0"/>
              <w:bottom w:val="single" w:color="auto" w:sz="2" w:space="0"/>
              <w:right w:val="single" w:color="auto" w:sz="2" w:space="0"/>
            </w:tcBorders>
            <w:vAlign w:val="center"/>
          </w:tcPr>
          <w:p w14:paraId="3EB27012">
            <w:pPr>
              <w:shd w:val="clear"/>
              <w:spacing w:line="360" w:lineRule="auto"/>
              <w:jc w:val="left"/>
              <w:rPr>
                <w:rFonts w:hint="default"/>
                <w:b/>
                <w:bCs w:val="0"/>
                <w:color w:val="auto"/>
                <w:sz w:val="24"/>
                <w:szCs w:val="24"/>
                <w:highlight w:val="none"/>
                <w:lang w:val="en-US" w:eastAsia="zh-CN"/>
              </w:rPr>
            </w:pPr>
            <w:r>
              <w:rPr>
                <w:rFonts w:hint="eastAsia"/>
                <w:b w:val="0"/>
                <w:bCs/>
                <w:color w:val="auto"/>
                <w:sz w:val="24"/>
                <w:szCs w:val="24"/>
                <w:highlight w:val="none"/>
                <w:lang w:val="en-US" w:eastAsia="zh-CN"/>
              </w:rPr>
              <w:t>质量管理体系与措施评分（满分8分）</w:t>
            </w:r>
          </w:p>
        </w:tc>
        <w:tc>
          <w:tcPr>
            <w:tcW w:w="7444" w:type="dxa"/>
            <w:tcBorders>
              <w:top w:val="single" w:color="auto" w:sz="2" w:space="0"/>
              <w:left w:val="single" w:color="auto" w:sz="2" w:space="0"/>
              <w:bottom w:val="single" w:color="auto" w:sz="2" w:space="0"/>
              <w:right w:val="single" w:color="auto" w:sz="2" w:space="0"/>
            </w:tcBorders>
            <w:vAlign w:val="center"/>
          </w:tcPr>
          <w:p w14:paraId="1E090E08">
            <w:pPr>
              <w:shd w:val="clear"/>
              <w:spacing w:line="360" w:lineRule="auto"/>
              <w:jc w:val="left"/>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第一档次：质量符合或优于竞争性磋商文件要求且目标明确；质量管理机构健全，职责分工明确；管理制度齐全；实施与监控措施全面、有效，得8分；</w:t>
            </w:r>
          </w:p>
          <w:p w14:paraId="18BB7C11">
            <w:pPr>
              <w:shd w:val="clear"/>
              <w:spacing w:line="360" w:lineRule="auto"/>
              <w:jc w:val="left"/>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第二档次：质量目标符合或优于竞争性磋商文件要求且目标明确；管理机构健全，职责分工较明确，管理制度较齐全，实施与监控措施较完整，得6分；</w:t>
            </w:r>
          </w:p>
          <w:p w14:paraId="426F6FD7">
            <w:pPr>
              <w:shd w:val="clear"/>
              <w:spacing w:line="360" w:lineRule="auto"/>
              <w:jc w:val="left"/>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第三档次：质量目标符合竞争性磋商文件要求且目标明确；管理机构基本健全，职责分工基本明确，管理制度基本齐全，实施与监控措施基本完整，得4分；</w:t>
            </w:r>
          </w:p>
          <w:p w14:paraId="74BD45F8">
            <w:pPr>
              <w:pStyle w:val="89"/>
              <w:rPr>
                <w:rFonts w:hint="eastAsia"/>
                <w:color w:val="auto"/>
                <w:highlight w:val="none"/>
                <w:lang w:val="en-US" w:eastAsia="zh-CN"/>
              </w:rPr>
            </w:pPr>
            <w:r>
              <w:rPr>
                <w:rFonts w:hint="eastAsia"/>
                <w:b w:val="0"/>
                <w:bCs/>
                <w:color w:val="auto"/>
                <w:sz w:val="24"/>
                <w:szCs w:val="24"/>
                <w:highlight w:val="none"/>
                <w:lang w:val="en-US" w:eastAsia="zh-CN"/>
              </w:rPr>
              <w:t>注：未提供本项不得分。</w:t>
            </w:r>
          </w:p>
        </w:tc>
      </w:tr>
      <w:tr w14:paraId="45AE028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51" w:hRule="atLeast"/>
          <w:jc w:val="center"/>
        </w:trPr>
        <w:tc>
          <w:tcPr>
            <w:tcW w:w="1937" w:type="dxa"/>
            <w:tcBorders>
              <w:top w:val="single" w:color="auto" w:sz="2" w:space="0"/>
              <w:left w:val="single" w:color="auto" w:sz="2" w:space="0"/>
              <w:bottom w:val="single" w:color="auto" w:sz="2" w:space="0"/>
              <w:right w:val="single" w:color="auto" w:sz="2" w:space="0"/>
            </w:tcBorders>
            <w:vAlign w:val="center"/>
          </w:tcPr>
          <w:p w14:paraId="33000BBB">
            <w:pPr>
              <w:shd w:val="clear"/>
              <w:spacing w:line="360" w:lineRule="auto"/>
              <w:jc w:val="left"/>
              <w:rPr>
                <w:rFonts w:hint="default"/>
                <w:b/>
                <w:bCs w:val="0"/>
                <w:color w:val="auto"/>
                <w:sz w:val="24"/>
                <w:szCs w:val="24"/>
                <w:highlight w:val="none"/>
                <w:lang w:val="en-US" w:eastAsia="zh-CN"/>
              </w:rPr>
            </w:pPr>
            <w:r>
              <w:rPr>
                <w:rFonts w:hint="eastAsia"/>
                <w:b w:val="0"/>
                <w:bCs/>
                <w:color w:val="auto"/>
                <w:sz w:val="24"/>
                <w:szCs w:val="24"/>
                <w:highlight w:val="none"/>
                <w:lang w:val="en-US" w:eastAsia="zh-CN"/>
              </w:rPr>
              <w:t>环境保护安全管理体系与措施评分（满分8分）</w:t>
            </w:r>
          </w:p>
        </w:tc>
        <w:tc>
          <w:tcPr>
            <w:tcW w:w="7444" w:type="dxa"/>
            <w:tcBorders>
              <w:top w:val="single" w:color="auto" w:sz="2" w:space="0"/>
              <w:left w:val="single" w:color="auto" w:sz="2" w:space="0"/>
              <w:bottom w:val="single" w:color="auto" w:sz="2" w:space="0"/>
              <w:right w:val="single" w:color="auto" w:sz="2" w:space="0"/>
            </w:tcBorders>
            <w:vAlign w:val="center"/>
          </w:tcPr>
          <w:p w14:paraId="61A16FB3">
            <w:pPr>
              <w:shd w:val="clear"/>
              <w:spacing w:line="360" w:lineRule="auto"/>
              <w:jc w:val="left"/>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第一档次：环境保护安全目标符合或优于竞争性磋商文件的要求；安全管理机构健全，职责分工明确；管理制度齐全；实施与监控措施全面、有效，得8分；</w:t>
            </w:r>
          </w:p>
          <w:p w14:paraId="5BFF8688">
            <w:pPr>
              <w:shd w:val="clear"/>
              <w:spacing w:line="360" w:lineRule="auto"/>
              <w:jc w:val="left"/>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第二档次：环境保护安全目标符合或优于竞争性磋商文件要求；管理机构健全，职责分工较明确；管理制度较齐全；实施与监控措施较完整，得6分；</w:t>
            </w:r>
          </w:p>
          <w:p w14:paraId="174E57B6">
            <w:pPr>
              <w:shd w:val="clear"/>
              <w:spacing w:line="360" w:lineRule="auto"/>
              <w:jc w:val="left"/>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第三档次：安全目标符合竞争性磋商文件要求；管理机构基本健全，职责分工基本明确；管理制度基本齐全；实施与监控措施基本完整，得4分；</w:t>
            </w:r>
          </w:p>
          <w:p w14:paraId="63B6E7AE">
            <w:pPr>
              <w:shd w:val="clear"/>
              <w:spacing w:line="360" w:lineRule="auto"/>
              <w:jc w:val="left"/>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注：未提供本项不得分。</w:t>
            </w:r>
          </w:p>
        </w:tc>
      </w:tr>
      <w:tr w14:paraId="4675684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51" w:hRule="atLeast"/>
          <w:jc w:val="center"/>
        </w:trPr>
        <w:tc>
          <w:tcPr>
            <w:tcW w:w="1937" w:type="dxa"/>
            <w:tcBorders>
              <w:top w:val="single" w:color="auto" w:sz="2" w:space="0"/>
              <w:left w:val="single" w:color="auto" w:sz="2" w:space="0"/>
              <w:bottom w:val="single" w:color="auto" w:sz="2" w:space="0"/>
              <w:right w:val="single" w:color="auto" w:sz="2" w:space="0"/>
            </w:tcBorders>
            <w:vAlign w:val="center"/>
          </w:tcPr>
          <w:p w14:paraId="057EDE0D">
            <w:pPr>
              <w:shd w:val="clear"/>
              <w:spacing w:line="360" w:lineRule="auto"/>
              <w:jc w:val="left"/>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工期承诺评审（满分3分）</w:t>
            </w:r>
          </w:p>
        </w:tc>
        <w:tc>
          <w:tcPr>
            <w:tcW w:w="7444" w:type="dxa"/>
            <w:tcBorders>
              <w:top w:val="single" w:color="auto" w:sz="2" w:space="0"/>
              <w:left w:val="single" w:color="auto" w:sz="2" w:space="0"/>
              <w:bottom w:val="single" w:color="auto" w:sz="2" w:space="0"/>
              <w:right w:val="single" w:color="auto" w:sz="2" w:space="0"/>
            </w:tcBorders>
            <w:vAlign w:val="center"/>
          </w:tcPr>
          <w:p w14:paraId="419D9D3F">
            <w:pPr>
              <w:shd w:val="clear"/>
              <w:spacing w:line="360" w:lineRule="auto"/>
              <w:jc w:val="left"/>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第一档次：供应商工期各阶段承诺均优于本项目需求，得3分；</w:t>
            </w:r>
          </w:p>
          <w:p w14:paraId="6E635A98">
            <w:pPr>
              <w:shd w:val="clear"/>
              <w:spacing w:line="360" w:lineRule="auto"/>
              <w:jc w:val="left"/>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第二档次：供应商工期各阶段承诺部分优于本项目需求，得2分；</w:t>
            </w:r>
          </w:p>
          <w:p w14:paraId="1BDE63A0">
            <w:pPr>
              <w:shd w:val="clear"/>
              <w:tabs>
                <w:tab w:val="right" w:pos="7228"/>
              </w:tabs>
              <w:spacing w:line="360" w:lineRule="auto"/>
              <w:jc w:val="left"/>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第三档次：供应商未提出优于本项目需求工期承诺的不得分。</w:t>
            </w:r>
            <w:r>
              <w:rPr>
                <w:rFonts w:hint="eastAsia"/>
                <w:b w:val="0"/>
                <w:bCs/>
                <w:color w:val="auto"/>
                <w:sz w:val="24"/>
                <w:szCs w:val="24"/>
                <w:highlight w:val="none"/>
                <w:lang w:val="en-US" w:eastAsia="zh-CN"/>
              </w:rPr>
              <w:tab/>
            </w:r>
          </w:p>
          <w:p w14:paraId="16AD9DD2">
            <w:pPr>
              <w:pStyle w:val="89"/>
              <w:rPr>
                <w:rFonts w:hint="eastAsia"/>
                <w:color w:val="auto"/>
                <w:highlight w:val="none"/>
                <w:lang w:val="en-US" w:eastAsia="zh-CN"/>
              </w:rPr>
            </w:pPr>
            <w:r>
              <w:rPr>
                <w:rFonts w:hint="eastAsia"/>
                <w:b w:val="0"/>
                <w:bCs/>
                <w:color w:val="auto"/>
                <w:sz w:val="24"/>
                <w:szCs w:val="24"/>
                <w:highlight w:val="none"/>
                <w:lang w:val="en-US" w:eastAsia="zh-CN"/>
              </w:rPr>
              <w:t>注：未提供本项不得分。</w:t>
            </w:r>
          </w:p>
        </w:tc>
      </w:tr>
      <w:tr w14:paraId="0D514C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51" w:hRule="atLeast"/>
          <w:jc w:val="center"/>
        </w:trPr>
        <w:tc>
          <w:tcPr>
            <w:tcW w:w="1937" w:type="dxa"/>
            <w:tcBorders>
              <w:top w:val="single" w:color="auto" w:sz="2" w:space="0"/>
              <w:left w:val="single" w:color="auto" w:sz="2" w:space="0"/>
              <w:bottom w:val="single" w:color="auto" w:sz="2" w:space="0"/>
              <w:right w:val="single" w:color="auto" w:sz="2" w:space="0"/>
            </w:tcBorders>
            <w:vAlign w:val="center"/>
          </w:tcPr>
          <w:p w14:paraId="1A481C1E">
            <w:pPr>
              <w:shd w:val="clear"/>
              <w:spacing w:line="360" w:lineRule="auto"/>
              <w:jc w:val="left"/>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进度计划与保证措施（满分8分）</w:t>
            </w:r>
          </w:p>
        </w:tc>
        <w:tc>
          <w:tcPr>
            <w:tcW w:w="7444" w:type="dxa"/>
            <w:tcBorders>
              <w:top w:val="single" w:color="auto" w:sz="2" w:space="0"/>
              <w:left w:val="single" w:color="auto" w:sz="2" w:space="0"/>
              <w:bottom w:val="single" w:color="auto" w:sz="2" w:space="0"/>
              <w:right w:val="single" w:color="auto" w:sz="2" w:space="0"/>
            </w:tcBorders>
            <w:vAlign w:val="center"/>
          </w:tcPr>
          <w:p w14:paraId="4EE66D36">
            <w:pPr>
              <w:shd w:val="clear"/>
              <w:spacing w:line="360" w:lineRule="auto"/>
              <w:jc w:val="left"/>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第一档次：总工期及节点工期满足竞争性磋商文件要求；分阶段施工进度计划内容全面,线路清晰、准确、完整，计划编制合理、可行；措施有力、合理、可行，得8分；</w:t>
            </w:r>
          </w:p>
          <w:p w14:paraId="6EF051BF">
            <w:pPr>
              <w:shd w:val="clear"/>
              <w:spacing w:line="360" w:lineRule="auto"/>
              <w:jc w:val="left"/>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第二档次：总工期及节点工期满足竞争性磋商文件要求；分阶段施工进度计划内容较全面，线路较清晰，计划编制较合理；措施可行，得6分；</w:t>
            </w:r>
          </w:p>
          <w:p w14:paraId="1D14CA6F">
            <w:pPr>
              <w:shd w:val="clear"/>
              <w:spacing w:line="360" w:lineRule="auto"/>
              <w:jc w:val="left"/>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第三档次：总工期及节点工期满足竞争性磋商文件要求；分阶段施工进度计划内容不够全面，线路不够清晰，计划编制不够合理；措施基本可行，得4分；</w:t>
            </w:r>
          </w:p>
          <w:p w14:paraId="35A982AA">
            <w:pPr>
              <w:shd w:val="clear"/>
              <w:spacing w:line="360" w:lineRule="auto"/>
              <w:jc w:val="left"/>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注：未提供本项不得分。</w:t>
            </w:r>
          </w:p>
        </w:tc>
      </w:tr>
      <w:tr w14:paraId="0662EFB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51" w:hRule="atLeast"/>
          <w:jc w:val="center"/>
        </w:trPr>
        <w:tc>
          <w:tcPr>
            <w:tcW w:w="1937" w:type="dxa"/>
            <w:tcBorders>
              <w:top w:val="single" w:color="auto" w:sz="2" w:space="0"/>
              <w:left w:val="single" w:color="auto" w:sz="2" w:space="0"/>
              <w:bottom w:val="single" w:color="auto" w:sz="2" w:space="0"/>
              <w:right w:val="single" w:color="auto" w:sz="2" w:space="0"/>
            </w:tcBorders>
            <w:vAlign w:val="center"/>
          </w:tcPr>
          <w:p w14:paraId="73229712">
            <w:pPr>
              <w:shd w:val="clear"/>
              <w:spacing w:line="360" w:lineRule="auto"/>
              <w:jc w:val="left"/>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资源配备计划评分（满分8分）</w:t>
            </w:r>
          </w:p>
        </w:tc>
        <w:tc>
          <w:tcPr>
            <w:tcW w:w="7444" w:type="dxa"/>
            <w:tcBorders>
              <w:top w:val="single" w:color="auto" w:sz="2" w:space="0"/>
              <w:left w:val="single" w:color="auto" w:sz="2" w:space="0"/>
              <w:bottom w:val="single" w:color="auto" w:sz="2" w:space="0"/>
              <w:right w:val="single" w:color="auto" w:sz="2" w:space="0"/>
            </w:tcBorders>
            <w:vAlign w:val="center"/>
          </w:tcPr>
          <w:p w14:paraId="15288B03">
            <w:pPr>
              <w:shd w:val="clear"/>
              <w:spacing w:line="360" w:lineRule="auto"/>
              <w:jc w:val="left"/>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第一档次：劳动力计划、周转材料计划、施工机具计划、主要材料一次性需用量计划等资源投入计划与施工部署、施工方法及进度计划呼应，很好的满足施工需要，调配投入计划合理、准确全面，得8分；</w:t>
            </w:r>
          </w:p>
          <w:p w14:paraId="0B96811F">
            <w:pPr>
              <w:shd w:val="clear"/>
              <w:spacing w:line="360" w:lineRule="auto"/>
              <w:jc w:val="left"/>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第二档次：劳动力计划、周转材料计划、施工机具计划、主要材料一次性需用量计划等资源投入计划与施工部署、施工方法及进度计划呼应，较好的满足施工需要，调配投入计划合理，得6分；</w:t>
            </w:r>
          </w:p>
          <w:p w14:paraId="6FAC5EBE">
            <w:pPr>
              <w:shd w:val="clear"/>
              <w:spacing w:line="360" w:lineRule="auto"/>
              <w:jc w:val="left"/>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第三档次：劳动力计划、周转材料计划、施工机具计划、主要材料一次性需用量计划等资源投入计划与施工部署、施工方法及进度计划基本满足施工需要，调配投入计划基本合理，得4分；</w:t>
            </w:r>
          </w:p>
          <w:p w14:paraId="619F491A">
            <w:pPr>
              <w:pStyle w:val="89"/>
              <w:rPr>
                <w:rFonts w:hint="eastAsia"/>
                <w:color w:val="auto"/>
                <w:highlight w:val="none"/>
                <w:lang w:val="en-US" w:eastAsia="zh-CN"/>
              </w:rPr>
            </w:pPr>
            <w:r>
              <w:rPr>
                <w:rFonts w:hint="eastAsia"/>
                <w:b w:val="0"/>
                <w:bCs/>
                <w:color w:val="auto"/>
                <w:sz w:val="24"/>
                <w:szCs w:val="24"/>
                <w:highlight w:val="none"/>
                <w:lang w:val="en-US" w:eastAsia="zh-CN"/>
              </w:rPr>
              <w:t>注：未提供本项不得分。</w:t>
            </w:r>
          </w:p>
        </w:tc>
      </w:tr>
      <w:tr w14:paraId="6345325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51" w:hRule="atLeast"/>
          <w:jc w:val="center"/>
        </w:trPr>
        <w:tc>
          <w:tcPr>
            <w:tcW w:w="1937" w:type="dxa"/>
            <w:tcBorders>
              <w:top w:val="single" w:color="auto" w:sz="2" w:space="0"/>
              <w:left w:val="single" w:color="auto" w:sz="2" w:space="0"/>
              <w:bottom w:val="single" w:color="auto" w:sz="2" w:space="0"/>
              <w:right w:val="single" w:color="auto" w:sz="2" w:space="0"/>
            </w:tcBorders>
            <w:vAlign w:val="center"/>
          </w:tcPr>
          <w:p w14:paraId="28A7A7A4">
            <w:pPr>
              <w:shd w:val="clear"/>
              <w:spacing w:line="360" w:lineRule="auto"/>
              <w:jc w:val="left"/>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项目管理机构配置(对项目管理人员没有说明的本项不得分)评分（满分10分）</w:t>
            </w:r>
          </w:p>
        </w:tc>
        <w:tc>
          <w:tcPr>
            <w:tcW w:w="7444" w:type="dxa"/>
            <w:tcBorders>
              <w:top w:val="single" w:color="auto" w:sz="2" w:space="0"/>
              <w:left w:val="single" w:color="auto" w:sz="2" w:space="0"/>
              <w:bottom w:val="single" w:color="auto" w:sz="2" w:space="0"/>
              <w:right w:val="single" w:color="auto" w:sz="2" w:space="0"/>
            </w:tcBorders>
            <w:vAlign w:val="center"/>
          </w:tcPr>
          <w:p w14:paraId="1D42AB36">
            <w:pPr>
              <w:shd w:val="clear"/>
              <w:spacing w:line="360" w:lineRule="auto"/>
              <w:jc w:val="left"/>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第一档次：供应商拟定的项目经理符合竞争性磋商文件规定的资格条件；项目经理资质证书和B证年检合格。项目管理人员针对工程实际配置且合理，能满足工程管理需要且有针对性，项目管理人员持证上岗，得10分；</w:t>
            </w:r>
          </w:p>
          <w:p w14:paraId="3C70447B">
            <w:pPr>
              <w:shd w:val="clear"/>
              <w:spacing w:line="360" w:lineRule="auto"/>
              <w:jc w:val="left"/>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第二档次：供应商拟定的项目经理符合竞争性磋商文件规定的资格条件；项目经理资质证书和B证年检合格。项目管理人员配置合理，能满足工程管理需要，但专业配置针对性一般，项目主要管理人员持证上岗，得7分；</w:t>
            </w:r>
          </w:p>
          <w:p w14:paraId="7F398EC5">
            <w:pPr>
              <w:shd w:val="clear"/>
              <w:spacing w:line="360" w:lineRule="auto"/>
              <w:jc w:val="left"/>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第三档次：供应商拟定的项目经理符合竞争性磋商文件规定的资格条件；项目经理资质证书和B证年检合格。项目管理人员配置基本满足工程管理需要，专业配置缺乏针对性，项目主要管理人员持证上岗，得3分；</w:t>
            </w:r>
          </w:p>
          <w:p w14:paraId="06FDB1C8">
            <w:pPr>
              <w:shd w:val="clear"/>
              <w:spacing w:line="360" w:lineRule="auto"/>
              <w:jc w:val="left"/>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注：未提供本项不得分。</w:t>
            </w:r>
          </w:p>
        </w:tc>
      </w:tr>
      <w:tr w14:paraId="5C4F9E6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51" w:hRule="atLeast"/>
          <w:jc w:val="center"/>
        </w:trPr>
        <w:tc>
          <w:tcPr>
            <w:tcW w:w="1937" w:type="dxa"/>
            <w:tcBorders>
              <w:top w:val="single" w:color="auto" w:sz="2" w:space="0"/>
              <w:left w:val="single" w:color="auto" w:sz="2" w:space="0"/>
              <w:bottom w:val="single" w:color="auto" w:sz="2" w:space="0"/>
              <w:right w:val="single" w:color="auto" w:sz="2" w:space="0"/>
            </w:tcBorders>
            <w:vAlign w:val="center"/>
          </w:tcPr>
          <w:p w14:paraId="103FB763">
            <w:pPr>
              <w:shd w:val="clear"/>
              <w:spacing w:line="360" w:lineRule="auto"/>
              <w:jc w:val="left"/>
              <w:rPr>
                <w:rFonts w:hint="default"/>
                <w:b w:val="0"/>
                <w:bCs/>
                <w:color w:val="auto"/>
                <w:sz w:val="24"/>
                <w:szCs w:val="24"/>
                <w:highlight w:val="none"/>
                <w:lang w:val="en-US" w:eastAsia="zh-CN"/>
              </w:rPr>
            </w:pPr>
            <w:r>
              <w:rPr>
                <w:rFonts w:hint="eastAsia"/>
                <w:b w:val="0"/>
                <w:bCs/>
                <w:color w:val="auto"/>
                <w:sz w:val="24"/>
                <w:szCs w:val="24"/>
                <w:highlight w:val="none"/>
                <w:lang w:val="en-US" w:eastAsia="zh-CN"/>
              </w:rPr>
              <w:t>业绩（满分10分）</w:t>
            </w:r>
          </w:p>
        </w:tc>
        <w:tc>
          <w:tcPr>
            <w:tcW w:w="7444" w:type="dxa"/>
            <w:tcBorders>
              <w:top w:val="single" w:color="auto" w:sz="2" w:space="0"/>
              <w:left w:val="single" w:color="auto" w:sz="2" w:space="0"/>
              <w:bottom w:val="single" w:color="auto" w:sz="2" w:space="0"/>
              <w:right w:val="single" w:color="auto" w:sz="2" w:space="0"/>
            </w:tcBorders>
            <w:vAlign w:val="center"/>
          </w:tcPr>
          <w:p w14:paraId="63A1F5D2">
            <w:pPr>
              <w:shd w:val="clear"/>
              <w:spacing w:line="360" w:lineRule="auto"/>
              <w:jc w:val="left"/>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承接过医院血透室或同类医疗净化区域施工业绩，每有 1 个得 5 分，最高得 10 分。</w:t>
            </w:r>
          </w:p>
          <w:p w14:paraId="0840C525">
            <w:pPr>
              <w:shd w:val="clear"/>
              <w:spacing w:line="360" w:lineRule="auto"/>
              <w:jc w:val="left"/>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类似项目业绩证明材料：中标（成交）通知书或合同协议书、或工程接收证书（或竣工验收备案登记表或单位工程质量竣工验收记录），其他来源获取的业绩不作为项目业绩证明使用。</w:t>
            </w:r>
          </w:p>
        </w:tc>
      </w:tr>
    </w:tbl>
    <w:p w14:paraId="09E543C9">
      <w:pPr>
        <w:shd w:val="clear"/>
        <w:rPr>
          <w:rFonts w:hAnsi="宋体" w:cs="宋体"/>
          <w:color w:val="auto"/>
          <w:sz w:val="24"/>
          <w:szCs w:val="24"/>
          <w:highlight w:val="none"/>
        </w:rPr>
      </w:pPr>
    </w:p>
    <w:p w14:paraId="6F00CCE8">
      <w:pPr>
        <w:pStyle w:val="3"/>
        <w:shd w:val="clear"/>
        <w:bidi w:val="0"/>
        <w:jc w:val="center"/>
        <w:rPr>
          <w:rFonts w:hint="eastAsia" w:ascii="黑体" w:hAnsi="黑体" w:eastAsia="黑体" w:cs="黑体"/>
          <w:b/>
          <w:bCs/>
          <w:color w:val="auto"/>
          <w:highlight w:val="none"/>
          <w:lang w:val="en-US" w:eastAsia="zh-CN"/>
        </w:rPr>
      </w:pPr>
      <w:bookmarkStart w:id="136" w:name="_Toc28562"/>
      <w:r>
        <w:rPr>
          <w:rFonts w:hint="eastAsia" w:ascii="黑体" w:hAnsi="黑体" w:eastAsia="黑体" w:cs="黑体"/>
          <w:b/>
          <w:bCs/>
          <w:color w:val="auto"/>
          <w:highlight w:val="none"/>
          <w:lang w:val="en-US" w:eastAsia="zh-CN"/>
        </w:rPr>
        <w:t>第四章  合同条款</w:t>
      </w:r>
      <w:bookmarkEnd w:id="136"/>
    </w:p>
    <w:p w14:paraId="3872EB4B">
      <w:pPr>
        <w:shd w:val="clea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（本合同内容仅供参考，甲乙双方可根据国家相关法律法规及本项目的情况另行约定）</w:t>
      </w:r>
    </w:p>
    <w:p w14:paraId="65F72235">
      <w:pPr>
        <w:pStyle w:val="7"/>
        <w:jc w:val="center"/>
        <w:rPr>
          <w:rFonts w:hint="eastAsia" w:asciiTheme="minorEastAsia" w:hAnsiTheme="minorEastAsia" w:eastAsiaTheme="minorEastAsia" w:cstheme="minorEastAsia"/>
          <w:b w:val="0"/>
          <w:color w:val="auto"/>
          <w:sz w:val="24"/>
          <w:szCs w:val="24"/>
          <w:highlight w:val="none"/>
        </w:rPr>
      </w:pPr>
      <w:bookmarkStart w:id="137" w:name="_Toc506357958"/>
      <w:r>
        <w:rPr>
          <w:rFonts w:hint="eastAsia" w:asciiTheme="minorEastAsia" w:hAnsiTheme="minorEastAsia" w:eastAsiaTheme="minorEastAsia" w:cstheme="minorEastAsia"/>
          <w:color w:val="auto"/>
          <w:sz w:val="24"/>
          <w:szCs w:val="24"/>
          <w:highlight w:val="none"/>
        </w:rPr>
        <w:t>第一部分 合同协议书</w:t>
      </w:r>
      <w:bookmarkEnd w:id="137"/>
    </w:p>
    <w:p w14:paraId="5D20B8E0">
      <w:pPr>
        <w:spacing w:line="360" w:lineRule="auto"/>
        <w:rPr>
          <w:rFonts w:hint="eastAsia" w:asciiTheme="minorEastAsia" w:hAnsiTheme="minorEastAsia" w:eastAsiaTheme="minorEastAsia" w:cstheme="minorEastAsia"/>
          <w:b/>
          <w:color w:val="auto"/>
          <w:sz w:val="24"/>
          <w:szCs w:val="24"/>
          <w:highlight w:val="none"/>
          <w:u w:val="single"/>
          <w:lang w:eastAsia="zh-CN"/>
        </w:rPr>
      </w:pPr>
      <w:r>
        <w:rPr>
          <w:rFonts w:hint="eastAsia" w:asciiTheme="minorEastAsia" w:hAnsiTheme="minorEastAsia" w:eastAsiaTheme="minorEastAsia" w:cstheme="minorEastAsia"/>
          <w:b/>
          <w:color w:val="auto"/>
          <w:sz w:val="24"/>
          <w:szCs w:val="24"/>
          <w:highlight w:val="none"/>
        </w:rPr>
        <w:t>发包人（全称）：</w:t>
      </w:r>
    </w:p>
    <w:p w14:paraId="20603DB1">
      <w:pPr>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承包人（全称）：</w:t>
      </w:r>
    </w:p>
    <w:p w14:paraId="35E61201">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根据《中华人民共和国</w:t>
      </w:r>
      <w:r>
        <w:rPr>
          <w:rFonts w:hint="eastAsia" w:asciiTheme="minorEastAsia" w:hAnsiTheme="minorEastAsia" w:eastAsiaTheme="minorEastAsia" w:cstheme="minorEastAsia"/>
          <w:color w:val="auto"/>
          <w:sz w:val="24"/>
          <w:szCs w:val="24"/>
          <w:highlight w:val="none"/>
          <w:lang w:val="en-US" w:eastAsia="zh-CN"/>
        </w:rPr>
        <w:t>民法典</w:t>
      </w:r>
      <w:r>
        <w:rPr>
          <w:rFonts w:hint="eastAsia" w:asciiTheme="minorEastAsia" w:hAnsiTheme="minorEastAsia" w:eastAsiaTheme="minorEastAsia" w:cstheme="minorEastAsia"/>
          <w:color w:val="auto"/>
          <w:sz w:val="24"/>
          <w:szCs w:val="24"/>
          <w:highlight w:val="none"/>
        </w:rPr>
        <w:t>》、《中华人民共和国建筑法》及有关法律规定，遵循平等、自愿、公平和诚实信用的原则，双方就及有关事项协商一致，共同达成如下协议：</w:t>
      </w:r>
    </w:p>
    <w:p w14:paraId="4D174DDD">
      <w:pPr>
        <w:keepNext w:val="0"/>
        <w:keepLines w:val="0"/>
        <w:pageBreakBefore w:val="0"/>
        <w:widowControl w:val="0"/>
        <w:kinsoku/>
        <w:wordWrap/>
        <w:overflowPunct/>
        <w:topLinePunct w:val="0"/>
        <w:autoSpaceDE/>
        <w:autoSpaceDN/>
        <w:bidi w:val="0"/>
        <w:adjustRightInd/>
        <w:snapToGrid/>
        <w:spacing w:before="158" w:beforeLines="50" w:after="158" w:afterLines="50" w:line="360" w:lineRule="auto"/>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一、工程概况</w:t>
      </w:r>
    </w:p>
    <w:p w14:paraId="019EDB53">
      <w:pPr>
        <w:spacing w:line="360" w:lineRule="auto"/>
        <w:ind w:firstLine="470" w:firstLineChars="196"/>
        <w:rPr>
          <w:rFonts w:hint="eastAsia" w:asciiTheme="minorEastAsia" w:hAnsiTheme="minorEastAsia" w:eastAsiaTheme="minorEastAsia" w:cstheme="minorEastAsia"/>
          <w:color w:val="auto"/>
          <w:sz w:val="24"/>
          <w:szCs w:val="24"/>
          <w:highlight w:val="none"/>
          <w:u w:val="single"/>
          <w:lang w:eastAsia="zh-CN"/>
        </w:rPr>
      </w:pPr>
      <w:r>
        <w:rPr>
          <w:rFonts w:hint="eastAsia" w:asciiTheme="minorEastAsia" w:hAnsiTheme="minorEastAsia" w:eastAsiaTheme="minorEastAsia" w:cstheme="minorEastAsia"/>
          <w:bCs/>
          <w:color w:val="auto"/>
          <w:sz w:val="24"/>
          <w:szCs w:val="24"/>
          <w:highlight w:val="none"/>
        </w:rPr>
        <w:t>1.工程名称</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 xml:space="preserve"> </w:t>
      </w:r>
    </w:p>
    <w:p w14:paraId="63641108">
      <w:pPr>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rPr>
        <w:t>2.工程地点：</w:t>
      </w:r>
      <w:r>
        <w:rPr>
          <w:rFonts w:hint="eastAsia" w:asciiTheme="minorEastAsia" w:hAnsiTheme="minorEastAsia" w:eastAsiaTheme="minorEastAsia" w:cstheme="minorEastAsia"/>
          <w:color w:val="auto"/>
          <w:sz w:val="24"/>
          <w:szCs w:val="24"/>
          <w:highlight w:val="none"/>
          <w:lang w:val="en-US" w:eastAsia="zh-CN"/>
        </w:rPr>
        <w:t xml:space="preserve"> </w:t>
      </w:r>
    </w:p>
    <w:p w14:paraId="1292EAA2">
      <w:pPr>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rPr>
        <w:t>3.工程立项批准文号：</w:t>
      </w:r>
      <w:r>
        <w:rPr>
          <w:rFonts w:hint="eastAsia" w:asciiTheme="minorEastAsia" w:hAnsiTheme="minorEastAsia" w:eastAsiaTheme="minorEastAsia" w:cstheme="minorEastAsia"/>
          <w:color w:val="auto"/>
          <w:sz w:val="24"/>
          <w:szCs w:val="24"/>
          <w:highlight w:val="none"/>
          <w:lang w:val="en-US" w:eastAsia="zh-CN"/>
        </w:rPr>
        <w:t xml:space="preserve"> </w:t>
      </w:r>
    </w:p>
    <w:p w14:paraId="489A9EA5">
      <w:pPr>
        <w:spacing w:line="360" w:lineRule="auto"/>
        <w:ind w:firstLine="470" w:firstLineChars="196"/>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4.资金来源：</w:t>
      </w:r>
      <w:r>
        <w:rPr>
          <w:rFonts w:hint="eastAsia" w:asciiTheme="minorEastAsia" w:hAnsiTheme="minorEastAsia" w:eastAsiaTheme="minorEastAsia" w:cstheme="minorEastAsia"/>
          <w:bCs/>
          <w:color w:val="auto"/>
          <w:sz w:val="24"/>
          <w:szCs w:val="24"/>
          <w:highlight w:val="none"/>
          <w:lang w:val="en-US" w:eastAsia="zh-CN"/>
        </w:rPr>
        <w:t xml:space="preserve">     </w:t>
      </w:r>
      <w:r>
        <w:rPr>
          <w:rFonts w:hint="eastAsia" w:asciiTheme="minorEastAsia" w:hAnsiTheme="minorEastAsia" w:eastAsiaTheme="minorEastAsia" w:cstheme="minorEastAsia"/>
          <w:i w:val="0"/>
          <w:iCs w:val="0"/>
          <w:color w:val="auto"/>
          <w:sz w:val="24"/>
          <w:szCs w:val="24"/>
          <w:highlight w:val="none"/>
          <w:u w:val="none"/>
        </w:rPr>
        <w:sym w:font="宋体" w:char="0020"/>
      </w:r>
      <w:r>
        <w:rPr>
          <w:rFonts w:hint="eastAsia" w:asciiTheme="minorEastAsia" w:hAnsiTheme="minorEastAsia" w:eastAsiaTheme="minorEastAsia" w:cstheme="minorEastAsia"/>
          <w:bCs/>
          <w:i w:val="0"/>
          <w:iCs w:val="0"/>
          <w:color w:val="auto"/>
          <w:sz w:val="24"/>
          <w:szCs w:val="24"/>
          <w:highlight w:val="none"/>
          <w:u w:val="none"/>
        </w:rPr>
        <w:t>。</w:t>
      </w:r>
    </w:p>
    <w:p w14:paraId="5E9A65FF">
      <w:pPr>
        <w:spacing w:line="360" w:lineRule="auto"/>
        <w:ind w:firstLine="470" w:firstLineChars="196"/>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5.工程内容：</w:t>
      </w:r>
    </w:p>
    <w:p w14:paraId="057465C7">
      <w:pPr>
        <w:spacing w:line="360" w:lineRule="auto"/>
        <w:ind w:firstLine="470" w:firstLineChars="196"/>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rPr>
        <w:t>6.工程承包范围：详见施工图和招标工程量清单</w:t>
      </w:r>
      <w:r>
        <w:rPr>
          <w:rFonts w:hint="eastAsia" w:asciiTheme="minorEastAsia" w:hAnsiTheme="minorEastAsia" w:eastAsiaTheme="minorEastAsia" w:cstheme="minorEastAsia"/>
          <w:bCs/>
          <w:color w:val="auto"/>
          <w:sz w:val="24"/>
          <w:szCs w:val="24"/>
          <w:highlight w:val="none"/>
          <w:lang w:val="en-US" w:eastAsia="zh-CN"/>
        </w:rPr>
        <w:t>。</w:t>
      </w:r>
    </w:p>
    <w:p w14:paraId="7564B956">
      <w:pPr>
        <w:keepNext w:val="0"/>
        <w:keepLines w:val="0"/>
        <w:pageBreakBefore w:val="0"/>
        <w:widowControl w:val="0"/>
        <w:kinsoku/>
        <w:wordWrap/>
        <w:overflowPunct/>
        <w:topLinePunct w:val="0"/>
        <w:autoSpaceDE/>
        <w:autoSpaceDN/>
        <w:bidi w:val="0"/>
        <w:adjustRightInd/>
        <w:snapToGrid/>
        <w:spacing w:before="158" w:beforeLines="50" w:after="158" w:afterLines="50" w:line="360" w:lineRule="auto"/>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二、合同工期</w:t>
      </w:r>
    </w:p>
    <w:p w14:paraId="7D79FDF1">
      <w:pPr>
        <w:spacing w:line="360" w:lineRule="auto"/>
        <w:ind w:firstLine="45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计划开工日期：</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rPr>
        <w:t>日。</w:t>
      </w:r>
    </w:p>
    <w:p w14:paraId="06A68249">
      <w:pPr>
        <w:spacing w:line="360" w:lineRule="auto"/>
        <w:ind w:firstLine="45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计划竣工日期：</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rPr>
        <w:t>日。</w:t>
      </w:r>
    </w:p>
    <w:p w14:paraId="6370712D">
      <w:pPr>
        <w:spacing w:line="360" w:lineRule="auto"/>
        <w:ind w:firstLine="45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工期总日历天数：</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t>。</w:t>
      </w:r>
      <w:r>
        <w:rPr>
          <w:rFonts w:hint="eastAsia" w:asciiTheme="minorEastAsia" w:hAnsiTheme="minorEastAsia" w:eastAsiaTheme="minorEastAsia" w:cstheme="minorEastAsia"/>
          <w:color w:val="auto"/>
          <w:sz w:val="24"/>
          <w:szCs w:val="24"/>
          <w:highlight w:val="none"/>
        </w:rPr>
        <w:t>工期总日历天数与根据前述计划开竣工日期计算的工期天数不一致的，以工期总日历天数为准。</w:t>
      </w:r>
    </w:p>
    <w:p w14:paraId="279E9815">
      <w:pPr>
        <w:keepNext w:val="0"/>
        <w:keepLines w:val="0"/>
        <w:pageBreakBefore w:val="0"/>
        <w:widowControl w:val="0"/>
        <w:kinsoku/>
        <w:wordWrap/>
        <w:overflowPunct/>
        <w:topLinePunct w:val="0"/>
        <w:autoSpaceDE/>
        <w:autoSpaceDN/>
        <w:bidi w:val="0"/>
        <w:adjustRightInd/>
        <w:snapToGrid/>
        <w:spacing w:before="158" w:beforeLines="50" w:after="158" w:afterLines="50" w:line="360" w:lineRule="auto"/>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三、质量标准</w:t>
      </w:r>
    </w:p>
    <w:p w14:paraId="1065D100">
      <w:pPr>
        <w:spacing w:line="360" w:lineRule="auto"/>
        <w:ind w:firstLine="45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工程质量符合</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标准。</w:t>
      </w:r>
    </w:p>
    <w:p w14:paraId="7C82E722">
      <w:pPr>
        <w:keepNext w:val="0"/>
        <w:keepLines w:val="0"/>
        <w:pageBreakBefore w:val="0"/>
        <w:widowControl w:val="0"/>
        <w:kinsoku/>
        <w:wordWrap/>
        <w:overflowPunct/>
        <w:topLinePunct w:val="0"/>
        <w:autoSpaceDE/>
        <w:autoSpaceDN/>
        <w:bidi w:val="0"/>
        <w:adjustRightInd/>
        <w:snapToGrid/>
        <w:spacing w:before="158" w:beforeLines="50" w:after="158" w:afterLines="50" w:line="360" w:lineRule="auto"/>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四、签约合同价与合同价格形式</w:t>
      </w:r>
      <w:r>
        <w:rPr>
          <w:rFonts w:hint="eastAsia" w:asciiTheme="minorEastAsia" w:hAnsiTheme="minorEastAsia" w:eastAsiaTheme="minorEastAsia" w:cstheme="minorEastAsia"/>
          <w:b/>
          <w:color w:val="auto"/>
          <w:sz w:val="24"/>
          <w:szCs w:val="24"/>
          <w:highlight w:val="none"/>
        </w:rPr>
        <w:tab/>
      </w:r>
    </w:p>
    <w:p w14:paraId="4B21864A">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1.签约合同价为：</w:t>
      </w:r>
    </w:p>
    <w:p w14:paraId="30A53234">
      <w:pPr>
        <w:spacing w:line="360" w:lineRule="auto"/>
        <w:ind w:firstLine="600" w:firstLineChars="2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人民币（大写）(¥元)；</w:t>
      </w:r>
    </w:p>
    <w:p w14:paraId="5B53C2C1">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其中：</w:t>
      </w:r>
    </w:p>
    <w:p w14:paraId="147D7EDE">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（1）安全文明施工费：</w:t>
      </w:r>
    </w:p>
    <w:p w14:paraId="1776E747">
      <w:pPr>
        <w:spacing w:line="360" w:lineRule="auto"/>
        <w:ind w:firstLine="1080" w:firstLineChars="4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人民币（大写） (¥元)；</w:t>
      </w:r>
    </w:p>
    <w:p w14:paraId="527AD74B">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（2）材料和工程设备暂估价金额：</w:t>
      </w:r>
    </w:p>
    <w:p w14:paraId="172F9433">
      <w:pPr>
        <w:spacing w:line="360" w:lineRule="auto"/>
        <w:ind w:firstLine="1080" w:firstLineChars="4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人民币（大写） (¥元)；</w:t>
      </w:r>
    </w:p>
    <w:p w14:paraId="16C5D091">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（3）专业工程暂估价金额：</w:t>
      </w:r>
    </w:p>
    <w:p w14:paraId="51DEC318">
      <w:pPr>
        <w:spacing w:line="360" w:lineRule="auto"/>
        <w:ind w:firstLine="1080" w:firstLineChars="4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人民币（大写） (¥元)；</w:t>
      </w:r>
    </w:p>
    <w:p w14:paraId="74745499">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（4）暂列金额：</w:t>
      </w:r>
    </w:p>
    <w:p w14:paraId="73B87F69">
      <w:pPr>
        <w:spacing w:line="360" w:lineRule="auto"/>
        <w:ind w:firstLine="1080" w:firstLineChars="4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人民币（大写） (¥元)。</w:t>
      </w:r>
    </w:p>
    <w:p w14:paraId="516028AA">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2.合同价格形式：</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t>固定</w:t>
      </w:r>
      <w:r>
        <w:rPr>
          <w:rFonts w:hint="eastAsia" w:asciiTheme="minorEastAsia" w:hAnsiTheme="minorEastAsia" w:eastAsiaTheme="minorEastAsia" w:cstheme="minorEastAsia"/>
          <w:color w:val="auto"/>
          <w:sz w:val="24"/>
          <w:szCs w:val="24"/>
          <w:highlight w:val="none"/>
          <w:u w:val="single"/>
          <w:lang w:eastAsia="zh-CN"/>
        </w:rPr>
        <w:t>总价</w:t>
      </w:r>
      <w:r>
        <w:rPr>
          <w:rFonts w:hint="eastAsia" w:asciiTheme="minorEastAsia" w:hAnsiTheme="minorEastAsia" w:eastAsiaTheme="minorEastAsia" w:cstheme="minorEastAsia"/>
          <w:color w:val="auto"/>
          <w:sz w:val="24"/>
          <w:szCs w:val="24"/>
          <w:highlight w:val="none"/>
          <w:u w:val="single"/>
        </w:rPr>
        <w:t>合同</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w:t>
      </w:r>
    </w:p>
    <w:p w14:paraId="7B4F1386">
      <w:pPr>
        <w:keepNext w:val="0"/>
        <w:keepLines w:val="0"/>
        <w:pageBreakBefore w:val="0"/>
        <w:widowControl w:val="0"/>
        <w:kinsoku/>
        <w:wordWrap/>
        <w:overflowPunct/>
        <w:topLinePunct w:val="0"/>
        <w:autoSpaceDE/>
        <w:autoSpaceDN/>
        <w:bidi w:val="0"/>
        <w:adjustRightInd/>
        <w:snapToGrid/>
        <w:spacing w:before="158" w:beforeLines="50" w:after="158" w:afterLines="50" w:line="360" w:lineRule="auto"/>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五、项目经理</w:t>
      </w:r>
    </w:p>
    <w:p w14:paraId="26AA0332">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承包人项目经理：</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rPr>
        <w:t>。</w:t>
      </w:r>
    </w:p>
    <w:p w14:paraId="4FDAAF15">
      <w:pPr>
        <w:keepNext w:val="0"/>
        <w:keepLines w:val="0"/>
        <w:pageBreakBefore w:val="0"/>
        <w:widowControl w:val="0"/>
        <w:kinsoku/>
        <w:wordWrap/>
        <w:overflowPunct/>
        <w:topLinePunct w:val="0"/>
        <w:autoSpaceDE/>
        <w:autoSpaceDN/>
        <w:bidi w:val="0"/>
        <w:adjustRightInd/>
        <w:snapToGrid/>
        <w:spacing w:before="158" w:beforeLines="50" w:after="158" w:afterLines="50" w:line="360" w:lineRule="auto"/>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六、合同文件构成</w:t>
      </w:r>
    </w:p>
    <w:p w14:paraId="4BD80D19">
      <w:pPr>
        <w:spacing w:line="360" w:lineRule="auto"/>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本协议书与下列文件一起构成合同文件：</w:t>
      </w:r>
    </w:p>
    <w:p w14:paraId="2C9985B8">
      <w:pPr>
        <w:autoSpaceDE w:val="0"/>
        <w:autoSpaceDN w:val="0"/>
        <w:adjustRightIn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成交</w:t>
      </w:r>
      <w:r>
        <w:rPr>
          <w:rFonts w:hint="eastAsia" w:asciiTheme="minorEastAsia" w:hAnsiTheme="minorEastAsia" w:eastAsiaTheme="minorEastAsia" w:cstheme="minorEastAsia"/>
          <w:color w:val="auto"/>
          <w:sz w:val="24"/>
          <w:szCs w:val="24"/>
          <w:highlight w:val="none"/>
        </w:rPr>
        <w:t>通知书；</w:t>
      </w:r>
    </w:p>
    <w:p w14:paraId="1FC251A8">
      <w:pPr>
        <w:autoSpaceDE w:val="0"/>
        <w:autoSpaceDN w:val="0"/>
        <w:adjustRightIn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 xml:space="preserve">函及其附录； </w:t>
      </w:r>
    </w:p>
    <w:p w14:paraId="6A774DDA">
      <w:pPr>
        <w:autoSpaceDE w:val="0"/>
        <w:autoSpaceDN w:val="0"/>
        <w:adjustRightIn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（3）专用合同条款及其附件；</w:t>
      </w:r>
    </w:p>
    <w:p w14:paraId="71716BD8">
      <w:pPr>
        <w:autoSpaceDE w:val="0"/>
        <w:autoSpaceDN w:val="0"/>
        <w:adjustRightIn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（4）通用合同条款；</w:t>
      </w:r>
    </w:p>
    <w:p w14:paraId="08CB78F1">
      <w:pPr>
        <w:autoSpaceDE w:val="0"/>
        <w:autoSpaceDN w:val="0"/>
        <w:adjustRightIn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（5）技术标准和要求；</w:t>
      </w:r>
    </w:p>
    <w:p w14:paraId="1E271821">
      <w:pPr>
        <w:autoSpaceDE w:val="0"/>
        <w:autoSpaceDN w:val="0"/>
        <w:adjustRightIn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（6）图纸；</w:t>
      </w:r>
    </w:p>
    <w:p w14:paraId="6455A6C7">
      <w:pPr>
        <w:autoSpaceDE w:val="0"/>
        <w:autoSpaceDN w:val="0"/>
        <w:adjustRightIn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w:t>
      </w:r>
      <w:r>
        <w:rPr>
          <w:rFonts w:hint="eastAsia" w:asciiTheme="minorEastAsia" w:hAnsiTheme="minorEastAsia" w:eastAsiaTheme="minorEastAsia" w:cstheme="minorEastAsia"/>
          <w:color w:val="auto"/>
          <w:sz w:val="24"/>
          <w:szCs w:val="24"/>
          <w:highlight w:val="none"/>
          <w:lang w:eastAsia="zh-CN"/>
        </w:rPr>
        <w:t>已标价工程量清单</w:t>
      </w:r>
      <w:r>
        <w:rPr>
          <w:rFonts w:hint="eastAsia" w:asciiTheme="minorEastAsia" w:hAnsiTheme="minorEastAsia" w:eastAsiaTheme="minorEastAsia" w:cstheme="minorEastAsia"/>
          <w:color w:val="auto"/>
          <w:sz w:val="24"/>
          <w:szCs w:val="24"/>
          <w:highlight w:val="none"/>
        </w:rPr>
        <w:t>；</w:t>
      </w:r>
    </w:p>
    <w:p w14:paraId="03F7C0D0">
      <w:pPr>
        <w:autoSpaceDE w:val="0"/>
        <w:autoSpaceDN w:val="0"/>
        <w:adjustRightIn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（8）其他合同文件。</w:t>
      </w:r>
    </w:p>
    <w:p w14:paraId="5F644C42">
      <w:pPr>
        <w:autoSpaceDE w:val="0"/>
        <w:autoSpaceDN w:val="0"/>
        <w:adjustRightIn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在合同订立及履行过程中形成的与合同有关的文件均构成合同文件组成部分。</w:t>
      </w:r>
    </w:p>
    <w:p w14:paraId="18575F35">
      <w:pPr>
        <w:autoSpaceDE w:val="0"/>
        <w:autoSpaceDN w:val="0"/>
        <w:adjustRightIn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上述各项合同文件包括合同当事人就该项合同文件所作出的补充和修改，属于同一类内容的文件，应以最新签署的为准。专用合同条款及其附件须经合同当事人签字或盖章。</w:t>
      </w:r>
    </w:p>
    <w:p w14:paraId="5C98DD0F">
      <w:pPr>
        <w:keepNext w:val="0"/>
        <w:keepLines w:val="0"/>
        <w:pageBreakBefore w:val="0"/>
        <w:widowControl w:val="0"/>
        <w:kinsoku/>
        <w:wordWrap/>
        <w:overflowPunct/>
        <w:topLinePunct w:val="0"/>
        <w:autoSpaceDE/>
        <w:autoSpaceDN/>
        <w:bidi w:val="0"/>
        <w:adjustRightInd/>
        <w:snapToGrid/>
        <w:spacing w:before="158" w:beforeLines="50" w:after="158" w:afterLines="50" w:line="360" w:lineRule="auto"/>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七、承诺</w:t>
      </w:r>
    </w:p>
    <w:p w14:paraId="0A6AE915">
      <w:pPr>
        <w:spacing w:line="360" w:lineRule="auto"/>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1.发包人承诺按照法律规定履行项目审批手续、筹集工程建设资金并按照合同约定的期限和方式支付合同价款。</w:t>
      </w:r>
    </w:p>
    <w:p w14:paraId="6E05B8AF">
      <w:pPr>
        <w:spacing w:line="360" w:lineRule="auto"/>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2.承包人承诺按照法律规定及合同约定组织完成工程施工，确保工程质量和安全，不进行转包及违法分包，并在缺陷责任期及保修期内承担相应的工程维修责任。</w:t>
      </w:r>
    </w:p>
    <w:p w14:paraId="61A79CAC">
      <w:pPr>
        <w:spacing w:line="360" w:lineRule="auto"/>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3.发包人和承包人通过招</w:t>
      </w:r>
      <w:r>
        <w:rPr>
          <w:rFonts w:hint="eastAsia" w:asciiTheme="minorEastAsia" w:hAnsiTheme="minorEastAsia" w:eastAsiaTheme="minorEastAsia" w:cstheme="minorEastAsia"/>
          <w:bCs/>
          <w:color w:val="auto"/>
          <w:sz w:val="24"/>
          <w:szCs w:val="24"/>
          <w:highlight w:val="none"/>
          <w:lang w:eastAsia="zh-CN"/>
        </w:rPr>
        <w:t>磋商</w:t>
      </w:r>
      <w:r>
        <w:rPr>
          <w:rFonts w:hint="eastAsia" w:asciiTheme="minorEastAsia" w:hAnsiTheme="minorEastAsia" w:eastAsiaTheme="minorEastAsia" w:cstheme="minorEastAsia"/>
          <w:bCs/>
          <w:color w:val="auto"/>
          <w:sz w:val="24"/>
          <w:szCs w:val="24"/>
          <w:highlight w:val="none"/>
        </w:rPr>
        <w:t>形式签订合同的，双方理解并承诺不再就同一工程另行签订与合同实质性内容相背离的协议。</w:t>
      </w:r>
    </w:p>
    <w:p w14:paraId="33626737">
      <w:pPr>
        <w:keepNext w:val="0"/>
        <w:keepLines w:val="0"/>
        <w:pageBreakBefore w:val="0"/>
        <w:widowControl w:val="0"/>
        <w:kinsoku/>
        <w:wordWrap/>
        <w:overflowPunct/>
        <w:topLinePunct w:val="0"/>
        <w:autoSpaceDE/>
        <w:autoSpaceDN/>
        <w:bidi w:val="0"/>
        <w:adjustRightInd/>
        <w:snapToGrid/>
        <w:spacing w:before="158" w:beforeLines="50" w:after="158" w:afterLines="50" w:line="360" w:lineRule="auto"/>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八、词语含义</w:t>
      </w:r>
    </w:p>
    <w:p w14:paraId="2ADCD181">
      <w:pPr>
        <w:spacing w:line="360" w:lineRule="auto"/>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本协议书中词语含义与第二部分通用合同条款中赋予的含义相同。</w:t>
      </w:r>
    </w:p>
    <w:p w14:paraId="510B5414">
      <w:pPr>
        <w:keepNext w:val="0"/>
        <w:keepLines w:val="0"/>
        <w:pageBreakBefore w:val="0"/>
        <w:widowControl w:val="0"/>
        <w:kinsoku/>
        <w:wordWrap/>
        <w:overflowPunct/>
        <w:topLinePunct w:val="0"/>
        <w:autoSpaceDE/>
        <w:autoSpaceDN/>
        <w:bidi w:val="0"/>
        <w:adjustRightInd/>
        <w:snapToGrid/>
        <w:spacing w:before="158" w:beforeLines="50" w:after="158" w:afterLines="50" w:line="360" w:lineRule="auto"/>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九、签订时间</w:t>
      </w:r>
    </w:p>
    <w:p w14:paraId="3D772E4F">
      <w:pPr>
        <w:spacing w:line="360" w:lineRule="auto"/>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本合同于</w:t>
      </w:r>
      <w:r>
        <w:rPr>
          <w:rFonts w:hint="eastAsia" w:asciiTheme="minorEastAsia" w:hAnsiTheme="minorEastAsia" w:eastAsiaTheme="minorEastAsia" w:cstheme="minorEastAsia"/>
          <w:bCs/>
          <w:color w:val="auto"/>
          <w:sz w:val="24"/>
          <w:szCs w:val="24"/>
          <w:highlight w:val="none"/>
          <w:lang w:val="en-US" w:eastAsia="zh-CN"/>
        </w:rPr>
        <w:t xml:space="preserve">   </w:t>
      </w:r>
      <w:r>
        <w:rPr>
          <w:rFonts w:hint="eastAsia" w:asciiTheme="minorEastAsia" w:hAnsiTheme="minorEastAsia" w:eastAsiaTheme="minorEastAsia" w:cstheme="minorEastAsia"/>
          <w:bCs/>
          <w:color w:val="auto"/>
          <w:sz w:val="24"/>
          <w:szCs w:val="24"/>
          <w:highlight w:val="none"/>
        </w:rPr>
        <w:t>年</w:t>
      </w:r>
      <w:r>
        <w:rPr>
          <w:rFonts w:hint="eastAsia" w:asciiTheme="minorEastAsia" w:hAnsiTheme="minorEastAsia" w:eastAsiaTheme="minorEastAsia" w:cstheme="minorEastAsia"/>
          <w:bCs/>
          <w:color w:val="auto"/>
          <w:sz w:val="24"/>
          <w:szCs w:val="24"/>
          <w:highlight w:val="none"/>
          <w:lang w:val="en-US" w:eastAsia="zh-CN"/>
        </w:rPr>
        <w:t xml:space="preserve">  </w:t>
      </w:r>
      <w:r>
        <w:rPr>
          <w:rFonts w:hint="eastAsia" w:asciiTheme="minorEastAsia" w:hAnsiTheme="minorEastAsia" w:eastAsiaTheme="minorEastAsia" w:cstheme="minorEastAsia"/>
          <w:bCs/>
          <w:color w:val="auto"/>
          <w:sz w:val="24"/>
          <w:szCs w:val="24"/>
          <w:highlight w:val="none"/>
        </w:rPr>
        <w:t>月</w:t>
      </w:r>
      <w:r>
        <w:rPr>
          <w:rFonts w:hint="eastAsia" w:asciiTheme="minorEastAsia" w:hAnsiTheme="minorEastAsia" w:eastAsiaTheme="minorEastAsia" w:cstheme="minorEastAsia"/>
          <w:bCs/>
          <w:color w:val="auto"/>
          <w:sz w:val="24"/>
          <w:szCs w:val="24"/>
          <w:highlight w:val="none"/>
          <w:lang w:val="en-US" w:eastAsia="zh-CN"/>
        </w:rPr>
        <w:t xml:space="preserve">  </w:t>
      </w:r>
      <w:r>
        <w:rPr>
          <w:rFonts w:hint="eastAsia" w:asciiTheme="minorEastAsia" w:hAnsiTheme="minorEastAsia" w:eastAsiaTheme="minorEastAsia" w:cstheme="minorEastAsia"/>
          <w:bCs/>
          <w:color w:val="auto"/>
          <w:sz w:val="24"/>
          <w:szCs w:val="24"/>
          <w:highlight w:val="none"/>
        </w:rPr>
        <w:t>日签订。</w:t>
      </w:r>
    </w:p>
    <w:p w14:paraId="1A22BE73">
      <w:pPr>
        <w:keepNext w:val="0"/>
        <w:keepLines w:val="0"/>
        <w:pageBreakBefore w:val="0"/>
        <w:widowControl w:val="0"/>
        <w:kinsoku/>
        <w:wordWrap/>
        <w:overflowPunct/>
        <w:topLinePunct w:val="0"/>
        <w:autoSpaceDE/>
        <w:autoSpaceDN/>
        <w:bidi w:val="0"/>
        <w:adjustRightInd/>
        <w:snapToGrid/>
        <w:spacing w:before="158" w:beforeLines="50" w:after="158" w:afterLines="50" w:line="360" w:lineRule="auto"/>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十、签订地点</w:t>
      </w:r>
    </w:p>
    <w:p w14:paraId="57D7BFD2">
      <w:pPr>
        <w:spacing w:line="360" w:lineRule="auto"/>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本合同在</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rPr>
        <w:t>签订。</w:t>
      </w:r>
    </w:p>
    <w:p w14:paraId="7EF2D3A9">
      <w:pPr>
        <w:keepNext w:val="0"/>
        <w:keepLines w:val="0"/>
        <w:pageBreakBefore w:val="0"/>
        <w:widowControl w:val="0"/>
        <w:kinsoku/>
        <w:wordWrap/>
        <w:overflowPunct/>
        <w:topLinePunct w:val="0"/>
        <w:autoSpaceDE/>
        <w:autoSpaceDN/>
        <w:bidi w:val="0"/>
        <w:adjustRightInd/>
        <w:snapToGrid/>
        <w:spacing w:before="158" w:beforeLines="50" w:after="158" w:afterLines="50" w:line="360" w:lineRule="auto"/>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十一、补充协议</w:t>
      </w:r>
    </w:p>
    <w:p w14:paraId="6C4D6954">
      <w:pPr>
        <w:spacing w:line="360" w:lineRule="auto"/>
        <w:ind w:firstLine="480" w:firstLineChars="20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合同未尽事宜，合同当事人另行签订补充协议，补充协议是合同的组成部分。</w:t>
      </w:r>
    </w:p>
    <w:p w14:paraId="1B5E5849">
      <w:pPr>
        <w:keepNext w:val="0"/>
        <w:keepLines w:val="0"/>
        <w:pageBreakBefore w:val="0"/>
        <w:widowControl w:val="0"/>
        <w:kinsoku/>
        <w:wordWrap/>
        <w:overflowPunct/>
        <w:topLinePunct w:val="0"/>
        <w:autoSpaceDE/>
        <w:autoSpaceDN/>
        <w:bidi w:val="0"/>
        <w:adjustRightInd/>
        <w:snapToGrid/>
        <w:spacing w:before="158" w:beforeLines="50" w:after="158" w:afterLines="50" w:line="360" w:lineRule="auto"/>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十二、合同生效</w:t>
      </w:r>
    </w:p>
    <w:p w14:paraId="37E52329">
      <w:pPr>
        <w:spacing w:line="360" w:lineRule="auto"/>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本合同自生效。</w:t>
      </w:r>
    </w:p>
    <w:p w14:paraId="0CCE7D8D">
      <w:pPr>
        <w:keepNext w:val="0"/>
        <w:keepLines w:val="0"/>
        <w:pageBreakBefore w:val="0"/>
        <w:widowControl w:val="0"/>
        <w:kinsoku/>
        <w:wordWrap/>
        <w:overflowPunct/>
        <w:topLinePunct w:val="0"/>
        <w:autoSpaceDE/>
        <w:autoSpaceDN/>
        <w:bidi w:val="0"/>
        <w:adjustRightInd/>
        <w:snapToGrid/>
        <w:spacing w:before="158" w:beforeLines="50" w:after="158" w:afterLines="50" w:line="360" w:lineRule="auto"/>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十三、合同份数</w:t>
      </w:r>
    </w:p>
    <w:p w14:paraId="1761C38B">
      <w:pPr>
        <w:spacing w:line="360" w:lineRule="auto"/>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本合同一式</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rPr>
        <w:t>份，均具有同等法律效力，发包人执</w:t>
      </w:r>
      <w:r>
        <w:rPr>
          <w:rFonts w:hint="eastAsia" w:asciiTheme="minorEastAsia" w:hAnsiTheme="minorEastAsia" w:eastAsiaTheme="minorEastAsia" w:cstheme="minorEastAsia"/>
          <w:bCs/>
          <w:color w:val="auto"/>
          <w:sz w:val="24"/>
          <w:szCs w:val="24"/>
          <w:highlight w:val="none"/>
          <w:lang w:val="en-US" w:eastAsia="zh-CN"/>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rPr>
        <w:t>份，承包人执</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rPr>
        <w:t>份。</w:t>
      </w:r>
    </w:p>
    <w:p w14:paraId="1DB04FF4">
      <w:pPr>
        <w:spacing w:line="360" w:lineRule="auto"/>
        <w:rPr>
          <w:rFonts w:hint="eastAsia" w:asciiTheme="minorEastAsia" w:hAnsiTheme="minorEastAsia" w:eastAsiaTheme="minorEastAsia" w:cstheme="minorEastAsia"/>
          <w:bCs/>
          <w:color w:val="auto"/>
          <w:sz w:val="24"/>
          <w:szCs w:val="24"/>
          <w:highlight w:val="none"/>
        </w:rPr>
        <w:sectPr>
          <w:pgSz w:w="11906" w:h="16838"/>
          <w:pgMar w:top="1440" w:right="1083" w:bottom="1440" w:left="1083" w:header="851" w:footer="992" w:gutter="0"/>
          <w:pgNumType w:fmt="numberInDash"/>
          <w:cols w:space="0" w:num="1"/>
          <w:rtlGutter w:val="0"/>
          <w:docGrid w:type="lines" w:linePitch="314" w:charSpace="0"/>
        </w:sectPr>
      </w:pPr>
    </w:p>
    <w:p w14:paraId="2B183E2A">
      <w:pPr>
        <w:pStyle w:val="89"/>
        <w:jc w:val="center"/>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（此页无正文）</w:t>
      </w:r>
    </w:p>
    <w:p w14:paraId="1CC4BE44">
      <w:pPr>
        <w:pStyle w:val="89"/>
        <w:rPr>
          <w:rFonts w:hint="eastAsia" w:asciiTheme="minorEastAsia" w:hAnsiTheme="minorEastAsia" w:eastAsiaTheme="minorEastAsia" w:cstheme="minorEastAsia"/>
          <w:color w:val="auto"/>
          <w:sz w:val="24"/>
          <w:szCs w:val="24"/>
          <w:highlight w:val="none"/>
        </w:rPr>
      </w:pPr>
    </w:p>
    <w:p w14:paraId="033252FA">
      <w:pPr>
        <w:pStyle w:val="89"/>
        <w:rPr>
          <w:rFonts w:hint="eastAsia" w:asciiTheme="minorEastAsia" w:hAnsiTheme="minorEastAsia" w:eastAsiaTheme="minorEastAsia" w:cstheme="minorEastAsia"/>
          <w:color w:val="auto"/>
          <w:sz w:val="24"/>
          <w:szCs w:val="24"/>
          <w:highlight w:val="none"/>
        </w:rPr>
      </w:pPr>
    </w:p>
    <w:p w14:paraId="7CE8EC14">
      <w:pPr>
        <w:pStyle w:val="89"/>
        <w:rPr>
          <w:rFonts w:hint="eastAsia" w:asciiTheme="minorEastAsia" w:hAnsiTheme="minorEastAsia" w:eastAsiaTheme="minorEastAsia" w:cstheme="minorEastAsia"/>
          <w:color w:val="auto"/>
          <w:sz w:val="24"/>
          <w:szCs w:val="24"/>
          <w:highlight w:val="none"/>
        </w:rPr>
      </w:pPr>
    </w:p>
    <w:p w14:paraId="113C6D08">
      <w:pPr>
        <w:pStyle w:val="89"/>
        <w:rPr>
          <w:rFonts w:hint="eastAsia" w:asciiTheme="minorEastAsia" w:hAnsiTheme="minorEastAsia" w:eastAsiaTheme="minorEastAsia" w:cstheme="minorEastAsia"/>
          <w:color w:val="auto"/>
          <w:sz w:val="24"/>
          <w:szCs w:val="24"/>
          <w:highlight w:val="none"/>
        </w:rPr>
      </w:pPr>
    </w:p>
    <w:p w14:paraId="2FE586D0">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发包人：  (公章)</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承包人：  (公章)</w:t>
      </w:r>
    </w:p>
    <w:p w14:paraId="7F1D1EB8">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4"/>
          <w:szCs w:val="24"/>
          <w:highlight w:val="none"/>
          <w:u w:val="single"/>
        </w:rPr>
      </w:pPr>
    </w:p>
    <w:p w14:paraId="49460BDA">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法定代表人或其委托代理人：                 法定代表人或其委托代理人：</w:t>
      </w:r>
    </w:p>
    <w:p w14:paraId="25FFDCB1">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（签字）                                  （签字）</w:t>
      </w:r>
    </w:p>
    <w:p w14:paraId="3DC75E5C">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4"/>
          <w:szCs w:val="24"/>
          <w:highlight w:val="none"/>
          <w:u w:val="single"/>
        </w:rPr>
      </w:pPr>
    </w:p>
    <w:p w14:paraId="369F4C8B">
      <w:pPr>
        <w:keepNext w:val="0"/>
        <w:keepLines w:val="0"/>
        <w:pageBreakBefore w:val="0"/>
        <w:widowControl w:val="0"/>
        <w:tabs>
          <w:tab w:val="left" w:pos="4410"/>
        </w:tabs>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组织机构代码：</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组织机构代码：</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0020"/>
      </w:r>
    </w:p>
    <w:p w14:paraId="36B69E1B">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  址：</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地  址：</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0020"/>
      </w:r>
    </w:p>
    <w:p w14:paraId="4B4BCF87">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邮政编码：</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邮政编码：</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0020"/>
      </w:r>
    </w:p>
    <w:p w14:paraId="5F1B4B1D">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法定代表人：</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p>
    <w:p w14:paraId="5A47FCF6">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委托代理人：</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0020"/>
      </w:r>
    </w:p>
    <w:p w14:paraId="4E51D893">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  话：</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电  话：</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p>
    <w:p w14:paraId="0E136CA4">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传  真：</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传  真：</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0020"/>
      </w:r>
    </w:p>
    <w:p w14:paraId="19DC1AEB">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电子信箱：</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电子信箱：</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0020"/>
      </w:r>
    </w:p>
    <w:p w14:paraId="6B67B9BA">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开户银行：</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开户银行：</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0020"/>
      </w:r>
    </w:p>
    <w:p w14:paraId="6D212CF9">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账  号：</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账 号：</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p>
    <w:p w14:paraId="2D528BCF">
      <w:pPr>
        <w:shd w:val="clear"/>
        <w:rPr>
          <w:rFonts w:hint="eastAsia" w:asciiTheme="minorEastAsia" w:hAnsiTheme="minorEastAsia" w:eastAsiaTheme="minorEastAsia" w:cstheme="minorEastAsia"/>
          <w:color w:val="auto"/>
          <w:sz w:val="24"/>
          <w:szCs w:val="24"/>
          <w:highlight w:val="none"/>
        </w:rPr>
      </w:pPr>
    </w:p>
    <w:p w14:paraId="0C6A4D8E">
      <w:pPr>
        <w:shd w:val="clear"/>
        <w:rPr>
          <w:rFonts w:hint="eastAsia" w:asciiTheme="minorEastAsia" w:hAnsiTheme="minorEastAsia" w:eastAsiaTheme="minorEastAsia" w:cstheme="minorEastAsia"/>
          <w:color w:val="auto"/>
          <w:sz w:val="24"/>
          <w:szCs w:val="24"/>
          <w:highlight w:val="none"/>
        </w:rPr>
      </w:pPr>
    </w:p>
    <w:p w14:paraId="39234A65">
      <w:pPr>
        <w:pStyle w:val="89"/>
        <w:rPr>
          <w:rFonts w:hint="eastAsia" w:asciiTheme="minorEastAsia" w:hAnsiTheme="minorEastAsia" w:eastAsiaTheme="minorEastAsia" w:cstheme="minorEastAsia"/>
          <w:color w:val="auto"/>
          <w:sz w:val="24"/>
          <w:szCs w:val="24"/>
          <w:highlight w:val="none"/>
        </w:rPr>
      </w:pPr>
    </w:p>
    <w:p w14:paraId="59C24CB8">
      <w:pPr>
        <w:pStyle w:val="89"/>
        <w:rPr>
          <w:rFonts w:hint="eastAsia" w:asciiTheme="minorEastAsia" w:hAnsiTheme="minorEastAsia" w:eastAsiaTheme="minorEastAsia" w:cstheme="minorEastAsia"/>
          <w:color w:val="auto"/>
          <w:sz w:val="24"/>
          <w:szCs w:val="24"/>
          <w:highlight w:val="none"/>
        </w:rPr>
      </w:pPr>
    </w:p>
    <w:p w14:paraId="39FCE9A8">
      <w:pPr>
        <w:pStyle w:val="89"/>
        <w:rPr>
          <w:rFonts w:hint="eastAsia" w:asciiTheme="minorEastAsia" w:hAnsiTheme="minorEastAsia" w:eastAsiaTheme="minorEastAsia" w:cstheme="minorEastAsia"/>
          <w:color w:val="auto"/>
          <w:sz w:val="24"/>
          <w:szCs w:val="24"/>
          <w:highlight w:val="none"/>
        </w:rPr>
      </w:pPr>
    </w:p>
    <w:p w14:paraId="1A0BC66E">
      <w:pPr>
        <w:pStyle w:val="89"/>
        <w:rPr>
          <w:rFonts w:hint="eastAsia" w:asciiTheme="minorEastAsia" w:hAnsiTheme="minorEastAsia" w:eastAsiaTheme="minorEastAsia" w:cstheme="minorEastAsia"/>
          <w:color w:val="auto"/>
          <w:sz w:val="24"/>
          <w:szCs w:val="24"/>
          <w:highlight w:val="none"/>
        </w:rPr>
      </w:pPr>
    </w:p>
    <w:p w14:paraId="26AD24F9">
      <w:pPr>
        <w:pStyle w:val="89"/>
        <w:rPr>
          <w:rFonts w:hint="eastAsia" w:asciiTheme="minorEastAsia" w:hAnsiTheme="minorEastAsia" w:eastAsiaTheme="minorEastAsia" w:cstheme="minorEastAsia"/>
          <w:color w:val="auto"/>
          <w:sz w:val="24"/>
          <w:szCs w:val="24"/>
          <w:highlight w:val="none"/>
        </w:rPr>
      </w:pPr>
    </w:p>
    <w:p w14:paraId="7B9DA6D1">
      <w:pPr>
        <w:pStyle w:val="89"/>
        <w:rPr>
          <w:rFonts w:hint="eastAsia" w:asciiTheme="minorEastAsia" w:hAnsiTheme="minorEastAsia" w:eastAsiaTheme="minorEastAsia" w:cstheme="minorEastAsia"/>
          <w:color w:val="auto"/>
          <w:sz w:val="24"/>
          <w:szCs w:val="24"/>
          <w:highlight w:val="none"/>
        </w:rPr>
      </w:pPr>
    </w:p>
    <w:p w14:paraId="2CE9B980">
      <w:pPr>
        <w:pStyle w:val="89"/>
        <w:rPr>
          <w:rFonts w:hint="eastAsia" w:asciiTheme="minorEastAsia" w:hAnsiTheme="minorEastAsia" w:eastAsiaTheme="minorEastAsia" w:cstheme="minorEastAsia"/>
          <w:color w:val="auto"/>
          <w:sz w:val="24"/>
          <w:szCs w:val="24"/>
          <w:highlight w:val="none"/>
        </w:rPr>
      </w:pPr>
    </w:p>
    <w:p w14:paraId="6DADD595">
      <w:pPr>
        <w:pStyle w:val="7"/>
        <w:jc w:val="center"/>
        <w:rPr>
          <w:rFonts w:hint="eastAsia" w:asciiTheme="minorEastAsia" w:hAnsiTheme="minorEastAsia" w:eastAsiaTheme="minorEastAsia" w:cstheme="minorEastAsia"/>
          <w:color w:val="auto"/>
          <w:sz w:val="24"/>
          <w:szCs w:val="24"/>
          <w:highlight w:val="none"/>
        </w:rPr>
      </w:pPr>
      <w:bookmarkStart w:id="138" w:name="_Toc506357959"/>
      <w:r>
        <w:rPr>
          <w:rFonts w:hint="eastAsia" w:asciiTheme="minorEastAsia" w:hAnsiTheme="minorEastAsia" w:eastAsiaTheme="minorEastAsia" w:cstheme="minorEastAsia"/>
          <w:color w:val="auto"/>
          <w:sz w:val="24"/>
          <w:szCs w:val="24"/>
          <w:highlight w:val="none"/>
        </w:rPr>
        <w:t>第二部分 通用合同条款</w:t>
      </w:r>
      <w:bookmarkEnd w:id="138"/>
    </w:p>
    <w:p w14:paraId="7D288D67">
      <w:pPr>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（通用合同条款与GF—2017—0201版本一致）</w:t>
      </w:r>
    </w:p>
    <w:p w14:paraId="6F07527A">
      <w:pPr>
        <w:pStyle w:val="7"/>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第三部分 专用合同条款</w:t>
      </w:r>
    </w:p>
    <w:p w14:paraId="73A83C07">
      <w:pPr>
        <w:pStyle w:val="8"/>
        <w:pageBreakBefore w:val="0"/>
        <w:kinsoku/>
        <w:wordWrap/>
        <w:overflowPunct/>
        <w:topLinePunct w:val="0"/>
        <w:bidi w:val="0"/>
        <w:snapToGrid/>
        <w:spacing w:before="0" w:after="0" w:line="360" w:lineRule="auto"/>
        <w:textAlignment w:val="auto"/>
        <w:rPr>
          <w:rFonts w:hint="eastAsia" w:asciiTheme="minorEastAsia" w:hAnsiTheme="minorEastAsia" w:eastAsiaTheme="minorEastAsia" w:cstheme="minorEastAsia"/>
          <w:b w:val="0"/>
          <w:color w:val="auto"/>
          <w:sz w:val="24"/>
          <w:szCs w:val="24"/>
          <w:highlight w:val="none"/>
        </w:rPr>
      </w:pPr>
      <w:bookmarkStart w:id="139" w:name="_Toc351203633"/>
      <w:bookmarkStart w:id="140" w:name="_Toc267251509"/>
      <w:bookmarkStart w:id="141" w:name="_Toc267251514"/>
      <w:bookmarkStart w:id="142" w:name="_Toc267251510"/>
      <w:bookmarkStart w:id="143" w:name="_Toc267251515"/>
      <w:bookmarkStart w:id="144" w:name="_Toc267251513"/>
      <w:bookmarkStart w:id="145" w:name="_Toc267251511"/>
      <w:r>
        <w:rPr>
          <w:rFonts w:hint="eastAsia" w:asciiTheme="minorEastAsia" w:hAnsiTheme="minorEastAsia" w:eastAsiaTheme="minorEastAsia" w:cstheme="minorEastAsia"/>
          <w:b w:val="0"/>
          <w:color w:val="auto"/>
          <w:sz w:val="24"/>
          <w:szCs w:val="24"/>
          <w:highlight w:val="none"/>
        </w:rPr>
        <w:t>1</w:t>
      </w:r>
      <w:bookmarkStart w:id="146" w:name="_Toc292559866"/>
      <w:bookmarkStart w:id="147" w:name="_Toc292559361"/>
      <w:bookmarkStart w:id="148" w:name="_Toc296944495"/>
      <w:bookmarkStart w:id="149" w:name="_Toc296891196"/>
      <w:bookmarkStart w:id="150" w:name="_Toc297120456"/>
      <w:bookmarkStart w:id="151" w:name="_Toc296347155"/>
      <w:bookmarkStart w:id="152" w:name="_Toc296503156"/>
      <w:bookmarkStart w:id="153" w:name="_Toc296346657"/>
      <w:bookmarkStart w:id="154" w:name="_Toc296890984"/>
      <w:bookmarkStart w:id="155" w:name="_Toc297048342"/>
      <w:r>
        <w:rPr>
          <w:rFonts w:hint="eastAsia" w:asciiTheme="minorEastAsia" w:hAnsiTheme="minorEastAsia" w:eastAsiaTheme="minorEastAsia" w:cstheme="minorEastAsia"/>
          <w:b w:val="0"/>
          <w:color w:val="auto"/>
          <w:sz w:val="24"/>
          <w:szCs w:val="24"/>
          <w:highlight w:val="none"/>
        </w:rPr>
        <w:t>. 一般约定</w:t>
      </w:r>
      <w:bookmarkEnd w:id="139"/>
    </w:p>
    <w:bookmarkEnd w:id="146"/>
    <w:bookmarkEnd w:id="147"/>
    <w:bookmarkEnd w:id="148"/>
    <w:bookmarkEnd w:id="149"/>
    <w:bookmarkEnd w:id="150"/>
    <w:bookmarkEnd w:id="151"/>
    <w:bookmarkEnd w:id="152"/>
    <w:bookmarkEnd w:id="153"/>
    <w:bookmarkEnd w:id="154"/>
    <w:bookmarkEnd w:id="155"/>
    <w:p w14:paraId="22E9C9A2">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 词语定义</w:t>
      </w:r>
    </w:p>
    <w:p w14:paraId="6F21236D">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1.1.1合同</w:t>
      </w:r>
    </w:p>
    <w:p w14:paraId="4168A70A">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1.1.1.10其他合同文件包括：</w:t>
      </w:r>
      <w:r>
        <w:rPr>
          <w:rFonts w:hint="eastAsia" w:asciiTheme="minorEastAsia" w:hAnsiTheme="minorEastAsia" w:eastAsiaTheme="minorEastAsia" w:cstheme="minorEastAsia"/>
          <w:b/>
          <w:color w:val="auto"/>
          <w:sz w:val="24"/>
          <w:szCs w:val="24"/>
          <w:highlight w:val="none"/>
          <w:u w:val="single"/>
        </w:rPr>
        <w:t>履行合同过程中双方负责人（或双方工地代表人）书面确认的对合同内容有实质性影响会议纪要、签证、设计变更等资料</w:t>
      </w:r>
      <w:r>
        <w:rPr>
          <w:rFonts w:hint="eastAsia" w:asciiTheme="minorEastAsia" w:hAnsiTheme="minorEastAsia" w:eastAsiaTheme="minorEastAsia" w:cstheme="minorEastAsia"/>
          <w:b/>
          <w:color w:val="auto"/>
          <w:sz w:val="24"/>
          <w:szCs w:val="24"/>
          <w:highlight w:val="none"/>
        </w:rPr>
        <w:t>。</w:t>
      </w:r>
    </w:p>
    <w:p w14:paraId="237549B7">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1.3法律 </w:t>
      </w:r>
    </w:p>
    <w:p w14:paraId="587A8F3A">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适用于合同的其他规范性文件：</w:t>
      </w:r>
      <w:r>
        <w:rPr>
          <w:rFonts w:hint="eastAsia" w:asciiTheme="minorEastAsia" w:hAnsiTheme="minorEastAsia" w:eastAsiaTheme="minorEastAsia" w:cstheme="minorEastAsia"/>
          <w:b/>
          <w:color w:val="auto"/>
          <w:sz w:val="24"/>
          <w:szCs w:val="24"/>
          <w:highlight w:val="none"/>
          <w:u w:val="single"/>
        </w:rPr>
        <w:t>《中华人民共和国建筑法》、《中华人民共和国</w:t>
      </w:r>
      <w:r>
        <w:rPr>
          <w:rFonts w:hint="eastAsia" w:asciiTheme="minorEastAsia" w:hAnsiTheme="minorEastAsia" w:eastAsiaTheme="minorEastAsia" w:cstheme="minorEastAsia"/>
          <w:b/>
          <w:color w:val="auto"/>
          <w:sz w:val="24"/>
          <w:szCs w:val="24"/>
          <w:highlight w:val="none"/>
          <w:u w:val="single"/>
          <w:lang w:val="en-US" w:eastAsia="zh-CN"/>
        </w:rPr>
        <w:t>民法典</w:t>
      </w:r>
      <w:r>
        <w:rPr>
          <w:rFonts w:hint="eastAsia" w:asciiTheme="minorEastAsia" w:hAnsiTheme="minorEastAsia" w:eastAsiaTheme="minorEastAsia" w:cstheme="minorEastAsia"/>
          <w:b/>
          <w:color w:val="auto"/>
          <w:sz w:val="24"/>
          <w:szCs w:val="24"/>
          <w:highlight w:val="none"/>
          <w:u w:val="single"/>
        </w:rPr>
        <w:t>》、《民法通则》、《云南省建设工程造价管理条例》及现行相关政策法规</w:t>
      </w:r>
      <w:r>
        <w:rPr>
          <w:rFonts w:hint="eastAsia" w:asciiTheme="minorEastAsia" w:hAnsiTheme="minorEastAsia" w:eastAsiaTheme="minorEastAsia" w:cstheme="minorEastAsia"/>
          <w:b/>
          <w:color w:val="auto"/>
          <w:sz w:val="24"/>
          <w:szCs w:val="24"/>
          <w:highlight w:val="none"/>
          <w:u w:val="single"/>
          <w:lang w:eastAsia="zh-CN"/>
        </w:rPr>
        <w:t>，</w:t>
      </w:r>
      <w:r>
        <w:rPr>
          <w:rFonts w:hint="eastAsia" w:asciiTheme="minorEastAsia" w:hAnsiTheme="minorEastAsia" w:eastAsiaTheme="minorEastAsia" w:cstheme="minorEastAsia"/>
          <w:b/>
          <w:color w:val="auto"/>
          <w:sz w:val="24"/>
          <w:szCs w:val="24"/>
          <w:highlight w:val="none"/>
          <w:u w:val="single"/>
        </w:rPr>
        <w:t>国家或省级、行业建设行政主管部门颁发的计价依据和办法。</w:t>
      </w:r>
    </w:p>
    <w:p w14:paraId="2BE0EB1E">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 标准和规范</w:t>
      </w:r>
    </w:p>
    <w:p w14:paraId="1CEB65F6">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1.4.1适用于工程的标准规范包括：</w:t>
      </w:r>
      <w:r>
        <w:rPr>
          <w:rFonts w:hint="eastAsia" w:asciiTheme="minorEastAsia" w:hAnsiTheme="minorEastAsia" w:eastAsiaTheme="minorEastAsia" w:cstheme="minorEastAsia"/>
          <w:b/>
          <w:color w:val="auto"/>
          <w:sz w:val="24"/>
          <w:szCs w:val="24"/>
          <w:highlight w:val="none"/>
          <w:u w:val="single"/>
        </w:rPr>
        <w:t>国家现行建筑安装工程各类施工质量验收规范及验评标准和建设工程项目管理条例。</w:t>
      </w:r>
    </w:p>
    <w:p w14:paraId="36D4008B">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1.4.2 发包人提供国外标准、规范的名称：</w:t>
      </w:r>
      <w:r>
        <w:rPr>
          <w:rFonts w:hint="eastAsia" w:asciiTheme="minorEastAsia" w:hAnsiTheme="minorEastAsia" w:eastAsiaTheme="minorEastAsia" w:cstheme="minorEastAsia"/>
          <w:color w:val="auto"/>
          <w:kern w:val="0"/>
          <w:sz w:val="24"/>
          <w:szCs w:val="24"/>
          <w:highlight w:val="none"/>
          <w:u w:val="single"/>
        </w:rPr>
        <w:t>/</w:t>
      </w:r>
      <w:r>
        <w:rPr>
          <w:rFonts w:hint="eastAsia" w:asciiTheme="minorEastAsia" w:hAnsiTheme="minorEastAsia" w:eastAsiaTheme="minorEastAsia" w:cstheme="minorEastAsia"/>
          <w:color w:val="auto"/>
          <w:kern w:val="0"/>
          <w:sz w:val="24"/>
          <w:szCs w:val="24"/>
          <w:highlight w:val="none"/>
        </w:rPr>
        <w:t>；</w:t>
      </w:r>
    </w:p>
    <w:p w14:paraId="420F7379">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发包人提供国外标准、规范的份数：</w:t>
      </w:r>
      <w:r>
        <w:rPr>
          <w:rFonts w:hint="eastAsia" w:asciiTheme="minorEastAsia" w:hAnsiTheme="minorEastAsia" w:eastAsiaTheme="minorEastAsia" w:cstheme="minorEastAsia"/>
          <w:color w:val="auto"/>
          <w:kern w:val="0"/>
          <w:sz w:val="24"/>
          <w:szCs w:val="24"/>
          <w:highlight w:val="none"/>
          <w:u w:val="single"/>
        </w:rPr>
        <w:t>/</w:t>
      </w:r>
      <w:r>
        <w:rPr>
          <w:rFonts w:hint="eastAsia" w:asciiTheme="minorEastAsia" w:hAnsiTheme="minorEastAsia" w:eastAsiaTheme="minorEastAsia" w:cstheme="minorEastAsia"/>
          <w:color w:val="auto"/>
          <w:kern w:val="0"/>
          <w:sz w:val="24"/>
          <w:szCs w:val="24"/>
          <w:highlight w:val="none"/>
        </w:rPr>
        <w:t>；</w:t>
      </w:r>
    </w:p>
    <w:p w14:paraId="2773132B">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发包人提供国外标准、规范的名称：</w:t>
      </w:r>
      <w:r>
        <w:rPr>
          <w:rFonts w:hint="eastAsia" w:asciiTheme="minorEastAsia" w:hAnsiTheme="minorEastAsia" w:eastAsiaTheme="minorEastAsia" w:cstheme="minorEastAsia"/>
          <w:color w:val="auto"/>
          <w:kern w:val="0"/>
          <w:sz w:val="24"/>
          <w:szCs w:val="24"/>
          <w:highlight w:val="none"/>
          <w:u w:val="single"/>
        </w:rPr>
        <w:t>/</w:t>
      </w:r>
      <w:r>
        <w:rPr>
          <w:rFonts w:hint="eastAsia" w:asciiTheme="minorEastAsia" w:hAnsiTheme="minorEastAsia" w:eastAsiaTheme="minorEastAsia" w:cstheme="minorEastAsia"/>
          <w:color w:val="auto"/>
          <w:kern w:val="0"/>
          <w:sz w:val="24"/>
          <w:szCs w:val="24"/>
          <w:highlight w:val="none"/>
        </w:rPr>
        <w:t>；</w:t>
      </w:r>
    </w:p>
    <w:p w14:paraId="528D2880">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1.4.3发包人对工程的技术标准和功能要求的特殊要求：</w:t>
      </w:r>
      <w:r>
        <w:rPr>
          <w:rFonts w:hint="eastAsia" w:asciiTheme="minorEastAsia" w:hAnsiTheme="minorEastAsia" w:eastAsiaTheme="minorEastAsia" w:cstheme="minorEastAsia"/>
          <w:color w:val="auto"/>
          <w:kern w:val="0"/>
          <w:sz w:val="24"/>
          <w:szCs w:val="24"/>
          <w:highlight w:val="none"/>
          <w:u w:val="single"/>
        </w:rPr>
        <w:t>/</w:t>
      </w:r>
      <w:r>
        <w:rPr>
          <w:rFonts w:hint="eastAsia" w:asciiTheme="minorEastAsia" w:hAnsiTheme="minorEastAsia" w:eastAsiaTheme="minorEastAsia" w:cstheme="minorEastAsia"/>
          <w:color w:val="auto"/>
          <w:kern w:val="0"/>
          <w:sz w:val="24"/>
          <w:szCs w:val="24"/>
          <w:highlight w:val="none"/>
        </w:rPr>
        <w:t>；</w:t>
      </w:r>
    </w:p>
    <w:p w14:paraId="02941A0A">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 合同文件的优先顺序</w:t>
      </w:r>
    </w:p>
    <w:p w14:paraId="76572756">
      <w:pPr>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合同文件组成及优先顺序为：</w:t>
      </w:r>
      <w:r>
        <w:rPr>
          <w:rFonts w:hint="eastAsia" w:asciiTheme="minorEastAsia" w:hAnsiTheme="minorEastAsia" w:eastAsiaTheme="minorEastAsia" w:cstheme="minorEastAsia"/>
          <w:b/>
          <w:color w:val="auto"/>
          <w:sz w:val="24"/>
          <w:szCs w:val="24"/>
          <w:highlight w:val="none"/>
          <w:u w:val="single"/>
        </w:rPr>
        <w:t>按通用条款1.5条执行。</w:t>
      </w:r>
    </w:p>
    <w:p w14:paraId="42C40E66">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 图纸和承包人文件</w:t>
      </w:r>
      <w:r>
        <w:rPr>
          <w:rFonts w:hint="eastAsia" w:asciiTheme="minorEastAsia" w:hAnsiTheme="minorEastAsia" w:eastAsiaTheme="minorEastAsia" w:cstheme="minorEastAsia"/>
          <w:color w:val="auto"/>
          <w:sz w:val="24"/>
          <w:szCs w:val="24"/>
          <w:highlight w:val="none"/>
        </w:rPr>
        <w:tab/>
      </w:r>
    </w:p>
    <w:p w14:paraId="26316C6E">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1.6.1 图纸的提供</w:t>
      </w:r>
    </w:p>
    <w:p w14:paraId="1CA25DD1">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发包人向承包人提供图纸的数量：</w:t>
      </w:r>
      <w:r>
        <w:rPr>
          <w:rFonts w:hint="eastAsia" w:asciiTheme="minorEastAsia" w:hAnsiTheme="minorEastAsia" w:eastAsiaTheme="minorEastAsia" w:cstheme="minorEastAsia"/>
          <w:b/>
          <w:color w:val="auto"/>
          <w:sz w:val="24"/>
          <w:szCs w:val="24"/>
          <w:highlight w:val="none"/>
          <w:u w:val="single"/>
        </w:rPr>
        <w:sym w:font="宋体" w:char="E5E5"/>
      </w:r>
      <w:r>
        <w:rPr>
          <w:rFonts w:hint="eastAsia" w:asciiTheme="minorEastAsia" w:hAnsiTheme="minorEastAsia" w:eastAsiaTheme="minorEastAsia" w:cstheme="minorEastAsia"/>
          <w:b/>
          <w:color w:val="auto"/>
          <w:sz w:val="24"/>
          <w:szCs w:val="24"/>
          <w:highlight w:val="none"/>
          <w:u w:val="single"/>
        </w:rPr>
        <w:t>开工前14天提供满足施工要求的完整图纸5套及完整电子版。</w:t>
      </w:r>
    </w:p>
    <w:p w14:paraId="6667C4F5">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b/>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rPr>
        <w:t>发包人向承包人提供图纸的内容：</w:t>
      </w:r>
      <w:r>
        <w:rPr>
          <w:rFonts w:hint="eastAsia" w:asciiTheme="minorEastAsia" w:hAnsiTheme="minorEastAsia" w:eastAsiaTheme="minorEastAsia" w:cstheme="minorEastAsia"/>
          <w:b/>
          <w:color w:val="auto"/>
          <w:sz w:val="24"/>
          <w:szCs w:val="24"/>
          <w:highlight w:val="none"/>
          <w:u w:val="single"/>
        </w:rPr>
        <w:t>承包范围内的施工图。承包范围外的施工图，发包人可以根据需要提供。</w:t>
      </w:r>
    </w:p>
    <w:p w14:paraId="5AE89EF0">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1.7 联络</w:t>
      </w:r>
    </w:p>
    <w:p w14:paraId="4A6568C3">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1.7.1发包人和承包人应当在</w:t>
      </w:r>
      <w:r>
        <w:rPr>
          <w:rFonts w:hint="eastAsia" w:asciiTheme="minorEastAsia" w:hAnsiTheme="minorEastAsia" w:eastAsiaTheme="minorEastAsia" w:cstheme="minorEastAsia"/>
          <w:b/>
          <w:color w:val="auto"/>
          <w:sz w:val="24"/>
          <w:szCs w:val="24"/>
          <w:highlight w:val="none"/>
          <w:u w:val="single"/>
        </w:rPr>
        <w:t>7</w:t>
      </w:r>
      <w:r>
        <w:rPr>
          <w:rFonts w:hint="eastAsia" w:asciiTheme="minorEastAsia" w:hAnsiTheme="minorEastAsia" w:eastAsiaTheme="minorEastAsia" w:cstheme="minorEastAsia"/>
          <w:color w:val="auto"/>
          <w:kern w:val="0"/>
          <w:sz w:val="24"/>
          <w:szCs w:val="24"/>
          <w:highlight w:val="none"/>
        </w:rPr>
        <w:t>天内将与合同有关的通知、批准、证明、证书、指示、指令、要求、请求、同意、意见、确定和决定等书面函件送达对方当事人。</w:t>
      </w:r>
    </w:p>
    <w:p w14:paraId="1F9E6C1B">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1.7.2 发包人接收文件的地点：</w:t>
      </w:r>
      <w:r>
        <w:rPr>
          <w:rFonts w:hint="eastAsia" w:asciiTheme="minorEastAsia" w:hAnsiTheme="minorEastAsia" w:eastAsiaTheme="minorEastAsia" w:cstheme="minorEastAsia"/>
          <w:b/>
          <w:color w:val="auto"/>
          <w:sz w:val="24"/>
          <w:szCs w:val="24"/>
          <w:highlight w:val="none"/>
          <w:u w:val="single"/>
        </w:rPr>
        <w:t>项目所在地发包人项目部办公室</w:t>
      </w:r>
      <w:r>
        <w:rPr>
          <w:rFonts w:hint="eastAsia" w:asciiTheme="minorEastAsia" w:hAnsiTheme="minorEastAsia" w:eastAsiaTheme="minorEastAsia" w:cstheme="minorEastAsia"/>
          <w:b/>
          <w:color w:val="auto"/>
          <w:kern w:val="0"/>
          <w:sz w:val="24"/>
          <w:szCs w:val="24"/>
          <w:highlight w:val="none"/>
        </w:rPr>
        <w:t>；</w:t>
      </w:r>
    </w:p>
    <w:p w14:paraId="335DCF69">
      <w:pPr>
        <w:pageBreakBefore w:val="0"/>
        <w:kinsoku/>
        <w:wordWrap/>
        <w:overflowPunct/>
        <w:topLinePunct w:val="0"/>
        <w:bidi w:val="0"/>
        <w:snapToGrid/>
        <w:spacing w:line="360" w:lineRule="auto"/>
        <w:ind w:firstLine="480" w:firstLineChars="200"/>
        <w:textAlignment w:val="auto"/>
        <w:rPr>
          <w:rFonts w:hint="default" w:asciiTheme="minorEastAsia" w:hAnsiTheme="minorEastAsia" w:eastAsiaTheme="minorEastAsia" w:cstheme="minorEastAsia"/>
          <w:b/>
          <w:color w:val="auto"/>
          <w:sz w:val="24"/>
          <w:szCs w:val="24"/>
          <w:highlight w:val="none"/>
          <w:u w:val="single"/>
          <w:lang w:val="en-US" w:eastAsia="zh-CN"/>
        </w:rPr>
      </w:pPr>
      <w:r>
        <w:rPr>
          <w:rFonts w:hint="eastAsia" w:asciiTheme="minorEastAsia" w:hAnsiTheme="minorEastAsia" w:eastAsiaTheme="minorEastAsia" w:cstheme="minorEastAsia"/>
          <w:color w:val="auto"/>
          <w:kern w:val="0"/>
          <w:sz w:val="24"/>
          <w:szCs w:val="24"/>
          <w:highlight w:val="none"/>
        </w:rPr>
        <w:t>发包人指定的接收人为：</w:t>
      </w:r>
      <w:r>
        <w:rPr>
          <w:rFonts w:hint="eastAsia" w:asciiTheme="minorEastAsia" w:hAnsiTheme="minorEastAsia" w:eastAsiaTheme="minorEastAsia" w:cstheme="minorEastAsia"/>
          <w:b/>
          <w:color w:val="auto"/>
          <w:sz w:val="24"/>
          <w:szCs w:val="24"/>
          <w:highlight w:val="none"/>
          <w:u w:val="single"/>
          <w:lang w:val="en-US" w:eastAsia="zh-CN"/>
        </w:rPr>
        <w:t xml:space="preserve">          。</w:t>
      </w:r>
    </w:p>
    <w:p w14:paraId="4EC725A7">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rPr>
        <w:t>发包人接收文件的方式：</w:t>
      </w:r>
      <w:r>
        <w:rPr>
          <w:rFonts w:hint="eastAsia" w:asciiTheme="minorEastAsia" w:hAnsiTheme="minorEastAsia" w:eastAsiaTheme="minorEastAsia" w:cstheme="minorEastAsia"/>
          <w:b/>
          <w:bCs/>
          <w:color w:val="auto"/>
          <w:kern w:val="0"/>
          <w:sz w:val="24"/>
          <w:szCs w:val="24"/>
          <w:highlight w:val="none"/>
          <w:u w:val="single"/>
        </w:rPr>
        <w:t>现场送达或电子邮件</w:t>
      </w:r>
      <w:r>
        <w:rPr>
          <w:rFonts w:hint="eastAsia" w:asciiTheme="minorEastAsia" w:hAnsiTheme="minorEastAsia" w:eastAsiaTheme="minorEastAsia" w:cstheme="minorEastAsia"/>
          <w:b/>
          <w:bCs/>
          <w:color w:val="auto"/>
          <w:kern w:val="0"/>
          <w:sz w:val="24"/>
          <w:szCs w:val="24"/>
          <w:highlight w:val="none"/>
          <w:u w:val="single"/>
          <w:lang w:eastAsia="zh-CN"/>
        </w:rPr>
        <w:t>；</w:t>
      </w:r>
    </w:p>
    <w:p w14:paraId="79AF7020">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承包人接收文件的地点：</w:t>
      </w:r>
      <w:r>
        <w:rPr>
          <w:rFonts w:hint="eastAsia" w:asciiTheme="minorEastAsia" w:hAnsiTheme="minorEastAsia" w:eastAsiaTheme="minorEastAsia" w:cstheme="minorEastAsia"/>
          <w:b/>
          <w:color w:val="auto"/>
          <w:sz w:val="24"/>
          <w:szCs w:val="24"/>
          <w:highlight w:val="none"/>
          <w:u w:val="single"/>
        </w:rPr>
        <w:t>项目所在地承包人项目部</w:t>
      </w:r>
      <w:r>
        <w:rPr>
          <w:rFonts w:hint="eastAsia" w:asciiTheme="minorEastAsia" w:hAnsiTheme="minorEastAsia" w:eastAsiaTheme="minorEastAsia" w:cstheme="minorEastAsia"/>
          <w:b/>
          <w:color w:val="auto"/>
          <w:kern w:val="0"/>
          <w:sz w:val="24"/>
          <w:szCs w:val="24"/>
          <w:highlight w:val="none"/>
        </w:rPr>
        <w:t>；</w:t>
      </w:r>
    </w:p>
    <w:p w14:paraId="720DEE9E">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color w:val="auto"/>
          <w:kern w:val="0"/>
          <w:sz w:val="24"/>
          <w:szCs w:val="24"/>
          <w:highlight w:val="none"/>
        </w:rPr>
        <w:t>承包人指定的接收人为：</w:t>
      </w:r>
      <w:r>
        <w:rPr>
          <w:rFonts w:hint="eastAsia" w:asciiTheme="minorEastAsia" w:hAnsiTheme="minorEastAsia" w:eastAsiaTheme="minorEastAsia" w:cstheme="minorEastAsia"/>
          <w:b/>
          <w:color w:val="auto"/>
          <w:sz w:val="24"/>
          <w:szCs w:val="24"/>
          <w:highlight w:val="none"/>
          <w:u w:val="single"/>
          <w:lang w:val="en-US" w:eastAsia="zh-CN"/>
        </w:rPr>
        <w:t xml:space="preserve">         。</w:t>
      </w:r>
      <w:r>
        <w:rPr>
          <w:rFonts w:hint="eastAsia" w:asciiTheme="minorEastAsia" w:hAnsiTheme="minorEastAsia" w:eastAsiaTheme="minorEastAsia" w:cstheme="minorEastAsia"/>
          <w:b/>
          <w:color w:val="auto"/>
          <w:sz w:val="24"/>
          <w:szCs w:val="24"/>
          <w:highlight w:val="none"/>
          <w:u w:val="single"/>
        </w:rPr>
        <w:t xml:space="preserve"> </w:t>
      </w:r>
    </w:p>
    <w:p w14:paraId="702A0B5F">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承包人接收文件的方式：</w:t>
      </w:r>
      <w:r>
        <w:rPr>
          <w:rFonts w:hint="eastAsia" w:asciiTheme="minorEastAsia" w:hAnsiTheme="minorEastAsia" w:eastAsiaTheme="minorEastAsia" w:cstheme="minorEastAsia"/>
          <w:color w:val="auto"/>
          <w:kern w:val="0"/>
          <w:sz w:val="24"/>
          <w:szCs w:val="24"/>
          <w:highlight w:val="none"/>
          <w:u w:val="single"/>
        </w:rPr>
        <w:t>现场送达或电子邮件</w:t>
      </w:r>
    </w:p>
    <w:p w14:paraId="7C2A1A45">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 交通运输</w:t>
      </w:r>
    </w:p>
    <w:p w14:paraId="59EAD76E">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bookmarkStart w:id="156" w:name="_Toc318581155"/>
      <w:bookmarkStart w:id="157" w:name="_Toc300934943"/>
      <w:bookmarkStart w:id="158" w:name="_Toc303539100"/>
      <w:bookmarkStart w:id="159" w:name="_Toc312677986"/>
      <w:bookmarkStart w:id="160" w:name="_Toc304295521"/>
      <w:r>
        <w:rPr>
          <w:rFonts w:hint="eastAsia" w:asciiTheme="minorEastAsia" w:hAnsiTheme="minorEastAsia" w:eastAsiaTheme="minorEastAsia" w:cstheme="minorEastAsia"/>
          <w:color w:val="auto"/>
          <w:sz w:val="24"/>
          <w:szCs w:val="24"/>
          <w:highlight w:val="none"/>
        </w:rPr>
        <w:t>.10.1 出入现场的权利</w:t>
      </w:r>
    </w:p>
    <w:p w14:paraId="39B8DE3F">
      <w:pPr>
        <w:pStyle w:val="239"/>
        <w:pageBreakBefore w:val="0"/>
        <w:kinsoku/>
        <w:wordWrap/>
        <w:overflowPunct/>
        <w:topLinePunct w:val="0"/>
        <w:bidi w:val="0"/>
        <w:snapToGrid/>
        <w:spacing w:line="360" w:lineRule="auto"/>
        <w:ind w:left="535" w:leftChars="255" w:firstLine="28" w:firstLineChars="1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关于出入现场的权利的约定：</w:t>
      </w:r>
      <w:bookmarkEnd w:id="156"/>
      <w:bookmarkEnd w:id="157"/>
      <w:bookmarkEnd w:id="158"/>
      <w:bookmarkEnd w:id="159"/>
      <w:bookmarkEnd w:id="160"/>
      <w:r>
        <w:rPr>
          <w:rFonts w:hint="eastAsia" w:asciiTheme="minorEastAsia" w:hAnsiTheme="minorEastAsia" w:eastAsiaTheme="minorEastAsia" w:cstheme="minorEastAsia"/>
          <w:color w:val="auto"/>
          <w:sz w:val="24"/>
          <w:szCs w:val="24"/>
          <w:highlight w:val="none"/>
          <w:u w:val="single"/>
        </w:rPr>
        <w:t>承包人在</w:t>
      </w:r>
      <w:r>
        <w:rPr>
          <w:rFonts w:hint="eastAsia" w:asciiTheme="minorEastAsia" w:hAnsiTheme="minorEastAsia" w:eastAsiaTheme="minorEastAsia" w:cstheme="minorEastAsia"/>
          <w:color w:val="auto"/>
          <w:sz w:val="24"/>
          <w:szCs w:val="24"/>
          <w:highlight w:val="none"/>
          <w:u w:val="single"/>
          <w:lang w:eastAsia="zh-CN"/>
        </w:rPr>
        <w:t>磋商</w:t>
      </w:r>
      <w:r>
        <w:rPr>
          <w:rFonts w:hint="eastAsia" w:asciiTheme="minorEastAsia" w:hAnsiTheme="minorEastAsia" w:eastAsiaTheme="minorEastAsia" w:cstheme="minorEastAsia"/>
          <w:color w:val="auto"/>
          <w:sz w:val="24"/>
          <w:szCs w:val="24"/>
          <w:highlight w:val="none"/>
          <w:u w:val="single"/>
        </w:rPr>
        <w:t>阶段已查勘过施工现场,并根据本工程规模、特点和技术参数，对进出</w:t>
      </w:r>
      <w:r>
        <w:rPr>
          <w:rFonts w:hint="eastAsia" w:asciiTheme="minorEastAsia" w:hAnsiTheme="minorEastAsia" w:eastAsiaTheme="minorEastAsia" w:cstheme="minorEastAsia"/>
          <w:color w:val="auto"/>
          <w:sz w:val="24"/>
          <w:szCs w:val="24"/>
          <w:highlight w:val="none"/>
          <w:u w:val="single"/>
          <w:lang w:val="en-US" w:eastAsia="zh-CN"/>
        </w:rPr>
        <w:t>分阶段施工以及</w:t>
      </w:r>
      <w:r>
        <w:rPr>
          <w:rFonts w:hint="eastAsia" w:asciiTheme="minorEastAsia" w:hAnsiTheme="minorEastAsia" w:eastAsiaTheme="minorEastAsia" w:cstheme="minorEastAsia"/>
          <w:color w:val="auto"/>
          <w:sz w:val="24"/>
          <w:szCs w:val="24"/>
          <w:highlight w:val="none"/>
          <w:u w:val="single"/>
        </w:rPr>
        <w:t>施工现场的方式、手段、路线及工程所在地施工工期内的天气和气候情况作出预估并在报价时充分考虑完善进出场条件所需费用及对工期的影响。签约合同价中已经包含本项目上述措施的费用。由于本项原因导致的延误工期责任由承包人承担</w:t>
      </w:r>
      <w:r>
        <w:rPr>
          <w:rFonts w:hint="eastAsia" w:asciiTheme="minorEastAsia" w:hAnsiTheme="minorEastAsia" w:eastAsiaTheme="minorEastAsia" w:cstheme="minorEastAsia"/>
          <w:color w:val="auto"/>
          <w:sz w:val="24"/>
          <w:szCs w:val="24"/>
          <w:highlight w:val="none"/>
        </w:rPr>
        <w:t>。</w:t>
      </w:r>
    </w:p>
    <w:p w14:paraId="79909BE0">
      <w:pPr>
        <w:pStyle w:val="8"/>
        <w:pageBreakBefore w:val="0"/>
        <w:kinsoku/>
        <w:wordWrap/>
        <w:overflowPunct/>
        <w:topLinePunct w:val="0"/>
        <w:bidi w:val="0"/>
        <w:snapToGrid/>
        <w:spacing w:before="0" w:after="0" w:line="360" w:lineRule="auto"/>
        <w:textAlignment w:val="auto"/>
        <w:rPr>
          <w:rFonts w:hint="eastAsia" w:asciiTheme="minorEastAsia" w:hAnsiTheme="minorEastAsia" w:eastAsiaTheme="minorEastAsia" w:cstheme="minorEastAsia"/>
          <w:b w:val="0"/>
          <w:color w:val="auto"/>
          <w:sz w:val="24"/>
          <w:szCs w:val="24"/>
          <w:highlight w:val="none"/>
        </w:rPr>
      </w:pPr>
      <w:bookmarkStart w:id="161" w:name="_Toc351203634"/>
      <w:r>
        <w:rPr>
          <w:rFonts w:hint="eastAsia" w:asciiTheme="minorEastAsia" w:hAnsiTheme="minorEastAsia" w:eastAsiaTheme="minorEastAsia" w:cstheme="minorEastAsia"/>
          <w:b w:val="0"/>
          <w:color w:val="auto"/>
          <w:sz w:val="24"/>
          <w:szCs w:val="24"/>
          <w:highlight w:val="none"/>
        </w:rPr>
        <w:t>2</w:t>
      </w:r>
      <w:bookmarkStart w:id="162" w:name="_Toc296944496"/>
      <w:bookmarkStart w:id="163" w:name="_Toc296891197"/>
      <w:bookmarkStart w:id="164" w:name="_Toc296890985"/>
      <w:bookmarkStart w:id="165" w:name="_Toc296503157"/>
      <w:bookmarkStart w:id="166" w:name="_Toc296347156"/>
      <w:bookmarkStart w:id="167" w:name="_Toc297120457"/>
      <w:bookmarkStart w:id="168" w:name="_Toc296346658"/>
      <w:bookmarkStart w:id="169" w:name="_Toc292559867"/>
      <w:bookmarkStart w:id="170" w:name="_Toc292559362"/>
      <w:bookmarkStart w:id="171" w:name="_Toc297048343"/>
      <w:r>
        <w:rPr>
          <w:rFonts w:hint="eastAsia" w:asciiTheme="minorEastAsia" w:hAnsiTheme="minorEastAsia" w:eastAsiaTheme="minorEastAsia" w:cstheme="minorEastAsia"/>
          <w:b w:val="0"/>
          <w:color w:val="auto"/>
          <w:sz w:val="24"/>
          <w:szCs w:val="24"/>
          <w:highlight w:val="none"/>
        </w:rPr>
        <w:t>. 发包人</w:t>
      </w:r>
      <w:bookmarkEnd w:id="161"/>
    </w:p>
    <w:bookmarkEnd w:id="162"/>
    <w:bookmarkEnd w:id="163"/>
    <w:bookmarkEnd w:id="164"/>
    <w:bookmarkEnd w:id="165"/>
    <w:bookmarkEnd w:id="166"/>
    <w:bookmarkEnd w:id="167"/>
    <w:bookmarkEnd w:id="168"/>
    <w:bookmarkEnd w:id="169"/>
    <w:bookmarkEnd w:id="170"/>
    <w:bookmarkEnd w:id="171"/>
    <w:p w14:paraId="6C0E7569">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 发包人代表</w:t>
      </w:r>
    </w:p>
    <w:p w14:paraId="64065347">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发包人代表：</w:t>
      </w:r>
    </w:p>
    <w:p w14:paraId="70C0CECF">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姓    名：</w:t>
      </w:r>
      <w:r>
        <w:rPr>
          <w:rFonts w:hint="eastAsia" w:asciiTheme="minorEastAsia" w:hAnsiTheme="minorEastAsia" w:eastAsiaTheme="minorEastAsia" w:cstheme="minorEastAsia"/>
          <w:b/>
          <w:bCs/>
          <w:color w:val="auto"/>
          <w:sz w:val="24"/>
          <w:szCs w:val="24"/>
          <w:highlight w:val="none"/>
          <w:u w:val="single"/>
        </w:rPr>
        <w:sym w:font="宋体" w:char="E5E5"/>
      </w:r>
      <w:r>
        <w:rPr>
          <w:rFonts w:hint="eastAsia" w:asciiTheme="minorEastAsia" w:hAnsiTheme="minorEastAsia" w:eastAsiaTheme="minorEastAsia" w:cstheme="minorEastAsia"/>
          <w:b/>
          <w:bCs/>
          <w:color w:val="auto"/>
          <w:sz w:val="24"/>
          <w:szCs w:val="24"/>
          <w:highlight w:val="none"/>
          <w:u w:val="single"/>
        </w:rPr>
        <w:sym w:font="宋体" w:char="E5E5"/>
      </w:r>
      <w:r>
        <w:rPr>
          <w:rFonts w:hint="eastAsia" w:asciiTheme="minorEastAsia" w:hAnsiTheme="minorEastAsia" w:eastAsiaTheme="minorEastAsia" w:cstheme="minorEastAsia"/>
          <w:b/>
          <w:bCs/>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rPr>
        <w:t>；</w:t>
      </w:r>
    </w:p>
    <w:p w14:paraId="345467B2">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身份证号：</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17724BF2">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职    务：</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b/>
          <w:color w:val="auto"/>
          <w:sz w:val="24"/>
          <w:szCs w:val="24"/>
          <w:highlight w:val="none"/>
          <w:u w:val="single"/>
        </w:rPr>
        <w:t>发包人代表</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rPr>
        <w:t>；</w:t>
      </w:r>
    </w:p>
    <w:p w14:paraId="01DE0CD1">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联系电话：</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370F3ED3">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电子信箱：</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rPr>
        <w:t>；</w:t>
      </w:r>
    </w:p>
    <w:p w14:paraId="7FD7CCD0">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通信地址：</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w:t>
      </w:r>
    </w:p>
    <w:p w14:paraId="0C6D62DF">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发包人对发包人代表的授权范围如下：</w:t>
      </w:r>
      <w:r>
        <w:rPr>
          <w:rFonts w:hint="eastAsia" w:asciiTheme="minorEastAsia" w:hAnsiTheme="minorEastAsia" w:eastAsiaTheme="minorEastAsia" w:cstheme="minorEastAsia"/>
          <w:b/>
          <w:color w:val="auto"/>
          <w:sz w:val="24"/>
          <w:szCs w:val="24"/>
          <w:highlight w:val="none"/>
          <w:u w:val="single"/>
        </w:rPr>
        <w:t>代表发包人履行合同。</w:t>
      </w:r>
    </w:p>
    <w:p w14:paraId="4599A771">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 施工现场、施工条件和基础资料的提供</w:t>
      </w:r>
    </w:p>
    <w:p w14:paraId="020ED12A">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2.4.1 提供施工现场</w:t>
      </w:r>
    </w:p>
    <w:p w14:paraId="193D8F19">
      <w:pPr>
        <w:pageBreakBefore w:val="0"/>
        <w:kinsoku/>
        <w:wordWrap/>
        <w:overflowPunct/>
        <w:topLinePunct w:val="0"/>
        <w:bidi w:val="0"/>
        <w:snapToGrid/>
        <w:spacing w:line="360" w:lineRule="auto"/>
        <w:ind w:firstLine="960" w:firstLineChars="400"/>
        <w:jc w:val="lef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关于发包人移交施工现场的期限要求：</w:t>
      </w:r>
      <w:r>
        <w:rPr>
          <w:rFonts w:hint="eastAsia" w:asciiTheme="minorEastAsia" w:hAnsiTheme="minorEastAsia" w:eastAsiaTheme="minorEastAsia" w:cstheme="minorEastAsia"/>
          <w:b/>
          <w:color w:val="auto"/>
          <w:sz w:val="24"/>
          <w:szCs w:val="24"/>
          <w:highlight w:val="none"/>
          <w:u w:val="single"/>
        </w:rPr>
        <w:sym w:font="宋体" w:char="E5E5"/>
      </w:r>
      <w:r>
        <w:rPr>
          <w:rFonts w:hint="eastAsia" w:asciiTheme="minorEastAsia" w:hAnsiTheme="minorEastAsia" w:eastAsiaTheme="minorEastAsia" w:cstheme="minorEastAsia"/>
          <w:b/>
          <w:color w:val="auto"/>
          <w:sz w:val="24"/>
          <w:szCs w:val="24"/>
          <w:highlight w:val="none"/>
          <w:u w:val="single"/>
        </w:rPr>
        <w:t>已经具备进场条件，分区域提供场地</w:t>
      </w:r>
      <w:r>
        <w:rPr>
          <w:rFonts w:hint="eastAsia" w:asciiTheme="minorEastAsia" w:hAnsiTheme="minorEastAsia" w:eastAsiaTheme="minorEastAsia" w:cstheme="minorEastAsia"/>
          <w:b/>
          <w:color w:val="auto"/>
          <w:sz w:val="24"/>
          <w:szCs w:val="24"/>
          <w:highlight w:val="none"/>
        </w:rPr>
        <w:t>。</w:t>
      </w:r>
    </w:p>
    <w:p w14:paraId="5F22F0E4">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2.4.2 提供施工条件</w:t>
      </w:r>
    </w:p>
    <w:p w14:paraId="763F1391">
      <w:pPr>
        <w:pStyle w:val="239"/>
        <w:pageBreakBefore w:val="0"/>
        <w:kinsoku/>
        <w:wordWrap/>
        <w:overflowPunct/>
        <w:topLinePunct w:val="0"/>
        <w:bidi w:val="0"/>
        <w:snapToGrid/>
        <w:spacing w:line="360" w:lineRule="auto"/>
        <w:ind w:left="420" w:leftChars="200" w:firstLine="480" w:firstLineChars="200"/>
        <w:textAlignment w:val="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关于发包人应负责提供施工所需要的条件，</w:t>
      </w:r>
      <w:r>
        <w:rPr>
          <w:rFonts w:hint="eastAsia" w:asciiTheme="minorEastAsia" w:hAnsiTheme="minorEastAsia" w:eastAsiaTheme="minorEastAsia" w:cstheme="minorEastAsia"/>
          <w:b/>
          <w:color w:val="auto"/>
          <w:sz w:val="24"/>
          <w:szCs w:val="24"/>
          <w:highlight w:val="none"/>
          <w:u w:val="single"/>
        </w:rPr>
        <w:t>临时水、电提供现场内接驳点；进场时现场具有场地内临时道路及片区内道路。</w:t>
      </w:r>
    </w:p>
    <w:p w14:paraId="50A6FDB6">
      <w:pPr>
        <w:pStyle w:val="239"/>
        <w:pageBreakBefore w:val="0"/>
        <w:kinsoku/>
        <w:wordWrap/>
        <w:overflowPunct/>
        <w:topLinePunct w:val="0"/>
        <w:bidi w:val="0"/>
        <w:snapToGrid/>
        <w:spacing w:line="360" w:lineRule="auto"/>
        <w:ind w:left="420" w:leftChars="200" w:firstLine="482" w:firstLineChars="200"/>
        <w:textAlignment w:val="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上述范围外的工作由承包人完成，涉及费用的（如有），承包人在</w:t>
      </w:r>
      <w:r>
        <w:rPr>
          <w:rFonts w:hint="eastAsia" w:asciiTheme="minorEastAsia" w:hAnsiTheme="minorEastAsia" w:eastAsiaTheme="minorEastAsia" w:cstheme="minorEastAsia"/>
          <w:b/>
          <w:color w:val="auto"/>
          <w:sz w:val="24"/>
          <w:szCs w:val="24"/>
          <w:highlight w:val="none"/>
          <w:u w:val="single"/>
          <w:lang w:eastAsia="zh-CN"/>
        </w:rPr>
        <w:t>磋商</w:t>
      </w:r>
      <w:r>
        <w:rPr>
          <w:rFonts w:hint="eastAsia" w:asciiTheme="minorEastAsia" w:hAnsiTheme="minorEastAsia" w:eastAsiaTheme="minorEastAsia" w:cstheme="minorEastAsia"/>
          <w:b/>
          <w:color w:val="auto"/>
          <w:sz w:val="24"/>
          <w:szCs w:val="24"/>
          <w:highlight w:val="none"/>
          <w:u w:val="single"/>
        </w:rPr>
        <w:t>阶段已查勘过施工现场,并根据本工程规模、特点和技术参数在报价中考虑，签约合同价中已包含上述范围外发生的费用。</w:t>
      </w:r>
    </w:p>
    <w:p w14:paraId="0384F5E4">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2.5 资金来源证明及支付担保</w:t>
      </w:r>
    </w:p>
    <w:p w14:paraId="03E2CAE6">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发包人提供资金来源证明的期限要求：</w:t>
      </w:r>
      <w:r>
        <w:rPr>
          <w:rFonts w:hint="eastAsia" w:asciiTheme="minorEastAsia" w:hAnsiTheme="minorEastAsia" w:eastAsiaTheme="minorEastAsia" w:cstheme="minorEastAsia"/>
          <w:b/>
          <w:bCs/>
          <w:color w:val="auto"/>
          <w:sz w:val="24"/>
          <w:szCs w:val="24"/>
          <w:highlight w:val="none"/>
          <w:u w:val="single"/>
        </w:rPr>
        <w:sym w:font="宋体" w:char="E5E5"/>
      </w:r>
      <w:r>
        <w:rPr>
          <w:rFonts w:hint="eastAsia" w:asciiTheme="minorEastAsia" w:hAnsiTheme="minorEastAsia" w:eastAsiaTheme="minorEastAsia" w:cstheme="minorEastAsia"/>
          <w:b/>
          <w:bCs/>
          <w:color w:val="auto"/>
          <w:sz w:val="24"/>
          <w:szCs w:val="24"/>
          <w:highlight w:val="none"/>
          <w:u w:val="single"/>
        </w:rPr>
        <w:t>/</w:t>
      </w:r>
      <w:r>
        <w:rPr>
          <w:rFonts w:hint="eastAsia" w:asciiTheme="minorEastAsia" w:hAnsiTheme="minorEastAsia" w:eastAsiaTheme="minorEastAsia" w:cstheme="minorEastAsia"/>
          <w:b/>
          <w:bCs/>
          <w:color w:val="auto"/>
          <w:sz w:val="24"/>
          <w:szCs w:val="24"/>
          <w:highlight w:val="none"/>
        </w:rPr>
        <w:t>。</w:t>
      </w:r>
    </w:p>
    <w:p w14:paraId="75CA86B1">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发包人是否提供支付担保：</w:t>
      </w:r>
      <w:r>
        <w:rPr>
          <w:rFonts w:hint="eastAsia" w:asciiTheme="minorEastAsia" w:hAnsiTheme="minorEastAsia" w:eastAsiaTheme="minorEastAsia" w:cstheme="minorEastAsia"/>
          <w:b/>
          <w:bCs/>
          <w:color w:val="auto"/>
          <w:sz w:val="24"/>
          <w:szCs w:val="24"/>
          <w:highlight w:val="none"/>
          <w:u w:val="single"/>
        </w:rPr>
        <w:sym w:font="宋体" w:char="E5E5"/>
      </w:r>
      <w:r>
        <w:rPr>
          <w:rFonts w:hint="eastAsia" w:asciiTheme="minorEastAsia" w:hAnsiTheme="minorEastAsia" w:eastAsiaTheme="minorEastAsia" w:cstheme="minorEastAsia"/>
          <w:b/>
          <w:bCs/>
          <w:color w:val="auto"/>
          <w:sz w:val="24"/>
          <w:szCs w:val="24"/>
          <w:highlight w:val="none"/>
          <w:u w:val="single"/>
        </w:rPr>
        <w:t>否</w:t>
      </w:r>
      <w:r>
        <w:rPr>
          <w:rFonts w:hint="eastAsia" w:asciiTheme="minorEastAsia" w:hAnsiTheme="minorEastAsia" w:eastAsiaTheme="minorEastAsia" w:cstheme="minorEastAsia"/>
          <w:b/>
          <w:bCs/>
          <w:color w:val="auto"/>
          <w:sz w:val="24"/>
          <w:szCs w:val="24"/>
          <w:highlight w:val="none"/>
        </w:rPr>
        <w:t>。</w:t>
      </w:r>
    </w:p>
    <w:p w14:paraId="4786FBF5">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发包人提供支付担保的形式：</w:t>
      </w:r>
      <w:r>
        <w:rPr>
          <w:rFonts w:hint="eastAsia" w:asciiTheme="minorEastAsia" w:hAnsiTheme="minorEastAsia" w:eastAsiaTheme="minorEastAsia" w:cstheme="minorEastAsia"/>
          <w:b/>
          <w:bCs/>
          <w:color w:val="auto"/>
          <w:sz w:val="24"/>
          <w:szCs w:val="24"/>
          <w:highlight w:val="none"/>
          <w:u w:val="single"/>
        </w:rPr>
        <w:t>/</w:t>
      </w:r>
      <w:r>
        <w:rPr>
          <w:rFonts w:hint="eastAsia" w:asciiTheme="minorEastAsia" w:hAnsiTheme="minorEastAsia" w:eastAsiaTheme="minorEastAsia" w:cstheme="minorEastAsia"/>
          <w:b/>
          <w:bCs/>
          <w:color w:val="auto"/>
          <w:sz w:val="24"/>
          <w:szCs w:val="24"/>
          <w:highlight w:val="none"/>
        </w:rPr>
        <w:t>。</w:t>
      </w:r>
    </w:p>
    <w:p w14:paraId="25C8AEF8">
      <w:pPr>
        <w:pStyle w:val="8"/>
        <w:pageBreakBefore w:val="0"/>
        <w:kinsoku/>
        <w:wordWrap/>
        <w:overflowPunct/>
        <w:topLinePunct w:val="0"/>
        <w:bidi w:val="0"/>
        <w:snapToGrid/>
        <w:spacing w:before="0" w:after="0" w:line="360" w:lineRule="auto"/>
        <w:textAlignment w:val="auto"/>
        <w:rPr>
          <w:rFonts w:hint="eastAsia" w:asciiTheme="minorEastAsia" w:hAnsiTheme="minorEastAsia" w:eastAsiaTheme="minorEastAsia" w:cstheme="minorEastAsia"/>
          <w:b w:val="0"/>
          <w:color w:val="auto"/>
          <w:sz w:val="24"/>
          <w:szCs w:val="24"/>
          <w:highlight w:val="none"/>
        </w:rPr>
      </w:pPr>
      <w:bookmarkStart w:id="172" w:name="_Toc351203635"/>
      <w:r>
        <w:rPr>
          <w:rFonts w:hint="eastAsia" w:asciiTheme="minorEastAsia" w:hAnsiTheme="minorEastAsia" w:eastAsiaTheme="minorEastAsia" w:cstheme="minorEastAsia"/>
          <w:b w:val="0"/>
          <w:color w:val="auto"/>
          <w:sz w:val="24"/>
          <w:szCs w:val="24"/>
          <w:highlight w:val="none"/>
        </w:rPr>
        <w:t>3</w:t>
      </w:r>
      <w:bookmarkStart w:id="173" w:name="_Toc297048344"/>
      <w:bookmarkStart w:id="174" w:name="_Toc296891198"/>
      <w:bookmarkStart w:id="175" w:name="_Toc296346659"/>
      <w:bookmarkStart w:id="176" w:name="_Toc296347157"/>
      <w:bookmarkStart w:id="177" w:name="_Toc296503158"/>
      <w:bookmarkStart w:id="178" w:name="_Toc292559363"/>
      <w:bookmarkStart w:id="179" w:name="_Toc296890986"/>
      <w:bookmarkStart w:id="180" w:name="_Toc296944497"/>
      <w:bookmarkStart w:id="181" w:name="_Toc292559868"/>
      <w:bookmarkStart w:id="182" w:name="_Toc297120458"/>
      <w:r>
        <w:rPr>
          <w:rFonts w:hint="eastAsia" w:asciiTheme="minorEastAsia" w:hAnsiTheme="minorEastAsia" w:eastAsiaTheme="minorEastAsia" w:cstheme="minorEastAsia"/>
          <w:b w:val="0"/>
          <w:color w:val="auto"/>
          <w:sz w:val="24"/>
          <w:szCs w:val="24"/>
          <w:highlight w:val="none"/>
        </w:rPr>
        <w:t>. 承包人</w:t>
      </w:r>
      <w:bookmarkEnd w:id="172"/>
    </w:p>
    <w:bookmarkEnd w:id="173"/>
    <w:bookmarkEnd w:id="174"/>
    <w:bookmarkEnd w:id="175"/>
    <w:bookmarkEnd w:id="176"/>
    <w:bookmarkEnd w:id="177"/>
    <w:bookmarkEnd w:id="178"/>
    <w:bookmarkEnd w:id="179"/>
    <w:bookmarkEnd w:id="180"/>
    <w:bookmarkEnd w:id="181"/>
    <w:bookmarkEnd w:id="182"/>
    <w:p w14:paraId="1D2D08FC">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 承包人的一般义务</w:t>
      </w:r>
    </w:p>
    <w:p w14:paraId="55ED1CB3">
      <w:pPr>
        <w:pageBreakBefore w:val="0"/>
        <w:kinsoku/>
        <w:wordWrap/>
        <w:overflowPunct/>
        <w:topLinePunct w:val="0"/>
        <w:bidi w:val="0"/>
        <w:snapToGrid/>
        <w:spacing w:line="360" w:lineRule="auto"/>
        <w:ind w:firstLine="240" w:firstLineChars="100"/>
        <w:jc w:val="lef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（5）</w:t>
      </w:r>
      <w:r>
        <w:rPr>
          <w:rFonts w:hint="eastAsia" w:asciiTheme="minorEastAsia" w:hAnsiTheme="minorEastAsia" w:eastAsiaTheme="minorEastAsia" w:cstheme="minorEastAsia"/>
          <w:color w:val="auto"/>
          <w:sz w:val="24"/>
          <w:szCs w:val="24"/>
          <w:highlight w:val="none"/>
        </w:rPr>
        <w:t>承包人提交的竣工资料的内容：</w:t>
      </w:r>
      <w:r>
        <w:rPr>
          <w:rFonts w:hint="eastAsia" w:asciiTheme="minorEastAsia" w:hAnsiTheme="minorEastAsia" w:eastAsiaTheme="minorEastAsia" w:cstheme="minorEastAsia"/>
          <w:b/>
          <w:color w:val="auto"/>
          <w:sz w:val="24"/>
          <w:szCs w:val="24"/>
          <w:highlight w:val="none"/>
          <w:u w:val="single"/>
        </w:rPr>
        <w:t>按工程所在地档案馆的相关要求。</w:t>
      </w:r>
    </w:p>
    <w:p w14:paraId="1E77B1FF">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承包人需要提交的竣工资料套数</w:t>
      </w: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b/>
          <w:color w:val="auto"/>
          <w:sz w:val="24"/>
          <w:szCs w:val="24"/>
          <w:highlight w:val="none"/>
          <w:u w:val="single"/>
        </w:rPr>
        <w:t>按发包人及相关验收机构所需</w:t>
      </w:r>
      <w:r>
        <w:rPr>
          <w:rFonts w:hint="eastAsia" w:asciiTheme="minorEastAsia" w:hAnsiTheme="minorEastAsia" w:eastAsiaTheme="minorEastAsia" w:cstheme="minorEastAsia"/>
          <w:b/>
          <w:color w:val="auto"/>
          <w:sz w:val="24"/>
          <w:szCs w:val="24"/>
          <w:highlight w:val="none"/>
          <w:u w:val="single"/>
          <w:lang w:val="en-US" w:eastAsia="zh-CN"/>
        </w:rPr>
        <w:t>份数</w:t>
      </w:r>
      <w:r>
        <w:rPr>
          <w:rFonts w:hint="eastAsia" w:asciiTheme="minorEastAsia" w:hAnsiTheme="minorEastAsia" w:eastAsiaTheme="minorEastAsia" w:cstheme="minorEastAsia"/>
          <w:b/>
          <w:color w:val="auto"/>
          <w:sz w:val="24"/>
          <w:szCs w:val="24"/>
          <w:highlight w:val="none"/>
          <w:u w:val="single"/>
        </w:rPr>
        <w:t>提供。</w:t>
      </w:r>
    </w:p>
    <w:p w14:paraId="730F1A9B">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承包人提交的竣工资料的费用承担：</w:t>
      </w:r>
      <w:r>
        <w:rPr>
          <w:rFonts w:hint="eastAsia" w:asciiTheme="minorEastAsia" w:hAnsiTheme="minorEastAsia" w:eastAsiaTheme="minorEastAsia" w:cstheme="minorEastAsia"/>
          <w:b/>
          <w:color w:val="auto"/>
          <w:sz w:val="24"/>
          <w:szCs w:val="24"/>
          <w:highlight w:val="none"/>
          <w:u w:val="single"/>
        </w:rPr>
        <w:t>签约合同价中包含由竣工资料产生的（编制、收集、组卷、绘制竣工图、拍摄、增加数量等）所有费用（包括对其他专业施工单位资料的收集、整理、移交工作的费用），发包人不为此再支付费用</w:t>
      </w:r>
      <w:r>
        <w:rPr>
          <w:rFonts w:hint="eastAsia" w:asciiTheme="minorEastAsia" w:hAnsiTheme="minorEastAsia" w:eastAsiaTheme="minorEastAsia" w:cstheme="minorEastAsia"/>
          <w:b/>
          <w:color w:val="auto"/>
          <w:sz w:val="24"/>
          <w:szCs w:val="24"/>
          <w:highlight w:val="none"/>
        </w:rPr>
        <w:t>。</w:t>
      </w:r>
    </w:p>
    <w:p w14:paraId="2E2B7ADE">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承包人提交的竣工资料移交时间：</w:t>
      </w:r>
      <w:r>
        <w:rPr>
          <w:rFonts w:hint="eastAsia" w:asciiTheme="minorEastAsia" w:hAnsiTheme="minorEastAsia" w:eastAsiaTheme="minorEastAsia" w:cstheme="minorEastAsia"/>
          <w:b/>
          <w:color w:val="auto"/>
          <w:sz w:val="24"/>
          <w:szCs w:val="24"/>
          <w:highlight w:val="none"/>
          <w:u w:val="single"/>
        </w:rPr>
        <w:t>工程竣工验收合格后15日内，承包人未在上述期间（限）内提交，每拖延1日，支付违约金1万元并累计计算。</w:t>
      </w:r>
    </w:p>
    <w:p w14:paraId="7BE54C99">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承包人提交的竣工资料形式要求：</w:t>
      </w:r>
      <w:r>
        <w:rPr>
          <w:rFonts w:hint="eastAsia" w:asciiTheme="minorEastAsia" w:hAnsiTheme="minorEastAsia" w:eastAsiaTheme="minorEastAsia" w:cstheme="minorEastAsia"/>
          <w:b/>
          <w:color w:val="auto"/>
          <w:sz w:val="24"/>
          <w:szCs w:val="24"/>
          <w:highlight w:val="none"/>
          <w:u w:val="single"/>
        </w:rPr>
        <w:t>经核验签证后的竣工资料，竣工资料需达到城建档案管理部门的入档要求，书面资料及与书面资料内容一致的电子版资料。</w:t>
      </w:r>
    </w:p>
    <w:p w14:paraId="48E6ADAF">
      <w:pPr>
        <w:pageBreakBefore w:val="0"/>
        <w:kinsoku/>
        <w:wordWrap/>
        <w:overflowPunct/>
        <w:topLinePunct w:val="0"/>
        <w:bidi w:val="0"/>
        <w:snapToGrid/>
        <w:spacing w:line="360" w:lineRule="auto"/>
        <w:ind w:firstLine="240" w:firstLineChars="1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（6）承包人应履行的其他义务：</w:t>
      </w:r>
    </w:p>
    <w:p w14:paraId="22C721BD">
      <w:pPr>
        <w:pageBreakBefore w:val="0"/>
        <w:kinsoku/>
        <w:wordWrap/>
        <w:overflowPunct/>
        <w:topLinePunct w:val="0"/>
        <w:bidi w:val="0"/>
        <w:snapToGrid/>
        <w:spacing w:line="360" w:lineRule="auto"/>
        <w:ind w:firstLine="240" w:firstLineChars="1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1 \* GB3</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①</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承包人应遵守发包人的项目管理制度，接受发包人对施工现场、施工总进度及各专业进度、安全文明、资源及措施调配、申报优良工程等工作的的管理；完成</w:t>
      </w:r>
      <w:r>
        <w:rPr>
          <w:rFonts w:hint="eastAsia" w:asciiTheme="minorEastAsia" w:hAnsiTheme="minorEastAsia" w:eastAsiaTheme="minorEastAsia" w:cstheme="minorEastAsia"/>
          <w:color w:val="auto"/>
          <w:sz w:val="24"/>
          <w:szCs w:val="24"/>
          <w:highlight w:val="none"/>
          <w:lang w:eastAsia="zh-CN"/>
        </w:rPr>
        <w:t>竞争性磋商文件</w:t>
      </w:r>
      <w:r>
        <w:rPr>
          <w:rFonts w:hint="eastAsia" w:asciiTheme="minorEastAsia" w:hAnsiTheme="minorEastAsia" w:eastAsiaTheme="minorEastAsia" w:cstheme="minorEastAsia"/>
          <w:color w:val="auto"/>
          <w:sz w:val="24"/>
          <w:szCs w:val="24"/>
          <w:highlight w:val="none"/>
        </w:rPr>
        <w:t>第</w:t>
      </w:r>
      <w:r>
        <w:rPr>
          <w:rFonts w:hint="eastAsia" w:asciiTheme="minorEastAsia" w:hAnsiTheme="minorEastAsia" w:eastAsiaTheme="minorEastAsia" w:cstheme="minorEastAsia"/>
          <w:color w:val="auto"/>
          <w:sz w:val="24"/>
          <w:szCs w:val="24"/>
          <w:highlight w:val="none"/>
          <w:lang w:eastAsia="zh-CN"/>
        </w:rPr>
        <w:t>三</w:t>
      </w:r>
      <w:r>
        <w:rPr>
          <w:rFonts w:hint="eastAsia" w:asciiTheme="minorEastAsia" w:hAnsiTheme="minorEastAsia" w:eastAsiaTheme="minorEastAsia" w:cstheme="minorEastAsia"/>
          <w:color w:val="auto"/>
          <w:sz w:val="24"/>
          <w:szCs w:val="24"/>
          <w:highlight w:val="none"/>
        </w:rPr>
        <w:t>章技术标准和要求项下的任一项工作；</w:t>
      </w:r>
    </w:p>
    <w:p w14:paraId="61470D58">
      <w:pPr>
        <w:pageBreakBefore w:val="0"/>
        <w:kinsoku/>
        <w:wordWrap/>
        <w:overflowPunct/>
        <w:topLinePunct w:val="0"/>
        <w:bidi w:val="0"/>
        <w:snapToGrid/>
        <w:spacing w:line="360" w:lineRule="auto"/>
        <w:ind w:firstLine="240" w:firstLineChars="10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2 \* GB3</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②</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施工组织设计、专项施工方案等应根据发包人提供场地情况、施工工况情况进行调整以适应项目施工的需要。承包人在</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阶段已查勘过施工现场,并根据本工程规模、特点和技术参数，编制施工组织设计并在报价时已充分考虑完善现场条件、工期要求、管理要求等所需费用及对工期的影响。签约合同价中已经包含措施费及相应调整、迁移、重置等费用。承包人应接受因专业工程施工进度、工作面协调而发生的合理施工组织变更；编制大型设备运输方案，与其他相关专业工程承包单位共同确定运输实施方案</w:t>
      </w:r>
      <w:r>
        <w:rPr>
          <w:rFonts w:hint="eastAsia" w:asciiTheme="minorEastAsia" w:hAnsiTheme="minorEastAsia" w:eastAsiaTheme="minorEastAsia" w:cstheme="minorEastAsia"/>
          <w:color w:val="auto"/>
          <w:sz w:val="24"/>
          <w:szCs w:val="24"/>
          <w:highlight w:val="none"/>
          <w:lang w:eastAsia="zh-CN"/>
        </w:rPr>
        <w:t>。</w:t>
      </w:r>
    </w:p>
    <w:p w14:paraId="00D589A3">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 项目经理</w:t>
      </w:r>
    </w:p>
    <w:p w14:paraId="311BB6B4">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3.2.1 </w:t>
      </w:r>
      <w:r>
        <w:rPr>
          <w:rFonts w:hint="eastAsia" w:asciiTheme="minorEastAsia" w:hAnsiTheme="minorEastAsia" w:eastAsiaTheme="minorEastAsia" w:cstheme="minorEastAsia"/>
          <w:color w:val="auto"/>
          <w:sz w:val="24"/>
          <w:szCs w:val="24"/>
          <w:highlight w:val="none"/>
        </w:rPr>
        <w:t>项目经理：</w:t>
      </w:r>
    </w:p>
    <w:p w14:paraId="587CA733">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姓    名：</w:t>
      </w:r>
      <w:r>
        <w:rPr>
          <w:rFonts w:hint="eastAsia" w:asciiTheme="minorEastAsia" w:hAnsiTheme="minorEastAsia" w:eastAsiaTheme="minorEastAsia" w:cstheme="minorEastAsia"/>
          <w:b/>
          <w:color w:val="auto"/>
          <w:sz w:val="24"/>
          <w:szCs w:val="24"/>
          <w:highlight w:val="none"/>
          <w:u w:val="single"/>
        </w:rPr>
        <w:sym w:font="宋体" w:char="E5E5"/>
      </w:r>
      <w:r>
        <w:rPr>
          <w:rFonts w:hint="eastAsia" w:asciiTheme="minorEastAsia" w:hAnsiTheme="minorEastAsia" w:eastAsiaTheme="minorEastAsia" w:cstheme="minorEastAsia"/>
          <w:b/>
          <w:color w:val="auto"/>
          <w:sz w:val="24"/>
          <w:szCs w:val="24"/>
          <w:highlight w:val="none"/>
          <w:u w:val="single"/>
        </w:rPr>
        <w:sym w:font="宋体" w:char="E5E5"/>
      </w:r>
      <w:r>
        <w:rPr>
          <w:rFonts w:hint="eastAsia" w:asciiTheme="minorEastAsia" w:hAnsiTheme="minorEastAsia" w:eastAsiaTheme="minorEastAsia" w:cstheme="minorEastAsia"/>
          <w:b/>
          <w:color w:val="auto"/>
          <w:sz w:val="24"/>
          <w:szCs w:val="24"/>
          <w:highlight w:val="none"/>
          <w:u w:val="single"/>
        </w:rPr>
        <w:sym w:font="宋体" w:char="0020"/>
      </w:r>
      <w:r>
        <w:rPr>
          <w:rFonts w:hint="eastAsia" w:asciiTheme="minorEastAsia" w:hAnsiTheme="minorEastAsia" w:eastAsiaTheme="minorEastAsia" w:cstheme="minorEastAsia"/>
          <w:b/>
          <w:color w:val="auto"/>
          <w:sz w:val="24"/>
          <w:szCs w:val="24"/>
          <w:highlight w:val="none"/>
          <w:u w:val="single"/>
        </w:rPr>
        <w:sym w:font="宋体" w:char="E5E5"/>
      </w:r>
      <w:r>
        <w:rPr>
          <w:rFonts w:hint="eastAsia" w:asciiTheme="minorEastAsia" w:hAnsiTheme="minorEastAsia" w:eastAsiaTheme="minorEastAsia" w:cstheme="minorEastAsia"/>
          <w:b/>
          <w:color w:val="auto"/>
          <w:sz w:val="24"/>
          <w:szCs w:val="24"/>
          <w:highlight w:val="none"/>
        </w:rPr>
        <w:t>；</w:t>
      </w:r>
    </w:p>
    <w:p w14:paraId="17F9FA91">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身份证号：</w:t>
      </w:r>
      <w:r>
        <w:rPr>
          <w:rFonts w:hint="eastAsia" w:asciiTheme="minorEastAsia" w:hAnsiTheme="minorEastAsia" w:eastAsiaTheme="minorEastAsia" w:cstheme="minorEastAsia"/>
          <w:b/>
          <w:color w:val="auto"/>
          <w:sz w:val="24"/>
          <w:szCs w:val="24"/>
          <w:highlight w:val="none"/>
          <w:u w:val="single"/>
        </w:rPr>
        <w:sym w:font="宋体" w:char="E5E5"/>
      </w:r>
      <w:r>
        <w:rPr>
          <w:rFonts w:hint="eastAsia" w:asciiTheme="minorEastAsia" w:hAnsiTheme="minorEastAsia" w:eastAsiaTheme="minorEastAsia" w:cstheme="minorEastAsia"/>
          <w:b/>
          <w:color w:val="auto"/>
          <w:sz w:val="24"/>
          <w:szCs w:val="24"/>
          <w:highlight w:val="none"/>
          <w:u w:val="single"/>
        </w:rPr>
        <w:sym w:font="宋体" w:char="E5E5"/>
      </w:r>
      <w:r>
        <w:rPr>
          <w:rFonts w:hint="eastAsia" w:asciiTheme="minorEastAsia" w:hAnsiTheme="minorEastAsia" w:eastAsiaTheme="minorEastAsia" w:cstheme="minorEastAsia"/>
          <w:b/>
          <w:color w:val="auto"/>
          <w:sz w:val="24"/>
          <w:szCs w:val="24"/>
          <w:highlight w:val="none"/>
          <w:u w:val="single"/>
        </w:rPr>
        <w:sym w:font="宋体" w:char="0020"/>
      </w:r>
      <w:r>
        <w:rPr>
          <w:rFonts w:hint="eastAsia" w:asciiTheme="minorEastAsia" w:hAnsiTheme="minorEastAsia" w:eastAsiaTheme="minorEastAsia" w:cstheme="minorEastAsia"/>
          <w:b/>
          <w:color w:val="auto"/>
          <w:sz w:val="24"/>
          <w:szCs w:val="24"/>
          <w:highlight w:val="none"/>
          <w:u w:val="single"/>
        </w:rPr>
        <w:sym w:font="宋体" w:char="E5E5"/>
      </w:r>
      <w:r>
        <w:rPr>
          <w:rFonts w:hint="eastAsia" w:asciiTheme="minorEastAsia" w:hAnsiTheme="minorEastAsia" w:eastAsiaTheme="minorEastAsia" w:cstheme="minorEastAsia"/>
          <w:b/>
          <w:color w:val="auto"/>
          <w:sz w:val="24"/>
          <w:szCs w:val="24"/>
          <w:highlight w:val="none"/>
        </w:rPr>
        <w:t>；</w:t>
      </w:r>
    </w:p>
    <w:p w14:paraId="33868342">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建造师执业资格等级：</w:t>
      </w:r>
      <w:r>
        <w:rPr>
          <w:rFonts w:hint="eastAsia" w:asciiTheme="minorEastAsia" w:hAnsiTheme="minorEastAsia" w:eastAsiaTheme="minorEastAsia" w:cstheme="minorEastAsia"/>
          <w:b/>
          <w:color w:val="auto"/>
          <w:sz w:val="24"/>
          <w:szCs w:val="24"/>
          <w:highlight w:val="none"/>
          <w:u w:val="single"/>
        </w:rPr>
        <w:sym w:font="宋体" w:char="E5E5"/>
      </w:r>
      <w:r>
        <w:rPr>
          <w:rFonts w:hint="eastAsia" w:asciiTheme="minorEastAsia" w:hAnsiTheme="minorEastAsia" w:eastAsiaTheme="minorEastAsia" w:cstheme="minorEastAsia"/>
          <w:b/>
          <w:color w:val="auto"/>
          <w:sz w:val="24"/>
          <w:szCs w:val="24"/>
          <w:highlight w:val="none"/>
          <w:u w:val="single"/>
        </w:rPr>
        <w:sym w:font="宋体" w:char="E5E5"/>
      </w:r>
      <w:r>
        <w:rPr>
          <w:rFonts w:hint="eastAsia" w:asciiTheme="minorEastAsia" w:hAnsiTheme="minorEastAsia" w:eastAsiaTheme="minorEastAsia" w:cstheme="minorEastAsia"/>
          <w:b/>
          <w:color w:val="auto"/>
          <w:sz w:val="24"/>
          <w:szCs w:val="24"/>
          <w:highlight w:val="none"/>
          <w:u w:val="single"/>
        </w:rPr>
        <w:sym w:font="宋体" w:char="0020"/>
      </w:r>
      <w:r>
        <w:rPr>
          <w:rFonts w:hint="eastAsia" w:asciiTheme="minorEastAsia" w:hAnsiTheme="minorEastAsia" w:eastAsiaTheme="minorEastAsia" w:cstheme="minorEastAsia"/>
          <w:b/>
          <w:color w:val="auto"/>
          <w:sz w:val="24"/>
          <w:szCs w:val="24"/>
          <w:highlight w:val="none"/>
          <w:u w:val="single"/>
        </w:rPr>
        <w:sym w:font="宋体" w:char="E5E5"/>
      </w:r>
      <w:r>
        <w:rPr>
          <w:rFonts w:hint="eastAsia" w:asciiTheme="minorEastAsia" w:hAnsiTheme="minorEastAsia" w:eastAsiaTheme="minorEastAsia" w:cstheme="minorEastAsia"/>
          <w:b/>
          <w:color w:val="auto"/>
          <w:sz w:val="24"/>
          <w:szCs w:val="24"/>
          <w:highlight w:val="none"/>
        </w:rPr>
        <w:t>；</w:t>
      </w:r>
    </w:p>
    <w:p w14:paraId="5DDF8D20">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建造师注册证书号：</w:t>
      </w:r>
      <w:r>
        <w:rPr>
          <w:rFonts w:hint="eastAsia" w:asciiTheme="minorEastAsia" w:hAnsiTheme="minorEastAsia" w:eastAsiaTheme="minorEastAsia" w:cstheme="minorEastAsia"/>
          <w:b/>
          <w:color w:val="auto"/>
          <w:sz w:val="24"/>
          <w:szCs w:val="24"/>
          <w:highlight w:val="none"/>
          <w:u w:val="single"/>
        </w:rPr>
        <w:sym w:font="宋体" w:char="E5E5"/>
      </w:r>
      <w:r>
        <w:rPr>
          <w:rFonts w:hint="eastAsia" w:asciiTheme="minorEastAsia" w:hAnsiTheme="minorEastAsia" w:eastAsiaTheme="minorEastAsia" w:cstheme="minorEastAsia"/>
          <w:b/>
          <w:color w:val="auto"/>
          <w:sz w:val="24"/>
          <w:szCs w:val="24"/>
          <w:highlight w:val="none"/>
          <w:u w:val="single"/>
        </w:rPr>
        <w:t></w:t>
      </w:r>
      <w:r>
        <w:rPr>
          <w:rFonts w:hint="eastAsia" w:asciiTheme="minorEastAsia" w:hAnsiTheme="minorEastAsia" w:eastAsiaTheme="minorEastAsia" w:cstheme="minorEastAsia"/>
          <w:b/>
          <w:color w:val="auto"/>
          <w:sz w:val="24"/>
          <w:szCs w:val="24"/>
          <w:highlight w:val="none"/>
        </w:rPr>
        <w:t>；</w:t>
      </w:r>
    </w:p>
    <w:p w14:paraId="5E09DA41">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建造师执业印章号：</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b/>
          <w:bCs/>
          <w:color w:val="auto"/>
          <w:sz w:val="24"/>
          <w:szCs w:val="24"/>
          <w:highlight w:val="none"/>
        </w:rPr>
        <w:t>；</w:t>
      </w:r>
    </w:p>
    <w:p w14:paraId="1655C677">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安全生产考核合格证书号：</w:t>
      </w:r>
      <w:r>
        <w:rPr>
          <w:rFonts w:hint="eastAsia" w:asciiTheme="minorEastAsia" w:hAnsiTheme="minorEastAsia" w:eastAsiaTheme="minorEastAsia" w:cstheme="minorEastAsia"/>
          <w:b/>
          <w:color w:val="auto"/>
          <w:sz w:val="24"/>
          <w:szCs w:val="24"/>
          <w:highlight w:val="none"/>
          <w:u w:val="single"/>
        </w:rPr>
        <w:sym w:font="宋体" w:char="E5E5"/>
      </w:r>
      <w:r>
        <w:rPr>
          <w:rFonts w:hint="eastAsia" w:asciiTheme="minorEastAsia" w:hAnsiTheme="minorEastAsia" w:eastAsiaTheme="minorEastAsia" w:cstheme="minorEastAsia"/>
          <w:b/>
          <w:color w:val="auto"/>
          <w:sz w:val="24"/>
          <w:szCs w:val="24"/>
          <w:highlight w:val="none"/>
          <w:u w:val="single"/>
        </w:rPr>
        <w:sym w:font="宋体" w:char="E5E5"/>
      </w:r>
      <w:r>
        <w:rPr>
          <w:rFonts w:hint="eastAsia" w:asciiTheme="minorEastAsia" w:hAnsiTheme="minorEastAsia" w:eastAsiaTheme="minorEastAsia" w:cstheme="minorEastAsia"/>
          <w:b/>
          <w:color w:val="auto"/>
          <w:sz w:val="24"/>
          <w:szCs w:val="24"/>
          <w:highlight w:val="none"/>
          <w:u w:val="single"/>
        </w:rPr>
        <w:sym w:font="宋体" w:char="0020"/>
      </w:r>
      <w:r>
        <w:rPr>
          <w:rFonts w:hint="eastAsia" w:asciiTheme="minorEastAsia" w:hAnsiTheme="minorEastAsia" w:eastAsiaTheme="minorEastAsia" w:cstheme="minorEastAsia"/>
          <w:b/>
          <w:color w:val="auto"/>
          <w:sz w:val="24"/>
          <w:szCs w:val="24"/>
          <w:highlight w:val="none"/>
          <w:u w:val="single"/>
        </w:rPr>
        <w:sym w:font="宋体" w:char="E5E5"/>
      </w:r>
      <w:r>
        <w:rPr>
          <w:rFonts w:hint="eastAsia" w:asciiTheme="minorEastAsia" w:hAnsiTheme="minorEastAsia" w:eastAsiaTheme="minorEastAsia" w:cstheme="minorEastAsia"/>
          <w:b/>
          <w:bCs w:val="0"/>
          <w:color w:val="auto"/>
          <w:sz w:val="24"/>
          <w:szCs w:val="24"/>
          <w:highlight w:val="none"/>
          <w:u w:val="none"/>
          <w:lang w:eastAsia="zh-CN"/>
        </w:rPr>
        <w:t>；</w:t>
      </w:r>
    </w:p>
    <w:p w14:paraId="6B9458E8">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联系电话：</w:t>
      </w:r>
      <w:r>
        <w:rPr>
          <w:rFonts w:hint="eastAsia" w:asciiTheme="minorEastAsia" w:hAnsiTheme="minorEastAsia" w:eastAsiaTheme="minorEastAsia" w:cstheme="minorEastAsia"/>
          <w:b/>
          <w:color w:val="auto"/>
          <w:sz w:val="24"/>
          <w:szCs w:val="24"/>
          <w:highlight w:val="none"/>
          <w:u w:val="single"/>
        </w:rPr>
        <w:sym w:font="宋体" w:char="E5E5"/>
      </w:r>
      <w:r>
        <w:rPr>
          <w:rFonts w:hint="eastAsia" w:asciiTheme="minorEastAsia" w:hAnsiTheme="minorEastAsia" w:eastAsiaTheme="minorEastAsia" w:cstheme="minorEastAsia"/>
          <w:b/>
          <w:color w:val="auto"/>
          <w:sz w:val="24"/>
          <w:szCs w:val="24"/>
          <w:highlight w:val="none"/>
          <w:u w:val="single"/>
        </w:rPr>
        <w:sym w:font="宋体" w:char="E5E5"/>
      </w:r>
      <w:r>
        <w:rPr>
          <w:rFonts w:hint="eastAsia" w:asciiTheme="minorEastAsia" w:hAnsiTheme="minorEastAsia" w:eastAsiaTheme="minorEastAsia" w:cstheme="minorEastAsia"/>
          <w:b/>
          <w:color w:val="auto"/>
          <w:sz w:val="24"/>
          <w:szCs w:val="24"/>
          <w:highlight w:val="none"/>
          <w:u w:val="single"/>
        </w:rPr>
        <w:sym w:font="宋体" w:char="0020"/>
      </w:r>
      <w:r>
        <w:rPr>
          <w:rFonts w:hint="eastAsia" w:asciiTheme="minorEastAsia" w:hAnsiTheme="minorEastAsia" w:eastAsiaTheme="minorEastAsia" w:cstheme="minorEastAsia"/>
          <w:b/>
          <w:color w:val="auto"/>
          <w:sz w:val="24"/>
          <w:szCs w:val="24"/>
          <w:highlight w:val="none"/>
          <w:u w:val="single"/>
        </w:rPr>
        <w:sym w:font="宋体" w:char="E5E5"/>
      </w:r>
      <w:r>
        <w:rPr>
          <w:rFonts w:hint="eastAsia" w:asciiTheme="minorEastAsia" w:hAnsiTheme="minorEastAsia" w:eastAsiaTheme="minorEastAsia" w:cstheme="minorEastAsia"/>
          <w:b/>
          <w:bCs/>
          <w:color w:val="auto"/>
          <w:sz w:val="24"/>
          <w:szCs w:val="24"/>
          <w:highlight w:val="none"/>
        </w:rPr>
        <w:t>；</w:t>
      </w:r>
    </w:p>
    <w:p w14:paraId="5ABACA2D">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电子信箱：</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0020"/>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b/>
          <w:bCs/>
          <w:color w:val="auto"/>
          <w:sz w:val="24"/>
          <w:szCs w:val="24"/>
          <w:highlight w:val="none"/>
        </w:rPr>
        <w:t>；</w:t>
      </w:r>
    </w:p>
    <w:p w14:paraId="517AF680">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通信地址：</w:t>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rPr>
        <w:sym w:font="宋体" w:char="E5E5"/>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b/>
          <w:bCs/>
          <w:color w:val="auto"/>
          <w:sz w:val="24"/>
          <w:szCs w:val="24"/>
          <w:highlight w:val="none"/>
        </w:rPr>
        <w:t>；</w:t>
      </w:r>
    </w:p>
    <w:p w14:paraId="1BA6424E">
      <w:pPr>
        <w:pStyle w:val="68"/>
        <w:pageBreakBefore w:val="0"/>
        <w:shd w:val="clear" w:color="auto" w:fill="FFFFFF"/>
        <w:kinsoku/>
        <w:wordWrap/>
        <w:overflowPunct/>
        <w:topLinePunct w:val="0"/>
        <w:bidi w:val="0"/>
        <w:snapToGrid/>
        <w:spacing w:before="0" w:beforeAutospacing="0" w:after="0" w:afterAutospacing="0" w:line="360" w:lineRule="auto"/>
        <w:ind w:firstLine="480" w:firstLineChars="200"/>
        <w:textAlignment w:val="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承包人对项目经理的授权范围如下：</w:t>
      </w:r>
      <w:r>
        <w:rPr>
          <w:rFonts w:hint="eastAsia" w:asciiTheme="minorEastAsia" w:hAnsiTheme="minorEastAsia" w:eastAsiaTheme="minorEastAsia" w:cstheme="minorEastAsia"/>
          <w:b/>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none"/>
        </w:rPr>
        <w:t>。</w:t>
      </w:r>
    </w:p>
    <w:p w14:paraId="4350C88A">
      <w:pPr>
        <w:pStyle w:val="68"/>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关于项目经理和技术负责人每月在施工现场的时间要求</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b/>
          <w:color w:val="auto"/>
          <w:sz w:val="24"/>
          <w:szCs w:val="24"/>
          <w:highlight w:val="none"/>
          <w:u w:val="single"/>
        </w:rPr>
        <w:t>每月带班生产时间不得少于每月2</w:t>
      </w:r>
      <w:r>
        <w:rPr>
          <w:rFonts w:hint="eastAsia" w:asciiTheme="minorEastAsia" w:hAnsiTheme="minorEastAsia" w:eastAsiaTheme="minorEastAsia" w:cstheme="minorEastAsia"/>
          <w:b/>
          <w:color w:val="auto"/>
          <w:sz w:val="24"/>
          <w:szCs w:val="24"/>
          <w:highlight w:val="none"/>
          <w:u w:val="single"/>
          <w:lang w:val="en-US" w:eastAsia="zh-CN"/>
        </w:rPr>
        <w:t>2</w:t>
      </w:r>
      <w:r>
        <w:rPr>
          <w:rFonts w:hint="eastAsia" w:asciiTheme="minorEastAsia" w:hAnsiTheme="minorEastAsia" w:eastAsiaTheme="minorEastAsia" w:cstheme="minorEastAsia"/>
          <w:b/>
          <w:color w:val="auto"/>
          <w:sz w:val="24"/>
          <w:szCs w:val="24"/>
          <w:highlight w:val="none"/>
          <w:u w:val="single"/>
        </w:rPr>
        <w:t>日历天</w:t>
      </w:r>
      <w:r>
        <w:rPr>
          <w:rFonts w:hint="eastAsia" w:asciiTheme="minorEastAsia" w:hAnsiTheme="minorEastAsia" w:eastAsiaTheme="minorEastAsia" w:cstheme="minorEastAsia"/>
          <w:b/>
          <w:color w:val="auto"/>
          <w:sz w:val="24"/>
          <w:szCs w:val="24"/>
          <w:highlight w:val="none"/>
        </w:rPr>
        <w:t>。</w:t>
      </w:r>
    </w:p>
    <w:p w14:paraId="15FA0F99">
      <w:pPr>
        <w:pStyle w:val="239"/>
        <w:keepNext w:val="0"/>
        <w:keepLines w:val="0"/>
        <w:pageBreakBefore w:val="0"/>
        <w:widowControl w:val="0"/>
        <w:kinsoku/>
        <w:wordWrap/>
        <w:overflowPunct/>
        <w:topLinePunct w:val="0"/>
        <w:autoSpaceDE/>
        <w:autoSpaceDN/>
        <w:bidi w:val="0"/>
        <w:adjustRightInd/>
        <w:snapToGrid/>
        <w:spacing w:line="360" w:lineRule="auto"/>
        <w:ind w:left="105" w:leftChars="50" w:firstLine="360" w:firstLineChars="150"/>
        <w:jc w:val="left"/>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承包人未提交劳动合同，以及没有为项目经理和技术负责人缴纳社会保险证明的违约责任：</w:t>
      </w:r>
      <w:r>
        <w:rPr>
          <w:rFonts w:hint="eastAsia" w:asciiTheme="minorEastAsia" w:hAnsiTheme="minorEastAsia" w:eastAsiaTheme="minorEastAsia" w:cstheme="minorEastAsia"/>
          <w:b/>
          <w:color w:val="auto"/>
          <w:sz w:val="24"/>
          <w:szCs w:val="24"/>
          <w:highlight w:val="none"/>
          <w:u w:val="single"/>
        </w:rPr>
        <w:t>在发包人或发包人代表要求承包人交验上述资料原件时，承包人应在7日内提交，否则按5000元/天违约金累计。拖延30日及以上的，发包人可以解除合同；发包人不解除合同的，承包人承担上述累计计取的违约金责任，直至承包人提供上述资料或发包人同意承包人更换项目经理时。</w:t>
      </w:r>
    </w:p>
    <w:p w14:paraId="07EC95A7">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项目经理或</w:t>
      </w:r>
      <w:r>
        <w:rPr>
          <w:rFonts w:hint="eastAsia" w:asciiTheme="minorEastAsia" w:hAnsiTheme="minorEastAsia" w:eastAsiaTheme="minorEastAsia" w:cstheme="minorEastAsia"/>
          <w:color w:val="auto"/>
          <w:sz w:val="24"/>
          <w:szCs w:val="24"/>
          <w:highlight w:val="none"/>
        </w:rPr>
        <w:t>技术负责人</w:t>
      </w:r>
      <w:r>
        <w:rPr>
          <w:rFonts w:hint="eastAsia" w:asciiTheme="minorEastAsia" w:hAnsiTheme="minorEastAsia" w:eastAsiaTheme="minorEastAsia" w:cstheme="minorEastAsia"/>
          <w:color w:val="auto"/>
          <w:kern w:val="0"/>
          <w:sz w:val="24"/>
          <w:szCs w:val="24"/>
          <w:highlight w:val="none"/>
        </w:rPr>
        <w:t>未经批准，擅自离开施工现场的违约责任：</w:t>
      </w:r>
      <w:r>
        <w:rPr>
          <w:rFonts w:hint="eastAsia" w:asciiTheme="minorEastAsia" w:hAnsiTheme="minorEastAsia" w:eastAsiaTheme="minorEastAsia" w:cstheme="minorEastAsia"/>
          <w:b/>
          <w:color w:val="auto"/>
          <w:sz w:val="24"/>
          <w:szCs w:val="24"/>
          <w:highlight w:val="none"/>
          <w:u w:val="single"/>
        </w:rPr>
        <w:t>一次离开或累计3日以内（含）的，按</w:t>
      </w:r>
      <w:r>
        <w:rPr>
          <w:rFonts w:hint="eastAsia" w:asciiTheme="minorEastAsia" w:hAnsiTheme="minorEastAsia" w:eastAsiaTheme="minorEastAsia" w:cstheme="minorEastAsia"/>
          <w:b/>
          <w:color w:val="auto"/>
          <w:sz w:val="24"/>
          <w:szCs w:val="24"/>
          <w:highlight w:val="none"/>
          <w:u w:val="single"/>
          <w:lang w:val="en-US" w:eastAsia="zh-CN"/>
        </w:rPr>
        <w:t>1</w:t>
      </w:r>
      <w:r>
        <w:rPr>
          <w:rFonts w:hint="eastAsia" w:asciiTheme="minorEastAsia" w:hAnsiTheme="minorEastAsia" w:eastAsiaTheme="minorEastAsia" w:cstheme="minorEastAsia"/>
          <w:b/>
          <w:color w:val="auto"/>
          <w:sz w:val="24"/>
          <w:szCs w:val="24"/>
          <w:highlight w:val="none"/>
          <w:u w:val="single"/>
        </w:rPr>
        <w:t>000元/天计算违约金；一次或累计3日以上的，按</w:t>
      </w:r>
      <w:r>
        <w:rPr>
          <w:rFonts w:hint="eastAsia" w:asciiTheme="minorEastAsia" w:hAnsiTheme="minorEastAsia" w:eastAsiaTheme="minorEastAsia" w:cstheme="minorEastAsia"/>
          <w:b/>
          <w:color w:val="auto"/>
          <w:sz w:val="24"/>
          <w:szCs w:val="24"/>
          <w:highlight w:val="none"/>
          <w:u w:val="single"/>
          <w:lang w:val="en-US" w:eastAsia="zh-CN"/>
        </w:rPr>
        <w:t>2</w:t>
      </w:r>
      <w:r>
        <w:rPr>
          <w:rFonts w:hint="eastAsia" w:asciiTheme="minorEastAsia" w:hAnsiTheme="minorEastAsia" w:eastAsiaTheme="minorEastAsia" w:cstheme="minorEastAsia"/>
          <w:b/>
          <w:color w:val="auto"/>
          <w:sz w:val="24"/>
          <w:szCs w:val="24"/>
          <w:highlight w:val="none"/>
          <w:u w:val="single"/>
        </w:rPr>
        <w:t>000元/天计算违约金，并视为承包人根本性违约</w:t>
      </w:r>
      <w:r>
        <w:rPr>
          <w:rFonts w:hint="eastAsia" w:asciiTheme="minorEastAsia" w:hAnsiTheme="minorEastAsia" w:eastAsiaTheme="minorEastAsia" w:cstheme="minorEastAsia"/>
          <w:b/>
          <w:color w:val="auto"/>
          <w:sz w:val="24"/>
          <w:szCs w:val="24"/>
          <w:highlight w:val="none"/>
        </w:rPr>
        <w:t>。</w:t>
      </w:r>
      <w:bookmarkStart w:id="183" w:name="_Toc506357969"/>
    </w:p>
    <w:p w14:paraId="13574728">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3.2.3 承包人擅自更换项目经理或技术负责人的违约责任：</w:t>
      </w:r>
      <w:r>
        <w:rPr>
          <w:rFonts w:hint="eastAsia" w:asciiTheme="minorEastAsia" w:hAnsiTheme="minorEastAsia" w:eastAsiaTheme="minorEastAsia" w:cstheme="minorEastAsia"/>
          <w:b/>
          <w:bCs w:val="0"/>
          <w:color w:val="auto"/>
          <w:sz w:val="24"/>
          <w:szCs w:val="24"/>
          <w:highlight w:val="none"/>
          <w:u w:val="single"/>
        </w:rPr>
        <w:t>承包人向发包人支付2万元/次/人的违约金；因特殊原因不能到任的，经发包人同意可更换，经同意更换的项目经理或技术负责人必须提供劳动合同以及缴纳社会保险的证明，且具备</w:t>
      </w:r>
      <w:r>
        <w:rPr>
          <w:rFonts w:hint="eastAsia" w:asciiTheme="minorEastAsia" w:hAnsiTheme="minorEastAsia" w:eastAsiaTheme="minorEastAsia" w:cstheme="minorEastAsia"/>
          <w:b/>
          <w:bCs w:val="0"/>
          <w:color w:val="auto"/>
          <w:sz w:val="24"/>
          <w:szCs w:val="24"/>
          <w:highlight w:val="none"/>
          <w:u w:val="single"/>
          <w:lang w:eastAsia="zh-CN"/>
        </w:rPr>
        <w:t>竞争性磋商文件</w:t>
      </w:r>
      <w:r>
        <w:rPr>
          <w:rFonts w:hint="eastAsia" w:asciiTheme="minorEastAsia" w:hAnsiTheme="minorEastAsia" w:eastAsiaTheme="minorEastAsia" w:cstheme="minorEastAsia"/>
          <w:b/>
          <w:bCs w:val="0"/>
          <w:color w:val="auto"/>
          <w:sz w:val="24"/>
          <w:szCs w:val="24"/>
          <w:highlight w:val="none"/>
          <w:u w:val="single"/>
        </w:rPr>
        <w:t>注明的资格及业绩要求</w:t>
      </w:r>
      <w:r>
        <w:rPr>
          <w:rFonts w:hint="eastAsia" w:asciiTheme="minorEastAsia" w:hAnsiTheme="minorEastAsia" w:eastAsiaTheme="minorEastAsia" w:cstheme="minorEastAsia"/>
          <w:color w:val="auto"/>
          <w:sz w:val="24"/>
          <w:szCs w:val="24"/>
          <w:highlight w:val="none"/>
        </w:rPr>
        <w:t>。</w:t>
      </w:r>
      <w:bookmarkEnd w:id="183"/>
    </w:p>
    <w:p w14:paraId="55DC3312">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b/>
          <w:snapToGrid w:val="0"/>
          <w:color w:val="auto"/>
          <w:sz w:val="24"/>
          <w:szCs w:val="24"/>
          <w:highlight w:val="none"/>
        </w:rPr>
      </w:pPr>
      <w:r>
        <w:rPr>
          <w:rFonts w:hint="eastAsia" w:asciiTheme="minorEastAsia" w:hAnsiTheme="minorEastAsia" w:eastAsiaTheme="minorEastAsia" w:cstheme="minorEastAsia"/>
          <w:color w:val="auto"/>
          <w:sz w:val="24"/>
          <w:szCs w:val="24"/>
          <w:highlight w:val="none"/>
        </w:rPr>
        <w:t>3.2.4 承包人无正当理由拒绝更换项目经理的违约责任：</w:t>
      </w:r>
      <w:r>
        <w:rPr>
          <w:rFonts w:hint="eastAsia" w:asciiTheme="minorEastAsia" w:hAnsiTheme="minorEastAsia" w:eastAsiaTheme="minorEastAsia" w:cstheme="minorEastAsia"/>
          <w:b/>
          <w:color w:val="auto"/>
          <w:sz w:val="24"/>
          <w:szCs w:val="24"/>
          <w:highlight w:val="none"/>
          <w:u w:val="single"/>
        </w:rPr>
        <w:t>承包人向发包人支付5000元/天的违约金，并视为承包人根本性违约</w:t>
      </w:r>
      <w:r>
        <w:rPr>
          <w:rFonts w:hint="eastAsia" w:asciiTheme="minorEastAsia" w:hAnsiTheme="minorEastAsia" w:eastAsiaTheme="minorEastAsia" w:cstheme="minorEastAsia"/>
          <w:b/>
          <w:color w:val="auto"/>
          <w:sz w:val="24"/>
          <w:szCs w:val="24"/>
          <w:highlight w:val="none"/>
        </w:rPr>
        <w:t>。</w:t>
      </w:r>
    </w:p>
    <w:p w14:paraId="43D01E15">
      <w:pPr>
        <w:pageBreakBefore w:val="0"/>
        <w:kinsoku/>
        <w:wordWrap/>
        <w:overflowPunct/>
        <w:topLinePunct w:val="0"/>
        <w:bidi w:val="0"/>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3.3 承包人人员</w:t>
      </w:r>
    </w:p>
    <w:p w14:paraId="7A689297">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3.3.1 承包人提交项目管理机构及施工现场管理人员安排报告的期限：</w:t>
      </w:r>
      <w:r>
        <w:rPr>
          <w:rFonts w:hint="eastAsia" w:asciiTheme="minorEastAsia" w:hAnsiTheme="minorEastAsia" w:eastAsiaTheme="minorEastAsia" w:cstheme="minorEastAsia"/>
          <w:color w:val="auto"/>
          <w:sz w:val="24"/>
          <w:szCs w:val="24"/>
          <w:highlight w:val="none"/>
          <w:u w:val="single"/>
        </w:rPr>
        <w:t>本合同书签订后的7日内单独提交</w:t>
      </w:r>
      <w:r>
        <w:rPr>
          <w:rFonts w:hint="eastAsia" w:asciiTheme="minorEastAsia" w:hAnsiTheme="minorEastAsia" w:eastAsiaTheme="minorEastAsia" w:cstheme="minorEastAsia"/>
          <w:color w:val="auto"/>
          <w:sz w:val="24"/>
          <w:szCs w:val="24"/>
          <w:highlight w:val="none"/>
        </w:rPr>
        <w:t>。</w:t>
      </w:r>
    </w:p>
    <w:p w14:paraId="3A3CD5FA">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3.3.3 承包人无正当理由拒绝撤换主要施工管理人员的违约责任：</w:t>
      </w:r>
      <w:r>
        <w:rPr>
          <w:rFonts w:hint="eastAsia" w:asciiTheme="minorEastAsia" w:hAnsiTheme="minorEastAsia" w:eastAsiaTheme="minorEastAsia" w:cstheme="minorEastAsia"/>
          <w:b/>
          <w:color w:val="auto"/>
          <w:sz w:val="24"/>
          <w:szCs w:val="24"/>
          <w:highlight w:val="none"/>
          <w:u w:val="single"/>
        </w:rPr>
        <w:t>承包人向发包人支付1万元/人的违约金。违约金责任不免除由此导致的发包人损失的赔偿责任</w:t>
      </w:r>
      <w:r>
        <w:rPr>
          <w:rFonts w:hint="eastAsia" w:asciiTheme="minorEastAsia" w:hAnsiTheme="minorEastAsia" w:eastAsiaTheme="minorEastAsia" w:cstheme="minorEastAsia"/>
          <w:b/>
          <w:color w:val="auto"/>
          <w:sz w:val="24"/>
          <w:szCs w:val="24"/>
          <w:highlight w:val="none"/>
        </w:rPr>
        <w:t>。</w:t>
      </w:r>
    </w:p>
    <w:p w14:paraId="45AABF22">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3.3.4 承包人主要施工管理人员离开施工现场的批准要求：</w:t>
      </w:r>
      <w:r>
        <w:rPr>
          <w:rFonts w:hint="eastAsia" w:asciiTheme="minorEastAsia" w:hAnsiTheme="minorEastAsia" w:eastAsiaTheme="minorEastAsia" w:cstheme="minorEastAsia"/>
          <w:b/>
          <w:color w:val="auto"/>
          <w:sz w:val="24"/>
          <w:szCs w:val="24"/>
          <w:highlight w:val="none"/>
          <w:u w:val="single"/>
        </w:rPr>
        <w:t xml:space="preserve">一次不超过（含）2天的，报监理人同意；一次超过2天的，应通知监理人并报发包人同意  </w:t>
      </w:r>
      <w:r>
        <w:rPr>
          <w:rFonts w:hint="eastAsia" w:asciiTheme="minorEastAsia" w:hAnsiTheme="minorEastAsia" w:eastAsiaTheme="minorEastAsia" w:cstheme="minorEastAsia"/>
          <w:b/>
          <w:color w:val="auto"/>
          <w:sz w:val="24"/>
          <w:szCs w:val="24"/>
          <w:highlight w:val="none"/>
        </w:rPr>
        <w:t>。</w:t>
      </w:r>
    </w:p>
    <w:p w14:paraId="5BAA339C">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3.3.5承包人擅自更换主要施工管理人员的违约责任：</w:t>
      </w:r>
      <w:r>
        <w:rPr>
          <w:rFonts w:hint="eastAsia" w:asciiTheme="minorEastAsia" w:hAnsiTheme="minorEastAsia" w:eastAsiaTheme="minorEastAsia" w:cstheme="minorEastAsia"/>
          <w:b/>
          <w:color w:val="auto"/>
          <w:sz w:val="24"/>
          <w:szCs w:val="24"/>
          <w:highlight w:val="none"/>
          <w:u w:val="single"/>
        </w:rPr>
        <w:t>承包人向发包人支付10000元/人的违约金。违约金责任不免除由此导致的发包人损失的赔偿责任，并视为承包人根本性违约</w:t>
      </w:r>
      <w:r>
        <w:rPr>
          <w:rFonts w:hint="eastAsia" w:asciiTheme="minorEastAsia" w:hAnsiTheme="minorEastAsia" w:eastAsiaTheme="minorEastAsia" w:cstheme="minorEastAsia"/>
          <w:b/>
          <w:color w:val="auto"/>
          <w:sz w:val="24"/>
          <w:szCs w:val="24"/>
          <w:highlight w:val="none"/>
        </w:rPr>
        <w:t>。</w:t>
      </w:r>
    </w:p>
    <w:p w14:paraId="78AAF800">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承包人主要施工管理人员擅自离开施工现场的违约责任：</w:t>
      </w:r>
      <w:r>
        <w:rPr>
          <w:rFonts w:hint="eastAsia" w:asciiTheme="minorEastAsia" w:hAnsiTheme="minorEastAsia" w:eastAsiaTheme="minorEastAsia" w:cstheme="minorEastAsia"/>
          <w:b/>
          <w:color w:val="auto"/>
          <w:sz w:val="24"/>
          <w:szCs w:val="24"/>
          <w:highlight w:val="none"/>
          <w:u w:val="single"/>
        </w:rPr>
        <w:t>一次离开或累计3日以内（含）的，按1000元/天计算违约金；一次或累计3日以上的，按2000元/天计算违约金</w:t>
      </w:r>
      <w:r>
        <w:rPr>
          <w:rFonts w:hint="eastAsia" w:asciiTheme="minorEastAsia" w:hAnsiTheme="minorEastAsia" w:eastAsiaTheme="minorEastAsia" w:cstheme="minorEastAsia"/>
          <w:b/>
          <w:color w:val="auto"/>
          <w:sz w:val="24"/>
          <w:szCs w:val="24"/>
          <w:highlight w:val="none"/>
        </w:rPr>
        <w:t>。</w:t>
      </w:r>
    </w:p>
    <w:p w14:paraId="080D9267">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bookmarkStart w:id="184" w:name="_Toc296503159"/>
      <w:bookmarkStart w:id="185" w:name="_Toc304295523"/>
      <w:bookmarkStart w:id="186" w:name="_Toc297123492"/>
      <w:bookmarkStart w:id="187" w:name="_Toc292559869"/>
      <w:bookmarkStart w:id="188" w:name="_Toc296891199"/>
      <w:bookmarkStart w:id="189" w:name="_Toc303539102"/>
      <w:bookmarkStart w:id="190" w:name="_Toc297048345"/>
      <w:bookmarkStart w:id="191" w:name="_Toc296347158"/>
      <w:bookmarkStart w:id="192" w:name="_Toc292559364"/>
      <w:bookmarkStart w:id="193" w:name="_Toc296346660"/>
      <w:bookmarkStart w:id="194" w:name="_Toc312677988"/>
      <w:bookmarkStart w:id="195" w:name="_Toc296944498"/>
      <w:bookmarkStart w:id="196" w:name="_Toc297120459"/>
      <w:bookmarkStart w:id="197" w:name="_Toc297216151"/>
      <w:bookmarkStart w:id="198" w:name="_Toc296890987"/>
      <w:bookmarkStart w:id="199" w:name="_Toc300934945"/>
      <w:r>
        <w:rPr>
          <w:rFonts w:hint="eastAsia" w:asciiTheme="minorEastAsia" w:hAnsiTheme="minorEastAsia" w:eastAsiaTheme="minorEastAsia" w:cstheme="minorEastAsia"/>
          <w:color w:val="auto"/>
          <w:sz w:val="24"/>
          <w:szCs w:val="24"/>
          <w:highlight w:val="none"/>
        </w:rPr>
        <w:t>.5 分包</w:t>
      </w:r>
    </w:p>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14:paraId="240B1727">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bookmarkStart w:id="200" w:name="_Toc312677989"/>
      <w:bookmarkStart w:id="201" w:name="_Toc297120460"/>
      <w:bookmarkStart w:id="202" w:name="_Toc296346661"/>
      <w:bookmarkStart w:id="203" w:name="_Toc296347159"/>
      <w:bookmarkStart w:id="204" w:name="_Toc296891200"/>
      <w:bookmarkStart w:id="205" w:name="_Toc292559870"/>
      <w:bookmarkStart w:id="206" w:name="_Toc304295524"/>
      <w:bookmarkStart w:id="207" w:name="_Toc300934946"/>
      <w:bookmarkStart w:id="208" w:name="_Toc297123493"/>
      <w:bookmarkStart w:id="209" w:name="_Toc296944499"/>
      <w:bookmarkStart w:id="210" w:name="_Toc303539103"/>
      <w:bookmarkStart w:id="211" w:name="_Toc318581158"/>
      <w:bookmarkStart w:id="212" w:name="_Toc292559365"/>
      <w:bookmarkStart w:id="213" w:name="_Toc296890988"/>
      <w:bookmarkStart w:id="214" w:name="_Toc297216152"/>
      <w:bookmarkStart w:id="215" w:name="_Toc296503160"/>
      <w:bookmarkStart w:id="216" w:name="_Toc297048346"/>
      <w:r>
        <w:rPr>
          <w:rFonts w:hint="eastAsia" w:asciiTheme="minorEastAsia" w:hAnsiTheme="minorEastAsia" w:eastAsiaTheme="minorEastAsia" w:cstheme="minorEastAsia"/>
          <w:color w:val="auto"/>
          <w:sz w:val="24"/>
          <w:szCs w:val="24"/>
          <w:highlight w:val="none"/>
        </w:rPr>
        <w:t>.5.1 分包的一般约定</w:t>
      </w:r>
    </w:p>
    <w:p w14:paraId="72AD21D1">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禁止分包的工程包括：</w:t>
      </w:r>
      <w:r>
        <w:rPr>
          <w:rFonts w:hint="eastAsia" w:asciiTheme="minorEastAsia" w:hAnsiTheme="minorEastAsia" w:eastAsiaTheme="minorEastAsia" w:cstheme="minorEastAsia"/>
          <w:b/>
          <w:color w:val="auto"/>
          <w:sz w:val="24"/>
          <w:szCs w:val="24"/>
          <w:highlight w:val="none"/>
          <w:u w:val="single"/>
        </w:rPr>
        <w:t>项目禁止分包</w:t>
      </w:r>
      <w:r>
        <w:rPr>
          <w:rFonts w:hint="eastAsia" w:asciiTheme="minorEastAsia" w:hAnsiTheme="minorEastAsia" w:eastAsiaTheme="minorEastAsia" w:cstheme="minorEastAsia"/>
          <w:b/>
          <w:color w:val="auto"/>
          <w:sz w:val="24"/>
          <w:szCs w:val="24"/>
          <w:highlight w:val="none"/>
        </w:rPr>
        <w:t>。</w:t>
      </w:r>
    </w:p>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14:paraId="2591AC41">
      <w:pPr>
        <w:pageBreakBefore w:val="0"/>
        <w:kinsoku/>
        <w:wordWrap/>
        <w:overflowPunct/>
        <w:topLinePunct w:val="0"/>
        <w:bidi w:val="0"/>
        <w:snapToGrid/>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3.7履约担保</w:t>
      </w:r>
    </w:p>
    <w:p w14:paraId="5E713A4A">
      <w:pPr>
        <w:pageBreakBefore w:val="0"/>
        <w:kinsoku/>
        <w:wordWrap/>
        <w:overflowPunct/>
        <w:topLinePunct w:val="0"/>
        <w:bidi w:val="0"/>
        <w:snapToGrid/>
        <w:spacing w:line="360" w:lineRule="auto"/>
        <w:ind w:firstLine="480" w:firstLineChars="200"/>
        <w:textAlignment w:val="auto"/>
        <w:rPr>
          <w:rFonts w:hint="default"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rPr>
        <w:t>承包人是否提供履约担保：</w:t>
      </w:r>
      <w:r>
        <w:rPr>
          <w:rFonts w:hint="eastAsia" w:asciiTheme="minorEastAsia" w:hAnsiTheme="minorEastAsia" w:eastAsiaTheme="minorEastAsia" w:cstheme="minorEastAsia"/>
          <w:b/>
          <w:bCs/>
          <w:color w:val="auto"/>
          <w:sz w:val="24"/>
          <w:szCs w:val="24"/>
          <w:highlight w:val="none"/>
          <w:u w:val="single"/>
          <w:lang w:val="en-US" w:eastAsia="zh-CN"/>
        </w:rPr>
        <w:t xml:space="preserve"> 是。履约保证金的金额：合同签约价的5%；履约保证金形式：采用银行保函、银行汇款、保证保险和商业保函等形式；履约保证金提交时间：自成交通知书发出之日起30日历天内提交；履约保证金退还时间：发包人应在工程竣工验收合格后7天内无息退还（解除）。 </w:t>
      </w:r>
    </w:p>
    <w:p w14:paraId="2826224E">
      <w:pPr>
        <w:pStyle w:val="8"/>
        <w:pageBreakBefore w:val="0"/>
        <w:kinsoku/>
        <w:wordWrap/>
        <w:overflowPunct/>
        <w:topLinePunct w:val="0"/>
        <w:bidi w:val="0"/>
        <w:snapToGrid/>
        <w:spacing w:before="0" w:after="0" w:line="360" w:lineRule="auto"/>
        <w:textAlignment w:val="auto"/>
        <w:rPr>
          <w:rFonts w:hint="eastAsia" w:asciiTheme="minorEastAsia" w:hAnsiTheme="minorEastAsia" w:eastAsiaTheme="minorEastAsia" w:cstheme="minorEastAsia"/>
          <w:b w:val="0"/>
          <w:color w:val="auto"/>
          <w:sz w:val="24"/>
          <w:szCs w:val="24"/>
          <w:highlight w:val="none"/>
        </w:rPr>
      </w:pPr>
      <w:bookmarkStart w:id="217" w:name="_Toc267251418"/>
      <w:bookmarkStart w:id="218" w:name="_Toc351203637"/>
      <w:r>
        <w:rPr>
          <w:rFonts w:hint="eastAsia" w:asciiTheme="minorEastAsia" w:hAnsiTheme="minorEastAsia" w:eastAsiaTheme="minorEastAsia" w:cstheme="minorEastAsia"/>
          <w:b w:val="0"/>
          <w:color w:val="auto"/>
          <w:sz w:val="24"/>
          <w:szCs w:val="24"/>
          <w:highlight w:val="none"/>
        </w:rPr>
        <w:t>5</w:t>
      </w:r>
      <w:bookmarkEnd w:id="217"/>
      <w:bookmarkStart w:id="219" w:name="_Toc296503163"/>
      <w:bookmarkStart w:id="220" w:name="_Toc296890991"/>
      <w:bookmarkStart w:id="221" w:name="_Toc297120463"/>
      <w:bookmarkStart w:id="222" w:name="_Toc296346664"/>
      <w:bookmarkStart w:id="223" w:name="_Toc297048349"/>
      <w:bookmarkStart w:id="224" w:name="_Toc296891203"/>
      <w:bookmarkStart w:id="225" w:name="_Toc296944502"/>
      <w:bookmarkStart w:id="226" w:name="_Toc292559367"/>
      <w:bookmarkStart w:id="227" w:name="_Toc296347162"/>
      <w:bookmarkStart w:id="228" w:name="_Toc292559872"/>
      <w:r>
        <w:rPr>
          <w:rFonts w:hint="eastAsia" w:asciiTheme="minorEastAsia" w:hAnsiTheme="minorEastAsia" w:eastAsiaTheme="minorEastAsia" w:cstheme="minorEastAsia"/>
          <w:b w:val="0"/>
          <w:color w:val="auto"/>
          <w:sz w:val="24"/>
          <w:szCs w:val="24"/>
          <w:highlight w:val="none"/>
        </w:rPr>
        <w:t>. 工程质量</w:t>
      </w:r>
      <w:bookmarkEnd w:id="218"/>
    </w:p>
    <w:p w14:paraId="19E1E55B">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5.1 质量要求</w:t>
      </w:r>
    </w:p>
    <w:p w14:paraId="00F1D3CE">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bookmarkStart w:id="229" w:name="_Toc303539106"/>
      <w:bookmarkStart w:id="230" w:name="_Toc318581164"/>
      <w:bookmarkStart w:id="231" w:name="_Toc297216155"/>
      <w:bookmarkStart w:id="232" w:name="_Toc297123496"/>
      <w:bookmarkStart w:id="233" w:name="_Toc300934949"/>
      <w:bookmarkStart w:id="234" w:name="_Toc312677997"/>
      <w:bookmarkStart w:id="235" w:name="_Toc304295527"/>
      <w:r>
        <w:rPr>
          <w:rFonts w:hint="eastAsia" w:asciiTheme="minorEastAsia" w:hAnsiTheme="minorEastAsia" w:eastAsiaTheme="minorEastAsia" w:cstheme="minorEastAsia"/>
          <w:color w:val="auto"/>
          <w:sz w:val="24"/>
          <w:szCs w:val="24"/>
          <w:highlight w:val="none"/>
        </w:rPr>
        <w:t>.1.1质量标准和要求：</w:t>
      </w:r>
      <w:r>
        <w:rPr>
          <w:rFonts w:hint="eastAsia" w:asciiTheme="minorEastAsia" w:hAnsiTheme="minorEastAsia" w:eastAsiaTheme="minorEastAsia" w:cstheme="minorEastAsia"/>
          <w:b/>
          <w:color w:val="auto"/>
          <w:sz w:val="24"/>
          <w:szCs w:val="24"/>
          <w:highlight w:val="none"/>
          <w:u w:val="single"/>
        </w:rPr>
        <w:t>一次性验收合格</w:t>
      </w:r>
      <w:r>
        <w:rPr>
          <w:rFonts w:hint="eastAsia" w:asciiTheme="minorEastAsia" w:hAnsiTheme="minorEastAsia" w:eastAsiaTheme="minorEastAsia" w:cstheme="minorEastAsia"/>
          <w:b/>
          <w:color w:val="auto"/>
          <w:sz w:val="24"/>
          <w:szCs w:val="24"/>
          <w:highlight w:val="none"/>
        </w:rPr>
        <w:t>。</w:t>
      </w:r>
    </w:p>
    <w:p w14:paraId="5F220FFF">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关于工程奖项的约定：</w:t>
      </w:r>
      <w:r>
        <w:rPr>
          <w:rFonts w:hint="eastAsia" w:asciiTheme="minorEastAsia" w:hAnsiTheme="minorEastAsia" w:eastAsiaTheme="minorEastAsia" w:cstheme="minorEastAsia"/>
          <w:color w:val="auto"/>
          <w:sz w:val="24"/>
          <w:szCs w:val="24"/>
          <w:highlight w:val="none"/>
          <w:u w:val="single"/>
        </w:rPr>
        <w:t>无</w:t>
      </w:r>
      <w:r>
        <w:rPr>
          <w:rFonts w:hint="eastAsia" w:asciiTheme="minorEastAsia" w:hAnsiTheme="minorEastAsia" w:eastAsiaTheme="minorEastAsia" w:cstheme="minorEastAsia"/>
          <w:color w:val="auto"/>
          <w:sz w:val="24"/>
          <w:szCs w:val="24"/>
          <w:highlight w:val="none"/>
        </w:rPr>
        <w:t>。</w:t>
      </w:r>
    </w:p>
    <w:p w14:paraId="2B49C67E">
      <w:pPr>
        <w:pStyle w:val="8"/>
        <w:pageBreakBefore w:val="0"/>
        <w:kinsoku/>
        <w:wordWrap/>
        <w:overflowPunct/>
        <w:topLinePunct w:val="0"/>
        <w:bidi w:val="0"/>
        <w:snapToGrid/>
        <w:spacing w:before="0" w:after="0" w:line="360" w:lineRule="auto"/>
        <w:textAlignment w:val="auto"/>
        <w:rPr>
          <w:rFonts w:hint="eastAsia" w:asciiTheme="minorEastAsia" w:hAnsiTheme="minorEastAsia" w:eastAsiaTheme="minorEastAsia" w:cstheme="minorEastAsia"/>
          <w:b w:val="0"/>
          <w:color w:val="auto"/>
          <w:sz w:val="24"/>
          <w:szCs w:val="24"/>
          <w:highlight w:val="none"/>
        </w:rPr>
      </w:pPr>
      <w:bookmarkStart w:id="236" w:name="_Toc351203638"/>
      <w:r>
        <w:rPr>
          <w:rFonts w:hint="eastAsia" w:asciiTheme="minorEastAsia" w:hAnsiTheme="minorEastAsia" w:eastAsiaTheme="minorEastAsia" w:cstheme="minorEastAsia"/>
          <w:b w:val="0"/>
          <w:color w:val="auto"/>
          <w:sz w:val="24"/>
          <w:szCs w:val="24"/>
          <w:highlight w:val="none"/>
        </w:rPr>
        <w:t>6. 安全文明施工与环境保护</w:t>
      </w:r>
      <w:bookmarkEnd w:id="236"/>
    </w:p>
    <w:p w14:paraId="6398F826">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6.1安全文明施工</w:t>
      </w:r>
    </w:p>
    <w:p w14:paraId="16675009">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6.1.1 项目安全生产的达标目标及相应事项的约定</w:t>
      </w:r>
      <w:r>
        <w:rPr>
          <w:rFonts w:hint="eastAsia" w:asciiTheme="minorEastAsia" w:hAnsiTheme="minorEastAsia" w:eastAsiaTheme="minorEastAsia" w:cstheme="minorEastAsia"/>
          <w:b/>
          <w:color w:val="auto"/>
          <w:sz w:val="24"/>
          <w:szCs w:val="24"/>
          <w:highlight w:val="none"/>
          <w:u w:val="single"/>
        </w:rPr>
        <w:t>：安全事故死亡率为零。</w:t>
      </w:r>
    </w:p>
    <w:p w14:paraId="0235A859">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6.1.4 关于治安保卫的特别约定：</w:t>
      </w:r>
      <w:r>
        <w:rPr>
          <w:rFonts w:hint="eastAsia" w:asciiTheme="minorEastAsia" w:hAnsiTheme="minorEastAsia" w:eastAsiaTheme="minorEastAsia" w:cstheme="minorEastAsia"/>
          <w:b/>
          <w:color w:val="auto"/>
          <w:sz w:val="24"/>
          <w:szCs w:val="24"/>
          <w:highlight w:val="none"/>
          <w:u w:val="single"/>
          <w:lang w:val="en-US" w:eastAsia="zh-CN"/>
        </w:rPr>
        <w:t>承包人</w:t>
      </w:r>
      <w:r>
        <w:rPr>
          <w:rFonts w:hint="eastAsia" w:asciiTheme="minorEastAsia" w:hAnsiTheme="minorEastAsia" w:eastAsiaTheme="minorEastAsia" w:cstheme="minorEastAsia"/>
          <w:b/>
          <w:color w:val="auto"/>
          <w:sz w:val="24"/>
          <w:szCs w:val="24"/>
          <w:highlight w:val="none"/>
          <w:u w:val="single"/>
        </w:rPr>
        <w:t>应负责本项目承包范围内全部施工现场的治安保卫</w:t>
      </w:r>
      <w:r>
        <w:rPr>
          <w:rFonts w:hint="eastAsia" w:asciiTheme="minorEastAsia" w:hAnsiTheme="minorEastAsia" w:eastAsiaTheme="minorEastAsia" w:cstheme="minorEastAsia"/>
          <w:b/>
          <w:color w:val="auto"/>
          <w:sz w:val="24"/>
          <w:szCs w:val="24"/>
          <w:highlight w:val="none"/>
          <w:u w:val="single"/>
          <w:lang w:eastAsia="zh-CN"/>
        </w:rPr>
        <w:t>。</w:t>
      </w:r>
      <w:r>
        <w:rPr>
          <w:rFonts w:hint="eastAsia" w:asciiTheme="minorEastAsia" w:hAnsiTheme="minorEastAsia" w:eastAsiaTheme="minorEastAsia" w:cstheme="minorEastAsia"/>
          <w:b/>
          <w:color w:val="auto"/>
          <w:sz w:val="24"/>
          <w:szCs w:val="24"/>
          <w:highlight w:val="none"/>
          <w:u w:val="single"/>
          <w:lang w:val="en-US" w:eastAsia="zh-CN"/>
        </w:rPr>
        <w:t>因一阶段施工时仍为学生在校期间，承包人</w:t>
      </w:r>
      <w:r>
        <w:rPr>
          <w:rFonts w:hint="eastAsia" w:asciiTheme="minorEastAsia" w:hAnsiTheme="minorEastAsia" w:eastAsiaTheme="minorEastAsia" w:cstheme="minorEastAsia"/>
          <w:b/>
          <w:color w:val="auto"/>
          <w:sz w:val="24"/>
          <w:szCs w:val="24"/>
          <w:highlight w:val="none"/>
          <w:u w:val="single"/>
        </w:rPr>
        <w:t>在施工现场建立符</w:t>
      </w:r>
      <w:r>
        <w:rPr>
          <w:rFonts w:hint="eastAsia" w:asciiTheme="minorEastAsia" w:hAnsiTheme="minorEastAsia" w:eastAsiaTheme="minorEastAsia" w:cstheme="minorEastAsia"/>
          <w:b/>
          <w:color w:val="auto"/>
          <w:sz w:val="24"/>
          <w:szCs w:val="24"/>
          <w:highlight w:val="none"/>
          <w:u w:val="single"/>
          <w:lang w:val="en-US" w:eastAsia="zh-CN"/>
        </w:rPr>
        <w:t>相应</w:t>
      </w:r>
      <w:r>
        <w:rPr>
          <w:rFonts w:hint="eastAsia" w:asciiTheme="minorEastAsia" w:hAnsiTheme="minorEastAsia" w:eastAsiaTheme="minorEastAsia" w:cstheme="minorEastAsia"/>
          <w:b/>
          <w:color w:val="auto"/>
          <w:sz w:val="24"/>
          <w:szCs w:val="24"/>
          <w:highlight w:val="none"/>
          <w:u w:val="single"/>
        </w:rPr>
        <w:t>组织</w:t>
      </w:r>
      <w:r>
        <w:rPr>
          <w:rFonts w:hint="eastAsia" w:asciiTheme="minorEastAsia" w:hAnsiTheme="minorEastAsia" w:eastAsiaTheme="minorEastAsia" w:cstheme="minorEastAsia"/>
          <w:b/>
          <w:color w:val="auto"/>
          <w:sz w:val="24"/>
          <w:szCs w:val="24"/>
          <w:highlight w:val="none"/>
          <w:u w:val="single"/>
          <w:lang w:val="en-US" w:eastAsia="zh-CN"/>
        </w:rPr>
        <w:t>或人员负责维护出入施工周边区域的安全，</w:t>
      </w:r>
      <w:r>
        <w:rPr>
          <w:rFonts w:hint="eastAsia" w:asciiTheme="minorEastAsia" w:hAnsiTheme="minorEastAsia" w:eastAsiaTheme="minorEastAsia" w:cstheme="minorEastAsia"/>
          <w:b/>
          <w:color w:val="auto"/>
          <w:sz w:val="24"/>
          <w:szCs w:val="24"/>
          <w:highlight w:val="none"/>
          <w:u w:val="single"/>
        </w:rPr>
        <w:t>费用已包括在签约合同价中。</w:t>
      </w:r>
    </w:p>
    <w:bookmarkEnd w:id="229"/>
    <w:bookmarkEnd w:id="230"/>
    <w:bookmarkEnd w:id="231"/>
    <w:bookmarkEnd w:id="232"/>
    <w:bookmarkEnd w:id="233"/>
    <w:bookmarkEnd w:id="234"/>
    <w:bookmarkEnd w:id="235"/>
    <w:p w14:paraId="1FEAF0F6">
      <w:pPr>
        <w:pStyle w:val="8"/>
        <w:pageBreakBefore w:val="0"/>
        <w:kinsoku/>
        <w:wordWrap/>
        <w:overflowPunct/>
        <w:topLinePunct w:val="0"/>
        <w:bidi w:val="0"/>
        <w:snapToGrid/>
        <w:spacing w:before="0" w:after="0" w:line="360" w:lineRule="auto"/>
        <w:textAlignment w:val="auto"/>
        <w:rPr>
          <w:rFonts w:hint="eastAsia" w:asciiTheme="minorEastAsia" w:hAnsiTheme="minorEastAsia" w:eastAsiaTheme="minorEastAsia" w:cstheme="minorEastAsia"/>
          <w:b w:val="0"/>
          <w:color w:val="auto"/>
          <w:sz w:val="24"/>
          <w:szCs w:val="24"/>
          <w:highlight w:val="none"/>
        </w:rPr>
      </w:pPr>
      <w:bookmarkStart w:id="237" w:name="_Toc351203639"/>
      <w:r>
        <w:rPr>
          <w:rFonts w:hint="eastAsia" w:asciiTheme="minorEastAsia" w:hAnsiTheme="minorEastAsia" w:eastAsiaTheme="minorEastAsia" w:cstheme="minorEastAsia"/>
          <w:b w:val="0"/>
          <w:color w:val="auto"/>
          <w:sz w:val="24"/>
          <w:szCs w:val="24"/>
          <w:highlight w:val="none"/>
        </w:rPr>
        <w:t>7. 工期和进度</w:t>
      </w:r>
      <w:bookmarkEnd w:id="237"/>
    </w:p>
    <w:p w14:paraId="13B4D029">
      <w:pPr>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 xml:space="preserve">7.1.2 </w:t>
      </w:r>
      <w:r>
        <w:rPr>
          <w:rFonts w:hint="eastAsia" w:asciiTheme="minorEastAsia" w:hAnsiTheme="minorEastAsia" w:eastAsiaTheme="minorEastAsia" w:cstheme="minorEastAsia"/>
          <w:color w:val="auto"/>
          <w:kern w:val="0"/>
          <w:sz w:val="24"/>
          <w:szCs w:val="24"/>
          <w:highlight w:val="none"/>
        </w:rPr>
        <w:t>施工组织设计的提交和修改</w:t>
      </w:r>
    </w:p>
    <w:p w14:paraId="59C351AB">
      <w:pPr>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承包人提交详细施工组织设计的期限的约定：</w:t>
      </w:r>
      <w:r>
        <w:rPr>
          <w:rFonts w:hint="eastAsia" w:asciiTheme="minorEastAsia" w:hAnsiTheme="minorEastAsia" w:eastAsiaTheme="minorEastAsia" w:cstheme="minorEastAsia"/>
          <w:b/>
          <w:color w:val="auto"/>
          <w:sz w:val="24"/>
          <w:szCs w:val="24"/>
          <w:highlight w:val="none"/>
          <w:u w:val="single"/>
        </w:rPr>
        <w:t>开工前7天</w:t>
      </w:r>
      <w:r>
        <w:rPr>
          <w:rFonts w:hint="eastAsia" w:asciiTheme="minorEastAsia" w:hAnsiTheme="minorEastAsia" w:eastAsiaTheme="minorEastAsia" w:cstheme="minorEastAsia"/>
          <w:b/>
          <w:color w:val="auto"/>
          <w:sz w:val="24"/>
          <w:szCs w:val="24"/>
          <w:highlight w:val="none"/>
        </w:rPr>
        <w:t>。</w:t>
      </w:r>
    </w:p>
    <w:p w14:paraId="086B9B00">
      <w:pPr>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发包人和监理人在收到详细的施工组织设计后确认或提出修改意见的期限：</w:t>
      </w:r>
      <w:r>
        <w:rPr>
          <w:rFonts w:hint="eastAsia" w:asciiTheme="minorEastAsia" w:hAnsiTheme="minorEastAsia" w:eastAsiaTheme="minorEastAsia" w:cstheme="minorEastAsia"/>
          <w:b/>
          <w:color w:val="auto"/>
          <w:sz w:val="24"/>
          <w:szCs w:val="24"/>
          <w:highlight w:val="none"/>
          <w:u w:val="single"/>
        </w:rPr>
        <w:t>收到后7天内</w:t>
      </w:r>
      <w:r>
        <w:rPr>
          <w:rFonts w:hint="eastAsia" w:asciiTheme="minorEastAsia" w:hAnsiTheme="minorEastAsia" w:eastAsiaTheme="minorEastAsia" w:cstheme="minorEastAsia"/>
          <w:b/>
          <w:color w:val="auto"/>
          <w:sz w:val="24"/>
          <w:szCs w:val="24"/>
          <w:highlight w:val="none"/>
        </w:rPr>
        <w:t>。</w:t>
      </w:r>
    </w:p>
    <w:p w14:paraId="0A20E59C">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w:t>
      </w:r>
      <w:bookmarkStart w:id="238" w:name="_Toc304295541"/>
      <w:bookmarkStart w:id="239" w:name="_Toc297216173"/>
      <w:bookmarkStart w:id="240" w:name="_Toc303539123"/>
      <w:bookmarkStart w:id="241" w:name="_Toc312677479"/>
      <w:bookmarkStart w:id="242" w:name="_Toc312678005"/>
      <w:bookmarkStart w:id="243" w:name="_Toc300934966"/>
      <w:bookmarkStart w:id="244" w:name="_Toc297123514"/>
      <w:r>
        <w:rPr>
          <w:rFonts w:hint="eastAsia" w:asciiTheme="minorEastAsia" w:hAnsiTheme="minorEastAsia" w:eastAsiaTheme="minorEastAsia" w:cstheme="minorEastAsia"/>
          <w:color w:val="auto"/>
          <w:sz w:val="24"/>
          <w:szCs w:val="24"/>
          <w:highlight w:val="none"/>
        </w:rPr>
        <w:t>.2 施工进度计划</w:t>
      </w:r>
    </w:p>
    <w:p w14:paraId="48F5F61B">
      <w:pPr>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none"/>
        </w:rPr>
        <w:t>7.2.1</w:t>
      </w:r>
      <w:r>
        <w:rPr>
          <w:rFonts w:hint="eastAsia" w:asciiTheme="minorEastAsia" w:hAnsiTheme="minorEastAsia" w:eastAsiaTheme="minorEastAsia" w:cstheme="minorEastAsia"/>
          <w:color w:val="auto"/>
          <w:sz w:val="24"/>
          <w:szCs w:val="24"/>
          <w:highlight w:val="none"/>
          <w:u w:val="single"/>
        </w:rPr>
        <w:t>施工进度计划包括本合同范围内全部工程的施工总进度计划及承包人承包范围内工程的单位工程进度计划。承包人有权依照施工总进度计划及施工进度计划检查施工进度情况，负责汇总各进度月报，当发生偏差时，应提出纠偏建议。</w:t>
      </w:r>
    </w:p>
    <w:p w14:paraId="2D37E372">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7.2.2 施工进度计划的修订</w:t>
      </w:r>
    </w:p>
    <w:p w14:paraId="5E4EDE77">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发包人和监理人在收到修订的施工进度计划后确认或提出修改意见的期限</w:t>
      </w: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b/>
          <w:color w:val="auto"/>
          <w:sz w:val="24"/>
          <w:szCs w:val="24"/>
          <w:highlight w:val="none"/>
          <w:u w:val="single"/>
        </w:rPr>
        <w:t>收到后7天内</w:t>
      </w:r>
      <w:r>
        <w:rPr>
          <w:rFonts w:hint="eastAsia" w:asciiTheme="minorEastAsia" w:hAnsiTheme="minorEastAsia" w:eastAsiaTheme="minorEastAsia" w:cstheme="minorEastAsia"/>
          <w:b/>
          <w:color w:val="auto"/>
          <w:sz w:val="24"/>
          <w:szCs w:val="24"/>
          <w:highlight w:val="none"/>
        </w:rPr>
        <w:t>。</w:t>
      </w:r>
    </w:p>
    <w:p w14:paraId="0E2A3EA3">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 开工</w:t>
      </w:r>
    </w:p>
    <w:p w14:paraId="278CECEC">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7.3.1 开工准备</w:t>
      </w:r>
    </w:p>
    <w:p w14:paraId="3A9424E3">
      <w:pPr>
        <w:pageBreakBefore w:val="0"/>
        <w:kinsoku/>
        <w:wordWrap/>
        <w:overflowPunct/>
        <w:topLinePunct w:val="0"/>
        <w:bidi w:val="0"/>
        <w:snapToGrid/>
        <w:spacing w:line="360" w:lineRule="auto"/>
        <w:ind w:firstLine="609" w:firstLineChars="254"/>
        <w:textAlignment w:val="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关于承包人提交</w:t>
      </w:r>
      <w:r>
        <w:rPr>
          <w:rFonts w:hint="eastAsia" w:asciiTheme="minorEastAsia" w:hAnsiTheme="minorEastAsia" w:eastAsiaTheme="minorEastAsia" w:cstheme="minorEastAsia"/>
          <w:color w:val="auto"/>
          <w:kern w:val="0"/>
          <w:sz w:val="24"/>
          <w:szCs w:val="24"/>
          <w:highlight w:val="none"/>
        </w:rPr>
        <w:t>工程开工报审表的期限：</w:t>
      </w:r>
      <w:r>
        <w:rPr>
          <w:rFonts w:hint="eastAsia" w:asciiTheme="minorEastAsia" w:hAnsiTheme="minorEastAsia" w:eastAsiaTheme="minorEastAsia" w:cstheme="minorEastAsia"/>
          <w:b/>
          <w:color w:val="auto"/>
          <w:sz w:val="24"/>
          <w:szCs w:val="24"/>
          <w:highlight w:val="none"/>
          <w:u w:val="single"/>
        </w:rPr>
        <w:t>当承包人完成施工准备工作并经发包人、监理人验收合格后，在发包人要求的期限内提交</w:t>
      </w:r>
      <w:r>
        <w:rPr>
          <w:rFonts w:hint="eastAsia" w:asciiTheme="minorEastAsia" w:hAnsiTheme="minorEastAsia" w:eastAsiaTheme="minorEastAsia" w:cstheme="minorEastAsia"/>
          <w:b/>
          <w:color w:val="auto"/>
          <w:sz w:val="24"/>
          <w:szCs w:val="24"/>
          <w:highlight w:val="none"/>
        </w:rPr>
        <w:t xml:space="preserve"> 。</w:t>
      </w:r>
    </w:p>
    <w:p w14:paraId="742749E7">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7.3.2开工通知</w:t>
      </w:r>
    </w:p>
    <w:bookmarkEnd w:id="238"/>
    <w:bookmarkEnd w:id="239"/>
    <w:bookmarkEnd w:id="240"/>
    <w:bookmarkEnd w:id="241"/>
    <w:bookmarkEnd w:id="242"/>
    <w:bookmarkEnd w:id="243"/>
    <w:bookmarkEnd w:id="244"/>
    <w:p w14:paraId="49383DBB">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以监理人发出的书面开工通知为准。</w:t>
      </w:r>
    </w:p>
    <w:p w14:paraId="62770310">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w:t>
      </w:r>
      <w:bookmarkStart w:id="245" w:name="_Toc297123516"/>
      <w:bookmarkStart w:id="246" w:name="_Toc312677484"/>
      <w:bookmarkStart w:id="247" w:name="_Toc303539125"/>
      <w:bookmarkStart w:id="248" w:name="_Toc312678010"/>
      <w:bookmarkStart w:id="249" w:name="_Toc297216175"/>
      <w:bookmarkStart w:id="250" w:name="_Toc304295546"/>
      <w:bookmarkStart w:id="251" w:name="_Toc300934968"/>
      <w:r>
        <w:rPr>
          <w:rFonts w:hint="eastAsia" w:asciiTheme="minorEastAsia" w:hAnsiTheme="minorEastAsia" w:eastAsiaTheme="minorEastAsia" w:cstheme="minorEastAsia"/>
          <w:color w:val="auto"/>
          <w:sz w:val="24"/>
          <w:szCs w:val="24"/>
          <w:highlight w:val="none"/>
        </w:rPr>
        <w:t>.5 工期延误</w:t>
      </w:r>
    </w:p>
    <w:bookmarkEnd w:id="245"/>
    <w:bookmarkEnd w:id="246"/>
    <w:bookmarkEnd w:id="247"/>
    <w:bookmarkEnd w:id="248"/>
    <w:bookmarkEnd w:id="249"/>
    <w:bookmarkEnd w:id="250"/>
    <w:bookmarkEnd w:id="251"/>
    <w:p w14:paraId="77465CA4">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7.5.1 因发包人原因导致工期延误</w:t>
      </w:r>
    </w:p>
    <w:p w14:paraId="533102CC">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（7）因发包人原因导致工期延误的其他情形：</w:t>
      </w:r>
      <w:r>
        <w:rPr>
          <w:rFonts w:hint="eastAsia" w:asciiTheme="minorEastAsia" w:hAnsiTheme="minorEastAsia" w:eastAsiaTheme="minorEastAsia" w:cstheme="minorEastAsia"/>
          <w:b/>
          <w:bCs/>
          <w:color w:val="auto"/>
          <w:sz w:val="24"/>
          <w:szCs w:val="24"/>
          <w:highlight w:val="none"/>
          <w:u w:val="single"/>
        </w:rPr>
        <w:t>除通用条款约定的情形外，双方另行约定</w:t>
      </w:r>
      <w:r>
        <w:rPr>
          <w:rFonts w:hint="eastAsia" w:asciiTheme="minorEastAsia" w:hAnsiTheme="minorEastAsia" w:eastAsiaTheme="minorEastAsia" w:cstheme="minorEastAsia"/>
          <w:b/>
          <w:color w:val="auto"/>
          <w:sz w:val="24"/>
          <w:szCs w:val="24"/>
          <w:highlight w:val="none"/>
          <w:u w:val="single"/>
        </w:rPr>
        <w:t>。</w:t>
      </w:r>
    </w:p>
    <w:p w14:paraId="236D6892">
      <w:pPr>
        <w:pStyle w:val="8"/>
        <w:pageBreakBefore w:val="0"/>
        <w:kinsoku/>
        <w:wordWrap/>
        <w:overflowPunct/>
        <w:topLinePunct w:val="0"/>
        <w:bidi w:val="0"/>
        <w:snapToGrid/>
        <w:spacing w:before="0" w:after="0" w:line="360" w:lineRule="auto"/>
        <w:textAlignment w:val="auto"/>
        <w:rPr>
          <w:rFonts w:hint="eastAsia" w:asciiTheme="minorEastAsia" w:hAnsiTheme="minorEastAsia" w:eastAsiaTheme="minorEastAsia" w:cstheme="minorEastAsia"/>
          <w:b w:val="0"/>
          <w:color w:val="auto"/>
          <w:sz w:val="24"/>
          <w:szCs w:val="24"/>
          <w:highlight w:val="none"/>
        </w:rPr>
      </w:pPr>
      <w:bookmarkStart w:id="252" w:name="_Toc351203640"/>
      <w:r>
        <w:rPr>
          <w:rFonts w:hint="eastAsia" w:asciiTheme="minorEastAsia" w:hAnsiTheme="minorEastAsia" w:eastAsiaTheme="minorEastAsia" w:cstheme="minorEastAsia"/>
          <w:b w:val="0"/>
          <w:color w:val="auto"/>
          <w:sz w:val="24"/>
          <w:szCs w:val="24"/>
          <w:highlight w:val="none"/>
        </w:rPr>
        <w:t>8. 材料与设备</w:t>
      </w:r>
      <w:bookmarkEnd w:id="252"/>
    </w:p>
    <w:bookmarkEnd w:id="219"/>
    <w:bookmarkEnd w:id="220"/>
    <w:bookmarkEnd w:id="221"/>
    <w:bookmarkEnd w:id="222"/>
    <w:bookmarkEnd w:id="223"/>
    <w:bookmarkEnd w:id="224"/>
    <w:bookmarkEnd w:id="225"/>
    <w:bookmarkEnd w:id="226"/>
    <w:bookmarkEnd w:id="227"/>
    <w:bookmarkEnd w:id="228"/>
    <w:p w14:paraId="6A31AA93">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w:t>
      </w:r>
      <w:bookmarkStart w:id="253" w:name="_Toc297120467"/>
      <w:bookmarkStart w:id="254" w:name="_Toc296890995"/>
      <w:bookmarkStart w:id="255" w:name="_Toc304295556"/>
      <w:bookmarkStart w:id="256" w:name="_Toc312677493"/>
      <w:bookmarkStart w:id="257" w:name="_Toc297123527"/>
      <w:bookmarkStart w:id="258" w:name="_Toc297216186"/>
      <w:bookmarkStart w:id="259" w:name="_Toc292559877"/>
      <w:bookmarkStart w:id="260" w:name="_Toc296944506"/>
      <w:bookmarkStart w:id="261" w:name="_Toc292559372"/>
      <w:bookmarkStart w:id="262" w:name="_Toc296347166"/>
      <w:bookmarkStart w:id="263" w:name="_Toc300934979"/>
      <w:bookmarkStart w:id="264" w:name="_Toc297048353"/>
      <w:bookmarkStart w:id="265" w:name="_Toc296346668"/>
      <w:bookmarkStart w:id="266" w:name="_Toc280868654"/>
      <w:bookmarkStart w:id="267" w:name="_Toc296891207"/>
      <w:bookmarkStart w:id="268" w:name="_Toc296503167"/>
      <w:bookmarkStart w:id="269" w:name="_Toc303539136"/>
      <w:bookmarkStart w:id="270" w:name="_Toc312678019"/>
      <w:bookmarkStart w:id="271" w:name="_Toc280868656"/>
      <w:bookmarkStart w:id="272" w:name="_Toc280868655"/>
      <w:bookmarkStart w:id="273" w:name="_Toc267251424"/>
      <w:r>
        <w:rPr>
          <w:rFonts w:hint="eastAsia" w:asciiTheme="minorEastAsia" w:hAnsiTheme="minorEastAsia" w:eastAsiaTheme="minorEastAsia" w:cstheme="minorEastAsia"/>
          <w:color w:val="auto"/>
          <w:sz w:val="24"/>
          <w:szCs w:val="24"/>
          <w:highlight w:val="none"/>
        </w:rPr>
        <w:t>.4材料与工程设备的保管与使用</w:t>
      </w:r>
    </w:p>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14:paraId="40D3A508">
      <w:pPr>
        <w:pageBreakBefore w:val="0"/>
        <w:kinsoku/>
        <w:wordWrap/>
        <w:overflowPunct/>
        <w:topLinePunct w:val="0"/>
        <w:bidi w:val="0"/>
        <w:snapToGrid/>
        <w:spacing w:line="360" w:lineRule="auto"/>
        <w:ind w:firstLine="609" w:firstLineChars="254"/>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8</w:t>
      </w:r>
      <w:bookmarkStart w:id="274" w:name="_Toc292559373"/>
      <w:bookmarkStart w:id="275" w:name="_Toc292559878"/>
      <w:bookmarkStart w:id="276" w:name="_Toc296347167"/>
      <w:bookmarkStart w:id="277" w:name="_Toc318581173"/>
      <w:bookmarkStart w:id="278" w:name="_Toc303539137"/>
      <w:bookmarkStart w:id="279" w:name="_Toc312678020"/>
      <w:bookmarkStart w:id="280" w:name="_Toc304295557"/>
      <w:bookmarkStart w:id="281" w:name="_Toc296890996"/>
      <w:bookmarkStart w:id="282" w:name="_Toc296503168"/>
      <w:bookmarkStart w:id="283" w:name="_Toc297123528"/>
      <w:bookmarkStart w:id="284" w:name="_Toc300934980"/>
      <w:bookmarkStart w:id="285" w:name="_Toc297120468"/>
      <w:bookmarkStart w:id="286" w:name="_Toc296944507"/>
      <w:bookmarkStart w:id="287" w:name="_Toc296346669"/>
      <w:bookmarkStart w:id="288" w:name="_Toc296891208"/>
      <w:bookmarkStart w:id="289" w:name="_Toc312677494"/>
      <w:bookmarkStart w:id="290" w:name="_Toc297216187"/>
      <w:bookmarkStart w:id="291" w:name="_Toc297048354"/>
      <w:r>
        <w:rPr>
          <w:rFonts w:hint="eastAsia" w:asciiTheme="minorEastAsia" w:hAnsiTheme="minorEastAsia" w:eastAsiaTheme="minorEastAsia" w:cstheme="minorEastAsia"/>
          <w:color w:val="auto"/>
          <w:sz w:val="24"/>
          <w:szCs w:val="24"/>
          <w:highlight w:val="none"/>
        </w:rPr>
        <w:t>.4.1发包人供应的材料设备的保管费用的承担</w:t>
      </w:r>
      <w:r>
        <w:rPr>
          <w:rFonts w:hint="eastAsia" w:asciiTheme="minorEastAsia" w:hAnsiTheme="minorEastAsia" w:eastAsiaTheme="minorEastAsia" w:cstheme="minorEastAsia"/>
          <w:b/>
          <w:color w:val="auto"/>
          <w:sz w:val="24"/>
          <w:szCs w:val="24"/>
          <w:highlight w:val="none"/>
        </w:rPr>
        <w:t>：</w:t>
      </w:r>
      <w:bookmarkEnd w:id="274"/>
      <w:bookmarkEnd w:id="275"/>
      <w:r>
        <w:rPr>
          <w:rFonts w:hint="eastAsia" w:asciiTheme="minorEastAsia" w:hAnsiTheme="minorEastAsia" w:eastAsiaTheme="minorEastAsia" w:cstheme="minorEastAsia"/>
          <w:b/>
          <w:color w:val="auto"/>
          <w:sz w:val="24"/>
          <w:szCs w:val="24"/>
          <w:highlight w:val="none"/>
          <w:u w:val="single"/>
        </w:rPr>
        <w:t>发包人供应的承包人承包范围内的主要材料、设备的保管费用已经包含在签约合同价中</w:t>
      </w:r>
      <w:r>
        <w:rPr>
          <w:rFonts w:hint="eastAsia" w:asciiTheme="minorEastAsia" w:hAnsiTheme="minorEastAsia" w:eastAsiaTheme="minorEastAsia" w:cstheme="minorEastAsia"/>
          <w:b/>
          <w:color w:val="auto"/>
          <w:sz w:val="24"/>
          <w:szCs w:val="24"/>
          <w:highlight w:val="none"/>
        </w:rPr>
        <w:t>。</w:t>
      </w:r>
    </w:p>
    <w:p w14:paraId="28B14B23">
      <w:pPr>
        <w:pageBreakBefore w:val="0"/>
        <w:kinsoku/>
        <w:wordWrap/>
        <w:overflowPunct/>
        <w:topLinePunct w:val="0"/>
        <w:bidi w:val="0"/>
        <w:snapToGrid/>
        <w:spacing w:line="360" w:lineRule="auto"/>
        <w:ind w:firstLine="612" w:firstLineChars="254"/>
        <w:textAlignment w:val="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本工程所使用的材料必须符合设计规范，并经监理验收后方可使用。对水泥、钢材、商品混凝土等大宗材料和建材制品，承包人必须提供生产厂家相关产品的生产许可证、强制认证书、质量证书和产品材料清单，如需检测的还应提供相应的检测报告，并经发包人、监理方看样，书面认可后方可订货使用，以确保工程质量，杜绝不合格材料进场。发包人保留部分主要材料的采购权，若承包人一次材料送样不满足要求，第二次送样后品质仍明显低于</w:t>
      </w:r>
      <w:r>
        <w:rPr>
          <w:rFonts w:hint="eastAsia" w:asciiTheme="minorEastAsia" w:hAnsiTheme="minorEastAsia" w:eastAsiaTheme="minorEastAsia" w:cstheme="minorEastAsia"/>
          <w:b/>
          <w:color w:val="auto"/>
          <w:sz w:val="24"/>
          <w:szCs w:val="24"/>
          <w:highlight w:val="none"/>
          <w:u w:val="single"/>
          <w:lang w:eastAsia="zh-CN"/>
        </w:rPr>
        <w:t>磋商</w:t>
      </w:r>
      <w:r>
        <w:rPr>
          <w:rFonts w:hint="eastAsia" w:asciiTheme="minorEastAsia" w:hAnsiTheme="minorEastAsia" w:eastAsiaTheme="minorEastAsia" w:cstheme="minorEastAsia"/>
          <w:b/>
          <w:color w:val="auto"/>
          <w:sz w:val="24"/>
          <w:szCs w:val="24"/>
          <w:highlight w:val="none"/>
          <w:u w:val="single"/>
        </w:rPr>
        <w:t>承诺或拦标价的相应品质的、采供时间不满足要求的，发包人将收回采供权，并按</w:t>
      </w:r>
      <w:r>
        <w:rPr>
          <w:rFonts w:hint="eastAsia" w:asciiTheme="minorEastAsia" w:hAnsiTheme="minorEastAsia" w:eastAsiaTheme="minorEastAsia" w:cstheme="minorEastAsia"/>
          <w:b/>
          <w:color w:val="auto"/>
          <w:sz w:val="24"/>
          <w:szCs w:val="24"/>
          <w:highlight w:val="none"/>
          <w:u w:val="single"/>
          <w:lang w:eastAsia="zh-CN"/>
        </w:rPr>
        <w:t>已标价工程量清单</w:t>
      </w:r>
      <w:r>
        <w:rPr>
          <w:rFonts w:hint="eastAsia" w:asciiTheme="minorEastAsia" w:hAnsiTheme="minorEastAsia" w:eastAsiaTheme="minorEastAsia" w:cstheme="minorEastAsia"/>
          <w:b/>
          <w:color w:val="auto"/>
          <w:sz w:val="24"/>
          <w:szCs w:val="24"/>
          <w:highlight w:val="none"/>
          <w:u w:val="single"/>
        </w:rPr>
        <w:t>单价×工程量，从合同中扣除该项费用，再按该批次不合格材料总价费用的10%进行处罚。由此带来的工期延误，发包人不予承担责任。发包人供应的承包人承包范围内的主要材料、设备的保管费用及装卸、二次搬运等费用已经包含在签约合同价中</w:t>
      </w:r>
      <w:r>
        <w:rPr>
          <w:rFonts w:hint="eastAsia" w:asciiTheme="minorEastAsia" w:hAnsiTheme="minorEastAsia" w:eastAsiaTheme="minorEastAsia" w:cstheme="minorEastAsia"/>
          <w:b/>
          <w:color w:val="auto"/>
          <w:sz w:val="24"/>
          <w:szCs w:val="24"/>
          <w:highlight w:val="none"/>
        </w:rPr>
        <w:t>。</w:t>
      </w:r>
    </w:p>
    <w:p w14:paraId="496BF98C">
      <w:pPr>
        <w:pageBreakBefore w:val="0"/>
        <w:kinsoku/>
        <w:wordWrap/>
        <w:overflowPunct/>
        <w:topLinePunct w:val="0"/>
        <w:bidi w:val="0"/>
        <w:snapToGrid/>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在工程实施过程中，承包人不能因与发包人在材料价格审核、进度款审核等方面存在争议而拖延材料采购及工程施工，否则造成的工期延误责任一律由承包人承担。</w:t>
      </w:r>
    </w:p>
    <w:bookmarkEnd w:id="271"/>
    <w:bookmarkEnd w:id="272"/>
    <w:bookmarkEnd w:id="273"/>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14:paraId="03DA4326">
      <w:pPr>
        <w:pStyle w:val="8"/>
        <w:pageBreakBefore w:val="0"/>
        <w:kinsoku/>
        <w:wordWrap/>
        <w:overflowPunct/>
        <w:topLinePunct w:val="0"/>
        <w:bidi w:val="0"/>
        <w:snapToGrid/>
        <w:spacing w:before="0" w:after="0" w:line="360" w:lineRule="auto"/>
        <w:textAlignment w:val="auto"/>
        <w:rPr>
          <w:rFonts w:hint="eastAsia" w:asciiTheme="minorEastAsia" w:hAnsiTheme="minorEastAsia" w:eastAsiaTheme="minorEastAsia" w:cstheme="minorEastAsia"/>
          <w:b w:val="0"/>
          <w:color w:val="auto"/>
          <w:sz w:val="24"/>
          <w:szCs w:val="24"/>
          <w:highlight w:val="none"/>
        </w:rPr>
      </w:pPr>
      <w:bookmarkStart w:id="292" w:name="_Toc292559883"/>
      <w:bookmarkStart w:id="293" w:name="_Toc296347172"/>
      <w:bookmarkStart w:id="294" w:name="_Toc267251428"/>
      <w:bookmarkStart w:id="295" w:name="_Toc296891001"/>
      <w:bookmarkStart w:id="296" w:name="_Toc297120473"/>
      <w:bookmarkStart w:id="297" w:name="_Toc296503173"/>
      <w:bookmarkStart w:id="298" w:name="_Toc297048359"/>
      <w:bookmarkStart w:id="299" w:name="_Toc296891213"/>
      <w:bookmarkStart w:id="300" w:name="_Toc296944512"/>
      <w:bookmarkStart w:id="301" w:name="_Toc267251427"/>
      <w:bookmarkStart w:id="302" w:name="_Toc296346674"/>
      <w:bookmarkStart w:id="303" w:name="_Toc292559378"/>
      <w:bookmarkStart w:id="304" w:name="_Toc351203642"/>
      <w:r>
        <w:rPr>
          <w:rFonts w:hint="eastAsia" w:asciiTheme="minorEastAsia" w:hAnsiTheme="minorEastAsia" w:eastAsiaTheme="minorEastAsia" w:cstheme="minorEastAsia"/>
          <w:b w:val="0"/>
          <w:color w:val="auto"/>
          <w:sz w:val="24"/>
          <w:szCs w:val="24"/>
          <w:highlight w:val="none"/>
        </w:rPr>
        <w:t>1</w:t>
      </w:r>
      <w:bookmarkEnd w:id="292"/>
      <w:bookmarkEnd w:id="293"/>
      <w:bookmarkEnd w:id="294"/>
      <w:bookmarkEnd w:id="295"/>
      <w:bookmarkEnd w:id="296"/>
      <w:bookmarkEnd w:id="297"/>
      <w:bookmarkEnd w:id="298"/>
      <w:bookmarkEnd w:id="299"/>
      <w:bookmarkEnd w:id="300"/>
      <w:bookmarkEnd w:id="301"/>
      <w:bookmarkEnd w:id="302"/>
      <w:bookmarkEnd w:id="303"/>
      <w:bookmarkStart w:id="305" w:name="_Toc296346694"/>
      <w:bookmarkStart w:id="306" w:name="_Toc296944532"/>
      <w:bookmarkStart w:id="307" w:name="_Toc297048379"/>
      <w:bookmarkStart w:id="308" w:name="_Toc300934989"/>
      <w:bookmarkStart w:id="309" w:name="_Toc296503193"/>
      <w:bookmarkStart w:id="310" w:name="_Toc297123540"/>
      <w:bookmarkStart w:id="311" w:name="_Toc296347192"/>
      <w:bookmarkStart w:id="312" w:name="_Toc292559398"/>
      <w:bookmarkStart w:id="313" w:name="_Toc297120493"/>
      <w:bookmarkStart w:id="314" w:name="_Toc292559903"/>
      <w:bookmarkStart w:id="315" w:name="_Toc297216199"/>
      <w:bookmarkStart w:id="316" w:name="_Toc296891021"/>
      <w:bookmarkStart w:id="317" w:name="_Toc296891233"/>
      <w:bookmarkStart w:id="318" w:name="_Toc303539146"/>
      <w:bookmarkStart w:id="319" w:name="_Toc304295566"/>
      <w:bookmarkStart w:id="320" w:name="_Toc312678025"/>
      <w:bookmarkStart w:id="321" w:name="_Toc312677499"/>
      <w:bookmarkStart w:id="322" w:name="_Toc267251441"/>
      <w:bookmarkStart w:id="323" w:name="_Toc267251433"/>
      <w:bookmarkStart w:id="324" w:name="_Toc267251439"/>
      <w:bookmarkStart w:id="325" w:name="_Toc267251435"/>
      <w:bookmarkStart w:id="326" w:name="_Toc267251440"/>
      <w:bookmarkStart w:id="327" w:name="_Toc267251437"/>
      <w:bookmarkStart w:id="328" w:name="_Toc267251442"/>
      <w:r>
        <w:rPr>
          <w:rFonts w:hint="eastAsia" w:asciiTheme="minorEastAsia" w:hAnsiTheme="minorEastAsia" w:eastAsiaTheme="minorEastAsia" w:cstheme="minorEastAsia"/>
          <w:b w:val="0"/>
          <w:color w:val="auto"/>
          <w:sz w:val="24"/>
          <w:szCs w:val="24"/>
          <w:highlight w:val="none"/>
        </w:rPr>
        <w:t>0. 变更</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bookmarkEnd w:id="320"/>
    <w:bookmarkEnd w:id="321"/>
    <w:p w14:paraId="6D545837">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bookmarkStart w:id="329" w:name="_Toc297048380"/>
      <w:bookmarkStart w:id="330" w:name="_Toc296346695"/>
      <w:bookmarkStart w:id="331" w:name="_Toc297120494"/>
      <w:bookmarkStart w:id="332" w:name="_Toc304295567"/>
      <w:bookmarkStart w:id="333" w:name="_Toc296891022"/>
      <w:bookmarkStart w:id="334" w:name="_Toc312678026"/>
      <w:bookmarkStart w:id="335" w:name="_Toc297123541"/>
      <w:bookmarkStart w:id="336" w:name="_Toc296347193"/>
      <w:bookmarkStart w:id="337" w:name="_Toc312677500"/>
      <w:bookmarkStart w:id="338" w:name="_Toc296891234"/>
      <w:bookmarkStart w:id="339" w:name="_Toc296503194"/>
      <w:bookmarkStart w:id="340" w:name="_Toc297216200"/>
      <w:bookmarkStart w:id="341" w:name="_Toc292559399"/>
      <w:bookmarkStart w:id="342" w:name="_Toc292559904"/>
      <w:bookmarkStart w:id="343" w:name="_Toc296944533"/>
      <w:bookmarkStart w:id="344" w:name="_Toc300934990"/>
      <w:bookmarkStart w:id="345" w:name="_Toc303539147"/>
      <w:r>
        <w:rPr>
          <w:rFonts w:hint="eastAsia" w:asciiTheme="minorEastAsia" w:hAnsiTheme="minorEastAsia" w:eastAsiaTheme="minorEastAsia" w:cstheme="minorEastAsia"/>
          <w:color w:val="auto"/>
          <w:sz w:val="24"/>
          <w:szCs w:val="24"/>
          <w:highlight w:val="none"/>
        </w:rPr>
        <w:t>0.1变更的范围</w:t>
      </w:r>
    </w:p>
    <w:p w14:paraId="60A0D19B">
      <w:pPr>
        <w:pageBreakBefore w:val="0"/>
        <w:kinsoku/>
        <w:wordWrap/>
        <w:overflowPunct/>
        <w:topLinePunct w:val="0"/>
        <w:bidi w:val="0"/>
        <w:snapToGrid/>
        <w:spacing w:line="360" w:lineRule="auto"/>
        <w:ind w:firstLine="600"/>
        <w:jc w:val="left"/>
        <w:textAlignment w:val="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关于变更的范围的约定：</w:t>
      </w:r>
    </w:p>
    <w:p w14:paraId="41D44434">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﹑承包人在</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时遗漏任何一项工作内容等，承包人应按发包人提供的</w:t>
      </w:r>
      <w:r>
        <w:rPr>
          <w:rFonts w:hint="eastAsia" w:asciiTheme="minorEastAsia" w:hAnsiTheme="minorEastAsia" w:eastAsiaTheme="minorEastAsia" w:cstheme="minorEastAsia"/>
          <w:color w:val="auto"/>
          <w:sz w:val="24"/>
          <w:szCs w:val="24"/>
          <w:highlight w:val="none"/>
          <w:lang w:eastAsia="zh-CN"/>
        </w:rPr>
        <w:t>施工图</w:t>
      </w:r>
      <w:r>
        <w:rPr>
          <w:rFonts w:hint="eastAsia" w:asciiTheme="minorEastAsia" w:hAnsiTheme="minorEastAsia" w:eastAsiaTheme="minorEastAsia" w:cstheme="minorEastAsia"/>
          <w:color w:val="auto"/>
          <w:sz w:val="24"/>
          <w:szCs w:val="24"/>
          <w:highlight w:val="none"/>
        </w:rPr>
        <w:t>和相关施工规程规范及计价规则要求实施，并不构成一项变更。</w:t>
      </w:r>
    </w:p>
    <w:p w14:paraId="6F781CBF">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﹑任何施工管理和技术、气象因素、政府临时管制等方面的原因导致的工程量增加、产生新的项目或工作的增加等不构成变更</w:t>
      </w:r>
      <w:r>
        <w:rPr>
          <w:rFonts w:hint="eastAsia" w:asciiTheme="minorEastAsia" w:hAnsiTheme="minorEastAsia" w:eastAsiaTheme="minorEastAsia" w:cstheme="minorEastAsia"/>
          <w:color w:val="auto"/>
          <w:sz w:val="24"/>
          <w:szCs w:val="24"/>
          <w:highlight w:val="none"/>
          <w:lang w:eastAsia="zh-CN"/>
        </w:rPr>
        <w:t>。</w:t>
      </w:r>
    </w:p>
    <w:p w14:paraId="67EBE9B6">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﹑承包人为保证工程质量、安全文明施工、环境保护等而采取的措施；施工现场内的二次搬运、施工现场布置的调整等不构成变更</w:t>
      </w:r>
      <w:r>
        <w:rPr>
          <w:rFonts w:hint="eastAsia" w:asciiTheme="minorEastAsia" w:hAnsiTheme="minorEastAsia" w:eastAsiaTheme="minorEastAsia" w:cstheme="minorEastAsia"/>
          <w:color w:val="auto"/>
          <w:sz w:val="24"/>
          <w:szCs w:val="24"/>
          <w:highlight w:val="none"/>
          <w:lang w:eastAsia="zh-CN"/>
        </w:rPr>
        <w:t>。</w:t>
      </w:r>
    </w:p>
    <w:p w14:paraId="213805AA">
      <w:pPr>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10.3.3 变更执行</w:t>
      </w:r>
    </w:p>
    <w:p w14:paraId="37194F5E">
      <w:pPr>
        <w:pStyle w:val="89"/>
        <w:pageBreakBefore w:val="0"/>
        <w:kinsoku/>
        <w:wordWrap/>
        <w:overflowPunct/>
        <w:topLinePunct w:val="0"/>
        <w:bidi w:val="0"/>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承包人不得以任何理由拒绝执行发包人的变更指令，否则发包人有权拒绝签付工程进度款。当工程在关键线路上出现重大变更，因项目变更产生的工期顺延，变更所产生的增减工程量按实结算。</w:t>
      </w:r>
    </w:p>
    <w:p w14:paraId="5E507195">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10.4 变更估价</w:t>
      </w:r>
    </w:p>
    <w:p w14:paraId="1B8E468F">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10.4.1 变更估价原则</w:t>
      </w:r>
    </w:p>
    <w:p w14:paraId="46889447">
      <w:pPr>
        <w:pageBreakBefore w:val="0"/>
        <w:kinsoku/>
        <w:wordWrap/>
        <w:overflowPunct/>
        <w:topLinePunct w:val="0"/>
        <w:autoSpaceDE w:val="0"/>
        <w:autoSpaceDN w:val="0"/>
        <w:bidi w:val="0"/>
        <w:adjustRightInd w:val="0"/>
        <w:snapToGrid/>
        <w:spacing w:line="360" w:lineRule="auto"/>
        <w:ind w:left="-141" w:leftChars="-67" w:firstLine="891" w:firstLineChars="37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关于变更估价的约定: </w:t>
      </w:r>
    </w:p>
    <w:p w14:paraId="15AA57DC">
      <w:pPr>
        <w:pStyle w:val="89"/>
        <w:pageBreakBefore w:val="0"/>
        <w:kinsoku/>
        <w:wordWrap/>
        <w:overflowPunct/>
        <w:topLinePunct w:val="0"/>
        <w:bidi w:val="0"/>
        <w:snapToGrid/>
        <w:spacing w:line="360" w:lineRule="auto"/>
        <w:ind w:firstLine="487" w:firstLineChars="202"/>
        <w:textAlignment w:val="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1）变更估价原则：已标价工程量清单中有适用于变更工程项目的，采用该项目的单价；已标价工程量清单中没有适用、但有类似于变更工程项目的，可在合理范围内参照类似项目的单价；已标价工程量清单中没有适用也没有类似于变更工程项目的，由承包人根据变更工程资料、计量规则和计价办法、工程造价管理机构发布的信息价格提出变更工程项目的单价，报发包人确认后调整；已标价工程量清单中没有适用也没有类似于变更工程项目的，且工程造价管理机构发布的信息价格缺价的，由承包人根据变更工程资料、计量规则、计价办法和通过市场调查等取得有合法依据的市场价格提出变更工程项目的单价，报发包人确认后调整。</w:t>
      </w:r>
    </w:p>
    <w:p w14:paraId="773E06AC">
      <w:pPr>
        <w:pStyle w:val="89"/>
        <w:pageBreakBefore w:val="0"/>
        <w:kinsoku/>
        <w:wordWrap/>
        <w:overflowPunct/>
        <w:topLinePunct w:val="0"/>
        <w:bidi w:val="0"/>
        <w:snapToGrid/>
        <w:spacing w:line="360" w:lineRule="auto"/>
        <w:ind w:firstLine="487" w:firstLineChars="202"/>
        <w:textAlignment w:val="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2）材料计价原则：材料价格以合同签订当月的《昭通市建设工程材料价格信息及市场价格》中的营改增版巧家县基价确定，没有的材料价格按《云南省建设工程材料及设备价格信息》中昭通市巧家县基价确定；以上价格信息都无法确定的材料价格，由发包人、承包人、监理和造价四方通过询价确定。</w:t>
      </w:r>
    </w:p>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14:paraId="2F87151E">
      <w:pPr>
        <w:pStyle w:val="8"/>
        <w:pageBreakBefore w:val="0"/>
        <w:kinsoku/>
        <w:wordWrap/>
        <w:overflowPunct/>
        <w:topLinePunct w:val="0"/>
        <w:bidi w:val="0"/>
        <w:snapToGrid/>
        <w:spacing w:before="0" w:after="0" w:line="360" w:lineRule="auto"/>
        <w:textAlignment w:val="auto"/>
        <w:rPr>
          <w:rFonts w:hint="eastAsia" w:asciiTheme="minorEastAsia" w:hAnsiTheme="minorEastAsia" w:eastAsiaTheme="minorEastAsia" w:cstheme="minorEastAsia"/>
          <w:b w:val="0"/>
          <w:color w:val="auto"/>
          <w:sz w:val="24"/>
          <w:szCs w:val="24"/>
          <w:highlight w:val="none"/>
        </w:rPr>
      </w:pPr>
      <w:bookmarkStart w:id="346" w:name="_Toc351203643"/>
      <w:r>
        <w:rPr>
          <w:rFonts w:hint="eastAsia" w:asciiTheme="minorEastAsia" w:hAnsiTheme="minorEastAsia" w:eastAsiaTheme="minorEastAsia" w:cstheme="minorEastAsia"/>
          <w:b w:val="0"/>
          <w:color w:val="auto"/>
          <w:sz w:val="24"/>
          <w:szCs w:val="24"/>
          <w:highlight w:val="none"/>
        </w:rPr>
        <w:t>11. 价格调整</w:t>
      </w:r>
      <w:bookmarkEnd w:id="346"/>
    </w:p>
    <w:p w14:paraId="2AA3CAFF">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bookmarkStart w:id="347" w:name="_Toc296346702"/>
      <w:bookmarkStart w:id="348" w:name="_Toc297216209"/>
      <w:bookmarkStart w:id="349" w:name="_Toc297048387"/>
      <w:bookmarkStart w:id="350" w:name="_Toc296891029"/>
      <w:bookmarkStart w:id="351" w:name="_Toc297123550"/>
      <w:bookmarkStart w:id="352" w:name="_Toc297120501"/>
      <w:bookmarkStart w:id="353" w:name="_Toc292559406"/>
      <w:bookmarkStart w:id="354" w:name="_Toc292559911"/>
      <w:bookmarkStart w:id="355" w:name="_Toc303539157"/>
      <w:bookmarkStart w:id="356" w:name="_Toc296503201"/>
      <w:bookmarkStart w:id="357" w:name="_Toc296891241"/>
      <w:bookmarkStart w:id="358" w:name="_Toc300935000"/>
      <w:bookmarkStart w:id="359" w:name="_Toc296944540"/>
      <w:bookmarkStart w:id="360" w:name="_Toc312678039"/>
      <w:bookmarkStart w:id="361" w:name="_Toc304295577"/>
      <w:bookmarkStart w:id="362" w:name="_Toc296347200"/>
      <w:r>
        <w:rPr>
          <w:rFonts w:hint="eastAsia" w:asciiTheme="minorEastAsia" w:hAnsiTheme="minorEastAsia" w:eastAsiaTheme="minorEastAsia" w:cstheme="minorEastAsia"/>
          <w:color w:val="auto"/>
          <w:sz w:val="24"/>
          <w:szCs w:val="24"/>
          <w:highlight w:val="none"/>
        </w:rPr>
        <w:t>11.1 市场价格波动引起的调整</w:t>
      </w:r>
    </w:p>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14:paraId="2756460F">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市场价格波动是否调整合同价格的约定：</w:t>
      </w:r>
      <w:r>
        <w:rPr>
          <w:rFonts w:hint="eastAsia" w:asciiTheme="minorEastAsia" w:hAnsiTheme="minorEastAsia" w:eastAsiaTheme="minorEastAsia" w:cstheme="minorEastAsia"/>
          <w:b/>
          <w:bCs/>
          <w:color w:val="auto"/>
          <w:sz w:val="24"/>
          <w:szCs w:val="24"/>
          <w:highlight w:val="none"/>
          <w:u w:val="single"/>
          <w:lang w:val="en-US" w:eastAsia="zh-CN"/>
        </w:rPr>
        <w:t>不</w:t>
      </w:r>
      <w:r>
        <w:rPr>
          <w:rFonts w:hint="eastAsia" w:asciiTheme="minorEastAsia" w:hAnsiTheme="minorEastAsia" w:eastAsiaTheme="minorEastAsia" w:cstheme="minorEastAsia"/>
          <w:b/>
          <w:bCs/>
          <w:color w:val="auto"/>
          <w:sz w:val="24"/>
          <w:szCs w:val="24"/>
          <w:highlight w:val="none"/>
          <w:u w:val="single"/>
        </w:rPr>
        <w:t>调整。</w:t>
      </w:r>
    </w:p>
    <w:bookmarkEnd w:id="322"/>
    <w:bookmarkEnd w:id="323"/>
    <w:bookmarkEnd w:id="324"/>
    <w:bookmarkEnd w:id="325"/>
    <w:bookmarkEnd w:id="326"/>
    <w:bookmarkEnd w:id="327"/>
    <w:p w14:paraId="70F45C42">
      <w:pPr>
        <w:pStyle w:val="8"/>
        <w:pageBreakBefore w:val="0"/>
        <w:kinsoku/>
        <w:wordWrap/>
        <w:overflowPunct/>
        <w:topLinePunct w:val="0"/>
        <w:bidi w:val="0"/>
        <w:snapToGrid/>
        <w:spacing w:before="0" w:after="0" w:line="360" w:lineRule="auto"/>
        <w:textAlignment w:val="auto"/>
        <w:rPr>
          <w:rFonts w:hint="eastAsia" w:asciiTheme="minorEastAsia" w:hAnsiTheme="minorEastAsia" w:eastAsiaTheme="minorEastAsia" w:cstheme="minorEastAsia"/>
          <w:b w:val="0"/>
          <w:color w:val="auto"/>
          <w:sz w:val="24"/>
          <w:szCs w:val="24"/>
          <w:highlight w:val="none"/>
        </w:rPr>
      </w:pPr>
      <w:bookmarkStart w:id="363" w:name="_Toc296891033"/>
      <w:bookmarkStart w:id="364" w:name="_Toc292559915"/>
      <w:bookmarkStart w:id="365" w:name="_Toc296346706"/>
      <w:bookmarkStart w:id="366" w:name="_Toc292559410"/>
      <w:bookmarkStart w:id="367" w:name="_Toc296891245"/>
      <w:bookmarkStart w:id="368" w:name="_Toc296347204"/>
      <w:bookmarkStart w:id="369" w:name="_Toc297048391"/>
      <w:bookmarkStart w:id="370" w:name="_Toc297120505"/>
      <w:bookmarkStart w:id="371" w:name="_Toc296503205"/>
      <w:bookmarkStart w:id="372" w:name="_Toc296944544"/>
      <w:bookmarkStart w:id="373" w:name="_Toc351203644"/>
      <w:bookmarkStart w:id="374" w:name="_Toc300935002"/>
      <w:bookmarkStart w:id="375" w:name="_Toc303539159"/>
      <w:bookmarkStart w:id="376" w:name="_Toc304295579"/>
      <w:bookmarkStart w:id="377" w:name="_Toc312678040"/>
      <w:bookmarkStart w:id="378" w:name="_Toc297123552"/>
      <w:bookmarkStart w:id="379" w:name="_Toc297216211"/>
      <w:r>
        <w:rPr>
          <w:rFonts w:hint="eastAsia" w:asciiTheme="minorEastAsia" w:hAnsiTheme="minorEastAsia" w:eastAsiaTheme="minorEastAsia" w:cstheme="minorEastAsia"/>
          <w:b w:val="0"/>
          <w:color w:val="auto"/>
          <w:sz w:val="24"/>
          <w:szCs w:val="24"/>
          <w:highlight w:val="none"/>
        </w:rPr>
        <w:t xml:space="preserve">12. </w:t>
      </w:r>
      <w:bookmarkEnd w:id="363"/>
      <w:bookmarkEnd w:id="364"/>
      <w:bookmarkEnd w:id="365"/>
      <w:bookmarkEnd w:id="366"/>
      <w:bookmarkEnd w:id="367"/>
      <w:bookmarkEnd w:id="368"/>
      <w:bookmarkEnd w:id="369"/>
      <w:bookmarkEnd w:id="370"/>
      <w:bookmarkEnd w:id="371"/>
      <w:bookmarkEnd w:id="372"/>
      <w:r>
        <w:rPr>
          <w:rFonts w:hint="eastAsia" w:asciiTheme="minorEastAsia" w:hAnsiTheme="minorEastAsia" w:eastAsiaTheme="minorEastAsia" w:cstheme="minorEastAsia"/>
          <w:b w:val="0"/>
          <w:color w:val="auto"/>
          <w:sz w:val="24"/>
          <w:szCs w:val="24"/>
          <w:highlight w:val="none"/>
        </w:rPr>
        <w:t>合同价格、计量与支付</w:t>
      </w:r>
      <w:bookmarkEnd w:id="373"/>
    </w:p>
    <w:bookmarkEnd w:id="374"/>
    <w:bookmarkEnd w:id="375"/>
    <w:bookmarkEnd w:id="376"/>
    <w:bookmarkEnd w:id="377"/>
    <w:bookmarkEnd w:id="378"/>
    <w:bookmarkEnd w:id="379"/>
    <w:p w14:paraId="5F68EBFC">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bookmarkStart w:id="380" w:name="_Toc292559916"/>
      <w:bookmarkStart w:id="381" w:name="_Toc267251461"/>
      <w:bookmarkStart w:id="382" w:name="_Toc292559411"/>
      <w:bookmarkStart w:id="383" w:name="_Toc296891246"/>
      <w:bookmarkStart w:id="384" w:name="_Toc296503206"/>
      <w:bookmarkStart w:id="385" w:name="_Toc296347205"/>
      <w:bookmarkStart w:id="386" w:name="_Toc297048392"/>
      <w:bookmarkStart w:id="387" w:name="_Toc296891034"/>
      <w:bookmarkStart w:id="388" w:name="_Toc297120506"/>
      <w:bookmarkStart w:id="389" w:name="_Toc296944545"/>
      <w:bookmarkStart w:id="390" w:name="_Toc296346707"/>
      <w:bookmarkStart w:id="391" w:name="_Toc304295580"/>
      <w:bookmarkStart w:id="392" w:name="_Toc300935003"/>
      <w:bookmarkStart w:id="393" w:name="_Toc303539160"/>
      <w:bookmarkStart w:id="394" w:name="_Toc312678041"/>
      <w:bookmarkStart w:id="395" w:name="_Toc297123553"/>
      <w:bookmarkStart w:id="396" w:name="_Toc297216212"/>
      <w:r>
        <w:rPr>
          <w:rFonts w:hint="eastAsia" w:asciiTheme="minorEastAsia" w:hAnsiTheme="minorEastAsia" w:eastAsiaTheme="minorEastAsia" w:cstheme="minorEastAsia"/>
          <w:color w:val="auto"/>
          <w:sz w:val="24"/>
          <w:szCs w:val="24"/>
          <w:highlight w:val="none"/>
        </w:rPr>
        <w:t>12.1 合</w:t>
      </w:r>
      <w:bookmarkEnd w:id="380"/>
      <w:bookmarkEnd w:id="381"/>
      <w:bookmarkEnd w:id="382"/>
      <w:r>
        <w:rPr>
          <w:rFonts w:hint="eastAsia" w:asciiTheme="minorEastAsia" w:hAnsiTheme="minorEastAsia" w:eastAsiaTheme="minorEastAsia" w:cstheme="minorEastAsia"/>
          <w:color w:val="auto"/>
          <w:sz w:val="24"/>
          <w:szCs w:val="24"/>
          <w:highlight w:val="none"/>
        </w:rPr>
        <w:t>同价</w:t>
      </w:r>
      <w:bookmarkEnd w:id="383"/>
      <w:bookmarkEnd w:id="384"/>
      <w:bookmarkEnd w:id="385"/>
      <w:bookmarkEnd w:id="386"/>
      <w:bookmarkEnd w:id="387"/>
      <w:bookmarkEnd w:id="388"/>
      <w:bookmarkEnd w:id="389"/>
      <w:bookmarkEnd w:id="390"/>
      <w:r>
        <w:rPr>
          <w:rFonts w:hint="eastAsia" w:asciiTheme="minorEastAsia" w:hAnsiTheme="minorEastAsia" w:eastAsiaTheme="minorEastAsia" w:cstheme="minorEastAsia"/>
          <w:color w:val="auto"/>
          <w:sz w:val="24"/>
          <w:szCs w:val="24"/>
          <w:highlight w:val="none"/>
        </w:rPr>
        <w:t>格形式</w:t>
      </w:r>
    </w:p>
    <w:bookmarkEnd w:id="391"/>
    <w:bookmarkEnd w:id="392"/>
    <w:bookmarkEnd w:id="393"/>
    <w:bookmarkEnd w:id="394"/>
    <w:bookmarkEnd w:id="395"/>
    <w:bookmarkEnd w:id="396"/>
    <w:p w14:paraId="013589CD">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1、固定</w:t>
      </w:r>
      <w:r>
        <w:rPr>
          <w:rFonts w:hint="eastAsia" w:asciiTheme="minorEastAsia" w:hAnsiTheme="minorEastAsia" w:eastAsiaTheme="minorEastAsia" w:cstheme="minorEastAsia"/>
          <w:color w:val="auto"/>
          <w:sz w:val="24"/>
          <w:szCs w:val="24"/>
          <w:highlight w:val="none"/>
          <w:lang w:eastAsia="zh-CN"/>
        </w:rPr>
        <w:t>单价</w:t>
      </w:r>
      <w:r>
        <w:rPr>
          <w:rFonts w:hint="eastAsia" w:asciiTheme="minorEastAsia" w:hAnsiTheme="minorEastAsia" w:eastAsiaTheme="minorEastAsia" w:cstheme="minorEastAsia"/>
          <w:color w:val="auto"/>
          <w:sz w:val="24"/>
          <w:szCs w:val="24"/>
          <w:highlight w:val="none"/>
        </w:rPr>
        <w:t>合同。</w:t>
      </w:r>
    </w:p>
    <w:p w14:paraId="185E37F5">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lang w:eastAsia="zh-CN"/>
        </w:rPr>
        <w:t>固定单价</w:t>
      </w:r>
      <w:r>
        <w:rPr>
          <w:rFonts w:hint="eastAsia" w:asciiTheme="minorEastAsia" w:hAnsiTheme="minorEastAsia" w:eastAsiaTheme="minorEastAsia" w:cstheme="minorEastAsia"/>
          <w:color w:val="auto"/>
          <w:sz w:val="24"/>
          <w:szCs w:val="24"/>
          <w:highlight w:val="none"/>
        </w:rPr>
        <w:t>包含的风险范围：</w:t>
      </w:r>
    </w:p>
    <w:p w14:paraId="2A14A718">
      <w:pPr>
        <w:pStyle w:val="239"/>
        <w:pageBreakBefore w:val="0"/>
        <w:kinsoku/>
        <w:wordWrap/>
        <w:overflowPunct/>
        <w:topLinePunct w:val="0"/>
        <w:bidi w:val="0"/>
        <w:snapToGrid/>
        <w:spacing w:line="360" w:lineRule="auto"/>
        <w:ind w:firstLine="361" w:firstLineChars="150"/>
        <w:textAlignment w:val="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（1）</w:t>
      </w:r>
      <w:r>
        <w:rPr>
          <w:rFonts w:hint="eastAsia" w:asciiTheme="minorEastAsia" w:hAnsiTheme="minorEastAsia" w:eastAsiaTheme="minorEastAsia" w:cstheme="minorEastAsia"/>
          <w:b/>
          <w:color w:val="auto"/>
          <w:sz w:val="24"/>
          <w:szCs w:val="24"/>
          <w:highlight w:val="none"/>
          <w:u w:val="single"/>
          <w:lang w:eastAsia="zh-CN"/>
        </w:rPr>
        <w:t>承包人</w:t>
      </w:r>
      <w:r>
        <w:rPr>
          <w:rFonts w:hint="eastAsia" w:asciiTheme="minorEastAsia" w:hAnsiTheme="minorEastAsia" w:eastAsiaTheme="minorEastAsia" w:cstheme="minorEastAsia"/>
          <w:b/>
          <w:color w:val="auto"/>
          <w:sz w:val="24"/>
          <w:szCs w:val="24"/>
          <w:highlight w:val="none"/>
          <w:u w:val="single"/>
        </w:rPr>
        <w:t>自行考虑施工过程中材料、设备、人工费的市场价格变化，并承担由此产生的风险，发包人不额外支付因材料、设备、人工费的市场价格增涨而产生的费用，结算时一律不做调整。</w:t>
      </w:r>
    </w:p>
    <w:p w14:paraId="21C8B199">
      <w:pPr>
        <w:pStyle w:val="239"/>
        <w:pageBreakBefore w:val="0"/>
        <w:kinsoku/>
        <w:wordWrap/>
        <w:overflowPunct/>
        <w:topLinePunct w:val="0"/>
        <w:bidi w:val="0"/>
        <w:snapToGrid/>
        <w:spacing w:line="360" w:lineRule="auto"/>
        <w:ind w:firstLine="361" w:firstLineChars="150"/>
        <w:textAlignment w:val="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（2）</w:t>
      </w:r>
      <w:r>
        <w:rPr>
          <w:rFonts w:hint="eastAsia" w:asciiTheme="minorEastAsia" w:hAnsiTheme="minorEastAsia" w:eastAsiaTheme="minorEastAsia" w:cstheme="minorEastAsia"/>
          <w:b/>
          <w:color w:val="auto"/>
          <w:sz w:val="24"/>
          <w:szCs w:val="24"/>
          <w:highlight w:val="none"/>
          <w:u w:val="single"/>
          <w:lang w:eastAsia="zh-CN"/>
        </w:rPr>
        <w:t>承包人</w:t>
      </w:r>
      <w:r>
        <w:rPr>
          <w:rFonts w:hint="eastAsia" w:asciiTheme="minorEastAsia" w:hAnsiTheme="minorEastAsia" w:eastAsiaTheme="minorEastAsia" w:cstheme="minorEastAsia"/>
          <w:b/>
          <w:color w:val="auto"/>
          <w:sz w:val="24"/>
          <w:szCs w:val="24"/>
          <w:highlight w:val="none"/>
          <w:u w:val="single"/>
        </w:rPr>
        <w:t>充分考虑雨季施工、停水、停电等自然因素及工程量变更而造成影响工期的情况，考虑相关措施费用及合理安排好施工组织设计，必须保证按所承诺的工期完成工程项目，一旦工期延误按照合同专用条款中对工期延误的有关规定执行。</w:t>
      </w:r>
    </w:p>
    <w:p w14:paraId="5EA4B831">
      <w:pPr>
        <w:pStyle w:val="239"/>
        <w:pageBreakBefore w:val="0"/>
        <w:kinsoku/>
        <w:wordWrap/>
        <w:overflowPunct/>
        <w:topLinePunct w:val="0"/>
        <w:bidi w:val="0"/>
        <w:snapToGrid/>
        <w:spacing w:line="360" w:lineRule="auto"/>
        <w:ind w:firstLine="361" w:firstLineChars="150"/>
        <w:textAlignment w:val="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（3）</w:t>
      </w:r>
      <w:r>
        <w:rPr>
          <w:rFonts w:hint="eastAsia" w:asciiTheme="minorEastAsia" w:hAnsiTheme="minorEastAsia" w:eastAsiaTheme="minorEastAsia" w:cstheme="minorEastAsia"/>
          <w:b/>
          <w:color w:val="auto"/>
          <w:sz w:val="24"/>
          <w:szCs w:val="24"/>
          <w:highlight w:val="none"/>
          <w:u w:val="single"/>
          <w:lang w:eastAsia="zh-CN"/>
        </w:rPr>
        <w:t>承包人</w:t>
      </w:r>
      <w:r>
        <w:rPr>
          <w:rFonts w:hint="eastAsia" w:asciiTheme="minorEastAsia" w:hAnsiTheme="minorEastAsia" w:eastAsiaTheme="minorEastAsia" w:cstheme="minorEastAsia"/>
          <w:b/>
          <w:color w:val="auto"/>
          <w:sz w:val="24"/>
          <w:szCs w:val="24"/>
          <w:highlight w:val="none"/>
          <w:u w:val="single"/>
        </w:rPr>
        <w:t>应充分了解工地位置、情况、道路、储存空间、装卸限制及任何其他足以影响承包价的情况，任何因忽视或误解工地情况而导致的索赔或工期延长申请将不被批准。</w:t>
      </w:r>
    </w:p>
    <w:p w14:paraId="43CE5621">
      <w:pPr>
        <w:pStyle w:val="239"/>
        <w:pageBreakBefore w:val="0"/>
        <w:kinsoku/>
        <w:wordWrap/>
        <w:overflowPunct/>
        <w:topLinePunct w:val="0"/>
        <w:bidi w:val="0"/>
        <w:snapToGrid/>
        <w:spacing w:line="360" w:lineRule="auto"/>
        <w:ind w:firstLine="361" w:firstLineChars="150"/>
        <w:textAlignment w:val="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lang w:eastAsia="zh-CN"/>
        </w:rPr>
        <w:t>（</w:t>
      </w:r>
      <w:r>
        <w:rPr>
          <w:rFonts w:hint="eastAsia" w:asciiTheme="minorEastAsia" w:hAnsiTheme="minorEastAsia" w:eastAsiaTheme="minorEastAsia" w:cstheme="minorEastAsia"/>
          <w:b/>
          <w:color w:val="auto"/>
          <w:sz w:val="24"/>
          <w:szCs w:val="24"/>
          <w:highlight w:val="none"/>
          <w:u w:val="single"/>
          <w:lang w:val="en-US" w:eastAsia="zh-CN"/>
        </w:rPr>
        <w:t>4</w:t>
      </w:r>
      <w:r>
        <w:rPr>
          <w:rFonts w:hint="eastAsia" w:asciiTheme="minorEastAsia" w:hAnsiTheme="minorEastAsia" w:eastAsiaTheme="minorEastAsia" w:cstheme="minorEastAsia"/>
          <w:b/>
          <w:color w:val="auto"/>
          <w:sz w:val="24"/>
          <w:szCs w:val="24"/>
          <w:highlight w:val="none"/>
          <w:u w:val="single"/>
          <w:lang w:eastAsia="zh-CN"/>
        </w:rPr>
        <w:t>）</w:t>
      </w:r>
      <w:r>
        <w:rPr>
          <w:rFonts w:hint="eastAsia" w:asciiTheme="minorEastAsia" w:hAnsiTheme="minorEastAsia" w:eastAsiaTheme="minorEastAsia" w:cstheme="minorEastAsia"/>
          <w:b/>
          <w:color w:val="auto"/>
          <w:sz w:val="24"/>
          <w:szCs w:val="24"/>
          <w:highlight w:val="none"/>
          <w:u w:val="single"/>
        </w:rPr>
        <w:t>招标工程量清单中的项目特征、工作内容描述与施工图纸、实际施工需要明显不符，承包人未在磋商阶段提出，承包人应按施工图纸、实际施工需要实施且该种项目不予调整，包含设备、材料价格包干风险费；</w:t>
      </w:r>
    </w:p>
    <w:p w14:paraId="5B3C777B">
      <w:pPr>
        <w:pStyle w:val="239"/>
        <w:pageBreakBefore w:val="0"/>
        <w:kinsoku/>
        <w:wordWrap/>
        <w:overflowPunct/>
        <w:topLinePunct w:val="0"/>
        <w:bidi w:val="0"/>
        <w:snapToGrid/>
        <w:spacing w:line="360" w:lineRule="auto"/>
        <w:ind w:firstLine="361" w:firstLineChars="150"/>
        <w:textAlignment w:val="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lang w:eastAsia="zh-CN"/>
        </w:rPr>
        <w:t>（</w:t>
      </w:r>
      <w:r>
        <w:rPr>
          <w:rFonts w:hint="eastAsia" w:asciiTheme="minorEastAsia" w:hAnsiTheme="minorEastAsia" w:eastAsiaTheme="minorEastAsia" w:cstheme="minorEastAsia"/>
          <w:b/>
          <w:color w:val="auto"/>
          <w:sz w:val="24"/>
          <w:szCs w:val="24"/>
          <w:highlight w:val="none"/>
          <w:u w:val="single"/>
          <w:lang w:val="en-US" w:eastAsia="zh-CN"/>
        </w:rPr>
        <w:t>5</w:t>
      </w:r>
      <w:r>
        <w:rPr>
          <w:rFonts w:hint="eastAsia" w:asciiTheme="minorEastAsia" w:hAnsiTheme="minorEastAsia" w:eastAsiaTheme="minorEastAsia" w:cstheme="minorEastAsia"/>
          <w:b/>
          <w:color w:val="auto"/>
          <w:sz w:val="24"/>
          <w:szCs w:val="24"/>
          <w:highlight w:val="none"/>
          <w:u w:val="single"/>
          <w:lang w:eastAsia="zh-CN"/>
        </w:rPr>
        <w:t>）</w:t>
      </w:r>
      <w:r>
        <w:rPr>
          <w:rFonts w:hint="eastAsia" w:asciiTheme="minorEastAsia" w:hAnsiTheme="minorEastAsia" w:eastAsiaTheme="minorEastAsia" w:cstheme="minorEastAsia"/>
          <w:b/>
          <w:color w:val="auto"/>
          <w:sz w:val="24"/>
          <w:szCs w:val="24"/>
          <w:highlight w:val="none"/>
          <w:u w:val="single"/>
        </w:rPr>
        <w:t>承包人在磋商时遗漏任何一项项目特征、工作内容等，承包人应按发包人提供的招标工程量清单中的特征描述和有关规程规范要求实施并不予调整；</w:t>
      </w:r>
    </w:p>
    <w:p w14:paraId="500479DC">
      <w:pPr>
        <w:pStyle w:val="239"/>
        <w:pageBreakBefore w:val="0"/>
        <w:kinsoku/>
        <w:wordWrap/>
        <w:overflowPunct/>
        <w:topLinePunct w:val="0"/>
        <w:bidi w:val="0"/>
        <w:snapToGrid/>
        <w:spacing w:line="360" w:lineRule="auto"/>
        <w:ind w:firstLine="361" w:firstLineChars="150"/>
        <w:textAlignment w:val="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lang w:eastAsia="zh-CN"/>
        </w:rPr>
        <w:t>（</w:t>
      </w:r>
      <w:r>
        <w:rPr>
          <w:rFonts w:hint="eastAsia" w:asciiTheme="minorEastAsia" w:hAnsiTheme="minorEastAsia" w:eastAsiaTheme="minorEastAsia" w:cstheme="minorEastAsia"/>
          <w:b/>
          <w:color w:val="auto"/>
          <w:sz w:val="24"/>
          <w:szCs w:val="24"/>
          <w:highlight w:val="none"/>
          <w:u w:val="single"/>
          <w:lang w:val="en-US" w:eastAsia="zh-CN"/>
        </w:rPr>
        <w:t>6</w:t>
      </w:r>
      <w:r>
        <w:rPr>
          <w:rFonts w:hint="eastAsia" w:asciiTheme="minorEastAsia" w:hAnsiTheme="minorEastAsia" w:eastAsiaTheme="minorEastAsia" w:cstheme="minorEastAsia"/>
          <w:b/>
          <w:color w:val="auto"/>
          <w:sz w:val="24"/>
          <w:szCs w:val="24"/>
          <w:highlight w:val="none"/>
          <w:u w:val="single"/>
          <w:lang w:eastAsia="zh-CN"/>
        </w:rPr>
        <w:t>）</w:t>
      </w:r>
      <w:r>
        <w:rPr>
          <w:rFonts w:hint="eastAsia" w:asciiTheme="minorEastAsia" w:hAnsiTheme="minorEastAsia" w:eastAsiaTheme="minorEastAsia" w:cstheme="minorEastAsia"/>
          <w:b/>
          <w:color w:val="auto"/>
          <w:sz w:val="24"/>
          <w:szCs w:val="24"/>
          <w:highlight w:val="none"/>
          <w:u w:val="single"/>
        </w:rPr>
        <w:t>任何施工管理方面的原因和风险；</w:t>
      </w:r>
    </w:p>
    <w:p w14:paraId="0C65D2C7">
      <w:pPr>
        <w:pStyle w:val="239"/>
        <w:pageBreakBefore w:val="0"/>
        <w:kinsoku/>
        <w:wordWrap/>
        <w:overflowPunct/>
        <w:topLinePunct w:val="0"/>
        <w:bidi w:val="0"/>
        <w:snapToGrid/>
        <w:spacing w:line="360" w:lineRule="auto"/>
        <w:ind w:firstLine="361" w:firstLineChars="150"/>
        <w:textAlignment w:val="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lang w:eastAsia="zh-CN"/>
        </w:rPr>
        <w:t>（</w:t>
      </w:r>
      <w:r>
        <w:rPr>
          <w:rFonts w:hint="eastAsia" w:asciiTheme="minorEastAsia" w:hAnsiTheme="minorEastAsia" w:eastAsiaTheme="minorEastAsia" w:cstheme="minorEastAsia"/>
          <w:b/>
          <w:color w:val="auto"/>
          <w:sz w:val="24"/>
          <w:szCs w:val="24"/>
          <w:highlight w:val="none"/>
          <w:u w:val="single"/>
          <w:lang w:val="en-US" w:eastAsia="zh-CN"/>
        </w:rPr>
        <w:t>7</w:t>
      </w:r>
      <w:r>
        <w:rPr>
          <w:rFonts w:hint="eastAsia" w:asciiTheme="minorEastAsia" w:hAnsiTheme="minorEastAsia" w:eastAsiaTheme="minorEastAsia" w:cstheme="minorEastAsia"/>
          <w:b/>
          <w:color w:val="auto"/>
          <w:sz w:val="24"/>
          <w:szCs w:val="24"/>
          <w:highlight w:val="none"/>
          <w:u w:val="single"/>
          <w:lang w:eastAsia="zh-CN"/>
        </w:rPr>
        <w:t>）</w:t>
      </w:r>
      <w:r>
        <w:rPr>
          <w:rFonts w:hint="eastAsia" w:asciiTheme="minorEastAsia" w:hAnsiTheme="minorEastAsia" w:eastAsiaTheme="minorEastAsia" w:cstheme="minorEastAsia"/>
          <w:b/>
          <w:color w:val="auto"/>
          <w:sz w:val="24"/>
          <w:szCs w:val="24"/>
          <w:highlight w:val="none"/>
          <w:u w:val="single"/>
        </w:rPr>
        <w:t>任何为保证工程质量而采取的措施；</w:t>
      </w:r>
    </w:p>
    <w:p w14:paraId="450F542B">
      <w:pPr>
        <w:pStyle w:val="239"/>
        <w:pageBreakBefore w:val="0"/>
        <w:kinsoku/>
        <w:wordWrap/>
        <w:overflowPunct/>
        <w:topLinePunct w:val="0"/>
        <w:bidi w:val="0"/>
        <w:snapToGrid/>
        <w:spacing w:line="360" w:lineRule="auto"/>
        <w:ind w:firstLine="361" w:firstLineChars="150"/>
        <w:textAlignment w:val="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lang w:eastAsia="zh-CN"/>
        </w:rPr>
        <w:t>（</w:t>
      </w:r>
      <w:r>
        <w:rPr>
          <w:rFonts w:hint="eastAsia" w:asciiTheme="minorEastAsia" w:hAnsiTheme="minorEastAsia" w:eastAsiaTheme="minorEastAsia" w:cstheme="minorEastAsia"/>
          <w:b/>
          <w:color w:val="auto"/>
          <w:sz w:val="24"/>
          <w:szCs w:val="24"/>
          <w:highlight w:val="none"/>
          <w:u w:val="single"/>
          <w:lang w:val="en-US" w:eastAsia="zh-CN"/>
        </w:rPr>
        <w:t>8</w:t>
      </w:r>
      <w:r>
        <w:rPr>
          <w:rFonts w:hint="eastAsia" w:asciiTheme="minorEastAsia" w:hAnsiTheme="minorEastAsia" w:eastAsiaTheme="minorEastAsia" w:cstheme="minorEastAsia"/>
          <w:b/>
          <w:color w:val="auto"/>
          <w:sz w:val="24"/>
          <w:szCs w:val="24"/>
          <w:highlight w:val="none"/>
          <w:u w:val="single"/>
          <w:lang w:eastAsia="zh-CN"/>
        </w:rPr>
        <w:t>）</w:t>
      </w:r>
      <w:r>
        <w:rPr>
          <w:rFonts w:hint="eastAsia" w:asciiTheme="minorEastAsia" w:hAnsiTheme="minorEastAsia" w:eastAsiaTheme="minorEastAsia" w:cstheme="minorEastAsia"/>
          <w:b/>
          <w:color w:val="auto"/>
          <w:sz w:val="24"/>
          <w:szCs w:val="24"/>
          <w:highlight w:val="none"/>
          <w:u w:val="single"/>
        </w:rPr>
        <w:t>承包人必须采取有效措施保护周边建筑、管线的安全，任何由此引起的费用增加均不予调整；</w:t>
      </w:r>
    </w:p>
    <w:p w14:paraId="4915101B">
      <w:pPr>
        <w:pStyle w:val="239"/>
        <w:pageBreakBefore w:val="0"/>
        <w:kinsoku/>
        <w:wordWrap/>
        <w:overflowPunct/>
        <w:topLinePunct w:val="0"/>
        <w:bidi w:val="0"/>
        <w:snapToGrid/>
        <w:spacing w:line="360" w:lineRule="auto"/>
        <w:ind w:firstLine="361" w:firstLineChars="150"/>
        <w:textAlignment w:val="auto"/>
        <w:rPr>
          <w:rFonts w:hint="eastAsia" w:asciiTheme="minorEastAsia" w:hAnsiTheme="minorEastAsia" w:eastAsiaTheme="minorEastAsia" w:cstheme="minorEastAsia"/>
          <w:b/>
          <w:color w:val="auto"/>
          <w:sz w:val="24"/>
          <w:szCs w:val="24"/>
          <w:highlight w:val="none"/>
          <w:u w:val="single"/>
          <w:lang w:eastAsia="zh-CN"/>
        </w:rPr>
      </w:pPr>
      <w:r>
        <w:rPr>
          <w:rFonts w:hint="eastAsia" w:asciiTheme="minorEastAsia" w:hAnsiTheme="minorEastAsia" w:eastAsiaTheme="minorEastAsia" w:cstheme="minorEastAsia"/>
          <w:b/>
          <w:color w:val="auto"/>
          <w:sz w:val="24"/>
          <w:szCs w:val="24"/>
          <w:highlight w:val="none"/>
          <w:u w:val="single"/>
          <w:lang w:eastAsia="zh-CN"/>
        </w:rPr>
        <w:t>（</w:t>
      </w:r>
      <w:r>
        <w:rPr>
          <w:rFonts w:hint="eastAsia" w:asciiTheme="minorEastAsia" w:hAnsiTheme="minorEastAsia" w:eastAsiaTheme="minorEastAsia" w:cstheme="minorEastAsia"/>
          <w:b/>
          <w:color w:val="auto"/>
          <w:sz w:val="24"/>
          <w:szCs w:val="24"/>
          <w:highlight w:val="none"/>
          <w:u w:val="single"/>
          <w:lang w:val="en-US" w:eastAsia="zh-CN"/>
        </w:rPr>
        <w:t>9</w:t>
      </w:r>
      <w:r>
        <w:rPr>
          <w:rFonts w:hint="eastAsia" w:asciiTheme="minorEastAsia" w:hAnsiTheme="minorEastAsia" w:eastAsiaTheme="minorEastAsia" w:cstheme="minorEastAsia"/>
          <w:b/>
          <w:color w:val="auto"/>
          <w:sz w:val="24"/>
          <w:szCs w:val="24"/>
          <w:highlight w:val="none"/>
          <w:u w:val="single"/>
          <w:lang w:eastAsia="zh-CN"/>
        </w:rPr>
        <w:t>）</w:t>
      </w:r>
      <w:r>
        <w:rPr>
          <w:rFonts w:hint="eastAsia" w:asciiTheme="minorEastAsia" w:hAnsiTheme="minorEastAsia" w:eastAsiaTheme="minorEastAsia" w:cstheme="minorEastAsia"/>
          <w:b/>
          <w:color w:val="auto"/>
          <w:sz w:val="24"/>
          <w:szCs w:val="24"/>
          <w:highlight w:val="none"/>
          <w:u w:val="single"/>
        </w:rPr>
        <w:t>承包人深化或优化设计时，任何由此引起的措施项目特征变化；除调减外，发包人不因上述任一种情形对综合单价（费率）确认和调整</w:t>
      </w:r>
      <w:r>
        <w:rPr>
          <w:rFonts w:hint="eastAsia" w:asciiTheme="minorEastAsia" w:hAnsiTheme="minorEastAsia" w:eastAsiaTheme="minorEastAsia" w:cstheme="minorEastAsia"/>
          <w:b/>
          <w:color w:val="auto"/>
          <w:sz w:val="24"/>
          <w:szCs w:val="24"/>
          <w:highlight w:val="none"/>
          <w:u w:val="single"/>
          <w:lang w:eastAsia="zh-CN"/>
        </w:rPr>
        <w:t>。</w:t>
      </w:r>
    </w:p>
    <w:p w14:paraId="666DA48B">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bookmarkStart w:id="397" w:name="_Toc300935004"/>
      <w:bookmarkStart w:id="398" w:name="_Toc312678042"/>
      <w:bookmarkStart w:id="399" w:name="_Toc297216213"/>
      <w:bookmarkStart w:id="400" w:name="_Toc303539161"/>
      <w:bookmarkStart w:id="401" w:name="_Toc304295581"/>
      <w:bookmarkStart w:id="402" w:name="_Toc297123554"/>
      <w:bookmarkStart w:id="403" w:name="_Toc296503207"/>
      <w:bookmarkStart w:id="404" w:name="_Toc296891247"/>
      <w:bookmarkStart w:id="405" w:name="_Toc297048393"/>
      <w:bookmarkStart w:id="406" w:name="_Toc296891035"/>
      <w:bookmarkStart w:id="407" w:name="_Toc292559412"/>
      <w:bookmarkStart w:id="408" w:name="_Toc297120507"/>
      <w:bookmarkStart w:id="409" w:name="_Toc292559917"/>
      <w:bookmarkStart w:id="410" w:name="_Toc296347206"/>
      <w:bookmarkStart w:id="411" w:name="_Toc296944546"/>
      <w:bookmarkStart w:id="412" w:name="_Toc296346708"/>
      <w:r>
        <w:rPr>
          <w:rFonts w:hint="eastAsia" w:asciiTheme="minorEastAsia" w:hAnsiTheme="minorEastAsia" w:eastAsiaTheme="minorEastAsia" w:cstheme="minorEastAsia"/>
          <w:color w:val="auto"/>
          <w:sz w:val="24"/>
          <w:szCs w:val="24"/>
          <w:highlight w:val="none"/>
        </w:rPr>
        <w:t>12.2 预付款</w:t>
      </w:r>
    </w:p>
    <w:bookmarkEnd w:id="397"/>
    <w:bookmarkEnd w:id="398"/>
    <w:bookmarkEnd w:id="399"/>
    <w:bookmarkEnd w:id="400"/>
    <w:bookmarkEnd w:id="401"/>
    <w:bookmarkEnd w:id="402"/>
    <w:p w14:paraId="5BE163A8">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12.2.1 预付款的支付</w:t>
      </w:r>
    </w:p>
    <w:p w14:paraId="6B09E30D">
      <w:pPr>
        <w:pStyle w:val="26"/>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预付款支付比例或金额：</w:t>
      </w:r>
      <w:r>
        <w:rPr>
          <w:rFonts w:hint="eastAsia" w:asciiTheme="minorEastAsia" w:hAnsiTheme="minorEastAsia" w:eastAsiaTheme="minorEastAsia" w:cstheme="minorEastAsia"/>
          <w:b/>
          <w:bCs/>
          <w:color w:val="auto"/>
          <w:sz w:val="24"/>
          <w:szCs w:val="24"/>
          <w:highlight w:val="none"/>
          <w:u w:val="single"/>
          <w:lang w:val="en-US" w:eastAsia="zh-CN"/>
        </w:rPr>
        <w:t xml:space="preserve"> 无  </w:t>
      </w:r>
      <w:r>
        <w:rPr>
          <w:rFonts w:hint="eastAsia" w:asciiTheme="minorEastAsia" w:hAnsiTheme="minorEastAsia" w:eastAsiaTheme="minorEastAsia" w:cstheme="minorEastAsia"/>
          <w:color w:val="auto"/>
          <w:sz w:val="24"/>
          <w:szCs w:val="24"/>
          <w:highlight w:val="none"/>
        </w:rPr>
        <w:t>。</w:t>
      </w:r>
    </w:p>
    <w:p w14:paraId="55AA55A4">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预付款支付期限：</w:t>
      </w:r>
      <w:r>
        <w:rPr>
          <w:rFonts w:hint="eastAsia" w:asciiTheme="minorEastAsia" w:hAnsiTheme="minorEastAsia" w:eastAsiaTheme="minorEastAsia" w:cstheme="minorEastAsia"/>
          <w:b/>
          <w:color w:val="auto"/>
          <w:sz w:val="24"/>
          <w:szCs w:val="24"/>
          <w:highlight w:val="none"/>
          <w:u w:val="single"/>
          <w:lang w:val="en-US" w:eastAsia="zh-CN"/>
        </w:rPr>
        <w:t xml:space="preserve">     无        </w:t>
      </w:r>
      <w:r>
        <w:rPr>
          <w:rFonts w:hint="eastAsia" w:asciiTheme="minorEastAsia" w:hAnsiTheme="minorEastAsia" w:eastAsiaTheme="minorEastAsia" w:cstheme="minorEastAsia"/>
          <w:b/>
          <w:color w:val="auto"/>
          <w:sz w:val="24"/>
          <w:szCs w:val="24"/>
          <w:highlight w:val="none"/>
        </w:rPr>
        <w:t>。</w:t>
      </w:r>
    </w:p>
    <w:bookmarkEnd w:id="403"/>
    <w:bookmarkEnd w:id="404"/>
    <w:bookmarkEnd w:id="405"/>
    <w:bookmarkEnd w:id="406"/>
    <w:bookmarkEnd w:id="407"/>
    <w:bookmarkEnd w:id="408"/>
    <w:bookmarkEnd w:id="409"/>
    <w:bookmarkEnd w:id="410"/>
    <w:bookmarkEnd w:id="411"/>
    <w:bookmarkEnd w:id="412"/>
    <w:p w14:paraId="05726EA8">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12.4 工程进度款支付</w:t>
      </w:r>
    </w:p>
    <w:p w14:paraId="3994B2DE">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b/>
          <w:color w:val="auto"/>
          <w:sz w:val="24"/>
          <w:szCs w:val="24"/>
          <w:highlight w:val="none"/>
          <w:u w:val="single"/>
          <w:lang w:val="en-US" w:eastAsia="zh-CN"/>
        </w:rPr>
      </w:pPr>
      <w:bookmarkStart w:id="413" w:name="_Toc296346712"/>
      <w:bookmarkStart w:id="414" w:name="_Toc296891251"/>
      <w:bookmarkStart w:id="415" w:name="_Toc292559921"/>
      <w:bookmarkStart w:id="416" w:name="_Toc292559416"/>
      <w:bookmarkStart w:id="417" w:name="_Toc296503211"/>
      <w:bookmarkStart w:id="418" w:name="_Toc300935006"/>
      <w:bookmarkStart w:id="419" w:name="_Toc296891039"/>
      <w:bookmarkStart w:id="420" w:name="_Toc303539163"/>
      <w:bookmarkStart w:id="421" w:name="_Toc297123556"/>
      <w:bookmarkStart w:id="422" w:name="_Toc297048397"/>
      <w:bookmarkStart w:id="423" w:name="_Toc296347210"/>
      <w:bookmarkStart w:id="424" w:name="_Toc297216215"/>
      <w:bookmarkStart w:id="425" w:name="_Toc296944550"/>
      <w:bookmarkStart w:id="426" w:name="_Toc297120511"/>
      <w:r>
        <w:rPr>
          <w:rFonts w:hint="eastAsia" w:asciiTheme="minorEastAsia" w:hAnsiTheme="minorEastAsia" w:eastAsiaTheme="minorEastAsia" w:cstheme="minorEastAsia"/>
          <w:color w:val="auto"/>
          <w:sz w:val="24"/>
          <w:szCs w:val="24"/>
          <w:highlight w:val="none"/>
        </w:rPr>
        <w:t>12.4.1 付款周期</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b/>
          <w:bCs/>
          <w:color w:val="auto"/>
          <w:sz w:val="24"/>
          <w:szCs w:val="24"/>
          <w:highlight w:val="none"/>
          <w:u w:val="single"/>
          <w:lang w:eastAsia="zh-CN"/>
        </w:rPr>
        <w:t>工程完工并经采购人验收合格后，支付合同签约价的50%；完成工程结算审核且通过省、市级卫生健康委组织的验收后，支付至第三方造价咨询机构审核认定金额的97%，剩余3%作为质保金（缺陷责任期满且无质量问题后一次性无息退还）。</w:t>
      </w:r>
      <w:r>
        <w:rPr>
          <w:rFonts w:hint="eastAsia" w:asciiTheme="minorEastAsia" w:hAnsiTheme="minorEastAsia" w:eastAsiaTheme="minorEastAsia" w:cstheme="minorEastAsia"/>
          <w:b/>
          <w:bCs/>
          <w:color w:val="auto"/>
          <w:sz w:val="24"/>
          <w:szCs w:val="24"/>
          <w:highlight w:val="none"/>
          <w:u w:val="single"/>
          <w:lang w:val="en-US" w:eastAsia="zh-CN"/>
        </w:rPr>
        <w:t>承包人提供相应等值的发票。</w:t>
      </w:r>
    </w:p>
    <w:bookmarkEnd w:id="328"/>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14:paraId="25CDF202">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u w:val="single"/>
        </w:rPr>
      </w:pPr>
      <w:bookmarkStart w:id="427" w:name="_Toc351203646"/>
      <w:bookmarkStart w:id="428" w:name="_Toc267251472"/>
      <w:bookmarkStart w:id="429" w:name="_Toc267251475"/>
      <w:bookmarkStart w:id="430" w:name="_Toc267251474"/>
      <w:bookmarkStart w:id="431" w:name="_Toc267251471"/>
      <w:bookmarkStart w:id="432" w:name="_Toc280868709"/>
      <w:bookmarkStart w:id="433" w:name="_Toc267251476"/>
      <w:bookmarkStart w:id="434" w:name="_Toc267251470"/>
      <w:bookmarkStart w:id="435" w:name="_Toc267251473"/>
      <w:r>
        <w:rPr>
          <w:rFonts w:hint="eastAsia" w:asciiTheme="minorEastAsia" w:hAnsiTheme="minorEastAsia" w:eastAsiaTheme="minorEastAsia" w:cstheme="minorEastAsia"/>
          <w:b w:val="0"/>
          <w:color w:val="auto"/>
          <w:sz w:val="24"/>
          <w:szCs w:val="24"/>
          <w:highlight w:val="none"/>
        </w:rPr>
        <w:t>14. 竣</w:t>
      </w:r>
      <w:bookmarkEnd w:id="427"/>
      <w:r>
        <w:rPr>
          <w:rFonts w:hint="eastAsia" w:asciiTheme="minorEastAsia" w:hAnsiTheme="minorEastAsia" w:eastAsiaTheme="minorEastAsia" w:cstheme="minorEastAsia"/>
          <w:b w:val="0"/>
          <w:color w:val="auto"/>
          <w:sz w:val="24"/>
          <w:szCs w:val="24"/>
          <w:highlight w:val="none"/>
        </w:rPr>
        <w:t>工结算方式：</w:t>
      </w:r>
      <w:r>
        <w:rPr>
          <w:rFonts w:hint="eastAsia" w:asciiTheme="minorEastAsia" w:hAnsiTheme="minorEastAsia" w:eastAsiaTheme="minorEastAsia" w:cstheme="minorEastAsia"/>
          <w:color w:val="auto"/>
          <w:sz w:val="24"/>
          <w:szCs w:val="24"/>
          <w:highlight w:val="none"/>
          <w:u w:val="single"/>
        </w:rPr>
        <w:t>工程竣工验收</w:t>
      </w:r>
      <w:r>
        <w:rPr>
          <w:rFonts w:hint="eastAsia" w:asciiTheme="minorEastAsia" w:hAnsiTheme="minorEastAsia" w:eastAsiaTheme="minorEastAsia" w:cstheme="minorEastAsia"/>
          <w:b/>
          <w:color w:val="auto"/>
          <w:sz w:val="24"/>
          <w:szCs w:val="24"/>
          <w:highlight w:val="none"/>
          <w:u w:val="single"/>
        </w:rPr>
        <w:t>后28天内</w:t>
      </w:r>
      <w:r>
        <w:rPr>
          <w:rFonts w:hint="eastAsia" w:asciiTheme="minorEastAsia" w:hAnsiTheme="minorEastAsia" w:eastAsiaTheme="minorEastAsia" w:cstheme="minorEastAsia"/>
          <w:color w:val="auto"/>
          <w:sz w:val="24"/>
          <w:szCs w:val="24"/>
          <w:highlight w:val="none"/>
          <w:u w:val="single"/>
        </w:rPr>
        <w:t>承包人向发包人递交竣工结算报告及结算资料，发包人收到承包人报送完整的竣工结算资料后组织造价机构60天内完成审核并向承包人反馈意见（争议处理时间除外）。发包人在收到承包人提交的竣工结算报告及结算资料后未在前述约定期限内完成审核且未提出异议的，视为发包人认可承包人提交的竣工结算价，并自发包人收到承包人提交的竣工结算报告及结算资料后第61天起视为已签发竣工付款证书。</w:t>
      </w:r>
    </w:p>
    <w:p w14:paraId="2C0DA5CB">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关于竣工付款证书异议部分复核的方式和程序：</w:t>
      </w:r>
      <w:r>
        <w:rPr>
          <w:rFonts w:hint="eastAsia" w:asciiTheme="minorEastAsia" w:hAnsiTheme="minorEastAsia" w:eastAsiaTheme="minorEastAsia" w:cstheme="minorEastAsia"/>
          <w:color w:val="auto"/>
          <w:sz w:val="24"/>
          <w:szCs w:val="24"/>
          <w:highlight w:val="none"/>
          <w:u w:val="single"/>
        </w:rPr>
        <w:t>发包人与承包人协商</w:t>
      </w:r>
      <w:r>
        <w:rPr>
          <w:rFonts w:hint="eastAsia" w:asciiTheme="minorEastAsia" w:hAnsiTheme="minorEastAsia" w:eastAsiaTheme="minorEastAsia" w:cstheme="minorEastAsia"/>
          <w:color w:val="auto"/>
          <w:sz w:val="24"/>
          <w:szCs w:val="24"/>
          <w:highlight w:val="none"/>
        </w:rPr>
        <w:t>。</w:t>
      </w:r>
    </w:p>
    <w:p w14:paraId="37CB0693">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承包人上报发包人的竣工结算费用应该准确，因工程结算审核的审减幅度超过10%（不含10%）以外的部分，导致发包人需要实际支付额外的审核费用，由承包人承担，在工程结算时发包人将相应予以扣除。</w:t>
      </w:r>
    </w:p>
    <w:bookmarkEnd w:id="428"/>
    <w:bookmarkEnd w:id="429"/>
    <w:bookmarkEnd w:id="430"/>
    <w:bookmarkEnd w:id="431"/>
    <w:bookmarkEnd w:id="432"/>
    <w:bookmarkEnd w:id="433"/>
    <w:bookmarkEnd w:id="434"/>
    <w:bookmarkEnd w:id="435"/>
    <w:p w14:paraId="4564EC59">
      <w:pPr>
        <w:pStyle w:val="8"/>
        <w:pageBreakBefore w:val="0"/>
        <w:kinsoku/>
        <w:wordWrap/>
        <w:overflowPunct/>
        <w:topLinePunct w:val="0"/>
        <w:bidi w:val="0"/>
        <w:snapToGrid/>
        <w:spacing w:before="0" w:after="0" w:line="360" w:lineRule="auto"/>
        <w:textAlignment w:val="auto"/>
        <w:rPr>
          <w:rFonts w:hint="eastAsia" w:asciiTheme="minorEastAsia" w:hAnsiTheme="minorEastAsia" w:eastAsiaTheme="minorEastAsia" w:cstheme="minorEastAsia"/>
          <w:b w:val="0"/>
          <w:color w:val="auto"/>
          <w:sz w:val="24"/>
          <w:szCs w:val="24"/>
          <w:highlight w:val="none"/>
        </w:rPr>
      </w:pPr>
      <w:bookmarkStart w:id="436" w:name="_Toc351203647"/>
      <w:bookmarkStart w:id="437" w:name="_Toc267251483"/>
      <w:bookmarkStart w:id="438" w:name="_Toc267251482"/>
      <w:bookmarkStart w:id="439" w:name="_Toc267251485"/>
      <w:bookmarkStart w:id="440" w:name="_Toc267251484"/>
      <w:bookmarkStart w:id="441" w:name="_Toc267251486"/>
      <w:bookmarkStart w:id="442" w:name="_Toc267251488"/>
      <w:bookmarkStart w:id="443" w:name="_Toc267251489"/>
      <w:bookmarkStart w:id="444" w:name="_Toc267251490"/>
      <w:bookmarkStart w:id="445" w:name="_Toc267251499"/>
      <w:bookmarkStart w:id="446" w:name="_Toc267251495"/>
      <w:bookmarkStart w:id="447" w:name="_Toc267251494"/>
      <w:bookmarkStart w:id="448" w:name="_Toc267251492"/>
      <w:bookmarkStart w:id="449" w:name="_Toc267251502"/>
      <w:bookmarkStart w:id="450" w:name="_Toc267251496"/>
      <w:bookmarkStart w:id="451" w:name="_Toc267251491"/>
      <w:bookmarkStart w:id="452" w:name="_Toc267251493"/>
      <w:bookmarkStart w:id="453" w:name="_Toc267251501"/>
      <w:bookmarkStart w:id="454" w:name="_Toc267251503"/>
      <w:bookmarkStart w:id="455" w:name="_Toc267251498"/>
      <w:bookmarkStart w:id="456" w:name="_Toc267251497"/>
      <w:bookmarkStart w:id="457" w:name="_Toc267251507"/>
      <w:bookmarkStart w:id="458" w:name="_Toc267251504"/>
      <w:bookmarkStart w:id="459" w:name="_Toc267251506"/>
      <w:bookmarkStart w:id="460" w:name="_Toc267251508"/>
      <w:r>
        <w:rPr>
          <w:rFonts w:hint="eastAsia" w:asciiTheme="minorEastAsia" w:hAnsiTheme="minorEastAsia" w:eastAsiaTheme="minorEastAsia" w:cstheme="minorEastAsia"/>
          <w:b w:val="0"/>
          <w:color w:val="auto"/>
          <w:sz w:val="24"/>
          <w:szCs w:val="24"/>
          <w:highlight w:val="none"/>
        </w:rPr>
        <w:t>15. 缺陷责任期与保修</w:t>
      </w:r>
      <w:bookmarkEnd w:id="436"/>
    </w:p>
    <w:p w14:paraId="4CCE63F4">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15.2缺陷责任期</w:t>
      </w:r>
      <w:bookmarkEnd w:id="437"/>
    </w:p>
    <w:p w14:paraId="17A27897">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缺陷责任期的具体期限：</w:t>
      </w:r>
      <w:r>
        <w:rPr>
          <w:rFonts w:hint="eastAsia" w:asciiTheme="minorEastAsia" w:hAnsiTheme="minorEastAsia" w:eastAsiaTheme="minorEastAsia" w:cstheme="minorEastAsia"/>
          <w:b/>
          <w:bCs/>
          <w:color w:val="auto"/>
          <w:sz w:val="24"/>
          <w:szCs w:val="24"/>
          <w:highlight w:val="none"/>
          <w:u w:val="single"/>
          <w:lang w:val="en-US" w:eastAsia="zh-CN"/>
        </w:rPr>
        <w:t>24</w:t>
      </w:r>
      <w:r>
        <w:rPr>
          <w:rFonts w:hint="eastAsia" w:asciiTheme="minorEastAsia" w:hAnsiTheme="minorEastAsia" w:eastAsiaTheme="minorEastAsia" w:cstheme="minorEastAsia"/>
          <w:b/>
          <w:bCs/>
          <w:color w:val="auto"/>
          <w:sz w:val="24"/>
          <w:szCs w:val="24"/>
          <w:highlight w:val="none"/>
          <w:u w:val="single"/>
        </w:rPr>
        <w:t>个月</w:t>
      </w:r>
      <w:r>
        <w:rPr>
          <w:rFonts w:hint="eastAsia" w:asciiTheme="minorEastAsia" w:hAnsiTheme="minorEastAsia" w:eastAsiaTheme="minorEastAsia" w:cstheme="minorEastAsia"/>
          <w:b/>
          <w:bCs/>
          <w:color w:val="auto"/>
          <w:sz w:val="24"/>
          <w:szCs w:val="24"/>
          <w:highlight w:val="none"/>
        </w:rPr>
        <w:t>。</w:t>
      </w:r>
    </w:p>
    <w:p w14:paraId="16189FE3">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15.3 质量保证金</w:t>
      </w:r>
    </w:p>
    <w:p w14:paraId="238D4063">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关于是否扣留质量保证金的约定：</w:t>
      </w:r>
      <w:r>
        <w:rPr>
          <w:rFonts w:hint="eastAsia" w:asciiTheme="minorEastAsia" w:hAnsiTheme="minorEastAsia" w:eastAsiaTheme="minorEastAsia" w:cstheme="minorEastAsia"/>
          <w:b/>
          <w:bCs/>
          <w:color w:val="auto"/>
          <w:sz w:val="24"/>
          <w:szCs w:val="24"/>
          <w:highlight w:val="none"/>
          <w:u w:val="single"/>
          <w:lang w:val="en-US" w:eastAsia="zh-CN"/>
        </w:rPr>
        <w:t xml:space="preserve"> </w:t>
      </w:r>
      <w:r>
        <w:rPr>
          <w:rFonts w:hint="eastAsia" w:asciiTheme="minorEastAsia" w:hAnsiTheme="minorEastAsia" w:eastAsiaTheme="minorEastAsia" w:cstheme="minorEastAsia"/>
          <w:b/>
          <w:bCs/>
          <w:color w:val="auto"/>
          <w:kern w:val="0"/>
          <w:sz w:val="24"/>
          <w:szCs w:val="24"/>
          <w:highlight w:val="none"/>
          <w:u w:val="single"/>
        </w:rPr>
        <w:t>扣留</w:t>
      </w:r>
      <w:r>
        <w:rPr>
          <w:rFonts w:hint="eastAsia" w:asciiTheme="minorEastAsia" w:hAnsiTheme="minorEastAsia" w:eastAsiaTheme="minorEastAsia" w:cstheme="minorEastAsia"/>
          <w:b/>
          <w:bCs/>
          <w:color w:val="auto"/>
          <w:kern w:val="0"/>
          <w:sz w:val="24"/>
          <w:szCs w:val="24"/>
          <w:highlight w:val="none"/>
          <w:u w:val="single"/>
          <w:lang w:eastAsia="zh-CN"/>
        </w:rPr>
        <w:t>，</w:t>
      </w:r>
      <w:r>
        <w:rPr>
          <w:rFonts w:hint="eastAsia" w:asciiTheme="minorEastAsia" w:hAnsiTheme="minorEastAsia" w:eastAsiaTheme="minorEastAsia" w:cstheme="minorEastAsia"/>
          <w:b/>
          <w:bCs/>
          <w:color w:val="auto"/>
          <w:sz w:val="24"/>
          <w:szCs w:val="24"/>
          <w:highlight w:val="none"/>
          <w:u w:val="single"/>
        </w:rPr>
        <w:t>保证金额为第三方造价咨询机构审定工程价款的3%</w:t>
      </w:r>
      <w:r>
        <w:rPr>
          <w:rFonts w:hint="eastAsia" w:asciiTheme="minorEastAsia" w:hAnsiTheme="minorEastAsia" w:eastAsiaTheme="minorEastAsia" w:cstheme="minorEastAsia"/>
          <w:b/>
          <w:bCs/>
          <w:color w:val="auto"/>
          <w:sz w:val="24"/>
          <w:szCs w:val="24"/>
          <w:highlight w:val="none"/>
          <w:u w:val="single"/>
          <w:lang w:eastAsia="zh-CN"/>
        </w:rPr>
        <w:t>。</w:t>
      </w:r>
    </w:p>
    <w:bookmarkEnd w:id="438"/>
    <w:bookmarkEnd w:id="439"/>
    <w:bookmarkEnd w:id="440"/>
    <w:p w14:paraId="1E6C27FA">
      <w:pPr>
        <w:pageBreakBefore w:val="0"/>
        <w:kinsoku/>
        <w:wordWrap/>
        <w:overflowPunct/>
        <w:topLinePunct w:val="0"/>
        <w:bidi w:val="0"/>
        <w:snapToGrid/>
        <w:spacing w:line="360" w:lineRule="auto"/>
        <w:ind w:firstLine="468" w:firstLineChars="195"/>
        <w:jc w:val="left"/>
        <w:textAlignment w:val="auto"/>
        <w:rPr>
          <w:rFonts w:hint="eastAsia" w:asciiTheme="minorEastAsia" w:hAnsiTheme="minorEastAsia" w:eastAsiaTheme="minorEastAsia" w:cstheme="minorEastAsia"/>
          <w:color w:val="auto"/>
          <w:kern w:val="0"/>
          <w:sz w:val="24"/>
          <w:szCs w:val="24"/>
          <w:highlight w:val="none"/>
          <w:u w:val="single"/>
        </w:rPr>
      </w:pPr>
      <w:r>
        <w:rPr>
          <w:rFonts w:hint="eastAsia" w:asciiTheme="minorEastAsia" w:hAnsiTheme="minorEastAsia" w:eastAsiaTheme="minorEastAsia" w:cstheme="minorEastAsia"/>
          <w:color w:val="auto"/>
          <w:sz w:val="24"/>
          <w:szCs w:val="24"/>
          <w:highlight w:val="none"/>
        </w:rPr>
        <w:t>建设工程的保修期，自竣工验收合格之日起计算。</w:t>
      </w:r>
    </w:p>
    <w:p w14:paraId="3F084692">
      <w:pPr>
        <w:pageBreakBefore w:val="0"/>
        <w:kinsoku/>
        <w:wordWrap/>
        <w:overflowPunct/>
        <w:topLinePunct w:val="0"/>
        <w:bidi w:val="0"/>
        <w:snapToGrid/>
        <w:spacing w:line="360" w:lineRule="auto"/>
        <w:ind w:firstLine="468" w:firstLineChars="195"/>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15.4.3 修复通知</w:t>
      </w:r>
    </w:p>
    <w:bookmarkEnd w:id="441"/>
    <w:bookmarkEnd w:id="442"/>
    <w:bookmarkEnd w:id="443"/>
    <w:bookmarkEnd w:id="444"/>
    <w:p w14:paraId="288064C3">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bookmarkStart w:id="461" w:name="_Toc351203648"/>
      <w:bookmarkStart w:id="462" w:name="_Toc280868717"/>
      <w:bookmarkStart w:id="463" w:name="_Toc280868718"/>
      <w:r>
        <w:rPr>
          <w:rFonts w:hint="eastAsia" w:asciiTheme="minorEastAsia" w:hAnsiTheme="minorEastAsia" w:eastAsiaTheme="minorEastAsia" w:cstheme="minorEastAsia"/>
          <w:color w:val="auto"/>
          <w:sz w:val="24"/>
          <w:szCs w:val="24"/>
          <w:highlight w:val="none"/>
          <w:lang w:eastAsia="zh-CN"/>
        </w:rPr>
        <w:t>承包人</w:t>
      </w:r>
      <w:r>
        <w:rPr>
          <w:rFonts w:hint="eastAsia" w:asciiTheme="minorEastAsia" w:hAnsiTheme="minorEastAsia" w:eastAsiaTheme="minorEastAsia" w:cstheme="minorEastAsia"/>
          <w:color w:val="auto"/>
          <w:sz w:val="24"/>
          <w:szCs w:val="24"/>
          <w:highlight w:val="none"/>
        </w:rPr>
        <w:t>须对本工程承担保修责任，工程竣工验收合格并交付业主使用，如工程出现质量问题，</w:t>
      </w:r>
      <w:r>
        <w:rPr>
          <w:rFonts w:hint="eastAsia" w:asciiTheme="minorEastAsia" w:hAnsiTheme="minorEastAsia" w:eastAsiaTheme="minorEastAsia" w:cstheme="minorEastAsia"/>
          <w:color w:val="auto"/>
          <w:sz w:val="24"/>
          <w:szCs w:val="24"/>
          <w:highlight w:val="none"/>
          <w:lang w:eastAsia="zh-CN"/>
        </w:rPr>
        <w:t>承包人</w:t>
      </w:r>
      <w:r>
        <w:rPr>
          <w:rFonts w:hint="eastAsia" w:asciiTheme="minorEastAsia" w:hAnsiTheme="minorEastAsia" w:eastAsiaTheme="minorEastAsia" w:cstheme="minorEastAsia"/>
          <w:color w:val="auto"/>
          <w:sz w:val="24"/>
          <w:szCs w:val="24"/>
          <w:highlight w:val="none"/>
        </w:rPr>
        <w:t>应接到</w:t>
      </w:r>
      <w:r>
        <w:rPr>
          <w:rFonts w:hint="eastAsia" w:asciiTheme="minorEastAsia" w:hAnsiTheme="minorEastAsia" w:eastAsiaTheme="minorEastAsia" w:cstheme="minorEastAsia"/>
          <w:color w:val="auto"/>
          <w:sz w:val="24"/>
          <w:szCs w:val="24"/>
          <w:highlight w:val="none"/>
          <w:lang w:eastAsia="zh-CN"/>
        </w:rPr>
        <w:t>发包人</w:t>
      </w:r>
      <w:r>
        <w:rPr>
          <w:rFonts w:hint="eastAsia" w:asciiTheme="minorEastAsia" w:hAnsiTheme="minorEastAsia" w:eastAsiaTheme="minorEastAsia" w:cstheme="minorEastAsia"/>
          <w:color w:val="auto"/>
          <w:sz w:val="24"/>
          <w:szCs w:val="24"/>
          <w:highlight w:val="none"/>
        </w:rPr>
        <w:t>通知后5日之内到达现场进行维修，并保证在到达现场后尽快修复完毕，如</w:t>
      </w:r>
      <w:r>
        <w:rPr>
          <w:rFonts w:hint="eastAsia" w:asciiTheme="minorEastAsia" w:hAnsiTheme="minorEastAsia" w:eastAsiaTheme="minorEastAsia" w:cstheme="minorEastAsia"/>
          <w:color w:val="auto"/>
          <w:sz w:val="24"/>
          <w:szCs w:val="24"/>
          <w:highlight w:val="none"/>
          <w:lang w:eastAsia="zh-CN"/>
        </w:rPr>
        <w:t>承包人</w:t>
      </w:r>
      <w:r>
        <w:rPr>
          <w:rFonts w:hint="eastAsia" w:asciiTheme="minorEastAsia" w:hAnsiTheme="minorEastAsia" w:eastAsiaTheme="minorEastAsia" w:cstheme="minorEastAsia"/>
          <w:color w:val="auto"/>
          <w:sz w:val="24"/>
          <w:szCs w:val="24"/>
          <w:highlight w:val="none"/>
        </w:rPr>
        <w:t>拒绝或逾期维修两次以上仍存在质量问题，</w:t>
      </w:r>
      <w:r>
        <w:rPr>
          <w:rFonts w:hint="eastAsia" w:asciiTheme="minorEastAsia" w:hAnsiTheme="minorEastAsia" w:eastAsiaTheme="minorEastAsia" w:cstheme="minorEastAsia"/>
          <w:color w:val="auto"/>
          <w:sz w:val="24"/>
          <w:szCs w:val="24"/>
          <w:highlight w:val="none"/>
          <w:lang w:eastAsia="zh-CN"/>
        </w:rPr>
        <w:t>发包人</w:t>
      </w:r>
      <w:r>
        <w:rPr>
          <w:rFonts w:hint="eastAsia" w:asciiTheme="minorEastAsia" w:hAnsiTheme="minorEastAsia" w:eastAsiaTheme="minorEastAsia" w:cstheme="minorEastAsia"/>
          <w:color w:val="auto"/>
          <w:sz w:val="24"/>
          <w:szCs w:val="24"/>
          <w:highlight w:val="none"/>
        </w:rPr>
        <w:t>有权另行委托他人进行维修，因此而发生的费用，均由</w:t>
      </w:r>
      <w:r>
        <w:rPr>
          <w:rFonts w:hint="eastAsia" w:asciiTheme="minorEastAsia" w:hAnsiTheme="minorEastAsia" w:eastAsiaTheme="minorEastAsia" w:cstheme="minorEastAsia"/>
          <w:color w:val="auto"/>
          <w:sz w:val="24"/>
          <w:szCs w:val="24"/>
          <w:highlight w:val="none"/>
          <w:lang w:eastAsia="zh-CN"/>
        </w:rPr>
        <w:t>承包人</w:t>
      </w:r>
      <w:r>
        <w:rPr>
          <w:rFonts w:hint="eastAsia" w:asciiTheme="minorEastAsia" w:hAnsiTheme="minorEastAsia" w:eastAsiaTheme="minorEastAsia" w:cstheme="minorEastAsia"/>
          <w:color w:val="auto"/>
          <w:sz w:val="24"/>
          <w:szCs w:val="24"/>
          <w:highlight w:val="none"/>
        </w:rPr>
        <w:t>承担。一年之内如出现质量问题，由</w:t>
      </w:r>
      <w:r>
        <w:rPr>
          <w:rFonts w:hint="eastAsia" w:asciiTheme="minorEastAsia" w:hAnsiTheme="minorEastAsia" w:eastAsiaTheme="minorEastAsia" w:cstheme="minorEastAsia"/>
          <w:color w:val="auto"/>
          <w:sz w:val="24"/>
          <w:szCs w:val="24"/>
          <w:highlight w:val="none"/>
          <w:lang w:eastAsia="zh-CN"/>
        </w:rPr>
        <w:t>承包人</w:t>
      </w:r>
      <w:r>
        <w:rPr>
          <w:rFonts w:hint="eastAsia" w:asciiTheme="minorEastAsia" w:hAnsiTheme="minorEastAsia" w:eastAsiaTheme="minorEastAsia" w:cstheme="minorEastAsia"/>
          <w:color w:val="auto"/>
          <w:sz w:val="24"/>
          <w:szCs w:val="24"/>
          <w:highlight w:val="none"/>
        </w:rPr>
        <w:t>负责维修与更换，如因质量问题发生安全事故，责任由</w:t>
      </w:r>
      <w:r>
        <w:rPr>
          <w:rFonts w:hint="eastAsia" w:asciiTheme="minorEastAsia" w:hAnsiTheme="minorEastAsia" w:eastAsiaTheme="minorEastAsia" w:cstheme="minorEastAsia"/>
          <w:color w:val="auto"/>
          <w:sz w:val="24"/>
          <w:szCs w:val="24"/>
          <w:highlight w:val="none"/>
          <w:lang w:eastAsia="zh-CN"/>
        </w:rPr>
        <w:t>承包人</w:t>
      </w:r>
      <w:r>
        <w:rPr>
          <w:rFonts w:hint="eastAsia" w:asciiTheme="minorEastAsia" w:hAnsiTheme="minorEastAsia" w:eastAsiaTheme="minorEastAsia" w:cstheme="minorEastAsia"/>
          <w:color w:val="auto"/>
          <w:sz w:val="24"/>
          <w:szCs w:val="24"/>
          <w:highlight w:val="none"/>
        </w:rPr>
        <w:t>承担。</w:t>
      </w:r>
    </w:p>
    <w:p w14:paraId="178E79E9">
      <w:pPr>
        <w:pageBreakBefore w:val="0"/>
        <w:kinsoku/>
        <w:wordWrap/>
        <w:overflowPunct/>
        <w:topLinePunct w:val="0"/>
        <w:bidi w:val="0"/>
        <w:snapToGrid/>
        <w:spacing w:line="360" w:lineRule="auto"/>
        <w:ind w:firstLine="468" w:firstLineChars="195"/>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 违约</w:t>
      </w:r>
      <w:bookmarkEnd w:id="461"/>
    </w:p>
    <w:p w14:paraId="2C497785">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16.2 承包人违约</w:t>
      </w:r>
    </w:p>
    <w:p w14:paraId="012942F0">
      <w:pPr>
        <w:pageBreakBefore w:val="0"/>
        <w:kinsoku/>
        <w:wordWrap/>
        <w:overflowPunct/>
        <w:topLinePunct w:val="0"/>
        <w:bidi w:val="0"/>
        <w:snapToGrid/>
        <w:spacing w:line="360" w:lineRule="auto"/>
        <w:ind w:left="-141" w:leftChars="-67" w:firstLine="640" w:firstLineChars="267"/>
        <w:jc w:val="left"/>
        <w:textAlignment w:val="auto"/>
        <w:rPr>
          <w:rFonts w:hint="eastAsia" w:asciiTheme="minorEastAsia" w:hAnsiTheme="minorEastAsia" w:eastAsiaTheme="minorEastAsia" w:cstheme="minorEastAsia"/>
          <w:color w:val="auto"/>
          <w:kern w:val="0"/>
          <w:sz w:val="24"/>
          <w:szCs w:val="24"/>
          <w:highlight w:val="none"/>
        </w:rPr>
      </w:pPr>
      <w:bookmarkStart w:id="464" w:name="_Toc351203649"/>
      <w:r>
        <w:rPr>
          <w:rFonts w:hint="eastAsia" w:asciiTheme="minorEastAsia" w:hAnsiTheme="minorEastAsia" w:eastAsiaTheme="minorEastAsia" w:cstheme="minorEastAsia"/>
          <w:color w:val="auto"/>
          <w:kern w:val="0"/>
          <w:sz w:val="24"/>
          <w:szCs w:val="24"/>
          <w:highlight w:val="none"/>
        </w:rPr>
        <w:t>16.2.2承包人违约的责任</w:t>
      </w:r>
    </w:p>
    <w:p w14:paraId="710AA82A">
      <w:pPr>
        <w:pStyle w:val="239"/>
        <w:pageBreakBefore w:val="0"/>
        <w:kinsoku/>
        <w:wordWrap/>
        <w:overflowPunct/>
        <w:topLinePunct w:val="0"/>
        <w:bidi w:val="0"/>
        <w:snapToGrid/>
        <w:spacing w:line="360" w:lineRule="auto"/>
        <w:ind w:left="-141" w:leftChars="-67" w:firstLine="674" w:firstLineChars="281"/>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承包人违约责任的承担方式和计算方法：</w:t>
      </w:r>
      <w:r>
        <w:rPr>
          <w:rFonts w:hint="eastAsia" w:asciiTheme="minorEastAsia" w:hAnsiTheme="minorEastAsia" w:eastAsiaTheme="minorEastAsia" w:cstheme="minorEastAsia"/>
          <w:color w:val="auto"/>
          <w:sz w:val="24"/>
          <w:szCs w:val="24"/>
          <w:highlight w:val="none"/>
          <w:u w:val="single"/>
        </w:rPr>
        <w:t xml:space="preserve">损失赔偿责任。包括但不限于发包人对政府有关部门支付的罚金和对第三人赔偿、罚款、利息、发包人履行利益的损失，发包人增加的财务成本、房屋租赁费用增加、不能如期销售或出租丧失的利益等及为实现债权所发生的仲裁费（诉讼费）、律师费、交通费、复印费、鉴定费等经济支出 </w:t>
      </w:r>
      <w:r>
        <w:rPr>
          <w:rFonts w:hint="eastAsia" w:asciiTheme="minorEastAsia" w:hAnsiTheme="minorEastAsia" w:eastAsiaTheme="minorEastAsia" w:cstheme="minorEastAsia"/>
          <w:color w:val="auto"/>
          <w:sz w:val="24"/>
          <w:szCs w:val="24"/>
          <w:highlight w:val="none"/>
        </w:rPr>
        <w:t>。</w:t>
      </w:r>
    </w:p>
    <w:p w14:paraId="7C33118D">
      <w:pPr>
        <w:pStyle w:val="239"/>
        <w:pageBreakBefore w:val="0"/>
        <w:kinsoku/>
        <w:wordWrap/>
        <w:overflowPunct/>
        <w:topLinePunct w:val="0"/>
        <w:bidi w:val="0"/>
        <w:snapToGrid/>
        <w:spacing w:line="360" w:lineRule="auto"/>
        <w:ind w:left="-141" w:leftChars="-67" w:firstLine="674" w:firstLineChars="281"/>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16.2.2.2  工期延误责任。</w:t>
      </w:r>
    </w:p>
    <w:p w14:paraId="3EC9DD93">
      <w:pPr>
        <w:pStyle w:val="239"/>
        <w:pageBreakBefore w:val="0"/>
        <w:kinsoku/>
        <w:wordWrap/>
        <w:overflowPunct/>
        <w:topLinePunct w:val="0"/>
        <w:bidi w:val="0"/>
        <w:snapToGrid/>
        <w:spacing w:line="360" w:lineRule="auto"/>
        <w:ind w:left="-141" w:leftChars="-67" w:firstLine="674" w:firstLineChars="281"/>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u w:val="single"/>
        </w:rPr>
        <w:t>由于承包人原因（包括但不限于未按合同约定履行施工总进度控制、质量安全、施工组织和技术、总承包服务、专业协调管理、现场管理义务，应承担风险，违约等方面的原因）导致竣工工期延误，承包人除应自费赶工恢复至计划进度（或其调整）外或继续履行外，每逾期一天按1万元支付违约金，工期延误超过30天，按合同价的1%支付赔偿违约金</w:t>
      </w:r>
      <w:r>
        <w:rPr>
          <w:rFonts w:hint="eastAsia" w:asciiTheme="minorEastAsia" w:hAnsiTheme="minorEastAsia" w:eastAsiaTheme="minorEastAsia" w:cstheme="minorEastAsia"/>
          <w:color w:val="auto"/>
          <w:sz w:val="24"/>
          <w:szCs w:val="24"/>
          <w:highlight w:val="none"/>
        </w:rPr>
        <w:t>。</w:t>
      </w:r>
    </w:p>
    <w:p w14:paraId="329AAF11">
      <w:pPr>
        <w:pStyle w:val="239"/>
        <w:pageBreakBefore w:val="0"/>
        <w:kinsoku/>
        <w:wordWrap/>
        <w:overflowPunct/>
        <w:topLinePunct w:val="0"/>
        <w:bidi w:val="0"/>
        <w:snapToGrid/>
        <w:spacing w:line="360" w:lineRule="auto"/>
        <w:ind w:left="-141" w:leftChars="-67" w:firstLine="674" w:firstLineChars="281"/>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u w:val="single"/>
        </w:rPr>
        <w:t>因承包人原因导致工程质量不符合国家现行规范、设计及合同要求的，</w:t>
      </w:r>
      <w:r>
        <w:rPr>
          <w:rFonts w:hint="eastAsia" w:asciiTheme="minorEastAsia" w:hAnsiTheme="minorEastAsia" w:eastAsiaTheme="minorEastAsia" w:cstheme="minorEastAsia"/>
          <w:color w:val="auto"/>
          <w:sz w:val="24"/>
          <w:szCs w:val="24"/>
          <w:highlight w:val="none"/>
          <w:u w:val="single"/>
          <w:lang w:eastAsia="zh-CN"/>
        </w:rPr>
        <w:t>承包人</w:t>
      </w:r>
      <w:r>
        <w:rPr>
          <w:rFonts w:hint="eastAsia" w:asciiTheme="minorEastAsia" w:hAnsiTheme="minorEastAsia" w:eastAsiaTheme="minorEastAsia" w:cstheme="minorEastAsia"/>
          <w:color w:val="auto"/>
          <w:sz w:val="24"/>
          <w:szCs w:val="24"/>
          <w:highlight w:val="none"/>
          <w:u w:val="single"/>
        </w:rPr>
        <w:t>应当根据</w:t>
      </w:r>
      <w:r>
        <w:rPr>
          <w:rFonts w:hint="eastAsia" w:asciiTheme="minorEastAsia" w:hAnsiTheme="minorEastAsia" w:eastAsiaTheme="minorEastAsia" w:cstheme="minorEastAsia"/>
          <w:color w:val="auto"/>
          <w:sz w:val="24"/>
          <w:szCs w:val="24"/>
          <w:highlight w:val="none"/>
          <w:u w:val="single"/>
          <w:lang w:eastAsia="zh-CN"/>
        </w:rPr>
        <w:t>发包人</w:t>
      </w:r>
      <w:r>
        <w:rPr>
          <w:rFonts w:hint="eastAsia" w:asciiTheme="minorEastAsia" w:hAnsiTheme="minorEastAsia" w:eastAsiaTheme="minorEastAsia" w:cstheme="minorEastAsia"/>
          <w:color w:val="auto"/>
          <w:sz w:val="24"/>
          <w:szCs w:val="24"/>
          <w:highlight w:val="none"/>
          <w:u w:val="single"/>
        </w:rPr>
        <w:t>指令或要求无偿整改（修理、拆除、返工、改造），直到符合约定标准。如</w:t>
      </w:r>
      <w:r>
        <w:rPr>
          <w:rFonts w:hint="eastAsia" w:asciiTheme="minorEastAsia" w:hAnsiTheme="minorEastAsia" w:eastAsiaTheme="minorEastAsia" w:cstheme="minorEastAsia"/>
          <w:color w:val="auto"/>
          <w:sz w:val="24"/>
          <w:szCs w:val="24"/>
          <w:highlight w:val="none"/>
          <w:u w:val="single"/>
          <w:lang w:eastAsia="zh-CN"/>
        </w:rPr>
        <w:t>承包人</w:t>
      </w:r>
      <w:r>
        <w:rPr>
          <w:rFonts w:hint="eastAsia" w:asciiTheme="minorEastAsia" w:hAnsiTheme="minorEastAsia" w:eastAsiaTheme="minorEastAsia" w:cstheme="minorEastAsia"/>
          <w:color w:val="auto"/>
          <w:sz w:val="24"/>
          <w:szCs w:val="24"/>
          <w:highlight w:val="none"/>
          <w:u w:val="single"/>
        </w:rPr>
        <w:t>逾期2日仍未整改或同一部位经两次指令未符合约定标准的，</w:t>
      </w:r>
      <w:r>
        <w:rPr>
          <w:rFonts w:hint="eastAsia" w:asciiTheme="minorEastAsia" w:hAnsiTheme="minorEastAsia" w:eastAsiaTheme="minorEastAsia" w:cstheme="minorEastAsia"/>
          <w:color w:val="auto"/>
          <w:sz w:val="24"/>
          <w:szCs w:val="24"/>
          <w:highlight w:val="none"/>
          <w:u w:val="single"/>
          <w:lang w:eastAsia="zh-CN"/>
        </w:rPr>
        <w:t>发包人</w:t>
      </w:r>
      <w:r>
        <w:rPr>
          <w:rFonts w:hint="eastAsia" w:asciiTheme="minorEastAsia" w:hAnsiTheme="minorEastAsia" w:eastAsiaTheme="minorEastAsia" w:cstheme="minorEastAsia"/>
          <w:color w:val="auto"/>
          <w:sz w:val="24"/>
          <w:szCs w:val="24"/>
          <w:highlight w:val="none"/>
          <w:u w:val="single"/>
        </w:rPr>
        <w:t>有权解除合同，造成的损失</w:t>
      </w:r>
      <w:r>
        <w:rPr>
          <w:rFonts w:hint="eastAsia" w:asciiTheme="minorEastAsia" w:hAnsiTheme="minorEastAsia" w:eastAsiaTheme="minorEastAsia" w:cstheme="minorEastAsia"/>
          <w:color w:val="auto"/>
          <w:sz w:val="24"/>
          <w:szCs w:val="24"/>
          <w:highlight w:val="none"/>
          <w:u w:val="single"/>
          <w:lang w:eastAsia="zh-CN"/>
        </w:rPr>
        <w:t>承包人</w:t>
      </w:r>
      <w:r>
        <w:rPr>
          <w:rFonts w:hint="eastAsia" w:asciiTheme="minorEastAsia" w:hAnsiTheme="minorEastAsia" w:eastAsiaTheme="minorEastAsia" w:cstheme="minorEastAsia"/>
          <w:color w:val="auto"/>
          <w:sz w:val="24"/>
          <w:szCs w:val="24"/>
          <w:highlight w:val="none"/>
          <w:u w:val="single"/>
        </w:rPr>
        <w:t>自行承担。凡因</w:t>
      </w:r>
      <w:r>
        <w:rPr>
          <w:rFonts w:hint="eastAsia" w:asciiTheme="minorEastAsia" w:hAnsiTheme="minorEastAsia" w:eastAsiaTheme="minorEastAsia" w:cstheme="minorEastAsia"/>
          <w:color w:val="auto"/>
          <w:sz w:val="24"/>
          <w:szCs w:val="24"/>
          <w:highlight w:val="none"/>
          <w:u w:val="single"/>
          <w:lang w:eastAsia="zh-CN"/>
        </w:rPr>
        <w:t>承包人</w:t>
      </w:r>
      <w:r>
        <w:rPr>
          <w:rFonts w:hint="eastAsia" w:asciiTheme="minorEastAsia" w:hAnsiTheme="minorEastAsia" w:eastAsiaTheme="minorEastAsia" w:cstheme="minorEastAsia"/>
          <w:color w:val="auto"/>
          <w:sz w:val="24"/>
          <w:szCs w:val="24"/>
          <w:highlight w:val="none"/>
          <w:u w:val="single"/>
        </w:rPr>
        <w:t>原因导致本合同解除的，</w:t>
      </w:r>
      <w:r>
        <w:rPr>
          <w:rFonts w:hint="eastAsia" w:asciiTheme="minorEastAsia" w:hAnsiTheme="minorEastAsia" w:eastAsiaTheme="minorEastAsia" w:cstheme="minorEastAsia"/>
          <w:color w:val="auto"/>
          <w:sz w:val="24"/>
          <w:szCs w:val="24"/>
          <w:highlight w:val="none"/>
          <w:u w:val="single"/>
          <w:lang w:eastAsia="zh-CN"/>
        </w:rPr>
        <w:t>承包人</w:t>
      </w:r>
      <w:r>
        <w:rPr>
          <w:rFonts w:hint="eastAsia" w:asciiTheme="minorEastAsia" w:hAnsiTheme="minorEastAsia" w:eastAsiaTheme="minorEastAsia" w:cstheme="minorEastAsia"/>
          <w:color w:val="auto"/>
          <w:sz w:val="24"/>
          <w:szCs w:val="24"/>
          <w:highlight w:val="none"/>
          <w:u w:val="single"/>
        </w:rPr>
        <w:t>除须将已付工程款返还</w:t>
      </w:r>
      <w:r>
        <w:rPr>
          <w:rFonts w:hint="eastAsia" w:asciiTheme="minorEastAsia" w:hAnsiTheme="minorEastAsia" w:eastAsiaTheme="minorEastAsia" w:cstheme="minorEastAsia"/>
          <w:color w:val="auto"/>
          <w:sz w:val="24"/>
          <w:szCs w:val="24"/>
          <w:highlight w:val="none"/>
          <w:u w:val="single"/>
          <w:lang w:eastAsia="zh-CN"/>
        </w:rPr>
        <w:t>发包人</w:t>
      </w:r>
      <w:r>
        <w:rPr>
          <w:rFonts w:hint="eastAsia" w:asciiTheme="minorEastAsia" w:hAnsiTheme="minorEastAsia" w:eastAsiaTheme="minorEastAsia" w:cstheme="minorEastAsia"/>
          <w:color w:val="auto"/>
          <w:sz w:val="24"/>
          <w:szCs w:val="24"/>
          <w:highlight w:val="none"/>
          <w:u w:val="single"/>
        </w:rPr>
        <w:t>外，均须承担违约赔偿金，违约金为合同金额的30%，如该违约赔偿金不足以弥补</w:t>
      </w:r>
      <w:r>
        <w:rPr>
          <w:rFonts w:hint="eastAsia" w:asciiTheme="minorEastAsia" w:hAnsiTheme="minorEastAsia" w:eastAsiaTheme="minorEastAsia" w:cstheme="minorEastAsia"/>
          <w:color w:val="auto"/>
          <w:sz w:val="24"/>
          <w:szCs w:val="24"/>
          <w:highlight w:val="none"/>
          <w:u w:val="single"/>
          <w:lang w:eastAsia="zh-CN"/>
        </w:rPr>
        <w:t>发包人</w:t>
      </w:r>
      <w:r>
        <w:rPr>
          <w:rFonts w:hint="eastAsia" w:asciiTheme="minorEastAsia" w:hAnsiTheme="minorEastAsia" w:eastAsiaTheme="minorEastAsia" w:cstheme="minorEastAsia"/>
          <w:color w:val="auto"/>
          <w:sz w:val="24"/>
          <w:szCs w:val="24"/>
          <w:highlight w:val="none"/>
          <w:u w:val="single"/>
        </w:rPr>
        <w:t>损失，</w:t>
      </w:r>
      <w:r>
        <w:rPr>
          <w:rFonts w:hint="eastAsia" w:asciiTheme="minorEastAsia" w:hAnsiTheme="minorEastAsia" w:eastAsiaTheme="minorEastAsia" w:cstheme="minorEastAsia"/>
          <w:color w:val="auto"/>
          <w:sz w:val="24"/>
          <w:szCs w:val="24"/>
          <w:highlight w:val="none"/>
          <w:u w:val="single"/>
          <w:lang w:eastAsia="zh-CN"/>
        </w:rPr>
        <w:t>承包人</w:t>
      </w:r>
      <w:r>
        <w:rPr>
          <w:rFonts w:hint="eastAsia" w:asciiTheme="minorEastAsia" w:hAnsiTheme="minorEastAsia" w:eastAsiaTheme="minorEastAsia" w:cstheme="minorEastAsia"/>
          <w:color w:val="auto"/>
          <w:sz w:val="24"/>
          <w:szCs w:val="24"/>
          <w:highlight w:val="none"/>
          <w:u w:val="single"/>
        </w:rPr>
        <w:t>还须赔偿</w:t>
      </w:r>
      <w:r>
        <w:rPr>
          <w:rFonts w:hint="eastAsia" w:asciiTheme="minorEastAsia" w:hAnsiTheme="minorEastAsia" w:eastAsiaTheme="minorEastAsia" w:cstheme="minorEastAsia"/>
          <w:color w:val="auto"/>
          <w:sz w:val="24"/>
          <w:szCs w:val="24"/>
          <w:highlight w:val="none"/>
          <w:u w:val="single"/>
          <w:lang w:eastAsia="zh-CN"/>
        </w:rPr>
        <w:t>发包人</w:t>
      </w:r>
      <w:r>
        <w:rPr>
          <w:rFonts w:hint="eastAsia" w:asciiTheme="minorEastAsia" w:hAnsiTheme="minorEastAsia" w:eastAsiaTheme="minorEastAsia" w:cstheme="minorEastAsia"/>
          <w:color w:val="auto"/>
          <w:sz w:val="24"/>
          <w:szCs w:val="24"/>
          <w:highlight w:val="none"/>
          <w:u w:val="single"/>
        </w:rPr>
        <w:t>的损失。</w:t>
      </w:r>
    </w:p>
    <w:p w14:paraId="1E19EF36">
      <w:pPr>
        <w:pStyle w:val="239"/>
        <w:pageBreakBefore w:val="0"/>
        <w:kinsoku/>
        <w:wordWrap/>
        <w:overflowPunct/>
        <w:topLinePunct w:val="0"/>
        <w:bidi w:val="0"/>
        <w:snapToGrid/>
        <w:spacing w:line="360" w:lineRule="auto"/>
        <w:ind w:left="-141" w:leftChars="-67" w:firstLine="674" w:firstLineChars="281"/>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u w:val="single"/>
          <w:lang w:val="en-US" w:eastAsia="zh-CN"/>
        </w:rPr>
        <w:t>3</w:t>
      </w:r>
      <w:r>
        <w:rPr>
          <w:rFonts w:hint="eastAsia" w:asciiTheme="minorEastAsia" w:hAnsiTheme="minorEastAsia" w:eastAsiaTheme="minorEastAsia" w:cstheme="minorEastAsia"/>
          <w:color w:val="auto"/>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u w:val="single"/>
        </w:rPr>
        <w:t>关于解决本工程农民工权益保障的机制保证：承包人按</w:t>
      </w:r>
      <w:r>
        <w:rPr>
          <w:rFonts w:hint="eastAsia" w:asciiTheme="minorEastAsia" w:hAnsiTheme="minorEastAsia" w:eastAsiaTheme="minorEastAsia" w:cstheme="minorEastAsia"/>
          <w:color w:val="auto"/>
          <w:sz w:val="24"/>
          <w:szCs w:val="24"/>
          <w:highlight w:val="none"/>
          <w:u w:val="single"/>
          <w:lang w:val="en-US" w:eastAsia="zh-CN"/>
        </w:rPr>
        <w:t>昭通市</w:t>
      </w:r>
      <w:r>
        <w:rPr>
          <w:rFonts w:hint="eastAsia" w:asciiTheme="minorEastAsia" w:hAnsiTheme="minorEastAsia" w:eastAsiaTheme="minorEastAsia" w:cstheme="minorEastAsia"/>
          <w:color w:val="auto"/>
          <w:sz w:val="24"/>
          <w:szCs w:val="24"/>
          <w:highlight w:val="none"/>
          <w:u w:val="single"/>
        </w:rPr>
        <w:t>规定的金额缴纳农民工工资</w:t>
      </w:r>
      <w:r>
        <w:rPr>
          <w:rFonts w:hint="eastAsia" w:asciiTheme="minorEastAsia" w:hAnsiTheme="minorEastAsia" w:eastAsiaTheme="minorEastAsia" w:cstheme="minorEastAsia"/>
          <w:color w:val="auto"/>
          <w:sz w:val="24"/>
          <w:szCs w:val="24"/>
          <w:highlight w:val="none"/>
          <w:u w:val="single"/>
          <w:lang w:eastAsia="zh-CN"/>
        </w:rPr>
        <w:t>保证金</w:t>
      </w:r>
      <w:r>
        <w:rPr>
          <w:rFonts w:hint="eastAsia" w:asciiTheme="minorEastAsia" w:hAnsiTheme="minorEastAsia" w:eastAsiaTheme="minorEastAsia" w:cstheme="minorEastAsia"/>
          <w:color w:val="auto"/>
          <w:sz w:val="24"/>
          <w:szCs w:val="24"/>
          <w:highlight w:val="none"/>
          <w:u w:val="single"/>
        </w:rPr>
        <w:t>；鉴于当前有资质的劳务企业数量较少，若本工程使用零散用工行为，视为承包人直接用工，承包人必须依法与每个工人签订劳动合同。对于承包人非法用工侵犯农民工权益，农民工的劳动生活条件没有得到依法保障的，所产生的一切法律后果由承包人承担</w:t>
      </w:r>
      <w:r>
        <w:rPr>
          <w:rFonts w:hint="eastAsia" w:asciiTheme="minorEastAsia" w:hAnsiTheme="minorEastAsia" w:eastAsiaTheme="minorEastAsia" w:cstheme="minorEastAsia"/>
          <w:color w:val="auto"/>
          <w:sz w:val="24"/>
          <w:szCs w:val="24"/>
          <w:highlight w:val="none"/>
          <w:u w:val="single"/>
          <w:lang w:eastAsia="zh-CN"/>
        </w:rPr>
        <w:t>。如</w:t>
      </w:r>
      <w:r>
        <w:rPr>
          <w:rFonts w:hint="eastAsia" w:asciiTheme="minorEastAsia" w:hAnsiTheme="minorEastAsia" w:eastAsiaTheme="minorEastAsia" w:cstheme="minorEastAsia"/>
          <w:color w:val="auto"/>
          <w:sz w:val="24"/>
          <w:szCs w:val="24"/>
          <w:highlight w:val="none"/>
          <w:u w:val="single"/>
        </w:rPr>
        <w:t>出现</w:t>
      </w:r>
      <w:r>
        <w:rPr>
          <w:rFonts w:hint="eastAsia" w:asciiTheme="minorEastAsia" w:hAnsiTheme="minorEastAsia" w:eastAsiaTheme="minorEastAsia" w:cstheme="minorEastAsia"/>
          <w:color w:val="auto"/>
          <w:sz w:val="24"/>
          <w:szCs w:val="24"/>
          <w:highlight w:val="none"/>
          <w:u w:val="single"/>
          <w:lang w:eastAsia="zh-CN"/>
        </w:rPr>
        <w:t>承包人</w:t>
      </w:r>
      <w:r>
        <w:rPr>
          <w:rFonts w:hint="eastAsia" w:asciiTheme="minorEastAsia" w:hAnsiTheme="minorEastAsia" w:eastAsiaTheme="minorEastAsia" w:cstheme="minorEastAsia"/>
          <w:color w:val="auto"/>
          <w:sz w:val="24"/>
          <w:szCs w:val="24"/>
          <w:highlight w:val="none"/>
          <w:u w:val="single"/>
        </w:rPr>
        <w:t>克扣</w:t>
      </w:r>
      <w:r>
        <w:rPr>
          <w:rFonts w:hint="eastAsia" w:asciiTheme="minorEastAsia" w:hAnsiTheme="minorEastAsia" w:eastAsiaTheme="minorEastAsia" w:cstheme="minorEastAsia"/>
          <w:color w:val="auto"/>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u w:val="single"/>
        </w:rPr>
        <w:t>拖欠</w:t>
      </w:r>
      <w:r>
        <w:rPr>
          <w:rFonts w:hint="eastAsia" w:asciiTheme="minorEastAsia" w:hAnsiTheme="minorEastAsia" w:eastAsiaTheme="minorEastAsia" w:cstheme="minorEastAsia"/>
          <w:color w:val="auto"/>
          <w:sz w:val="24"/>
          <w:szCs w:val="24"/>
          <w:highlight w:val="none"/>
          <w:u w:val="single"/>
          <w:lang w:eastAsia="zh-CN"/>
        </w:rPr>
        <w:t>农民工</w:t>
      </w:r>
      <w:r>
        <w:rPr>
          <w:rFonts w:hint="eastAsia" w:asciiTheme="minorEastAsia" w:hAnsiTheme="minorEastAsia" w:eastAsiaTheme="minorEastAsia" w:cstheme="minorEastAsia"/>
          <w:color w:val="auto"/>
          <w:sz w:val="24"/>
          <w:szCs w:val="24"/>
          <w:highlight w:val="none"/>
          <w:u w:val="single"/>
        </w:rPr>
        <w:t>工资</w:t>
      </w:r>
      <w:r>
        <w:rPr>
          <w:rFonts w:hint="eastAsia" w:asciiTheme="minorEastAsia" w:hAnsiTheme="minorEastAsia" w:eastAsiaTheme="minorEastAsia" w:cstheme="minorEastAsia"/>
          <w:color w:val="auto"/>
          <w:sz w:val="24"/>
          <w:szCs w:val="24"/>
          <w:highlight w:val="none"/>
          <w:u w:val="single"/>
          <w:lang w:eastAsia="zh-CN"/>
        </w:rPr>
        <w:t>的行为并经查实的，承包人</w:t>
      </w:r>
      <w:r>
        <w:rPr>
          <w:rFonts w:hint="eastAsia" w:asciiTheme="minorEastAsia" w:hAnsiTheme="minorEastAsia" w:eastAsiaTheme="minorEastAsia" w:cstheme="minorEastAsia"/>
          <w:color w:val="auto"/>
          <w:sz w:val="24"/>
          <w:szCs w:val="24"/>
          <w:highlight w:val="none"/>
          <w:u w:val="single"/>
        </w:rPr>
        <w:t>每次</w:t>
      </w:r>
      <w:r>
        <w:rPr>
          <w:rFonts w:hint="eastAsia" w:asciiTheme="minorEastAsia" w:hAnsiTheme="minorEastAsia" w:eastAsiaTheme="minorEastAsia" w:cstheme="minorEastAsia"/>
          <w:color w:val="auto"/>
          <w:sz w:val="24"/>
          <w:szCs w:val="24"/>
          <w:highlight w:val="none"/>
          <w:u w:val="single"/>
          <w:lang w:eastAsia="zh-CN"/>
        </w:rPr>
        <w:t>向发包人</w:t>
      </w:r>
      <w:r>
        <w:rPr>
          <w:rFonts w:hint="eastAsia" w:asciiTheme="minorEastAsia" w:hAnsiTheme="minorEastAsia" w:eastAsiaTheme="minorEastAsia" w:cstheme="minorEastAsia"/>
          <w:color w:val="auto"/>
          <w:sz w:val="24"/>
          <w:szCs w:val="24"/>
          <w:highlight w:val="none"/>
          <w:u w:val="single"/>
        </w:rPr>
        <w:t xml:space="preserve">支付违约金10万元 </w:t>
      </w:r>
      <w:r>
        <w:rPr>
          <w:rFonts w:hint="eastAsia" w:asciiTheme="minorEastAsia" w:hAnsiTheme="minorEastAsia" w:eastAsiaTheme="minorEastAsia" w:cstheme="minorEastAsia"/>
          <w:color w:val="auto"/>
          <w:sz w:val="24"/>
          <w:szCs w:val="24"/>
          <w:highlight w:val="none"/>
        </w:rPr>
        <w:t>。</w:t>
      </w:r>
    </w:p>
    <w:p w14:paraId="004B65E8">
      <w:pPr>
        <w:pageBreakBefore w:val="0"/>
        <w:kinsoku/>
        <w:wordWrap/>
        <w:overflowPunct/>
        <w:topLinePunct w:val="0"/>
        <w:bidi w:val="0"/>
        <w:snapToGrid/>
        <w:spacing w:line="360" w:lineRule="auto"/>
        <w:ind w:left="-105" w:leftChars="-50" w:firstLine="604" w:firstLineChars="25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16.2.3 因承包人违约解除合同</w:t>
      </w:r>
    </w:p>
    <w:p w14:paraId="749E42CD">
      <w:pPr>
        <w:pStyle w:val="239"/>
        <w:pageBreakBefore w:val="0"/>
        <w:kinsoku/>
        <w:wordWrap/>
        <w:overflowPunct/>
        <w:topLinePunct w:val="0"/>
        <w:bidi w:val="0"/>
        <w:snapToGrid/>
        <w:spacing w:line="360" w:lineRule="auto"/>
        <w:ind w:left="-105" w:leftChars="-50" w:firstLine="604" w:firstLineChars="25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关于承包人违约解除合同的特别约定：</w:t>
      </w:r>
    </w:p>
    <w:p w14:paraId="16F3B7A8">
      <w:pPr>
        <w:pStyle w:val="239"/>
        <w:pageBreakBefore w:val="0"/>
        <w:numPr>
          <w:ilvl w:val="0"/>
          <w:numId w:val="15"/>
        </w:numPr>
        <w:kinsoku/>
        <w:wordWrap/>
        <w:overflowPunct/>
        <w:topLinePunct w:val="0"/>
        <w:bidi w:val="0"/>
        <w:snapToGrid/>
        <w:spacing w:line="360" w:lineRule="auto"/>
        <w:ind w:left="-105" w:leftChars="-50" w:firstLine="604" w:firstLineChars="25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承包人违反合同约定进行转包或违法分包的，发包人有权解除合同 </w:t>
      </w:r>
      <w:r>
        <w:rPr>
          <w:rFonts w:hint="eastAsia" w:asciiTheme="minorEastAsia" w:hAnsiTheme="minorEastAsia" w:eastAsiaTheme="minorEastAsia" w:cstheme="minorEastAsia"/>
          <w:color w:val="auto"/>
          <w:sz w:val="24"/>
          <w:szCs w:val="24"/>
          <w:highlight w:val="none"/>
        </w:rPr>
        <w:t>。</w:t>
      </w:r>
    </w:p>
    <w:p w14:paraId="5F0DE820">
      <w:pPr>
        <w:pStyle w:val="239"/>
        <w:pageBreakBefore w:val="0"/>
        <w:numPr>
          <w:ilvl w:val="0"/>
          <w:numId w:val="15"/>
        </w:numPr>
        <w:kinsoku/>
        <w:wordWrap/>
        <w:overflowPunct/>
        <w:topLinePunct w:val="0"/>
        <w:bidi w:val="0"/>
        <w:snapToGrid/>
        <w:spacing w:line="360" w:lineRule="auto"/>
        <w:ind w:left="-105" w:leftChars="-50" w:firstLine="604" w:firstLineChars="252"/>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承包人拒绝进场的，经发包人通知后15日内仍未进场的，发包人可以解除合同；发包人原因除外 </w:t>
      </w:r>
      <w:r>
        <w:rPr>
          <w:rFonts w:hint="eastAsia" w:asciiTheme="minorEastAsia" w:hAnsiTheme="minorEastAsia" w:eastAsiaTheme="minorEastAsia" w:cstheme="minorEastAsia"/>
          <w:color w:val="auto"/>
          <w:sz w:val="24"/>
          <w:szCs w:val="24"/>
          <w:highlight w:val="none"/>
        </w:rPr>
        <w:t>。</w:t>
      </w:r>
    </w:p>
    <w:p w14:paraId="67EFD44C">
      <w:pPr>
        <w:pStyle w:val="239"/>
        <w:pageBreakBefore w:val="0"/>
        <w:kinsoku/>
        <w:wordWrap/>
        <w:overflowPunct/>
        <w:topLinePunct w:val="0"/>
        <w:bidi w:val="0"/>
        <w:snapToGrid/>
        <w:spacing w:line="360" w:lineRule="auto"/>
        <w:ind w:left="-105" w:leftChars="-50" w:firstLine="604" w:firstLineChars="252"/>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（3）已经完成的工程质量不合格，并拒绝修复的 ，发包人有权委托第三方实施，费用由承包人承担。</w:t>
      </w:r>
    </w:p>
    <w:p w14:paraId="0F3FB01B">
      <w:pPr>
        <w:pStyle w:val="239"/>
        <w:pageBreakBefore w:val="0"/>
        <w:kinsoku/>
        <w:wordWrap/>
        <w:overflowPunct/>
        <w:topLinePunct w:val="0"/>
        <w:bidi w:val="0"/>
        <w:snapToGrid/>
        <w:spacing w:line="360" w:lineRule="auto"/>
        <w:ind w:left="-105" w:leftChars="-50" w:firstLine="604" w:firstLineChars="252"/>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（4）由于承包人的资质降级，不能满足工程承包要求；</w:t>
      </w:r>
    </w:p>
    <w:p w14:paraId="5D788A3F">
      <w:pPr>
        <w:pStyle w:val="239"/>
        <w:pageBreakBefore w:val="0"/>
        <w:kinsoku/>
        <w:wordWrap/>
        <w:overflowPunct/>
        <w:topLinePunct w:val="0"/>
        <w:bidi w:val="0"/>
        <w:snapToGrid/>
        <w:spacing w:line="360" w:lineRule="auto"/>
        <w:ind w:left="-105" w:leftChars="-50" w:firstLine="604" w:firstLineChars="252"/>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（5）承包人的工程进度经多次催促仍不能达到发包人已批准计划要求的；</w:t>
      </w:r>
    </w:p>
    <w:p w14:paraId="547CC3BA">
      <w:pPr>
        <w:pStyle w:val="239"/>
        <w:pageBreakBefore w:val="0"/>
        <w:kinsoku/>
        <w:wordWrap/>
        <w:overflowPunct/>
        <w:topLinePunct w:val="0"/>
        <w:bidi w:val="0"/>
        <w:snapToGrid/>
        <w:spacing w:line="360" w:lineRule="auto"/>
        <w:ind w:left="-105" w:leftChars="-50" w:firstLine="604" w:firstLineChars="252"/>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（6）承包人出现挪用工程资金，陷入重大债权债务纠纷，并影响到本工程的正常实施；</w:t>
      </w:r>
    </w:p>
    <w:p w14:paraId="1916DD3F">
      <w:pPr>
        <w:pStyle w:val="239"/>
        <w:pageBreakBefore w:val="0"/>
        <w:kinsoku/>
        <w:wordWrap/>
        <w:overflowPunct/>
        <w:topLinePunct w:val="0"/>
        <w:bidi w:val="0"/>
        <w:snapToGrid/>
        <w:spacing w:line="360" w:lineRule="auto"/>
        <w:ind w:left="-105" w:leftChars="-50" w:firstLine="604" w:firstLineChars="252"/>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（7）承包人无法继续履行或明确表示不履行或实质上已停止履行合同的。</w:t>
      </w:r>
    </w:p>
    <w:p w14:paraId="07305304">
      <w:pPr>
        <w:pStyle w:val="8"/>
        <w:pageBreakBefore w:val="0"/>
        <w:kinsoku/>
        <w:wordWrap/>
        <w:overflowPunct/>
        <w:topLinePunct w:val="0"/>
        <w:bidi w:val="0"/>
        <w:snapToGrid/>
        <w:spacing w:before="0" w:after="0" w:line="360" w:lineRule="auto"/>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17. 不可抗力</w:t>
      </w:r>
      <w:bookmarkEnd w:id="462"/>
      <w:bookmarkEnd w:id="464"/>
    </w:p>
    <w:p w14:paraId="1F86B131">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17.1 不可抗力的确认</w:t>
      </w:r>
    </w:p>
    <w:p w14:paraId="699EBE0D">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u w:val="single"/>
        </w:rPr>
      </w:pPr>
      <w:r>
        <w:rPr>
          <w:rFonts w:hint="eastAsia" w:asciiTheme="minorEastAsia" w:hAnsiTheme="minorEastAsia" w:eastAsiaTheme="minorEastAsia" w:cstheme="minorEastAsia"/>
          <w:color w:val="auto"/>
          <w:sz w:val="24"/>
          <w:szCs w:val="24"/>
          <w:highlight w:val="none"/>
        </w:rPr>
        <w:t>除通用合同条款约定的不可抗力事件之外，视为不可抗力的其他情形：如因市财政未拨付资金导致</w:t>
      </w:r>
      <w:r>
        <w:rPr>
          <w:rFonts w:hint="eastAsia" w:asciiTheme="minorEastAsia" w:hAnsiTheme="minorEastAsia" w:eastAsiaTheme="minorEastAsia" w:cstheme="minorEastAsia"/>
          <w:color w:val="auto"/>
          <w:sz w:val="24"/>
          <w:szCs w:val="24"/>
          <w:highlight w:val="none"/>
          <w:lang w:eastAsia="zh-CN"/>
        </w:rPr>
        <w:t>发包人</w:t>
      </w:r>
      <w:r>
        <w:rPr>
          <w:rFonts w:hint="eastAsia" w:asciiTheme="minorEastAsia" w:hAnsiTheme="minorEastAsia" w:eastAsiaTheme="minorEastAsia" w:cstheme="minorEastAsia"/>
          <w:color w:val="auto"/>
          <w:sz w:val="24"/>
          <w:szCs w:val="24"/>
          <w:highlight w:val="none"/>
        </w:rPr>
        <w:t>无法按照合同约定时间付款，</w:t>
      </w:r>
      <w:r>
        <w:rPr>
          <w:rFonts w:hint="eastAsia" w:asciiTheme="minorEastAsia" w:hAnsiTheme="minorEastAsia" w:eastAsiaTheme="minorEastAsia" w:cstheme="minorEastAsia"/>
          <w:color w:val="auto"/>
          <w:sz w:val="24"/>
          <w:szCs w:val="24"/>
          <w:highlight w:val="none"/>
          <w:lang w:eastAsia="zh-CN"/>
        </w:rPr>
        <w:t>发包人</w:t>
      </w:r>
      <w:r>
        <w:rPr>
          <w:rFonts w:hint="eastAsia" w:asciiTheme="minorEastAsia" w:hAnsiTheme="minorEastAsia" w:eastAsiaTheme="minorEastAsia" w:cstheme="minorEastAsia"/>
          <w:color w:val="auto"/>
          <w:sz w:val="24"/>
          <w:szCs w:val="24"/>
          <w:highlight w:val="none"/>
        </w:rPr>
        <w:t>不承担相应违约责任。</w:t>
      </w:r>
    </w:p>
    <w:p w14:paraId="111FB365">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17.4 因不可抗力解除合同</w:t>
      </w:r>
    </w:p>
    <w:p w14:paraId="22B7AE70">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合同解除后，发包人应在商定或确定发包人应支付款项后</w:t>
      </w:r>
      <w:r>
        <w:rPr>
          <w:rFonts w:hint="eastAsia" w:asciiTheme="minorEastAsia" w:hAnsiTheme="minorEastAsia" w:eastAsiaTheme="minorEastAsia" w:cstheme="minorEastAsia"/>
          <w:b/>
          <w:bCs/>
          <w:color w:val="auto"/>
          <w:sz w:val="24"/>
          <w:szCs w:val="24"/>
          <w:highlight w:val="none"/>
          <w:u w:val="single"/>
        </w:rPr>
        <w:t>28</w:t>
      </w:r>
      <w:r>
        <w:rPr>
          <w:rFonts w:hint="eastAsia" w:asciiTheme="minorEastAsia" w:hAnsiTheme="minorEastAsia" w:eastAsiaTheme="minorEastAsia" w:cstheme="minorEastAsia"/>
          <w:color w:val="auto"/>
          <w:sz w:val="24"/>
          <w:szCs w:val="24"/>
          <w:highlight w:val="none"/>
        </w:rPr>
        <w:t>天内完成款项的支付。</w:t>
      </w:r>
    </w:p>
    <w:bookmarkEnd w:id="445"/>
    <w:bookmarkEnd w:id="446"/>
    <w:bookmarkEnd w:id="447"/>
    <w:bookmarkEnd w:id="448"/>
    <w:bookmarkEnd w:id="449"/>
    <w:bookmarkEnd w:id="450"/>
    <w:bookmarkEnd w:id="451"/>
    <w:bookmarkEnd w:id="452"/>
    <w:bookmarkEnd w:id="453"/>
    <w:bookmarkEnd w:id="454"/>
    <w:bookmarkEnd w:id="455"/>
    <w:bookmarkEnd w:id="456"/>
    <w:bookmarkEnd w:id="463"/>
    <w:p w14:paraId="37B413C2">
      <w:pPr>
        <w:pStyle w:val="8"/>
        <w:pageBreakBefore w:val="0"/>
        <w:kinsoku/>
        <w:wordWrap/>
        <w:overflowPunct/>
        <w:topLinePunct w:val="0"/>
        <w:bidi w:val="0"/>
        <w:snapToGrid/>
        <w:spacing w:before="0" w:after="0" w:line="360" w:lineRule="auto"/>
        <w:textAlignment w:val="auto"/>
        <w:rPr>
          <w:rFonts w:hint="eastAsia" w:asciiTheme="minorEastAsia" w:hAnsiTheme="minorEastAsia" w:eastAsiaTheme="minorEastAsia" w:cstheme="minorEastAsia"/>
          <w:b w:val="0"/>
          <w:color w:val="auto"/>
          <w:sz w:val="24"/>
          <w:szCs w:val="24"/>
          <w:highlight w:val="none"/>
        </w:rPr>
      </w:pPr>
      <w:bookmarkStart w:id="465" w:name="_Toc351203651"/>
      <w:r>
        <w:rPr>
          <w:rFonts w:hint="eastAsia" w:asciiTheme="minorEastAsia" w:hAnsiTheme="minorEastAsia" w:eastAsiaTheme="minorEastAsia" w:cstheme="minorEastAsia"/>
          <w:b w:val="0"/>
          <w:color w:val="auto"/>
          <w:sz w:val="24"/>
          <w:szCs w:val="24"/>
          <w:highlight w:val="none"/>
        </w:rPr>
        <w:t>20. 争议解决</w:t>
      </w:r>
      <w:bookmarkEnd w:id="465"/>
    </w:p>
    <w:bookmarkEnd w:id="457"/>
    <w:bookmarkEnd w:id="458"/>
    <w:bookmarkEnd w:id="459"/>
    <w:p w14:paraId="50FC6F76">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20.4仲裁或诉讼</w:t>
      </w:r>
      <w:bookmarkEnd w:id="460"/>
    </w:p>
    <w:p w14:paraId="5F7E0DAF">
      <w:pPr>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因合同及合同有关事项发生的争议，按下列第</w:t>
      </w:r>
      <w:r>
        <w:rPr>
          <w:rFonts w:hint="eastAsia" w:asciiTheme="minorEastAsia" w:hAnsiTheme="minorEastAsia" w:eastAsiaTheme="minorEastAsia" w:cstheme="minorEastAsia"/>
          <w:b/>
          <w:bCs/>
          <w:color w:val="auto"/>
          <w:sz w:val="24"/>
          <w:szCs w:val="24"/>
          <w:highlight w:val="none"/>
          <w:u w:val="single"/>
        </w:rPr>
        <w:t>（2）</w:t>
      </w:r>
      <w:r>
        <w:rPr>
          <w:rFonts w:hint="eastAsia" w:asciiTheme="minorEastAsia" w:hAnsiTheme="minorEastAsia" w:eastAsiaTheme="minorEastAsia" w:cstheme="minorEastAsia"/>
          <w:color w:val="auto"/>
          <w:sz w:val="24"/>
          <w:szCs w:val="24"/>
          <w:highlight w:val="none"/>
        </w:rPr>
        <w:t>种方式解决：</w:t>
      </w:r>
    </w:p>
    <w:p w14:paraId="42D54533">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（1）向</w:t>
      </w:r>
      <w:r>
        <w:rPr>
          <w:rFonts w:hint="eastAsia" w:asciiTheme="minorEastAsia" w:hAnsiTheme="minorEastAsia" w:eastAsiaTheme="minorEastAsia" w:cstheme="minorEastAsia"/>
          <w:b/>
          <w:bCs/>
          <w:color w:val="auto"/>
          <w:sz w:val="24"/>
          <w:szCs w:val="24"/>
          <w:highlight w:val="none"/>
          <w:u w:val="single"/>
        </w:rPr>
        <w:t>/</w:t>
      </w:r>
      <w:r>
        <w:rPr>
          <w:rFonts w:hint="eastAsia" w:asciiTheme="minorEastAsia" w:hAnsiTheme="minorEastAsia" w:eastAsiaTheme="minorEastAsia" w:cstheme="minorEastAsia"/>
          <w:color w:val="auto"/>
          <w:sz w:val="24"/>
          <w:szCs w:val="24"/>
          <w:highlight w:val="none"/>
        </w:rPr>
        <w:t>仲裁委员会申请仲裁；</w:t>
      </w:r>
    </w:p>
    <w:p w14:paraId="7BEE95A7">
      <w:pPr>
        <w:pageBreakBefore w:val="0"/>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（2）向</w:t>
      </w:r>
      <w:r>
        <w:rPr>
          <w:rFonts w:hint="eastAsia" w:asciiTheme="minorEastAsia" w:hAnsiTheme="minorEastAsia" w:eastAsiaTheme="minorEastAsia" w:cstheme="minorEastAsia"/>
          <w:color w:val="auto"/>
          <w:sz w:val="24"/>
          <w:szCs w:val="24"/>
          <w:highlight w:val="none"/>
          <w:u w:val="single"/>
        </w:rPr>
        <w:t>施工工程项目所在地有管辖权的</w:t>
      </w:r>
      <w:r>
        <w:rPr>
          <w:rFonts w:hint="eastAsia" w:asciiTheme="minorEastAsia" w:hAnsiTheme="minorEastAsia" w:eastAsiaTheme="minorEastAsia" w:cstheme="minorEastAsia"/>
          <w:color w:val="auto"/>
          <w:sz w:val="24"/>
          <w:szCs w:val="24"/>
          <w:highlight w:val="none"/>
        </w:rPr>
        <w:t>人民法院起诉。</w:t>
      </w:r>
    </w:p>
    <w:p w14:paraId="092888A1">
      <w:pPr>
        <w:pageBreakBefore w:val="0"/>
        <w:kinsoku/>
        <w:wordWrap/>
        <w:overflowPunct/>
        <w:topLinePunct w:val="0"/>
        <w:bidi w:val="0"/>
        <w:snapToGrid/>
        <w:spacing w:line="360" w:lineRule="auto"/>
        <w:ind w:firstLine="482" w:firstLineChars="200"/>
        <w:jc w:val="lef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22.其它未尽事宜，甲乙双方协商解决。 </w:t>
      </w:r>
    </w:p>
    <w:p w14:paraId="11805F15">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p>
    <w:bookmarkEnd w:id="140"/>
    <w:bookmarkEnd w:id="141"/>
    <w:bookmarkEnd w:id="142"/>
    <w:bookmarkEnd w:id="143"/>
    <w:bookmarkEnd w:id="144"/>
    <w:bookmarkEnd w:id="145"/>
    <w:p w14:paraId="0660B651">
      <w:pPr>
        <w:pStyle w:val="4"/>
        <w:spacing w:line="276" w:lineRule="auto"/>
        <w:jc w:val="left"/>
        <w:rPr>
          <w:rFonts w:hint="eastAsia" w:asciiTheme="minorEastAsia" w:hAnsiTheme="minorEastAsia" w:eastAsiaTheme="minorEastAsia" w:cstheme="minorEastAsia"/>
          <w:b w:val="0"/>
          <w:color w:val="auto"/>
          <w:sz w:val="24"/>
          <w:szCs w:val="24"/>
          <w:highlight w:val="none"/>
        </w:rPr>
      </w:pPr>
      <w:bookmarkStart w:id="466" w:name="_Toc29760"/>
      <w:bookmarkStart w:id="467" w:name="_Toc104417871"/>
      <w:r>
        <w:rPr>
          <w:rFonts w:hint="eastAsia" w:asciiTheme="minorEastAsia" w:hAnsiTheme="minorEastAsia" w:eastAsiaTheme="minorEastAsia" w:cstheme="minorEastAsia"/>
          <w:color w:val="auto"/>
          <w:sz w:val="24"/>
          <w:szCs w:val="24"/>
          <w:highlight w:val="none"/>
        </w:rPr>
        <w:t>附件一：廉政合同格式</w:t>
      </w:r>
      <w:bookmarkEnd w:id="466"/>
      <w:bookmarkEnd w:id="467"/>
    </w:p>
    <w:p w14:paraId="269813AC">
      <w:pPr>
        <w:spacing w:line="480" w:lineRule="auto"/>
        <w:ind w:firstLine="482" w:firstLineChars="200"/>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廉政合同</w:t>
      </w:r>
    </w:p>
    <w:p w14:paraId="49A582CB">
      <w:pPr>
        <w:spacing w:line="360" w:lineRule="auto"/>
        <w:ind w:firstLine="480" w:firstLineChars="200"/>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甲   方（业    主）：</w:t>
      </w:r>
      <w:r>
        <w:rPr>
          <w:rFonts w:hint="eastAsia" w:asciiTheme="minorEastAsia" w:hAnsiTheme="minorEastAsia" w:eastAsiaTheme="minorEastAsia" w:cstheme="minorEastAsia"/>
          <w:b/>
          <w:color w:val="auto"/>
          <w:sz w:val="24"/>
          <w:szCs w:val="24"/>
          <w:highlight w:val="none"/>
          <w:u w:val="single"/>
          <w:lang w:val="en-US" w:eastAsia="zh-CN"/>
        </w:rPr>
        <w:t xml:space="preserve">                             </w:t>
      </w:r>
      <w:r>
        <w:rPr>
          <w:rFonts w:hint="eastAsia" w:asciiTheme="minorEastAsia" w:hAnsiTheme="minorEastAsia" w:eastAsiaTheme="minorEastAsia" w:cstheme="minorEastAsia"/>
          <w:b/>
          <w:color w:val="auto"/>
          <w:sz w:val="24"/>
          <w:szCs w:val="24"/>
          <w:highlight w:val="none"/>
          <w:u w:val="single"/>
        </w:rPr>
        <w:t xml:space="preserve"> </w:t>
      </w:r>
    </w:p>
    <w:p w14:paraId="5D671464">
      <w:pPr>
        <w:spacing w:line="360" w:lineRule="auto"/>
        <w:ind w:firstLine="480" w:firstLineChars="200"/>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rPr>
        <w:t>乙   方（施工单位）：</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rPr>
        <w:t xml:space="preserve"> </w:t>
      </w:r>
    </w:p>
    <w:p w14:paraId="470FA4EB">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国家建设部、监察部&lt;&lt;关于在工程建设中深入开展反对腐败和反对不正当竞争的通知&gt;&gt;和省纪委、监察厅、建设厅&lt;&lt;关于在全省建设工程中建立工程承包和工程廉政“双合同”机制的通知&gt;&gt;精神，坚决执行&lt;&lt;反对不正当竞争法&gt;&gt;、&lt;&lt;建筑法&gt;&gt;和有关法规。确定工程甲、乙双方秉公行事，自愿签订建设工程廉政合同。</w:t>
      </w:r>
    </w:p>
    <w:p w14:paraId="4736D0FB">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w:t>
      </w:r>
      <w:r>
        <w:rPr>
          <w:rFonts w:hint="eastAsia" w:asciiTheme="minorEastAsia" w:hAnsiTheme="minorEastAsia" w:eastAsiaTheme="minorEastAsia" w:cstheme="minorEastAsia"/>
          <w:color w:val="auto"/>
          <w:sz w:val="24"/>
          <w:szCs w:val="24"/>
          <w:highlight w:val="none"/>
          <w:lang w:eastAsia="zh-CN"/>
        </w:rPr>
        <w:t>发包人</w:t>
      </w:r>
      <w:r>
        <w:rPr>
          <w:rFonts w:hint="eastAsia" w:asciiTheme="minorEastAsia" w:hAnsiTheme="minorEastAsia" w:eastAsiaTheme="minorEastAsia" w:cstheme="minorEastAsia"/>
          <w:color w:val="auto"/>
          <w:sz w:val="24"/>
          <w:szCs w:val="24"/>
          <w:highlight w:val="none"/>
        </w:rPr>
        <w:t>不得接受</w:t>
      </w:r>
      <w:r>
        <w:rPr>
          <w:rFonts w:hint="eastAsia" w:asciiTheme="minorEastAsia" w:hAnsiTheme="minorEastAsia" w:eastAsiaTheme="minorEastAsia" w:cstheme="minorEastAsia"/>
          <w:color w:val="auto"/>
          <w:sz w:val="24"/>
          <w:szCs w:val="24"/>
          <w:highlight w:val="none"/>
          <w:lang w:eastAsia="zh-CN"/>
        </w:rPr>
        <w:t>承包人</w:t>
      </w:r>
      <w:r>
        <w:rPr>
          <w:rFonts w:hint="eastAsia" w:asciiTheme="minorEastAsia" w:hAnsiTheme="minorEastAsia" w:eastAsiaTheme="minorEastAsia" w:cstheme="minorEastAsia"/>
          <w:color w:val="auto"/>
          <w:sz w:val="24"/>
          <w:szCs w:val="24"/>
          <w:highlight w:val="none"/>
        </w:rPr>
        <w:t>请吃、请玩；不得接受</w:t>
      </w:r>
      <w:r>
        <w:rPr>
          <w:rFonts w:hint="eastAsia" w:asciiTheme="minorEastAsia" w:hAnsiTheme="minorEastAsia" w:eastAsiaTheme="minorEastAsia" w:cstheme="minorEastAsia"/>
          <w:color w:val="auto"/>
          <w:sz w:val="24"/>
          <w:szCs w:val="24"/>
          <w:highlight w:val="none"/>
          <w:lang w:eastAsia="zh-CN"/>
        </w:rPr>
        <w:t>承包人</w:t>
      </w:r>
      <w:r>
        <w:rPr>
          <w:rFonts w:hint="eastAsia" w:asciiTheme="minorEastAsia" w:hAnsiTheme="minorEastAsia" w:eastAsiaTheme="minorEastAsia" w:cstheme="minorEastAsia"/>
          <w:color w:val="auto"/>
          <w:sz w:val="24"/>
          <w:szCs w:val="24"/>
          <w:highlight w:val="none"/>
        </w:rPr>
        <w:t>赠送的礼品、礼金和各种有价证券、信用卡及其他支付凭证；不得接受</w:t>
      </w:r>
      <w:r>
        <w:rPr>
          <w:rFonts w:hint="eastAsia" w:asciiTheme="minorEastAsia" w:hAnsiTheme="minorEastAsia" w:eastAsiaTheme="minorEastAsia" w:cstheme="minorEastAsia"/>
          <w:color w:val="auto"/>
          <w:sz w:val="24"/>
          <w:szCs w:val="24"/>
          <w:highlight w:val="none"/>
          <w:lang w:eastAsia="zh-CN"/>
        </w:rPr>
        <w:t>承包人</w:t>
      </w:r>
      <w:r>
        <w:rPr>
          <w:rFonts w:hint="eastAsia" w:asciiTheme="minorEastAsia" w:hAnsiTheme="minorEastAsia" w:eastAsiaTheme="minorEastAsia" w:cstheme="minorEastAsia"/>
          <w:color w:val="auto"/>
          <w:sz w:val="24"/>
          <w:szCs w:val="24"/>
          <w:highlight w:val="none"/>
        </w:rPr>
        <w:t>任何好处费及工程回扣；不得向</w:t>
      </w:r>
      <w:r>
        <w:rPr>
          <w:rFonts w:hint="eastAsia" w:asciiTheme="minorEastAsia" w:hAnsiTheme="minorEastAsia" w:eastAsiaTheme="minorEastAsia" w:cstheme="minorEastAsia"/>
          <w:color w:val="auto"/>
          <w:sz w:val="24"/>
          <w:szCs w:val="24"/>
          <w:highlight w:val="none"/>
          <w:lang w:eastAsia="zh-CN"/>
        </w:rPr>
        <w:t>承包人</w:t>
      </w:r>
      <w:r>
        <w:rPr>
          <w:rFonts w:hint="eastAsia" w:asciiTheme="minorEastAsia" w:hAnsiTheme="minorEastAsia" w:eastAsiaTheme="minorEastAsia" w:cstheme="minorEastAsia"/>
          <w:color w:val="auto"/>
          <w:sz w:val="24"/>
          <w:szCs w:val="24"/>
          <w:highlight w:val="none"/>
        </w:rPr>
        <w:t>报销任何应由</w:t>
      </w:r>
      <w:r>
        <w:rPr>
          <w:rFonts w:hint="eastAsia" w:asciiTheme="minorEastAsia" w:hAnsiTheme="minorEastAsia" w:eastAsiaTheme="minorEastAsia" w:cstheme="minorEastAsia"/>
          <w:color w:val="auto"/>
          <w:sz w:val="24"/>
          <w:szCs w:val="24"/>
          <w:highlight w:val="none"/>
          <w:lang w:eastAsia="zh-CN"/>
        </w:rPr>
        <w:t>发包人</w:t>
      </w:r>
      <w:r>
        <w:rPr>
          <w:rFonts w:hint="eastAsia" w:asciiTheme="minorEastAsia" w:hAnsiTheme="minorEastAsia" w:eastAsiaTheme="minorEastAsia" w:cstheme="minorEastAsia"/>
          <w:color w:val="auto"/>
          <w:sz w:val="24"/>
          <w:szCs w:val="24"/>
          <w:highlight w:val="none"/>
        </w:rPr>
        <w:t>支付的费用，不参加</w:t>
      </w:r>
      <w:r>
        <w:rPr>
          <w:rFonts w:hint="eastAsia" w:asciiTheme="minorEastAsia" w:hAnsiTheme="minorEastAsia" w:eastAsiaTheme="minorEastAsia" w:cstheme="minorEastAsia"/>
          <w:color w:val="auto"/>
          <w:sz w:val="24"/>
          <w:szCs w:val="24"/>
          <w:highlight w:val="none"/>
          <w:lang w:eastAsia="zh-CN"/>
        </w:rPr>
        <w:t>承包人</w:t>
      </w:r>
      <w:r>
        <w:rPr>
          <w:rFonts w:hint="eastAsia" w:asciiTheme="minorEastAsia" w:hAnsiTheme="minorEastAsia" w:eastAsiaTheme="minorEastAsia" w:cstheme="minorEastAsia"/>
          <w:color w:val="auto"/>
          <w:sz w:val="24"/>
          <w:szCs w:val="24"/>
          <w:highlight w:val="none"/>
        </w:rPr>
        <w:t>举行的任何庆典活动。</w:t>
      </w:r>
    </w:p>
    <w:p w14:paraId="56B17228">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w:t>
      </w:r>
      <w:r>
        <w:rPr>
          <w:rFonts w:hint="eastAsia" w:asciiTheme="minorEastAsia" w:hAnsiTheme="minorEastAsia" w:eastAsiaTheme="minorEastAsia" w:cstheme="minorEastAsia"/>
          <w:color w:val="auto"/>
          <w:sz w:val="24"/>
          <w:szCs w:val="24"/>
          <w:highlight w:val="none"/>
          <w:lang w:eastAsia="zh-CN"/>
        </w:rPr>
        <w:t>发包人</w:t>
      </w:r>
      <w:r>
        <w:rPr>
          <w:rFonts w:hint="eastAsia" w:asciiTheme="minorEastAsia" w:hAnsiTheme="minorEastAsia" w:eastAsiaTheme="minorEastAsia" w:cstheme="minorEastAsia"/>
          <w:color w:val="auto"/>
          <w:sz w:val="24"/>
          <w:szCs w:val="24"/>
          <w:highlight w:val="none"/>
        </w:rPr>
        <w:t>人员向</w:t>
      </w:r>
      <w:r>
        <w:rPr>
          <w:rFonts w:hint="eastAsia" w:asciiTheme="minorEastAsia" w:hAnsiTheme="minorEastAsia" w:eastAsiaTheme="minorEastAsia" w:cstheme="minorEastAsia"/>
          <w:color w:val="auto"/>
          <w:sz w:val="24"/>
          <w:szCs w:val="24"/>
          <w:highlight w:val="none"/>
          <w:lang w:eastAsia="zh-CN"/>
        </w:rPr>
        <w:t>承包人</w:t>
      </w:r>
      <w:r>
        <w:rPr>
          <w:rFonts w:hint="eastAsia" w:asciiTheme="minorEastAsia" w:hAnsiTheme="minorEastAsia" w:eastAsiaTheme="minorEastAsia" w:cstheme="minorEastAsia"/>
          <w:color w:val="auto"/>
          <w:sz w:val="24"/>
          <w:szCs w:val="24"/>
          <w:highlight w:val="none"/>
        </w:rPr>
        <w:t>索贿，</w:t>
      </w:r>
      <w:r>
        <w:rPr>
          <w:rFonts w:hint="eastAsia" w:asciiTheme="minorEastAsia" w:hAnsiTheme="minorEastAsia" w:eastAsiaTheme="minorEastAsia" w:cstheme="minorEastAsia"/>
          <w:color w:val="auto"/>
          <w:sz w:val="24"/>
          <w:szCs w:val="24"/>
          <w:highlight w:val="none"/>
          <w:lang w:eastAsia="zh-CN"/>
        </w:rPr>
        <w:t>承包人</w:t>
      </w:r>
      <w:r>
        <w:rPr>
          <w:rFonts w:hint="eastAsia" w:asciiTheme="minorEastAsia" w:hAnsiTheme="minorEastAsia" w:eastAsiaTheme="minorEastAsia" w:cstheme="minorEastAsia"/>
          <w:color w:val="auto"/>
          <w:sz w:val="24"/>
          <w:szCs w:val="24"/>
          <w:highlight w:val="none"/>
        </w:rPr>
        <w:t>应予拒绝和检举，经</w:t>
      </w:r>
      <w:r>
        <w:rPr>
          <w:rFonts w:hint="eastAsia" w:asciiTheme="minorEastAsia" w:hAnsiTheme="minorEastAsia" w:eastAsiaTheme="minorEastAsia" w:cstheme="minorEastAsia"/>
          <w:color w:val="auto"/>
          <w:sz w:val="24"/>
          <w:szCs w:val="24"/>
          <w:highlight w:val="none"/>
          <w:lang w:eastAsia="zh-CN"/>
        </w:rPr>
        <w:t>承包人</w:t>
      </w:r>
      <w:r>
        <w:rPr>
          <w:rFonts w:hint="eastAsia" w:asciiTheme="minorEastAsia" w:hAnsiTheme="minorEastAsia" w:eastAsiaTheme="minorEastAsia" w:cstheme="minorEastAsia"/>
          <w:color w:val="auto"/>
          <w:sz w:val="24"/>
          <w:szCs w:val="24"/>
          <w:highlight w:val="none"/>
        </w:rPr>
        <w:t>检举，被纪检监察、检察机关查实的，依法或按有关规定处理。</w:t>
      </w:r>
    </w:p>
    <w:p w14:paraId="2755E80E">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w:t>
      </w:r>
      <w:r>
        <w:rPr>
          <w:rFonts w:hint="eastAsia" w:asciiTheme="minorEastAsia" w:hAnsiTheme="minorEastAsia" w:eastAsiaTheme="minorEastAsia" w:cstheme="minorEastAsia"/>
          <w:color w:val="auto"/>
          <w:sz w:val="24"/>
          <w:szCs w:val="24"/>
          <w:highlight w:val="none"/>
          <w:lang w:eastAsia="zh-CN"/>
        </w:rPr>
        <w:t>承包人</w:t>
      </w:r>
      <w:r>
        <w:rPr>
          <w:rFonts w:hint="eastAsia" w:asciiTheme="minorEastAsia" w:hAnsiTheme="minorEastAsia" w:eastAsiaTheme="minorEastAsia" w:cstheme="minorEastAsia"/>
          <w:color w:val="auto"/>
          <w:sz w:val="24"/>
          <w:szCs w:val="24"/>
          <w:highlight w:val="none"/>
        </w:rPr>
        <w:t>不得以任何形式邀请</w:t>
      </w:r>
      <w:r>
        <w:rPr>
          <w:rFonts w:hint="eastAsia" w:asciiTheme="minorEastAsia" w:hAnsiTheme="minorEastAsia" w:eastAsiaTheme="minorEastAsia" w:cstheme="minorEastAsia"/>
          <w:color w:val="auto"/>
          <w:sz w:val="24"/>
          <w:szCs w:val="24"/>
          <w:highlight w:val="none"/>
          <w:lang w:eastAsia="zh-CN"/>
        </w:rPr>
        <w:t>发包人</w:t>
      </w:r>
      <w:r>
        <w:rPr>
          <w:rFonts w:hint="eastAsia" w:asciiTheme="minorEastAsia" w:hAnsiTheme="minorEastAsia" w:eastAsiaTheme="minorEastAsia" w:cstheme="minorEastAsia"/>
          <w:color w:val="auto"/>
          <w:sz w:val="24"/>
          <w:szCs w:val="24"/>
          <w:highlight w:val="none"/>
        </w:rPr>
        <w:t>吃、玩或向</w:t>
      </w:r>
      <w:r>
        <w:rPr>
          <w:rFonts w:hint="eastAsia" w:asciiTheme="minorEastAsia" w:hAnsiTheme="minorEastAsia" w:eastAsiaTheme="minorEastAsia" w:cstheme="minorEastAsia"/>
          <w:color w:val="auto"/>
          <w:sz w:val="24"/>
          <w:szCs w:val="24"/>
          <w:highlight w:val="none"/>
          <w:lang w:eastAsia="zh-CN"/>
        </w:rPr>
        <w:t>发包人</w:t>
      </w:r>
      <w:r>
        <w:rPr>
          <w:rFonts w:hint="eastAsia" w:asciiTheme="minorEastAsia" w:hAnsiTheme="minorEastAsia" w:eastAsiaTheme="minorEastAsia" w:cstheme="minorEastAsia"/>
          <w:color w:val="auto"/>
          <w:sz w:val="24"/>
          <w:szCs w:val="24"/>
          <w:highlight w:val="none"/>
        </w:rPr>
        <w:t>赠送礼品、礼金、各种有价证券、信用卡及其他支付凭证。如有违反，对</w:t>
      </w:r>
      <w:r>
        <w:rPr>
          <w:rFonts w:hint="eastAsia" w:asciiTheme="minorEastAsia" w:hAnsiTheme="minorEastAsia" w:eastAsiaTheme="minorEastAsia" w:cstheme="minorEastAsia"/>
          <w:color w:val="auto"/>
          <w:sz w:val="24"/>
          <w:szCs w:val="24"/>
          <w:highlight w:val="none"/>
          <w:lang w:eastAsia="zh-CN"/>
        </w:rPr>
        <w:t>承包人</w:t>
      </w:r>
      <w:r>
        <w:rPr>
          <w:rFonts w:hint="eastAsia" w:asciiTheme="minorEastAsia" w:hAnsiTheme="minorEastAsia" w:eastAsiaTheme="minorEastAsia" w:cstheme="minorEastAsia"/>
          <w:color w:val="auto"/>
          <w:sz w:val="24"/>
          <w:szCs w:val="24"/>
          <w:highlight w:val="none"/>
        </w:rPr>
        <w:t>处以建设工程造价3%以下的罚款 。</w:t>
      </w:r>
    </w:p>
    <w:p w14:paraId="4080FAAB">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w:t>
      </w:r>
      <w:r>
        <w:rPr>
          <w:rFonts w:hint="eastAsia" w:asciiTheme="minorEastAsia" w:hAnsiTheme="minorEastAsia" w:eastAsiaTheme="minorEastAsia" w:cstheme="minorEastAsia"/>
          <w:color w:val="auto"/>
          <w:sz w:val="24"/>
          <w:szCs w:val="24"/>
          <w:highlight w:val="none"/>
          <w:lang w:eastAsia="zh-CN"/>
        </w:rPr>
        <w:t>承包人</w:t>
      </w:r>
      <w:r>
        <w:rPr>
          <w:rFonts w:hint="eastAsia" w:asciiTheme="minorEastAsia" w:hAnsiTheme="minorEastAsia" w:eastAsiaTheme="minorEastAsia" w:cstheme="minorEastAsia"/>
          <w:color w:val="auto"/>
          <w:sz w:val="24"/>
          <w:szCs w:val="24"/>
          <w:highlight w:val="none"/>
        </w:rPr>
        <w:t>在工程项目建设中贿赂</w:t>
      </w:r>
      <w:r>
        <w:rPr>
          <w:rFonts w:hint="eastAsia" w:asciiTheme="minorEastAsia" w:hAnsiTheme="minorEastAsia" w:eastAsiaTheme="minorEastAsia" w:cstheme="minorEastAsia"/>
          <w:color w:val="auto"/>
          <w:sz w:val="24"/>
          <w:szCs w:val="24"/>
          <w:highlight w:val="none"/>
          <w:lang w:eastAsia="zh-CN"/>
        </w:rPr>
        <w:t>发包人</w:t>
      </w:r>
      <w:r>
        <w:rPr>
          <w:rFonts w:hint="eastAsia" w:asciiTheme="minorEastAsia" w:hAnsiTheme="minorEastAsia" w:eastAsiaTheme="minorEastAsia" w:cstheme="minorEastAsia"/>
          <w:color w:val="auto"/>
          <w:sz w:val="24"/>
          <w:szCs w:val="24"/>
          <w:highlight w:val="none"/>
        </w:rPr>
        <w:t>人员，被纪检监察或司法机关立案查处的，</w:t>
      </w:r>
      <w:r>
        <w:rPr>
          <w:rFonts w:hint="eastAsia" w:asciiTheme="minorEastAsia" w:hAnsiTheme="minorEastAsia" w:eastAsiaTheme="minorEastAsia" w:cstheme="minorEastAsia"/>
          <w:color w:val="auto"/>
          <w:sz w:val="24"/>
          <w:szCs w:val="24"/>
          <w:highlight w:val="none"/>
          <w:lang w:eastAsia="zh-CN"/>
        </w:rPr>
        <w:t>发包人</w:t>
      </w:r>
      <w:r>
        <w:rPr>
          <w:rFonts w:hint="eastAsia" w:asciiTheme="minorEastAsia" w:hAnsiTheme="minorEastAsia" w:eastAsiaTheme="minorEastAsia" w:cstheme="minorEastAsia"/>
          <w:color w:val="auto"/>
          <w:sz w:val="24"/>
          <w:szCs w:val="24"/>
          <w:highlight w:val="none"/>
        </w:rPr>
        <w:t>有权中止项目施工合同，由此使</w:t>
      </w:r>
      <w:r>
        <w:rPr>
          <w:rFonts w:hint="eastAsia" w:asciiTheme="minorEastAsia" w:hAnsiTheme="minorEastAsia" w:eastAsiaTheme="minorEastAsia" w:cstheme="minorEastAsia"/>
          <w:color w:val="auto"/>
          <w:sz w:val="24"/>
          <w:szCs w:val="24"/>
          <w:highlight w:val="none"/>
          <w:lang w:eastAsia="zh-CN"/>
        </w:rPr>
        <w:t>发包人</w:t>
      </w:r>
      <w:r>
        <w:rPr>
          <w:rFonts w:hint="eastAsia" w:asciiTheme="minorEastAsia" w:hAnsiTheme="minorEastAsia" w:eastAsiaTheme="minorEastAsia" w:cstheme="minorEastAsia"/>
          <w:color w:val="auto"/>
          <w:sz w:val="24"/>
          <w:szCs w:val="24"/>
          <w:highlight w:val="none"/>
        </w:rPr>
        <w:t>所造成的损失以及发生的一切费用均由</w:t>
      </w:r>
      <w:r>
        <w:rPr>
          <w:rFonts w:hint="eastAsia" w:asciiTheme="minorEastAsia" w:hAnsiTheme="minorEastAsia" w:eastAsiaTheme="minorEastAsia" w:cstheme="minorEastAsia"/>
          <w:color w:val="auto"/>
          <w:sz w:val="24"/>
          <w:szCs w:val="24"/>
          <w:highlight w:val="none"/>
          <w:lang w:eastAsia="zh-CN"/>
        </w:rPr>
        <w:t>承包人</w:t>
      </w:r>
      <w:r>
        <w:rPr>
          <w:rFonts w:hint="eastAsia" w:asciiTheme="minorEastAsia" w:hAnsiTheme="minorEastAsia" w:eastAsiaTheme="minorEastAsia" w:cstheme="minorEastAsia"/>
          <w:color w:val="auto"/>
          <w:sz w:val="24"/>
          <w:szCs w:val="24"/>
          <w:highlight w:val="none"/>
        </w:rPr>
        <w:t>承担。</w:t>
      </w:r>
    </w:p>
    <w:p w14:paraId="1BE3407A">
      <w:pPr>
        <w:spacing w:line="360" w:lineRule="auto"/>
        <w:ind w:firstLine="480" w:firstLineChars="20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五、甲乙双方人员赠送、贿赂、接受或索要钱物，如果一方发生，另一方当事人应立即报告本单位领导和纪检监察机关或向检察机关举报。对不主动报告情况的有关人员，一经查出，视情节轻重给予党纪、政纪处分直至追究刑事责任。</w:t>
      </w:r>
    </w:p>
    <w:p w14:paraId="5D75557E">
      <w:pPr>
        <w:spacing w:line="360" w:lineRule="auto"/>
        <w:ind w:firstLine="480" w:firstLineChars="20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六、甲乙双方领导干部或法人代表要严格履行&lt;&lt;工程廉政合同&gt;&gt;，如有违反，对主要领导或法人代表要依法按有关规定进行处理。</w:t>
      </w:r>
    </w:p>
    <w:p w14:paraId="0A9B400A">
      <w:pPr>
        <w:spacing w:line="360" w:lineRule="auto"/>
        <w:ind w:firstLine="480" w:firstLineChars="20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七、此&lt;&lt;工程廉政合同&gt;&gt;与&lt;&lt;施工工程承包合同&gt;&gt;同时签订，一式六份，甲乙双方纪检监察机关一份，建设行政主管部门一份。</w:t>
      </w:r>
    </w:p>
    <w:p w14:paraId="1B02985C">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八、此合同自双方签章后即生效。</w:t>
      </w:r>
    </w:p>
    <w:p w14:paraId="1E8B6334">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发包人</w:t>
      </w:r>
      <w:r>
        <w:rPr>
          <w:rFonts w:hint="eastAsia" w:asciiTheme="minorEastAsia" w:hAnsiTheme="minorEastAsia" w:eastAsiaTheme="minorEastAsia" w:cstheme="minorEastAsia"/>
          <w:color w:val="auto"/>
          <w:sz w:val="24"/>
          <w:szCs w:val="24"/>
          <w:highlight w:val="none"/>
        </w:rPr>
        <w:t xml:space="preserve">单位(印章)            </w:t>
      </w:r>
      <w:r>
        <w:rPr>
          <w:rFonts w:hint="eastAsia" w:asciiTheme="minorEastAsia" w:hAnsiTheme="minorEastAsia" w:eastAsiaTheme="minorEastAsia" w:cstheme="minorEastAsia"/>
          <w:color w:val="auto"/>
          <w:sz w:val="24"/>
          <w:szCs w:val="24"/>
          <w:highlight w:val="none"/>
          <w:lang w:eastAsia="zh-CN"/>
        </w:rPr>
        <w:t>承包人</w:t>
      </w:r>
      <w:r>
        <w:rPr>
          <w:rFonts w:hint="eastAsia" w:asciiTheme="minorEastAsia" w:hAnsiTheme="minorEastAsia" w:eastAsiaTheme="minorEastAsia" w:cstheme="minorEastAsia"/>
          <w:color w:val="auto"/>
          <w:sz w:val="24"/>
          <w:szCs w:val="24"/>
          <w:highlight w:val="none"/>
        </w:rPr>
        <w:t>单位(印章)</w:t>
      </w:r>
    </w:p>
    <w:p w14:paraId="2C10061E">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负责人：（签章）          </w:t>
      </w:r>
      <w:r>
        <w:rPr>
          <w:rFonts w:hint="eastAsia" w:asciiTheme="minorEastAsia" w:hAnsiTheme="minorEastAsia" w:eastAsiaTheme="minorEastAsia" w:cstheme="minorEastAsia"/>
          <w:color w:val="auto"/>
          <w:sz w:val="24"/>
          <w:szCs w:val="24"/>
          <w:highlight w:val="none"/>
          <w:lang w:eastAsia="zh-CN"/>
        </w:rPr>
        <w:t>承包人</w:t>
      </w:r>
      <w:r>
        <w:rPr>
          <w:rFonts w:hint="eastAsia" w:asciiTheme="minorEastAsia" w:hAnsiTheme="minorEastAsia" w:eastAsiaTheme="minorEastAsia" w:cstheme="minorEastAsia"/>
          <w:color w:val="auto"/>
          <w:sz w:val="24"/>
          <w:szCs w:val="24"/>
          <w:highlight w:val="none"/>
        </w:rPr>
        <w:t>法定代表人或其委托代理人：（签章）</w:t>
      </w:r>
    </w:p>
    <w:p w14:paraId="5FB5F1B7">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签订日期：   年 月 日 </w:t>
      </w:r>
    </w:p>
    <w:p w14:paraId="0B42EAF1">
      <w:pPr>
        <w:pStyle w:val="4"/>
        <w:spacing w:line="276"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bookmarkStart w:id="468" w:name="_Toc919"/>
      <w:bookmarkStart w:id="469" w:name="_Toc104417872"/>
      <w:r>
        <w:rPr>
          <w:rFonts w:hint="eastAsia" w:asciiTheme="minorEastAsia" w:hAnsiTheme="minorEastAsia" w:eastAsiaTheme="minorEastAsia" w:cstheme="minorEastAsia"/>
          <w:color w:val="auto"/>
          <w:sz w:val="24"/>
          <w:szCs w:val="24"/>
          <w:highlight w:val="none"/>
        </w:rPr>
        <w:t>附件二：安全生产合同格式</w:t>
      </w:r>
      <w:bookmarkEnd w:id="468"/>
      <w:bookmarkEnd w:id="469"/>
    </w:p>
    <w:p w14:paraId="7954D3C8">
      <w:pPr>
        <w:spacing w:line="480" w:lineRule="auto"/>
        <w:ind w:firstLine="482" w:firstLineChars="200"/>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安全生产合同</w:t>
      </w:r>
    </w:p>
    <w:p w14:paraId="39530679">
      <w:pPr>
        <w:spacing w:line="360" w:lineRule="auto"/>
        <w:ind w:firstLine="360" w:firstLineChars="1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为在</w:t>
      </w:r>
      <w:r>
        <w:rPr>
          <w:rFonts w:hint="eastAsia" w:asciiTheme="minorEastAsia" w:hAnsiTheme="minorEastAsia" w:eastAsiaTheme="minorEastAsia" w:cstheme="minorEastAsia"/>
          <w:color w:val="auto"/>
          <w:kern w:val="28"/>
          <w:sz w:val="24"/>
          <w:szCs w:val="24"/>
          <w:highlight w:val="none"/>
          <w:u w:val="single"/>
          <w:lang w:val="en-US" w:eastAsia="zh-CN" w:bidi="en-US"/>
        </w:rPr>
        <w:t xml:space="preserve">           </w:t>
      </w:r>
      <w:r>
        <w:rPr>
          <w:rFonts w:hint="eastAsia" w:asciiTheme="minorEastAsia" w:hAnsiTheme="minorEastAsia" w:eastAsiaTheme="minorEastAsia" w:cstheme="minorEastAsia"/>
          <w:color w:val="auto"/>
          <w:sz w:val="24"/>
          <w:szCs w:val="24"/>
          <w:highlight w:val="none"/>
        </w:rPr>
        <w:t>合同的实施过程中创造安全、高效的施工环境，切实搞好本项目的安全管理工作，本项目业主</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w:t>
      </w:r>
      <w:r>
        <w:rPr>
          <w:rFonts w:hint="eastAsia" w:asciiTheme="minorEastAsia" w:hAnsiTheme="minorEastAsia" w:eastAsiaTheme="minorEastAsia" w:cstheme="minorEastAsia"/>
          <w:color w:val="auto"/>
          <w:sz w:val="24"/>
          <w:szCs w:val="24"/>
          <w:highlight w:val="none"/>
        </w:rPr>
        <w:t>以下简称“</w:t>
      </w:r>
      <w:r>
        <w:rPr>
          <w:rFonts w:hint="eastAsia" w:asciiTheme="minorEastAsia" w:hAnsiTheme="minorEastAsia" w:eastAsiaTheme="minorEastAsia" w:cstheme="minorEastAsia"/>
          <w:color w:val="auto"/>
          <w:sz w:val="24"/>
          <w:szCs w:val="24"/>
          <w:highlight w:val="none"/>
          <w:lang w:eastAsia="zh-CN"/>
        </w:rPr>
        <w:t>发包人</w:t>
      </w:r>
      <w:r>
        <w:rPr>
          <w:rFonts w:hint="eastAsia" w:asciiTheme="minorEastAsia" w:hAnsiTheme="minorEastAsia" w:eastAsiaTheme="minorEastAsia" w:cstheme="minorEastAsia"/>
          <w:color w:val="auto"/>
          <w:sz w:val="24"/>
          <w:szCs w:val="24"/>
          <w:highlight w:val="none"/>
        </w:rPr>
        <w:t xml:space="preserve">”)与建设方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(以下简称“</w:t>
      </w:r>
      <w:r>
        <w:rPr>
          <w:rFonts w:hint="eastAsia" w:asciiTheme="minorEastAsia" w:hAnsiTheme="minorEastAsia" w:eastAsiaTheme="minorEastAsia" w:cstheme="minorEastAsia"/>
          <w:color w:val="auto"/>
          <w:sz w:val="24"/>
          <w:szCs w:val="24"/>
          <w:highlight w:val="none"/>
          <w:lang w:eastAsia="zh-CN"/>
        </w:rPr>
        <w:t>承包人</w:t>
      </w:r>
      <w:r>
        <w:rPr>
          <w:rFonts w:hint="eastAsia" w:asciiTheme="minorEastAsia" w:hAnsiTheme="minorEastAsia" w:eastAsiaTheme="minorEastAsia" w:cstheme="minorEastAsia"/>
          <w:color w:val="auto"/>
          <w:sz w:val="24"/>
          <w:szCs w:val="24"/>
          <w:highlight w:val="none"/>
        </w:rPr>
        <w:t>”)特此签订安全生产合同：</w:t>
      </w:r>
    </w:p>
    <w:p w14:paraId="5CA9CF4F">
      <w:pPr>
        <w:spacing w:line="360" w:lineRule="auto"/>
        <w:ind w:firstLine="482"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一、</w:t>
      </w:r>
      <w:r>
        <w:rPr>
          <w:rFonts w:hint="eastAsia" w:asciiTheme="minorEastAsia" w:hAnsiTheme="minorEastAsia" w:eastAsiaTheme="minorEastAsia" w:cstheme="minorEastAsia"/>
          <w:b/>
          <w:color w:val="auto"/>
          <w:sz w:val="24"/>
          <w:szCs w:val="24"/>
          <w:highlight w:val="none"/>
          <w:lang w:eastAsia="zh-CN"/>
        </w:rPr>
        <w:t>发包人</w:t>
      </w:r>
      <w:r>
        <w:rPr>
          <w:rFonts w:hint="eastAsia" w:asciiTheme="minorEastAsia" w:hAnsiTheme="minorEastAsia" w:eastAsiaTheme="minorEastAsia" w:cstheme="minorEastAsia"/>
          <w:b/>
          <w:color w:val="auto"/>
          <w:sz w:val="24"/>
          <w:szCs w:val="24"/>
          <w:highlight w:val="none"/>
        </w:rPr>
        <w:t>职责</w:t>
      </w:r>
    </w:p>
    <w:p w14:paraId="1938B4A4">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1．严格遵守国家有关安全生产的法律法规，认真执行工程承包合同中的有关安全要求。</w:t>
      </w:r>
    </w:p>
    <w:p w14:paraId="58ED5AAB">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2．按照“安全第一、预防为主”和坚持“管生产必须管安全”的原则进行安全生产管理，做到生产与安全工作同时计划、布置、检查、总结和评比。</w:t>
      </w:r>
    </w:p>
    <w:p w14:paraId="2BEF45BF">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3．重要的安全设施必须坚持与主体工程“三同时”的原则，即：同时设计、审批，同时施工，同时验收，投入使用。</w:t>
      </w:r>
    </w:p>
    <w:p w14:paraId="113749E8">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4．定期召开安全生产调度会，及时传达有关安全生产的精神。</w:t>
      </w:r>
    </w:p>
    <w:p w14:paraId="1D1E9813">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5．组织对</w:t>
      </w:r>
      <w:r>
        <w:rPr>
          <w:rFonts w:hint="eastAsia" w:asciiTheme="minorEastAsia" w:hAnsiTheme="minorEastAsia" w:eastAsiaTheme="minorEastAsia" w:cstheme="minorEastAsia"/>
          <w:color w:val="auto"/>
          <w:sz w:val="24"/>
          <w:szCs w:val="24"/>
          <w:highlight w:val="none"/>
          <w:lang w:eastAsia="zh-CN"/>
        </w:rPr>
        <w:t>承包人</w:t>
      </w:r>
      <w:r>
        <w:rPr>
          <w:rFonts w:hint="eastAsia" w:asciiTheme="minorEastAsia" w:hAnsiTheme="minorEastAsia" w:eastAsiaTheme="minorEastAsia" w:cstheme="minorEastAsia"/>
          <w:color w:val="auto"/>
          <w:sz w:val="24"/>
          <w:szCs w:val="24"/>
          <w:highlight w:val="none"/>
        </w:rPr>
        <w:t>施工现场安全生产检查，监督</w:t>
      </w:r>
      <w:r>
        <w:rPr>
          <w:rFonts w:hint="eastAsia" w:asciiTheme="minorEastAsia" w:hAnsiTheme="minorEastAsia" w:eastAsiaTheme="minorEastAsia" w:cstheme="minorEastAsia"/>
          <w:color w:val="auto"/>
          <w:sz w:val="24"/>
          <w:szCs w:val="24"/>
          <w:highlight w:val="none"/>
          <w:lang w:eastAsia="zh-CN"/>
        </w:rPr>
        <w:t>承包人</w:t>
      </w:r>
      <w:r>
        <w:rPr>
          <w:rFonts w:hint="eastAsia" w:asciiTheme="minorEastAsia" w:hAnsiTheme="minorEastAsia" w:eastAsiaTheme="minorEastAsia" w:cstheme="minorEastAsia"/>
          <w:color w:val="auto"/>
          <w:sz w:val="24"/>
          <w:szCs w:val="24"/>
          <w:highlight w:val="none"/>
        </w:rPr>
        <w:t>及时处理发现的各种安全隐患。</w:t>
      </w:r>
    </w:p>
    <w:p w14:paraId="529E213C">
      <w:pPr>
        <w:spacing w:line="360" w:lineRule="auto"/>
        <w:ind w:firstLine="482"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w:t>
      </w:r>
      <w:r>
        <w:rPr>
          <w:rFonts w:hint="eastAsia" w:asciiTheme="minorEastAsia" w:hAnsiTheme="minorEastAsia" w:eastAsiaTheme="minorEastAsia" w:cstheme="minorEastAsia"/>
          <w:b/>
          <w:color w:val="auto"/>
          <w:sz w:val="24"/>
          <w:szCs w:val="24"/>
          <w:highlight w:val="none"/>
          <w:lang w:eastAsia="zh-CN"/>
        </w:rPr>
        <w:t>承包人</w:t>
      </w:r>
      <w:r>
        <w:rPr>
          <w:rFonts w:hint="eastAsia" w:asciiTheme="minorEastAsia" w:hAnsiTheme="minorEastAsia" w:eastAsiaTheme="minorEastAsia" w:cstheme="minorEastAsia"/>
          <w:b/>
          <w:color w:val="auto"/>
          <w:sz w:val="24"/>
          <w:szCs w:val="24"/>
          <w:highlight w:val="none"/>
        </w:rPr>
        <w:t>职责</w:t>
      </w:r>
    </w:p>
    <w:p w14:paraId="1D21020B">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1.严格遵守国家有关安全生产的法律法规及有关安全生产的规定，认真执行工程承包合同中的有关安全要求。</w:t>
      </w:r>
    </w:p>
    <w:p w14:paraId="7056F977">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725EFAA0">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p>
    <w:p w14:paraId="5FB58097">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sz w:val="24"/>
          <w:szCs w:val="24"/>
          <w:highlight w:val="none"/>
          <w:lang w:eastAsia="zh-CN"/>
        </w:rPr>
        <w:t>承包人</w:t>
      </w:r>
      <w:r>
        <w:rPr>
          <w:rFonts w:hint="eastAsia" w:asciiTheme="minorEastAsia" w:hAnsiTheme="minorEastAsia" w:eastAsiaTheme="minorEastAsia" w:cstheme="minorEastAsia"/>
          <w:color w:val="auto"/>
          <w:sz w:val="24"/>
          <w:szCs w:val="24"/>
          <w:highlight w:val="none"/>
        </w:rPr>
        <w:t>在任何时候都应采取各种合理的预防措施，防止其员工发生任何违法、违禁、暴力或妨碍治安的行为。</w:t>
      </w:r>
    </w:p>
    <w:p w14:paraId="147B29A7">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r>
        <w:rPr>
          <w:rFonts w:hint="eastAsia" w:asciiTheme="minorEastAsia" w:hAnsiTheme="minorEastAsia" w:eastAsiaTheme="minorEastAsia" w:cstheme="minorEastAsia"/>
          <w:color w:val="auto"/>
          <w:sz w:val="24"/>
          <w:szCs w:val="24"/>
          <w:highlight w:val="none"/>
          <w:lang w:eastAsia="zh-CN"/>
        </w:rPr>
        <w:t>承包人</w:t>
      </w:r>
      <w:r>
        <w:rPr>
          <w:rFonts w:hint="eastAsia" w:asciiTheme="minorEastAsia" w:hAnsiTheme="minorEastAsia" w:eastAsiaTheme="minorEastAsia" w:cstheme="minorEastAsia"/>
          <w:color w:val="auto"/>
          <w:sz w:val="24"/>
          <w:szCs w:val="24"/>
          <w:highlight w:val="none"/>
        </w:rPr>
        <w:t>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6B82246C">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6.对于易燃易爆的材料除应专门妥善保管之外，还应配备有足够的消防设施，所有施工人员都应熟悉消防设备的性能和使用方法；</w:t>
      </w:r>
      <w:r>
        <w:rPr>
          <w:rFonts w:hint="eastAsia" w:asciiTheme="minorEastAsia" w:hAnsiTheme="minorEastAsia" w:eastAsiaTheme="minorEastAsia" w:cstheme="minorEastAsia"/>
          <w:color w:val="auto"/>
          <w:sz w:val="24"/>
          <w:szCs w:val="24"/>
          <w:highlight w:val="none"/>
          <w:lang w:eastAsia="zh-CN"/>
        </w:rPr>
        <w:t>承包人</w:t>
      </w:r>
      <w:r>
        <w:rPr>
          <w:rFonts w:hint="eastAsia" w:asciiTheme="minorEastAsia" w:hAnsiTheme="minorEastAsia" w:eastAsiaTheme="minorEastAsia" w:cstheme="minorEastAsia"/>
          <w:color w:val="auto"/>
          <w:sz w:val="24"/>
          <w:szCs w:val="24"/>
          <w:highlight w:val="none"/>
        </w:rPr>
        <w:t>不得将任何种类的爆炸物给予、易货或以其他方式转让给任何其他人，或允许、容忍上述同样行为。</w:t>
      </w:r>
    </w:p>
    <w:p w14:paraId="797AC881">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7.操作人员上岗，必须按规定穿戴防护用品。施工负责人和安全检查员应随时检查劳动防护用品的穿戴情况，不按规定穿戴防护用品的人员不得上岗。</w:t>
      </w:r>
    </w:p>
    <w:p w14:paraId="5CDBFB92">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8．所有施工机具设备和高空作业的设备均应定期检查，并有安全员的签字记录，保证其经常处于完好状态；不合格的机具、设备和劳动保护用品严禁使用。</w:t>
      </w:r>
    </w:p>
    <w:p w14:paraId="125681E2">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9．施工中采用新技术、新工艺、新设备、新材料时，必须制定相应的安全技术措施，施工现场必须具有相关的安全标志牌。</w:t>
      </w:r>
    </w:p>
    <w:p w14:paraId="77F38B45">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w:t>
      </w:r>
      <w:r>
        <w:rPr>
          <w:rFonts w:hint="eastAsia" w:asciiTheme="minorEastAsia" w:hAnsiTheme="minorEastAsia" w:eastAsiaTheme="minorEastAsia" w:cstheme="minorEastAsia"/>
          <w:color w:val="auto"/>
          <w:sz w:val="24"/>
          <w:szCs w:val="24"/>
          <w:highlight w:val="none"/>
          <w:lang w:eastAsia="zh-CN"/>
        </w:rPr>
        <w:t>承包人</w:t>
      </w:r>
      <w:r>
        <w:rPr>
          <w:rFonts w:hint="eastAsia" w:asciiTheme="minorEastAsia" w:hAnsiTheme="minorEastAsia" w:eastAsiaTheme="minorEastAsia" w:cstheme="minorEastAsia"/>
          <w:color w:val="auto"/>
          <w:sz w:val="24"/>
          <w:szCs w:val="24"/>
          <w:highlight w:val="none"/>
        </w:rPr>
        <w:t>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14:paraId="7F840EA7">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11．工程建设施工期间发生任何安全责任事故，致使施工人员、业主或其他第三人的人身、财产受到损害，</w:t>
      </w:r>
      <w:r>
        <w:rPr>
          <w:rFonts w:hint="eastAsia" w:asciiTheme="minorEastAsia" w:hAnsiTheme="minorEastAsia" w:eastAsiaTheme="minorEastAsia" w:cstheme="minorEastAsia"/>
          <w:color w:val="auto"/>
          <w:sz w:val="24"/>
          <w:szCs w:val="24"/>
          <w:highlight w:val="none"/>
          <w:lang w:eastAsia="zh-CN"/>
        </w:rPr>
        <w:t>承包人</w:t>
      </w:r>
      <w:r>
        <w:rPr>
          <w:rFonts w:hint="eastAsia" w:asciiTheme="minorEastAsia" w:hAnsiTheme="minorEastAsia" w:eastAsiaTheme="minorEastAsia" w:cstheme="minorEastAsia"/>
          <w:color w:val="auto"/>
          <w:sz w:val="24"/>
          <w:szCs w:val="24"/>
          <w:highlight w:val="none"/>
        </w:rPr>
        <w:t>自愿承担一切责任。</w:t>
      </w:r>
    </w:p>
    <w:p w14:paraId="453476FC">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本合同一式六份，</w:t>
      </w:r>
      <w:r>
        <w:rPr>
          <w:rFonts w:hint="eastAsia" w:asciiTheme="minorEastAsia" w:hAnsiTheme="minorEastAsia" w:eastAsiaTheme="minorEastAsia" w:cstheme="minorEastAsia"/>
          <w:color w:val="auto"/>
          <w:sz w:val="24"/>
          <w:szCs w:val="24"/>
          <w:highlight w:val="none"/>
          <w:lang w:eastAsia="zh-CN"/>
        </w:rPr>
        <w:t>发包人</w:t>
      </w:r>
      <w:r>
        <w:rPr>
          <w:rFonts w:hint="eastAsia" w:asciiTheme="minorEastAsia" w:hAnsiTheme="minorEastAsia" w:eastAsiaTheme="minorEastAsia" w:cstheme="minorEastAsia"/>
          <w:color w:val="auto"/>
          <w:sz w:val="24"/>
          <w:szCs w:val="24"/>
          <w:highlight w:val="none"/>
        </w:rPr>
        <w:t>执四份、</w:t>
      </w:r>
      <w:r>
        <w:rPr>
          <w:rFonts w:hint="eastAsia" w:asciiTheme="minorEastAsia" w:hAnsiTheme="minorEastAsia" w:eastAsiaTheme="minorEastAsia" w:cstheme="minorEastAsia"/>
          <w:color w:val="auto"/>
          <w:sz w:val="24"/>
          <w:szCs w:val="24"/>
          <w:highlight w:val="none"/>
          <w:lang w:eastAsia="zh-CN"/>
        </w:rPr>
        <w:t>承包人</w:t>
      </w:r>
      <w:r>
        <w:rPr>
          <w:rFonts w:hint="eastAsia" w:asciiTheme="minorEastAsia" w:hAnsiTheme="minorEastAsia" w:eastAsiaTheme="minorEastAsia" w:cstheme="minorEastAsia"/>
          <w:color w:val="auto"/>
          <w:sz w:val="24"/>
          <w:szCs w:val="24"/>
          <w:highlight w:val="none"/>
        </w:rPr>
        <w:t>执二份。由双方法定代表人或其授权的代理人签署与加盖公章或合同专用章后生效，全部工程竣工验收后失效。</w:t>
      </w:r>
    </w:p>
    <w:p w14:paraId="6A95622E">
      <w:pPr>
        <w:spacing w:line="360" w:lineRule="auto"/>
        <w:ind w:firstLine="200"/>
        <w:rPr>
          <w:rFonts w:hint="eastAsia" w:asciiTheme="minorEastAsia" w:hAnsiTheme="minorEastAsia" w:eastAsiaTheme="minorEastAsia" w:cstheme="minorEastAsia"/>
          <w:color w:val="auto"/>
          <w:sz w:val="24"/>
          <w:szCs w:val="24"/>
          <w:highlight w:val="none"/>
        </w:rPr>
      </w:pPr>
    </w:p>
    <w:p w14:paraId="39445B5B">
      <w:pPr>
        <w:spacing w:line="360" w:lineRule="auto"/>
        <w:ind w:firstLine="480" w:firstLineChars="2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lang w:eastAsia="zh-CN"/>
        </w:rPr>
        <w:t>发包人</w:t>
      </w:r>
      <w:r>
        <w:rPr>
          <w:rFonts w:hint="eastAsia" w:asciiTheme="minorEastAsia" w:hAnsiTheme="minorEastAsia" w:eastAsiaTheme="minorEastAsia" w:cstheme="minorEastAsia"/>
          <w:color w:val="auto"/>
          <w:sz w:val="24"/>
          <w:szCs w:val="24"/>
          <w:highlight w:val="none"/>
        </w:rPr>
        <w:t xml:space="preserve">：  (印章)             </w:t>
      </w:r>
      <w:r>
        <w:rPr>
          <w:rFonts w:hint="eastAsia" w:asciiTheme="minorEastAsia" w:hAnsiTheme="minorEastAsia" w:eastAsiaTheme="minorEastAsia" w:cstheme="minorEastAsia"/>
          <w:color w:val="auto"/>
          <w:sz w:val="24"/>
          <w:szCs w:val="24"/>
          <w:highlight w:val="none"/>
          <w:lang w:eastAsia="zh-CN"/>
        </w:rPr>
        <w:t>承包人</w:t>
      </w:r>
      <w:r>
        <w:rPr>
          <w:rFonts w:hint="eastAsia" w:asciiTheme="minorEastAsia" w:hAnsiTheme="minorEastAsia" w:eastAsiaTheme="minorEastAsia" w:cstheme="minorEastAsia"/>
          <w:color w:val="auto"/>
          <w:sz w:val="24"/>
          <w:szCs w:val="24"/>
          <w:highlight w:val="none"/>
        </w:rPr>
        <w:t xml:space="preserve">：  (印章)                                 </w:t>
      </w:r>
    </w:p>
    <w:p w14:paraId="42ACC083">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负责人：（签章）           法定代表人或其委托代理人：（签章）</w:t>
      </w:r>
    </w:p>
    <w:p w14:paraId="41FB56AD">
      <w:pPr>
        <w:spacing w:line="360" w:lineRule="auto"/>
        <w:ind w:firstLine="480" w:firstLineChars="200"/>
        <w:rPr>
          <w:rFonts w:hint="eastAsia" w:asciiTheme="minorEastAsia" w:hAnsiTheme="minorEastAsia" w:eastAsiaTheme="minorEastAsia" w:cstheme="minorEastAsia"/>
          <w:color w:val="auto"/>
          <w:sz w:val="24"/>
          <w:szCs w:val="24"/>
          <w:highlight w:val="none"/>
        </w:rPr>
      </w:pPr>
    </w:p>
    <w:p w14:paraId="04108350">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签订日期：    年 月  日</w:t>
      </w:r>
    </w:p>
    <w:p w14:paraId="0C67070E">
      <w:pPr>
        <w:pStyle w:val="4"/>
        <w:spacing w:line="276" w:lineRule="auto"/>
        <w:jc w:val="left"/>
        <w:rPr>
          <w:rFonts w:hint="eastAsia" w:asciiTheme="minorEastAsia" w:hAnsiTheme="minorEastAsia" w:eastAsiaTheme="minorEastAsia" w:cstheme="minorEastAsia"/>
          <w:bCs w:val="0"/>
          <w:color w:val="auto"/>
          <w:sz w:val="24"/>
          <w:szCs w:val="24"/>
          <w:highlight w:val="none"/>
        </w:rPr>
      </w:pPr>
      <w:r>
        <w:rPr>
          <w:rFonts w:hint="eastAsia" w:asciiTheme="minorEastAsia" w:hAnsiTheme="minorEastAsia" w:eastAsiaTheme="minorEastAsia" w:cstheme="minorEastAsia"/>
          <w:bCs w:val="0"/>
          <w:color w:val="auto"/>
          <w:sz w:val="24"/>
          <w:szCs w:val="24"/>
          <w:highlight w:val="none"/>
        </w:rPr>
        <w:br w:type="page"/>
      </w:r>
      <w:bookmarkStart w:id="470" w:name="_Toc9137"/>
      <w:bookmarkStart w:id="471" w:name="_Toc104417873"/>
      <w:r>
        <w:rPr>
          <w:rFonts w:hint="eastAsia" w:asciiTheme="minorEastAsia" w:hAnsiTheme="minorEastAsia" w:eastAsiaTheme="minorEastAsia" w:cstheme="minorEastAsia"/>
          <w:color w:val="auto"/>
          <w:sz w:val="24"/>
          <w:szCs w:val="24"/>
          <w:highlight w:val="none"/>
        </w:rPr>
        <w:t>附件三：工程质量保修书格式</w:t>
      </w:r>
      <w:bookmarkEnd w:id="470"/>
      <w:bookmarkEnd w:id="471"/>
    </w:p>
    <w:p w14:paraId="25A3CA1A">
      <w:pPr>
        <w:spacing w:line="480" w:lineRule="auto"/>
        <w:ind w:firstLine="482" w:firstLineChars="200"/>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工程质量保修书</w:t>
      </w:r>
    </w:p>
    <w:p w14:paraId="35F7D355">
      <w:p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发包人（全称）：</w:t>
      </w:r>
      <w:r>
        <w:rPr>
          <w:rFonts w:hint="eastAsia" w:asciiTheme="minorEastAsia" w:hAnsiTheme="minorEastAsia" w:eastAsiaTheme="minorEastAsia" w:cstheme="minorEastAsia"/>
          <w:color w:val="auto"/>
          <w:sz w:val="24"/>
          <w:szCs w:val="24"/>
          <w:highlight w:val="none"/>
          <w:u w:val="single"/>
          <w:lang w:val="en-US" w:eastAsia="zh-CN"/>
        </w:rPr>
        <w:t xml:space="preserve">                             </w:t>
      </w:r>
    </w:p>
    <w:p w14:paraId="3D87B681">
      <w:pPr>
        <w:spacing w:line="360"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承包人（全称）：</w:t>
      </w:r>
      <w:r>
        <w:rPr>
          <w:rFonts w:hint="eastAsia" w:asciiTheme="minorEastAsia" w:hAnsiTheme="minorEastAsia" w:eastAsiaTheme="minorEastAsia" w:cstheme="minorEastAsia"/>
          <w:color w:val="auto"/>
          <w:sz w:val="24"/>
          <w:szCs w:val="24"/>
          <w:highlight w:val="none"/>
          <w:u w:val="single"/>
        </w:rPr>
        <w:t xml:space="preserve">                             </w:t>
      </w:r>
    </w:p>
    <w:p w14:paraId="7935B333">
      <w:pPr>
        <w:spacing w:line="360" w:lineRule="auto"/>
        <w:ind w:firstLine="482" w:firstLineChars="200"/>
        <w:rPr>
          <w:rFonts w:hint="eastAsia" w:asciiTheme="minorEastAsia" w:hAnsiTheme="minorEastAsia" w:eastAsiaTheme="minorEastAsia" w:cstheme="minorEastAsia"/>
          <w:b/>
          <w:color w:val="auto"/>
          <w:sz w:val="24"/>
          <w:szCs w:val="24"/>
          <w:highlight w:val="none"/>
          <w:u w:val="single"/>
        </w:rPr>
      </w:pPr>
    </w:p>
    <w:p w14:paraId="669C06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发包人和承包人根据《中华人民共和国建筑法》和《建设工程质量管理条例》，经协商一致就</w:t>
      </w:r>
      <w:r>
        <w:rPr>
          <w:rFonts w:hint="eastAsia" w:asciiTheme="minorEastAsia" w:hAnsiTheme="minorEastAsia" w:eastAsiaTheme="minorEastAsia" w:cstheme="minorEastAsia"/>
          <w:color w:val="auto"/>
          <w:kern w:val="28"/>
          <w:sz w:val="24"/>
          <w:szCs w:val="24"/>
          <w:highlight w:val="none"/>
          <w:u w:val="single"/>
          <w:lang w:val="en-US" w:eastAsia="zh-CN" w:bidi="en-US"/>
        </w:rPr>
        <w:t xml:space="preserve">             </w:t>
      </w:r>
      <w:r>
        <w:rPr>
          <w:rFonts w:hint="eastAsia" w:asciiTheme="minorEastAsia" w:hAnsiTheme="minorEastAsia" w:eastAsiaTheme="minorEastAsia" w:cstheme="minorEastAsia"/>
          <w:color w:val="auto"/>
          <w:sz w:val="24"/>
          <w:szCs w:val="24"/>
          <w:highlight w:val="none"/>
        </w:rPr>
        <w:t>签订工程质量保修书。</w:t>
      </w:r>
    </w:p>
    <w:p w14:paraId="62C1FFF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2"/>
          <w:sz w:val="24"/>
          <w:szCs w:val="24"/>
          <w:highlight w:val="none"/>
          <w:lang w:val="en-US" w:eastAsia="zh-CN" w:bidi="ar-SA"/>
        </w:rPr>
        <w:t>一、</w:t>
      </w:r>
      <w:r>
        <w:rPr>
          <w:rFonts w:hint="eastAsia" w:asciiTheme="minorEastAsia" w:hAnsiTheme="minorEastAsia" w:eastAsiaTheme="minorEastAsia" w:cstheme="minorEastAsia"/>
          <w:color w:val="auto"/>
          <w:sz w:val="24"/>
          <w:szCs w:val="24"/>
          <w:highlight w:val="none"/>
        </w:rPr>
        <w:t>工程质量保修范围和内容</w:t>
      </w:r>
    </w:p>
    <w:p w14:paraId="312E73D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承包人在质量保修期内，按照有关法律规定和合同约定，承担工程质量保修责任。</w:t>
      </w:r>
    </w:p>
    <w:p w14:paraId="46786E2A">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质量保修范围包括地基基础工程、主体结构工程，屋面防水工程、有防水要求的卫生间、房间和外墙面的防渗漏，供热与供冷系统，电气管线、给排水管道、设备安装和</w:t>
      </w:r>
      <w:r>
        <w:rPr>
          <w:rFonts w:hint="eastAsia" w:asciiTheme="minorEastAsia" w:hAnsiTheme="minorEastAsia" w:eastAsiaTheme="minorEastAsia" w:cstheme="minorEastAsia"/>
          <w:color w:val="auto"/>
          <w:sz w:val="24"/>
          <w:szCs w:val="24"/>
          <w:highlight w:val="none"/>
          <w:lang w:eastAsia="zh-CN"/>
        </w:rPr>
        <w:t>市政</w:t>
      </w:r>
      <w:r>
        <w:rPr>
          <w:rFonts w:hint="eastAsia" w:asciiTheme="minorEastAsia" w:hAnsiTheme="minorEastAsia" w:eastAsiaTheme="minorEastAsia" w:cstheme="minorEastAsia"/>
          <w:color w:val="auto"/>
          <w:sz w:val="24"/>
          <w:szCs w:val="24"/>
          <w:highlight w:val="none"/>
        </w:rPr>
        <w:t>工程，以及双方约定的其他项目。具体保修的内容，双方约定如下：</w:t>
      </w:r>
      <w:r>
        <w:rPr>
          <w:rFonts w:hint="eastAsia" w:asciiTheme="minorEastAsia" w:hAnsiTheme="minorEastAsia" w:eastAsiaTheme="minorEastAsia" w:cstheme="minorEastAsia"/>
          <w:color w:val="auto"/>
          <w:sz w:val="24"/>
          <w:szCs w:val="24"/>
          <w:highlight w:val="none"/>
          <w:u w:val="single"/>
        </w:rPr>
        <w:t>按施工图纸、工程量清单范围</w:t>
      </w:r>
      <w:r>
        <w:rPr>
          <w:rFonts w:hint="eastAsia" w:asciiTheme="minorEastAsia" w:hAnsiTheme="minorEastAsia" w:eastAsiaTheme="minorEastAsia" w:cstheme="minorEastAsia"/>
          <w:color w:val="auto"/>
          <w:sz w:val="24"/>
          <w:szCs w:val="24"/>
          <w:highlight w:val="none"/>
        </w:rPr>
        <w:t>。</w:t>
      </w:r>
    </w:p>
    <w:p w14:paraId="2C64EEF6">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二、质量保修期</w:t>
      </w:r>
    </w:p>
    <w:p w14:paraId="0899F169">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根据《建设工程质量管理条例》及有关规定，工程的质量保修期如下：</w:t>
      </w:r>
    </w:p>
    <w:p w14:paraId="1FA1F160">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基础设施工程、房屋建筑的地基基础工程和主体结构工程，为设计文件规定的该工程的合理使用年限；</w:t>
      </w:r>
    </w:p>
    <w:p w14:paraId="65D42838">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屋面防水工程、有防水要求的卫生间、房间和外墙面的防渗漏，为5年；</w:t>
      </w:r>
    </w:p>
    <w:p w14:paraId="720BDC4A">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供热与供冷系统，为2个采暖期、供冷期；</w:t>
      </w:r>
    </w:p>
    <w:p w14:paraId="615C4ECA">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电气管线、给排水管道、设备安装和装修工程，为2年。；</w:t>
      </w:r>
    </w:p>
    <w:p w14:paraId="3D5B04EA">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其他项目保修期限约定如下：</w:t>
      </w:r>
      <w:r>
        <w:rPr>
          <w:rFonts w:hint="eastAsia" w:asciiTheme="minorEastAsia" w:hAnsiTheme="minorEastAsia" w:eastAsiaTheme="minorEastAsia" w:cstheme="minorEastAsia"/>
          <w:color w:val="auto"/>
          <w:sz w:val="24"/>
          <w:szCs w:val="24"/>
          <w:highlight w:val="none"/>
          <w:u w:val="single"/>
        </w:rPr>
        <w:t>按工程验收规范</w:t>
      </w:r>
      <w:r>
        <w:rPr>
          <w:rFonts w:hint="eastAsia" w:asciiTheme="minorEastAsia" w:hAnsiTheme="minorEastAsia" w:eastAsiaTheme="minorEastAsia" w:cstheme="minorEastAsia"/>
          <w:color w:val="auto"/>
          <w:sz w:val="24"/>
          <w:szCs w:val="24"/>
          <w:highlight w:val="none"/>
        </w:rPr>
        <w:t>。</w:t>
      </w:r>
    </w:p>
    <w:p w14:paraId="52DB4E3E">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质量保修期自工程竣工验收合格之日起计算。</w:t>
      </w:r>
    </w:p>
    <w:p w14:paraId="52115DA3">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三、缺陷责任期</w:t>
      </w:r>
    </w:p>
    <w:p w14:paraId="5DE12BEA">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工程缺陷责任期为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个月，缺陷责任期自工程竣工验收合格之日起计算。单位工程先于全部工程进行验收，单位工程缺陷责任期自单位工程验收合格之日起算。</w:t>
      </w:r>
    </w:p>
    <w:p w14:paraId="16C31673">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缺陷责任期终止后，发包人应退还剩余的质量保证金。</w:t>
      </w:r>
    </w:p>
    <w:p w14:paraId="7D3EE874">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四、质量保修责任</w:t>
      </w:r>
    </w:p>
    <w:p w14:paraId="0075B23E">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1．属于保修范围、内容的项目，承包人应当在接到保修通知之日起7天内派人保修。承包人不在约定期限内派人保修的，发包人可以委托他人修理。</w:t>
      </w:r>
    </w:p>
    <w:p w14:paraId="11BC53A5">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2．发生紧急事故需抢修的，承包人在接到事故通知后，应当立即到达事故现场抢修。</w:t>
      </w:r>
    </w:p>
    <w:p w14:paraId="15EF1578">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88CA40C">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4．质量保修完成后，由发包人组织验收。</w:t>
      </w:r>
    </w:p>
    <w:p w14:paraId="74CACE89">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五、保修费用</w:t>
      </w:r>
    </w:p>
    <w:p w14:paraId="4F2C4EF0">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保修费用由造成质量缺陷的责任方承担。</w:t>
      </w:r>
    </w:p>
    <w:p w14:paraId="4F528274">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六、</w:t>
      </w:r>
      <w:r>
        <w:rPr>
          <w:rFonts w:hint="eastAsia" w:asciiTheme="minorEastAsia" w:hAnsiTheme="minorEastAsia" w:eastAsiaTheme="minorEastAsia" w:cstheme="minorEastAsia"/>
          <w:color w:val="auto"/>
          <w:sz w:val="24"/>
          <w:szCs w:val="24"/>
          <w:highlight w:val="none"/>
        </w:rPr>
        <w:t>双方约定的其他工程质量保修事项：</w:t>
      </w:r>
      <w:r>
        <w:rPr>
          <w:rFonts w:hint="eastAsia" w:asciiTheme="minorEastAsia" w:hAnsiTheme="minorEastAsia" w:eastAsiaTheme="minorEastAsia" w:cstheme="minorEastAsia"/>
          <w:color w:val="auto"/>
          <w:sz w:val="24"/>
          <w:szCs w:val="24"/>
          <w:highlight w:val="none"/>
          <w:u w:val="single"/>
        </w:rPr>
        <w:t>无</w:t>
      </w:r>
      <w:r>
        <w:rPr>
          <w:rFonts w:hint="eastAsia" w:asciiTheme="minorEastAsia" w:hAnsiTheme="minorEastAsia" w:eastAsiaTheme="minorEastAsia" w:cstheme="minorEastAsia"/>
          <w:color w:val="auto"/>
          <w:sz w:val="24"/>
          <w:szCs w:val="24"/>
          <w:highlight w:val="none"/>
        </w:rPr>
        <w:t>。</w:t>
      </w:r>
    </w:p>
    <w:p w14:paraId="68996FB7">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工程质量保修书由发包人、承包人在工程竣工验收前共同签署，作为施工合同附件，其有效期限至保修期满。</w:t>
      </w:r>
    </w:p>
    <w:p w14:paraId="366196D3">
      <w:pPr>
        <w:spacing w:line="360" w:lineRule="auto"/>
        <w:ind w:firstLine="480" w:firstLineChars="200"/>
        <w:rPr>
          <w:rFonts w:hint="eastAsia" w:asciiTheme="minorEastAsia" w:hAnsiTheme="minorEastAsia" w:eastAsiaTheme="minorEastAsia" w:cstheme="minorEastAsia"/>
          <w:color w:val="auto"/>
          <w:sz w:val="24"/>
          <w:szCs w:val="24"/>
          <w:highlight w:val="none"/>
        </w:rPr>
      </w:pPr>
    </w:p>
    <w:p w14:paraId="01638FC0">
      <w:pPr>
        <w:spacing w:line="360" w:lineRule="auto"/>
        <w:ind w:firstLine="480" w:firstLineChars="200"/>
        <w:rPr>
          <w:rFonts w:hint="eastAsia" w:asciiTheme="minorEastAsia" w:hAnsiTheme="minorEastAsia" w:eastAsiaTheme="minorEastAsia" w:cstheme="minorEastAsia"/>
          <w:color w:val="auto"/>
          <w:sz w:val="24"/>
          <w:szCs w:val="24"/>
          <w:highlight w:val="none"/>
        </w:rPr>
      </w:pPr>
    </w:p>
    <w:p w14:paraId="66AE7DF7">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发包人(印章)：              承包人(印章)：</w:t>
      </w:r>
    </w:p>
    <w:p w14:paraId="278E2CD7">
      <w:pPr>
        <w:spacing w:line="360" w:lineRule="auto"/>
        <w:ind w:firstLine="480" w:firstLineChars="200"/>
        <w:rPr>
          <w:rFonts w:hint="eastAsia" w:asciiTheme="minorEastAsia" w:hAnsiTheme="minorEastAsia" w:eastAsiaTheme="minorEastAsia" w:cstheme="minorEastAsia"/>
          <w:color w:val="auto"/>
          <w:sz w:val="24"/>
          <w:szCs w:val="24"/>
          <w:highlight w:val="none"/>
        </w:rPr>
      </w:pPr>
    </w:p>
    <w:p w14:paraId="07E52EC9">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负责人：（签章）            法定代表人或其委托代理人：（签章）</w:t>
      </w:r>
    </w:p>
    <w:p w14:paraId="37F53623">
      <w:pPr>
        <w:spacing w:line="360" w:lineRule="auto"/>
        <w:ind w:firstLine="480" w:firstLineChars="200"/>
        <w:rPr>
          <w:rFonts w:hint="eastAsia" w:asciiTheme="minorEastAsia" w:hAnsiTheme="minorEastAsia" w:eastAsiaTheme="minorEastAsia" w:cstheme="minorEastAsia"/>
          <w:color w:val="auto"/>
          <w:sz w:val="24"/>
          <w:szCs w:val="24"/>
          <w:highlight w:val="none"/>
        </w:rPr>
      </w:pPr>
    </w:p>
    <w:p w14:paraId="05402463">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签订日期：   年  月  日</w:t>
      </w:r>
    </w:p>
    <w:p w14:paraId="06175C44">
      <w:pPr>
        <w:pStyle w:val="40"/>
        <w:shd w:val="clear"/>
        <w:snapToGrid w:val="0"/>
        <w:spacing w:afterLines="50"/>
        <w:jc w:val="center"/>
        <w:rPr>
          <w:rFonts w:hAnsi="宋体" w:cs="宋体"/>
          <w:color w:val="auto"/>
          <w:sz w:val="24"/>
          <w:szCs w:val="24"/>
          <w:highlight w:val="none"/>
        </w:rPr>
      </w:pPr>
    </w:p>
    <w:p w14:paraId="600EC86F">
      <w:pPr>
        <w:pStyle w:val="40"/>
        <w:shd w:val="clear"/>
        <w:snapToGrid w:val="0"/>
        <w:spacing w:afterLines="50"/>
        <w:jc w:val="center"/>
        <w:rPr>
          <w:rFonts w:hAnsi="宋体" w:cs="宋体"/>
          <w:color w:val="auto"/>
          <w:sz w:val="24"/>
          <w:szCs w:val="24"/>
          <w:highlight w:val="none"/>
        </w:rPr>
      </w:pPr>
    </w:p>
    <w:p w14:paraId="795B2C90">
      <w:pPr>
        <w:pStyle w:val="40"/>
        <w:shd w:val="clear"/>
        <w:snapToGrid w:val="0"/>
        <w:spacing w:afterLines="50"/>
        <w:jc w:val="center"/>
        <w:rPr>
          <w:rFonts w:hAnsi="宋体" w:cs="宋体"/>
          <w:color w:val="auto"/>
          <w:sz w:val="24"/>
          <w:szCs w:val="24"/>
          <w:highlight w:val="none"/>
        </w:rPr>
      </w:pPr>
    </w:p>
    <w:p w14:paraId="14DD84D5">
      <w:pPr>
        <w:pStyle w:val="40"/>
        <w:shd w:val="clear"/>
        <w:snapToGrid w:val="0"/>
        <w:spacing w:afterLines="50"/>
        <w:jc w:val="center"/>
        <w:rPr>
          <w:rFonts w:hAnsi="宋体" w:cs="宋体"/>
          <w:color w:val="auto"/>
          <w:sz w:val="24"/>
          <w:szCs w:val="24"/>
          <w:highlight w:val="none"/>
        </w:rPr>
      </w:pPr>
    </w:p>
    <w:p w14:paraId="1C5DD633">
      <w:pPr>
        <w:pStyle w:val="40"/>
        <w:shd w:val="clear"/>
        <w:snapToGrid w:val="0"/>
        <w:spacing w:afterLines="50"/>
        <w:jc w:val="center"/>
        <w:rPr>
          <w:rFonts w:hAnsi="宋体" w:cs="宋体"/>
          <w:color w:val="auto"/>
          <w:sz w:val="24"/>
          <w:szCs w:val="24"/>
          <w:highlight w:val="none"/>
        </w:rPr>
      </w:pPr>
    </w:p>
    <w:p w14:paraId="0378A696">
      <w:pPr>
        <w:pStyle w:val="40"/>
        <w:shd w:val="clear"/>
        <w:snapToGrid w:val="0"/>
        <w:spacing w:afterLines="50"/>
        <w:jc w:val="center"/>
        <w:rPr>
          <w:rFonts w:hAnsi="宋体" w:cs="宋体"/>
          <w:color w:val="auto"/>
          <w:sz w:val="24"/>
          <w:szCs w:val="24"/>
          <w:highlight w:val="none"/>
        </w:rPr>
      </w:pPr>
    </w:p>
    <w:p w14:paraId="3F804FE5">
      <w:pPr>
        <w:pStyle w:val="40"/>
        <w:shd w:val="clear"/>
        <w:snapToGrid w:val="0"/>
        <w:spacing w:afterLines="50"/>
        <w:jc w:val="center"/>
        <w:rPr>
          <w:rFonts w:hAnsi="宋体" w:cs="宋体"/>
          <w:color w:val="auto"/>
          <w:sz w:val="24"/>
          <w:szCs w:val="24"/>
          <w:highlight w:val="none"/>
        </w:rPr>
      </w:pPr>
    </w:p>
    <w:p w14:paraId="78388F7E">
      <w:pPr>
        <w:pStyle w:val="40"/>
        <w:shd w:val="clear"/>
        <w:snapToGrid w:val="0"/>
        <w:spacing w:afterLines="50"/>
        <w:jc w:val="center"/>
        <w:rPr>
          <w:rFonts w:hAnsi="宋体" w:cs="宋体"/>
          <w:color w:val="auto"/>
          <w:sz w:val="24"/>
          <w:szCs w:val="24"/>
          <w:highlight w:val="none"/>
        </w:rPr>
      </w:pPr>
    </w:p>
    <w:p w14:paraId="3A8B0971">
      <w:pPr>
        <w:pStyle w:val="40"/>
        <w:shd w:val="clear"/>
        <w:snapToGrid w:val="0"/>
        <w:spacing w:afterLines="50"/>
        <w:jc w:val="center"/>
        <w:rPr>
          <w:rFonts w:hAnsi="宋体" w:cs="宋体"/>
          <w:color w:val="auto"/>
          <w:sz w:val="24"/>
          <w:szCs w:val="24"/>
          <w:highlight w:val="none"/>
        </w:rPr>
      </w:pPr>
    </w:p>
    <w:p w14:paraId="3FDE2FAE">
      <w:pPr>
        <w:pStyle w:val="40"/>
        <w:shd w:val="clear"/>
        <w:snapToGrid w:val="0"/>
        <w:spacing w:afterLines="50"/>
        <w:jc w:val="center"/>
        <w:rPr>
          <w:rFonts w:hAnsi="宋体" w:cs="宋体"/>
          <w:color w:val="auto"/>
          <w:sz w:val="24"/>
          <w:szCs w:val="24"/>
          <w:highlight w:val="none"/>
        </w:rPr>
      </w:pPr>
    </w:p>
    <w:p w14:paraId="09A3FA35">
      <w:pPr>
        <w:pStyle w:val="40"/>
        <w:shd w:val="clear"/>
        <w:snapToGrid w:val="0"/>
        <w:spacing w:afterLines="50"/>
        <w:jc w:val="center"/>
        <w:rPr>
          <w:rFonts w:hAnsi="宋体" w:cs="宋体"/>
          <w:color w:val="auto"/>
          <w:sz w:val="24"/>
          <w:szCs w:val="24"/>
          <w:highlight w:val="none"/>
        </w:rPr>
      </w:pPr>
    </w:p>
    <w:p w14:paraId="60BBF685">
      <w:pPr>
        <w:pStyle w:val="3"/>
        <w:shd w:val="clear"/>
        <w:bidi w:val="0"/>
        <w:jc w:val="center"/>
        <w:rPr>
          <w:rFonts w:hint="eastAsia" w:ascii="黑体" w:hAnsi="黑体" w:eastAsia="黑体" w:cs="黑体"/>
          <w:b/>
          <w:bCs/>
          <w:color w:val="auto"/>
          <w:highlight w:val="none"/>
          <w:lang w:val="en-US" w:eastAsia="zh-CN"/>
        </w:rPr>
      </w:pPr>
      <w:bookmarkStart w:id="472" w:name="_Toc3711"/>
      <w:r>
        <w:rPr>
          <w:rFonts w:hint="eastAsia" w:ascii="黑体" w:hAnsi="黑体" w:eastAsia="黑体" w:cs="黑体"/>
          <w:b/>
          <w:bCs/>
          <w:color w:val="auto"/>
          <w:highlight w:val="none"/>
          <w:lang w:val="en-US" w:eastAsia="zh-CN"/>
        </w:rPr>
        <w:t>第五章 采购需求</w:t>
      </w:r>
      <w:bookmarkEnd w:id="472"/>
    </w:p>
    <w:p w14:paraId="0FE05086">
      <w:pPr>
        <w:spacing w:line="360" w:lineRule="auto"/>
        <w:rPr>
          <w:rFonts w:hint="eastAsia" w:asciiTheme="minorEastAsia" w:hAnsiTheme="minorEastAsia" w:eastAsiaTheme="minorEastAsia" w:cstheme="minorEastAsia"/>
          <w:b/>
          <w:bCs/>
          <w:color w:val="auto"/>
          <w:sz w:val="24"/>
          <w:szCs w:val="24"/>
          <w:highlight w:val="none"/>
          <w:lang w:eastAsia="zh-CN"/>
        </w:rPr>
      </w:pPr>
      <w:bookmarkStart w:id="473" w:name="_Toc74749139"/>
      <w:bookmarkStart w:id="474" w:name="_Toc74141370"/>
      <w:bookmarkStart w:id="475" w:name="_Toc306955601"/>
      <w:bookmarkStart w:id="476" w:name="_Toc430626375"/>
      <w:bookmarkStart w:id="477" w:name="_Toc396309480"/>
      <w:bookmarkStart w:id="478" w:name="_Toc29864"/>
      <w:bookmarkStart w:id="479" w:name="_Toc70902204"/>
      <w:bookmarkStart w:id="480" w:name="_Toc430135945"/>
      <w:bookmarkStart w:id="481" w:name="_Toc104417875"/>
      <w:bookmarkStart w:id="482" w:name="_Toc74749483"/>
      <w:bookmarkStart w:id="483" w:name="_Toc430135361"/>
      <w:bookmarkStart w:id="484" w:name="_Toc306502625"/>
      <w:bookmarkStart w:id="485" w:name="_Toc513635456"/>
      <w:bookmarkStart w:id="486" w:name="_Toc306955982"/>
      <w:bookmarkStart w:id="487" w:name="_Toc430135609"/>
      <w:bookmarkStart w:id="488" w:name="_Toc430626605"/>
      <w:r>
        <w:rPr>
          <w:rFonts w:hint="eastAsia" w:asciiTheme="minorEastAsia" w:hAnsiTheme="minorEastAsia" w:eastAsiaTheme="minorEastAsia" w:cstheme="minorEastAsia"/>
          <w:b/>
          <w:bCs/>
          <w:color w:val="auto"/>
          <w:sz w:val="24"/>
          <w:szCs w:val="24"/>
          <w:highlight w:val="none"/>
          <w:lang w:eastAsia="zh-CN"/>
        </w:rPr>
        <w:t>一、工程概况</w:t>
      </w:r>
    </w:p>
    <w:p w14:paraId="3D83B8C6">
      <w:pPr>
        <w:spacing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本项目位于巧家县人民医院。主要建设内容为：血透科土建二次装修、给排水、强弱电、消防暖通等。</w:t>
      </w:r>
    </w:p>
    <w:p w14:paraId="1DFF4FD8">
      <w:pPr>
        <w:spacing w:line="360" w:lineRule="auto"/>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二、工程内容</w:t>
      </w:r>
    </w:p>
    <w:p w14:paraId="2F2029CC">
      <w:pPr>
        <w:spacing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（一）工程名称：巧家县人民医院医养结合与康复楼—血透室提升改造项目。                                                      </w:t>
      </w:r>
    </w:p>
    <w:p w14:paraId="5ADE8C68">
      <w:pPr>
        <w:spacing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（二）工程承包范围：详见施工图设计文件和招标工程量清单。</w:t>
      </w:r>
    </w:p>
    <w:p w14:paraId="2A386488">
      <w:pPr>
        <w:spacing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（三）工程质量标准</w:t>
      </w:r>
    </w:p>
    <w:p w14:paraId="21439CE5">
      <w:pPr>
        <w:spacing w:line="360" w:lineRule="auto"/>
        <w:ind w:firstLine="482"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lang w:val="en-US" w:eastAsia="zh-CN"/>
        </w:rPr>
        <w:t>1.本工程项目要求的质量标准为符合现行国家有关工程施工验收规范和标准的要求（合格）。</w:t>
      </w:r>
    </w:p>
    <w:p w14:paraId="07596B6D">
      <w:pPr>
        <w:spacing w:line="360" w:lineRule="auto"/>
        <w:ind w:firstLine="482"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lang w:val="en-US" w:eastAsia="zh-CN"/>
        </w:rPr>
        <w:t>2.本工程项目的材料、设备、施工须达到现行中华人民共和国以及省、自治区、直辖市或行业的工程建设标准、规范的要求；严格遵照设计施工图及国家或行业有关标准、规范执行。</w:t>
      </w:r>
    </w:p>
    <w:p w14:paraId="1E646AAC">
      <w:pPr>
        <w:spacing w:line="360" w:lineRule="auto"/>
        <w:ind w:firstLine="482"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lang w:val="en-US" w:eastAsia="zh-CN"/>
        </w:rPr>
        <w:t>3.本工程的安全生产、文明施工、环境保护措施应符合中华人民共和国以及省、自治区、直辖市或行业以及当地政府的有关法律法规的要求。</w:t>
      </w:r>
    </w:p>
    <w:p w14:paraId="00BF804C">
      <w:pPr>
        <w:spacing w:line="360" w:lineRule="auto"/>
        <w:ind w:firstLine="482"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lang w:val="en-US" w:eastAsia="zh-CN"/>
        </w:rPr>
        <w:t>4.特殊质量要求：符合国家《血液净化标准操作规程（2021版）》《医疗机构血液透析室管理规范》和《血液透析中心基本标准和管理规范（试行）》，并最终通过省、市级卫生健康委组织的验收。</w:t>
      </w:r>
    </w:p>
    <w:p w14:paraId="08BCE6AF">
      <w:pPr>
        <w:spacing w:line="360" w:lineRule="auto"/>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三、商务要求</w:t>
      </w:r>
    </w:p>
    <w:p w14:paraId="51FD1140">
      <w:pPr>
        <w:spacing w:line="360" w:lineRule="auto"/>
        <w:ind w:firstLine="482" w:firstLineChars="200"/>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b/>
          <w:bCs/>
          <w:i/>
          <w:iCs/>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（一）工期要求：开工令下达后90日历天。</w:t>
      </w:r>
    </w:p>
    <w:p w14:paraId="13109A55">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（二）工程地点：巧家县人民医院血透室。</w:t>
      </w:r>
    </w:p>
    <w:p w14:paraId="5D5E74D6">
      <w:pPr>
        <w:spacing w:line="360" w:lineRule="auto"/>
        <w:ind w:firstLine="482" w:firstLineChars="200"/>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b/>
          <w:bCs/>
          <w:i/>
          <w:iCs/>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三）付款条件：工程完工并经采购人验收合格后，支付合同签约价的50%；完成工程结算审核且通过省、市级卫生健康委组织的验收后，支付至第三方造价咨询机构审核认定金额的97%，剩余3%作为质保金（缺陷责任期满且无质量问题后一次性无息退还）。</w:t>
      </w:r>
    </w:p>
    <w:p w14:paraId="1EA3BABC">
      <w:pPr>
        <w:spacing w:line="360" w:lineRule="auto"/>
        <w:ind w:firstLine="482" w:firstLineChars="200"/>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b/>
          <w:bCs/>
          <w:i/>
          <w:iCs/>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（四）缺陷责任期：</w:t>
      </w:r>
      <w:r>
        <w:rPr>
          <w:rFonts w:hint="eastAsia" w:asciiTheme="minorEastAsia" w:hAnsiTheme="minorEastAsia" w:eastAsiaTheme="minorEastAsia" w:cstheme="minorEastAsia"/>
          <w:color w:val="auto"/>
          <w:sz w:val="24"/>
          <w:szCs w:val="24"/>
          <w:highlight w:val="none"/>
          <w:lang w:val="en-US" w:eastAsia="zh-CN"/>
        </w:rPr>
        <w:t>24</w:t>
      </w:r>
      <w:r>
        <w:rPr>
          <w:rFonts w:hint="eastAsia" w:asciiTheme="minorEastAsia" w:hAnsiTheme="minorEastAsia" w:eastAsiaTheme="minorEastAsia" w:cstheme="minorEastAsia"/>
          <w:color w:val="auto"/>
          <w:sz w:val="24"/>
          <w:szCs w:val="24"/>
          <w:highlight w:val="none"/>
        </w:rPr>
        <w:t>个月。</w:t>
      </w:r>
    </w:p>
    <w:p w14:paraId="101E23C4">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（五）保修期限：按《建设工程质量管理条例》规定的最低保修期限执行，未列明项目保修期限由发包方与承包方在合同中约定。</w:t>
      </w:r>
    </w:p>
    <w:p w14:paraId="752A0A1B">
      <w:pPr>
        <w:spacing w:line="360" w:lineRule="auto"/>
        <w:ind w:firstLine="482" w:firstLineChars="200"/>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b/>
          <w:bCs/>
          <w:i/>
          <w:iCs/>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（六）分包：不允许。</w:t>
      </w:r>
    </w:p>
    <w:p w14:paraId="76E7645A">
      <w:pPr>
        <w:spacing w:line="360" w:lineRule="auto"/>
        <w:ind w:firstLine="482" w:firstLineChars="200"/>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b/>
          <w:bCs/>
          <w:i/>
          <w:iCs/>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（七）承包人应严格执行中华人民共和国国务院令第 724 号《保障农民工工资支付条例》，按照有关规定开设农民工工资专用账户，该账户专项用于支付该工程建设项目农民工工资。开设、使用农民工工资专用账户有关资料应当由施工总承包单位妥善保存备查。承包人应按时足额保障农民工工资，不得拖欠农民工工资。</w:t>
      </w:r>
    </w:p>
    <w:p w14:paraId="3B80578B">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（八）工程实施中增减变更项目的结算原则</w:t>
      </w:r>
    </w:p>
    <w:p w14:paraId="6EAA545E">
      <w:pPr>
        <w:spacing w:line="360" w:lineRule="auto"/>
        <w:ind w:firstLine="482" w:firstLineChars="200"/>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b/>
          <w:bCs/>
          <w:i/>
          <w:iCs/>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变更估价原则：已标价工程量清单中有适用于变更工程项目的，采用该项目的单价；已标价工程量清单中没有适用、但有类似于变更工程项目的，可在合理范围内参照类似项目的单价；已标价工程量清单中没有适用也没有类似于变更工程项目的，由承包人根据变更工程资料、计量规则和计价办法、工程造价管理机构发布的信息价格提出变更工程项目的单价，报发包人确认后调整；已标价工程量清单中没有适用也没有类似于变更工程项目的，且工程造价管理机构发布的信息价格缺价的，由承包人根据变更工程资料、计量规则、计价办法和通过市场调查等取得有合法依据的市场价格提出变更工程项目的单价，报发包人确认后调整。</w:t>
      </w:r>
    </w:p>
    <w:p w14:paraId="11121EBC">
      <w:pPr>
        <w:spacing w:line="360" w:lineRule="auto"/>
        <w:ind w:firstLine="482" w:firstLineChars="200"/>
        <w:rPr>
          <w:rFonts w:hint="default"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材料计价原则：材料价格以合同签订当月的《昭通市建设工程材料价格信息及市场价格》中的营改增版巧家县基价确定，没有的材料价格按《云南省建设工程材料及设备价格信息》中昭通市巧家县基价确定；以上价格信息都无法确定的材料价格，由发包人、承包人、监理和造价四方通过询价确定。</w:t>
      </w:r>
    </w:p>
    <w:p w14:paraId="2498EB22">
      <w:pPr>
        <w:spacing w:line="360" w:lineRule="auto"/>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四、采购人提供的资料</w:t>
      </w:r>
    </w:p>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14:paraId="4F3B5B6C">
      <w:pPr>
        <w:spacing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（一）招标工程量清单（电子版，另册提供）。</w:t>
      </w:r>
    </w:p>
    <w:p w14:paraId="4D1BFBC0">
      <w:pPr>
        <w:spacing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（二）最高投标限价和工程量清单编制说明（电子版，另册提供）。</w:t>
      </w:r>
    </w:p>
    <w:p w14:paraId="70015D43">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（三）施工图设计文件（电子版，另册提供）。</w:t>
      </w:r>
    </w:p>
    <w:p w14:paraId="0A0B116C">
      <w:pPr>
        <w:spacing w:line="360" w:lineRule="auto"/>
        <w:ind w:firstLine="480" w:firstLineChars="200"/>
        <w:rPr>
          <w:rFonts w:hint="eastAsia" w:asciiTheme="minorEastAsia" w:hAnsiTheme="minorEastAsia" w:eastAsiaTheme="minorEastAsia" w:cstheme="minorEastAsia"/>
          <w:color w:val="auto"/>
          <w:sz w:val="24"/>
          <w:szCs w:val="24"/>
          <w:highlight w:val="none"/>
        </w:rPr>
        <w:sectPr>
          <w:pgSz w:w="11906" w:h="16838"/>
          <w:pgMar w:top="1440" w:right="1083" w:bottom="1440" w:left="1083" w:header="851" w:footer="992" w:gutter="0"/>
          <w:pgNumType w:fmt="numberInDash"/>
          <w:cols w:space="0" w:num="1"/>
          <w:rtlGutter w:val="0"/>
          <w:docGrid w:type="lines" w:linePitch="314" w:charSpace="0"/>
        </w:sectPr>
      </w:pPr>
    </w:p>
    <w:p w14:paraId="4D1762D2">
      <w:pPr>
        <w:pStyle w:val="3"/>
        <w:shd w:val="clear"/>
        <w:bidi w:val="0"/>
        <w:jc w:val="center"/>
        <w:rPr>
          <w:rFonts w:hint="eastAsia" w:ascii="黑体" w:hAnsi="黑体" w:eastAsia="黑体" w:cs="黑体"/>
          <w:b/>
          <w:bCs/>
          <w:color w:val="auto"/>
          <w:highlight w:val="none"/>
          <w:lang w:val="en-US" w:eastAsia="zh-CN"/>
        </w:rPr>
      </w:pPr>
      <w:bookmarkStart w:id="489" w:name="_Toc19090"/>
      <w:r>
        <w:rPr>
          <w:rFonts w:hint="eastAsia" w:ascii="黑体" w:hAnsi="黑体" w:eastAsia="黑体" w:cs="黑体"/>
          <w:b/>
          <w:bCs/>
          <w:color w:val="auto"/>
          <w:highlight w:val="none"/>
          <w:lang w:val="en-US" w:eastAsia="zh-CN"/>
        </w:rPr>
        <w:t>第六章 响应文件格式</w:t>
      </w:r>
      <w:bookmarkEnd w:id="489"/>
    </w:p>
    <w:p w14:paraId="3E86C645">
      <w:pPr>
        <w:shd w:val="clear"/>
        <w:snapToGrid w:val="0"/>
        <w:spacing w:afterLines="50"/>
        <w:rPr>
          <w:color w:val="auto"/>
          <w:highlight w:val="none"/>
        </w:rPr>
      </w:pPr>
    </w:p>
    <w:p w14:paraId="7C3907EE">
      <w:pPr>
        <w:shd w:val="clear"/>
        <w:jc w:val="center"/>
        <w:outlineLvl w:val="9"/>
        <w:rPr>
          <w:rFonts w:hint="eastAsia" w:ascii="宋体" w:hAnsi="宋体" w:eastAsia="宋体" w:cs="宋体"/>
          <w:b/>
          <w:bCs/>
          <w:color w:val="auto"/>
          <w:sz w:val="48"/>
          <w:szCs w:val="48"/>
          <w:highlight w:val="none"/>
        </w:rPr>
      </w:pPr>
      <w:bookmarkStart w:id="490" w:name="_Toc9068"/>
      <w:bookmarkStart w:id="491" w:name="_Toc5048"/>
      <w:r>
        <w:rPr>
          <w:rFonts w:hint="eastAsia" w:ascii="宋体" w:hAnsi="宋体" w:eastAsia="宋体" w:cs="宋体"/>
          <w:b/>
          <w:bCs/>
          <w:color w:val="auto"/>
          <w:sz w:val="48"/>
          <w:szCs w:val="48"/>
          <w:highlight w:val="none"/>
        </w:rPr>
        <w:t>竞争性</w:t>
      </w:r>
      <w:r>
        <w:rPr>
          <w:rFonts w:hint="eastAsia" w:ascii="宋体" w:hAnsi="宋体" w:cs="宋体"/>
          <w:b/>
          <w:bCs/>
          <w:color w:val="auto"/>
          <w:sz w:val="48"/>
          <w:szCs w:val="48"/>
          <w:highlight w:val="none"/>
          <w:lang w:val="en-US" w:eastAsia="zh-CN"/>
        </w:rPr>
        <w:t>磋商</w:t>
      </w:r>
      <w:r>
        <w:rPr>
          <w:rFonts w:hint="eastAsia" w:ascii="宋体" w:hAnsi="宋体" w:eastAsia="宋体" w:cs="宋体"/>
          <w:b/>
          <w:bCs/>
          <w:color w:val="auto"/>
          <w:sz w:val="48"/>
          <w:szCs w:val="48"/>
          <w:highlight w:val="none"/>
        </w:rPr>
        <w:t>响应文件</w:t>
      </w:r>
      <w:bookmarkEnd w:id="490"/>
      <w:bookmarkEnd w:id="491"/>
    </w:p>
    <w:p w14:paraId="1CB2ADD0">
      <w:pPr>
        <w:shd w:val="clear"/>
        <w:jc w:val="center"/>
        <w:outlineLvl w:val="9"/>
        <w:rPr>
          <w:rFonts w:hint="eastAsia" w:ascii="宋体" w:hAnsi="宋体" w:eastAsia="宋体" w:cs="宋体"/>
          <w:b/>
          <w:bCs/>
          <w:color w:val="auto"/>
          <w:sz w:val="48"/>
          <w:szCs w:val="48"/>
          <w:highlight w:val="none"/>
        </w:rPr>
      </w:pPr>
    </w:p>
    <w:p w14:paraId="25B97B7F">
      <w:pPr>
        <w:shd w:val="clear"/>
        <w:adjustRightInd w:val="0"/>
        <w:jc w:val="center"/>
        <w:textAlignment w:val="baseline"/>
        <w:outlineLvl w:val="9"/>
        <w:rPr>
          <w:rFonts w:hint="eastAsia" w:ascii="宋体" w:hAnsi="宋体" w:eastAsia="宋体" w:cs="宋体"/>
          <w:b/>
          <w:bCs/>
          <w:color w:val="auto"/>
          <w:sz w:val="36"/>
          <w:highlight w:val="none"/>
        </w:rPr>
      </w:pPr>
    </w:p>
    <w:p w14:paraId="20D5C176">
      <w:pPr>
        <w:shd w:val="clear"/>
        <w:adjustRightInd w:val="0"/>
        <w:ind w:firstLine="1084" w:firstLineChars="300"/>
        <w:jc w:val="left"/>
        <w:textAlignment w:val="baseline"/>
        <w:outlineLvl w:val="9"/>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 </w:t>
      </w:r>
    </w:p>
    <w:p w14:paraId="153F611D">
      <w:pPr>
        <w:shd w:val="clear"/>
        <w:adjustRightInd w:val="0"/>
        <w:jc w:val="left"/>
        <w:textAlignment w:val="baseline"/>
        <w:outlineLvl w:val="9"/>
        <w:rPr>
          <w:rFonts w:hint="eastAsia" w:ascii="宋体" w:hAnsi="宋体" w:eastAsia="宋体" w:cs="宋体"/>
          <w:b/>
          <w:bCs/>
          <w:color w:val="auto"/>
          <w:sz w:val="32"/>
          <w:szCs w:val="32"/>
          <w:highlight w:val="none"/>
        </w:rPr>
      </w:pPr>
      <w:bookmarkStart w:id="492" w:name="_Toc9356"/>
      <w:bookmarkStart w:id="493" w:name="_Toc18051"/>
      <w:r>
        <w:rPr>
          <w:rFonts w:hint="eastAsia" w:ascii="宋体" w:hAnsi="宋体" w:eastAsia="宋体" w:cs="宋体"/>
          <w:b/>
          <w:bCs/>
          <w:color w:val="auto"/>
          <w:sz w:val="32"/>
          <w:szCs w:val="32"/>
          <w:highlight w:val="none"/>
        </w:rPr>
        <w:t>项目编号：</w:t>
      </w:r>
      <w:bookmarkEnd w:id="492"/>
      <w:bookmarkEnd w:id="493"/>
    </w:p>
    <w:p w14:paraId="39E3EDE6">
      <w:pPr>
        <w:shd w:val="clear"/>
        <w:adjustRightInd w:val="0"/>
        <w:ind w:left="1928" w:hanging="1928" w:hangingChars="600"/>
        <w:jc w:val="left"/>
        <w:textAlignment w:val="baseline"/>
        <w:outlineLvl w:val="9"/>
        <w:rPr>
          <w:rFonts w:hint="eastAsia" w:ascii="宋体" w:hAnsi="宋体" w:eastAsia="宋体" w:cs="宋体"/>
          <w:b/>
          <w:bCs/>
          <w:color w:val="auto"/>
          <w:sz w:val="32"/>
          <w:szCs w:val="32"/>
          <w:highlight w:val="none"/>
          <w:lang w:val="zh-CN" w:eastAsia="zh-CN"/>
        </w:rPr>
      </w:pPr>
      <w:bookmarkStart w:id="494" w:name="_Toc14817"/>
      <w:bookmarkStart w:id="495" w:name="_Toc22215"/>
      <w:r>
        <w:rPr>
          <w:rFonts w:hint="eastAsia" w:ascii="宋体" w:hAnsi="宋体" w:eastAsia="宋体" w:cs="宋体"/>
          <w:b/>
          <w:bCs/>
          <w:color w:val="auto"/>
          <w:sz w:val="32"/>
          <w:szCs w:val="32"/>
          <w:highlight w:val="none"/>
          <w:lang w:val="zh-CN"/>
        </w:rPr>
        <w:t>项目名称：</w:t>
      </w:r>
      <w:bookmarkEnd w:id="494"/>
      <w:bookmarkEnd w:id="495"/>
      <w:r>
        <w:rPr>
          <w:rFonts w:hint="eastAsia" w:ascii="宋体" w:hAnsi="宋体" w:eastAsia="宋体" w:cs="宋体"/>
          <w:b/>
          <w:bCs/>
          <w:color w:val="auto"/>
          <w:sz w:val="32"/>
          <w:szCs w:val="32"/>
          <w:highlight w:val="none"/>
          <w:lang w:val="zh-CN"/>
        </w:rPr>
        <w:t xml:space="preserve"> </w:t>
      </w:r>
      <w:r>
        <w:rPr>
          <w:rFonts w:hint="eastAsia" w:ascii="宋体" w:hAnsi="宋体" w:eastAsia="宋体" w:cs="宋体"/>
          <w:b/>
          <w:bCs/>
          <w:color w:val="auto"/>
          <w:sz w:val="32"/>
          <w:szCs w:val="32"/>
          <w:highlight w:val="none"/>
          <w:lang w:val="en-US" w:eastAsia="zh-CN"/>
        </w:rPr>
        <w:t xml:space="preserve"> </w:t>
      </w:r>
    </w:p>
    <w:p w14:paraId="22188F36">
      <w:pPr>
        <w:shd w:val="clear"/>
        <w:adjustRightInd w:val="0"/>
        <w:jc w:val="left"/>
        <w:textAlignment w:val="baseline"/>
        <w:outlineLvl w:val="9"/>
        <w:rPr>
          <w:rFonts w:hint="eastAsia" w:ascii="宋体" w:hAnsi="宋体" w:eastAsia="宋体" w:cs="宋体"/>
          <w:b/>
          <w:bCs/>
          <w:color w:val="auto"/>
          <w:sz w:val="32"/>
          <w:szCs w:val="32"/>
          <w:highlight w:val="none"/>
        </w:rPr>
      </w:pPr>
      <w:bookmarkStart w:id="496" w:name="_Toc562"/>
      <w:bookmarkStart w:id="497" w:name="_Toc22841"/>
      <w:r>
        <w:rPr>
          <w:rFonts w:hint="eastAsia" w:ascii="宋体" w:hAnsi="宋体" w:eastAsia="宋体" w:cs="宋体"/>
          <w:b/>
          <w:bCs/>
          <w:color w:val="auto"/>
          <w:sz w:val="32"/>
          <w:szCs w:val="32"/>
          <w:highlight w:val="none"/>
        </w:rPr>
        <w:t>供应商（盖章）：</w:t>
      </w:r>
      <w:bookmarkEnd w:id="496"/>
      <w:bookmarkEnd w:id="497"/>
    </w:p>
    <w:p w14:paraId="5678D0E9">
      <w:pPr>
        <w:shd w:val="clear"/>
        <w:adjustRightInd w:val="0"/>
        <w:jc w:val="left"/>
        <w:textAlignment w:val="baseline"/>
        <w:outlineLvl w:val="9"/>
        <w:rPr>
          <w:rFonts w:hint="eastAsia" w:ascii="宋体" w:hAnsi="宋体" w:eastAsia="宋体" w:cs="宋体"/>
          <w:b/>
          <w:bCs/>
          <w:color w:val="auto"/>
          <w:sz w:val="32"/>
          <w:szCs w:val="32"/>
          <w:highlight w:val="none"/>
        </w:rPr>
      </w:pPr>
      <w:bookmarkStart w:id="498" w:name="_Toc30923"/>
      <w:bookmarkStart w:id="499" w:name="_Toc20684"/>
      <w:r>
        <w:rPr>
          <w:rFonts w:hint="eastAsia" w:ascii="宋体" w:hAnsi="宋体" w:eastAsia="宋体" w:cs="宋体"/>
          <w:b/>
          <w:bCs/>
          <w:color w:val="auto"/>
          <w:sz w:val="32"/>
          <w:szCs w:val="32"/>
          <w:highlight w:val="none"/>
        </w:rPr>
        <w:t>法定代表人或授权委托代理人（签字或盖章）：</w:t>
      </w:r>
      <w:bookmarkEnd w:id="498"/>
      <w:bookmarkEnd w:id="499"/>
    </w:p>
    <w:p w14:paraId="6E4D7E97">
      <w:pPr>
        <w:shd w:val="clear"/>
        <w:adjustRightInd w:val="0"/>
        <w:jc w:val="left"/>
        <w:textAlignment w:val="baseline"/>
        <w:outlineLvl w:val="9"/>
        <w:rPr>
          <w:rFonts w:hint="eastAsia" w:ascii="宋体" w:hAnsi="宋体" w:eastAsia="宋体" w:cs="宋体"/>
          <w:b/>
          <w:bCs/>
          <w:color w:val="auto"/>
          <w:sz w:val="32"/>
          <w:szCs w:val="32"/>
          <w:highlight w:val="none"/>
        </w:rPr>
      </w:pPr>
      <w:bookmarkStart w:id="500" w:name="_Toc27868"/>
      <w:bookmarkStart w:id="501" w:name="_Toc9076"/>
      <w:r>
        <w:rPr>
          <w:rFonts w:hint="eastAsia" w:ascii="宋体" w:hAnsi="宋体" w:eastAsia="宋体" w:cs="宋体"/>
          <w:b/>
          <w:bCs/>
          <w:color w:val="auto"/>
          <w:sz w:val="32"/>
          <w:szCs w:val="32"/>
          <w:highlight w:val="none"/>
        </w:rPr>
        <w:t>日期：</w:t>
      </w:r>
      <w:bookmarkEnd w:id="500"/>
      <w:bookmarkEnd w:id="501"/>
    </w:p>
    <w:p w14:paraId="195D0722">
      <w:pPr>
        <w:shd w:val="clear"/>
        <w:autoSpaceDE w:val="0"/>
        <w:autoSpaceDN w:val="0"/>
        <w:adjustRightInd w:val="0"/>
        <w:snapToGrid w:val="0"/>
        <w:spacing w:afterLines="50"/>
        <w:jc w:val="center"/>
        <w:outlineLvl w:val="9"/>
        <w:rPr>
          <w:rFonts w:hint="eastAsia" w:ascii="宋体" w:hAnsi="宋体" w:eastAsia="宋体" w:cs="宋体"/>
          <w:color w:val="auto"/>
          <w:kern w:val="0"/>
          <w:sz w:val="32"/>
          <w:szCs w:val="32"/>
          <w:highlight w:val="none"/>
        </w:rPr>
      </w:pPr>
    </w:p>
    <w:p w14:paraId="7A2FB20A">
      <w:pPr>
        <w:shd w:val="clear"/>
        <w:autoSpaceDE w:val="0"/>
        <w:autoSpaceDN w:val="0"/>
        <w:adjustRightInd w:val="0"/>
        <w:snapToGrid w:val="0"/>
        <w:spacing w:afterLines="50"/>
        <w:jc w:val="center"/>
        <w:outlineLvl w:val="9"/>
        <w:rPr>
          <w:rFonts w:hint="eastAsia" w:ascii="宋体" w:hAnsi="宋体" w:eastAsia="宋体" w:cs="宋体"/>
          <w:color w:val="auto"/>
          <w:kern w:val="0"/>
          <w:sz w:val="32"/>
          <w:szCs w:val="32"/>
          <w:highlight w:val="none"/>
        </w:rPr>
      </w:pPr>
    </w:p>
    <w:p w14:paraId="2D46AFDE">
      <w:pPr>
        <w:shd w:val="clear"/>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kern w:val="0"/>
          <w:sz w:val="32"/>
          <w:szCs w:val="32"/>
          <w:highlight w:val="none"/>
        </w:rPr>
        <w:br w:type="page"/>
      </w:r>
    </w:p>
    <w:p w14:paraId="02214AB7">
      <w:pPr>
        <w:pStyle w:val="424"/>
        <w:numPr>
          <w:ilvl w:val="0"/>
          <w:numId w:val="16"/>
        </w:numPr>
        <w:shd w:val="clear"/>
        <w:spacing w:line="360" w:lineRule="auto"/>
        <w:ind w:left="1276" w:hanging="1276" w:firstLineChars="0"/>
        <w:outlineLvl w:val="1"/>
        <w:rPr>
          <w:rFonts w:hint="eastAsia" w:ascii="宋体" w:hAnsi="宋体" w:eastAsia="宋体" w:cs="宋体"/>
          <w:b/>
          <w:color w:val="auto"/>
          <w:sz w:val="24"/>
          <w:highlight w:val="none"/>
        </w:rPr>
      </w:pPr>
      <w:bookmarkStart w:id="502" w:name="_Toc16586"/>
      <w:bookmarkStart w:id="503" w:name="_Toc20935"/>
      <w:r>
        <w:rPr>
          <w:rFonts w:hint="eastAsia" w:ascii="宋体" w:hAnsi="宋体" w:eastAsia="宋体" w:cs="宋体"/>
          <w:b/>
          <w:color w:val="auto"/>
          <w:sz w:val="24"/>
          <w:highlight w:val="none"/>
        </w:rPr>
        <w:t>报价函</w:t>
      </w:r>
      <w:r>
        <w:rPr>
          <w:rFonts w:hint="eastAsia" w:ascii="宋体" w:hAnsi="宋体" w:eastAsia="宋体" w:cs="宋体"/>
          <w:b/>
          <w:i/>
          <w:color w:val="auto"/>
          <w:sz w:val="24"/>
          <w:highlight w:val="none"/>
        </w:rPr>
        <w:t>及</w:t>
      </w:r>
      <w:r>
        <w:rPr>
          <w:rFonts w:hint="eastAsia" w:ascii="宋体" w:hAnsi="宋体" w:eastAsia="宋体" w:cs="宋体"/>
          <w:b/>
          <w:color w:val="auto"/>
          <w:sz w:val="24"/>
          <w:highlight w:val="none"/>
        </w:rPr>
        <w:t>报价函附录</w:t>
      </w:r>
      <w:bookmarkEnd w:id="502"/>
      <w:bookmarkEnd w:id="503"/>
    </w:p>
    <w:p w14:paraId="203069CF">
      <w:pPr>
        <w:shd w:val="clear"/>
        <w:autoSpaceDE w:val="0"/>
        <w:autoSpaceDN w:val="0"/>
        <w:adjustRightInd w:val="0"/>
        <w:jc w:val="center"/>
        <w:rPr>
          <w:rFonts w:hint="eastAsia" w:ascii="宋体" w:hAnsi="宋体" w:eastAsia="宋体" w:cs="宋体"/>
          <w:color w:val="auto"/>
          <w:kern w:val="0"/>
          <w:sz w:val="24"/>
          <w:highlight w:val="none"/>
        </w:rPr>
      </w:pPr>
    </w:p>
    <w:p w14:paraId="16CDBC83">
      <w:pPr>
        <w:shd w:val="clear"/>
        <w:autoSpaceDE w:val="0"/>
        <w:autoSpaceDN w:val="0"/>
        <w:adjustRightInd w:val="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报价函</w:t>
      </w:r>
    </w:p>
    <w:p w14:paraId="7C6E366C">
      <w:pPr>
        <w:shd w:val="clear"/>
        <w:autoSpaceDE w:val="0"/>
        <w:autoSpaceDN w:val="0"/>
        <w:adjustRightInd w:val="0"/>
        <w:jc w:val="center"/>
        <w:rPr>
          <w:rFonts w:hint="eastAsia" w:ascii="宋体" w:hAnsi="宋体" w:eastAsia="宋体" w:cs="宋体"/>
          <w:color w:val="auto"/>
          <w:kern w:val="0"/>
          <w:sz w:val="24"/>
          <w:highlight w:val="none"/>
        </w:rPr>
      </w:pPr>
    </w:p>
    <w:p w14:paraId="0A49D7BE">
      <w:pPr>
        <w:shd w:val="clear"/>
        <w:autoSpaceDE w:val="0"/>
        <w:autoSpaceDN w:val="0"/>
        <w:adjustRightInd w:val="0"/>
        <w:jc w:val="center"/>
        <w:rPr>
          <w:rFonts w:hint="eastAsia" w:ascii="宋体" w:hAnsi="宋体" w:eastAsia="宋体" w:cs="宋体"/>
          <w:color w:val="auto"/>
          <w:kern w:val="0"/>
          <w:sz w:val="24"/>
          <w:highlight w:val="none"/>
        </w:rPr>
      </w:pPr>
    </w:p>
    <w:p w14:paraId="4D89A25C">
      <w:pPr>
        <w:shd w:val="clear"/>
        <w:autoSpaceDE w:val="0"/>
        <w:autoSpaceDN w:val="0"/>
        <w:adjustRightInd w:val="0"/>
        <w:snapToGrid w:val="0"/>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（采购人名称）：</w:t>
      </w:r>
    </w:p>
    <w:p w14:paraId="155B9440">
      <w:pPr>
        <w:shd w:val="clear"/>
        <w:autoSpaceDE w:val="0"/>
        <w:autoSpaceDN w:val="0"/>
        <w:adjustRightInd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1.我方已仔细研究了</w:t>
      </w:r>
      <w:r>
        <w:rPr>
          <w:rFonts w:hint="eastAsia" w:ascii="宋体" w:hAnsi="宋体" w:eastAsia="宋体" w:cs="宋体"/>
          <w:color w:val="auto"/>
          <w:kern w:val="0"/>
          <w:sz w:val="24"/>
          <w:highlight w:val="none"/>
          <w:u w:val="single"/>
        </w:rPr>
        <w:t xml:space="preserve">  （项目名称）   </w:t>
      </w:r>
      <w:r>
        <w:rPr>
          <w:rFonts w:hint="eastAsia" w:ascii="宋体" w:hAnsi="宋体" w:cs="宋体"/>
          <w:color w:val="auto"/>
          <w:kern w:val="0"/>
          <w:sz w:val="24"/>
          <w:highlight w:val="none"/>
          <w:lang w:eastAsia="zh-CN"/>
        </w:rPr>
        <w:t>磋商</w:t>
      </w:r>
      <w:r>
        <w:rPr>
          <w:rFonts w:hint="eastAsia" w:ascii="宋体" w:hAnsi="宋体" w:eastAsia="宋体" w:cs="宋体"/>
          <w:color w:val="auto"/>
          <w:kern w:val="0"/>
          <w:sz w:val="24"/>
          <w:highlight w:val="none"/>
        </w:rPr>
        <w:t>文件（包括修改、澄清文件）的全部内容，且对</w:t>
      </w:r>
      <w:r>
        <w:rPr>
          <w:rFonts w:hint="eastAsia" w:ascii="宋体" w:hAnsi="宋体" w:cs="宋体"/>
          <w:color w:val="auto"/>
          <w:kern w:val="0"/>
          <w:sz w:val="24"/>
          <w:highlight w:val="none"/>
          <w:lang w:eastAsia="zh-CN"/>
        </w:rPr>
        <w:t>磋商</w:t>
      </w:r>
      <w:r>
        <w:rPr>
          <w:rFonts w:hint="eastAsia" w:ascii="宋体" w:hAnsi="宋体" w:eastAsia="宋体" w:cs="宋体"/>
          <w:color w:val="auto"/>
          <w:kern w:val="0"/>
          <w:sz w:val="24"/>
          <w:highlight w:val="none"/>
        </w:rPr>
        <w:t>文件无任何异议，并愿意以“报价函附录”所填写的响应总价、</w:t>
      </w:r>
      <w:r>
        <w:rPr>
          <w:rFonts w:hint="eastAsia" w:ascii="宋体" w:hAnsi="宋体" w:cs="宋体"/>
          <w:color w:val="auto"/>
          <w:kern w:val="0"/>
          <w:sz w:val="24"/>
          <w:highlight w:val="none"/>
          <w:lang w:eastAsia="zh-CN"/>
        </w:rPr>
        <w:t>合同履行期限及质量承诺</w:t>
      </w:r>
      <w:r>
        <w:rPr>
          <w:rFonts w:hint="eastAsia" w:ascii="宋体" w:hAnsi="宋体" w:eastAsia="宋体" w:cs="宋体"/>
          <w:color w:val="auto"/>
          <w:kern w:val="0"/>
          <w:sz w:val="24"/>
          <w:highlight w:val="none"/>
        </w:rPr>
        <w:t>，向你方</w:t>
      </w:r>
      <w:r>
        <w:rPr>
          <w:rFonts w:hint="eastAsia" w:ascii="宋体" w:hAnsi="宋体" w:eastAsia="宋体" w:cs="宋体"/>
          <w:color w:val="auto"/>
          <w:sz w:val="24"/>
          <w:highlight w:val="none"/>
        </w:rPr>
        <w:t>提供</w:t>
      </w:r>
      <w:r>
        <w:rPr>
          <w:rFonts w:hint="eastAsia" w:ascii="宋体" w:hAnsi="宋体" w:cs="宋体"/>
          <w:color w:val="auto"/>
          <w:sz w:val="24"/>
          <w:highlight w:val="none"/>
          <w:lang w:eastAsia="zh-CN"/>
        </w:rPr>
        <w:t>磋商</w:t>
      </w:r>
      <w:r>
        <w:rPr>
          <w:rFonts w:hint="eastAsia" w:ascii="宋体" w:hAnsi="宋体" w:eastAsia="宋体" w:cs="宋体"/>
          <w:color w:val="auto"/>
          <w:sz w:val="24"/>
          <w:highlight w:val="none"/>
        </w:rPr>
        <w:t>文件要求的</w:t>
      </w:r>
      <w:r>
        <w:rPr>
          <w:rFonts w:hint="eastAsia" w:ascii="宋体" w:hAnsi="宋体" w:cs="宋体"/>
          <w:color w:val="auto"/>
          <w:sz w:val="24"/>
          <w:highlight w:val="none"/>
          <w:lang w:eastAsia="zh-CN"/>
        </w:rPr>
        <w:t>工程</w:t>
      </w:r>
      <w:r>
        <w:rPr>
          <w:rFonts w:hint="eastAsia" w:ascii="宋体" w:hAnsi="宋体" w:eastAsia="宋体" w:cs="宋体"/>
          <w:color w:val="auto"/>
          <w:kern w:val="0"/>
          <w:sz w:val="24"/>
          <w:highlight w:val="none"/>
        </w:rPr>
        <w:t>。</w:t>
      </w:r>
    </w:p>
    <w:p w14:paraId="089279D1">
      <w:pPr>
        <w:shd w:val="clear"/>
        <w:autoSpaceDE w:val="0"/>
        <w:autoSpaceDN w:val="0"/>
        <w:adjustRightInd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2.我方承诺在响应文件有效期内不修改或撤销</w:t>
      </w:r>
      <w:r>
        <w:rPr>
          <w:rFonts w:hint="eastAsia" w:ascii="宋体" w:hAnsi="宋体" w:cs="宋体"/>
          <w:color w:val="auto"/>
          <w:kern w:val="0"/>
          <w:sz w:val="24"/>
          <w:highlight w:val="none"/>
          <w:lang w:eastAsia="zh-CN"/>
        </w:rPr>
        <w:t>磋商</w:t>
      </w:r>
      <w:r>
        <w:rPr>
          <w:rFonts w:hint="eastAsia" w:ascii="宋体" w:hAnsi="宋体" w:eastAsia="宋体" w:cs="宋体"/>
          <w:color w:val="auto"/>
          <w:kern w:val="0"/>
          <w:sz w:val="24"/>
          <w:highlight w:val="none"/>
        </w:rPr>
        <w:t>文件。否则，你方可不退还我方的</w:t>
      </w:r>
      <w:r>
        <w:rPr>
          <w:rFonts w:hint="eastAsia" w:ascii="宋体" w:hAnsi="宋体" w:cs="宋体"/>
          <w:color w:val="auto"/>
          <w:kern w:val="0"/>
          <w:sz w:val="24"/>
          <w:highlight w:val="none"/>
          <w:lang w:eastAsia="zh-CN"/>
        </w:rPr>
        <w:t>磋商</w:t>
      </w:r>
      <w:r>
        <w:rPr>
          <w:rFonts w:hint="eastAsia" w:ascii="宋体" w:hAnsi="宋体" w:eastAsia="宋体" w:cs="宋体"/>
          <w:color w:val="auto"/>
          <w:kern w:val="0"/>
          <w:sz w:val="24"/>
          <w:highlight w:val="none"/>
        </w:rPr>
        <w:t>保证金。</w:t>
      </w:r>
    </w:p>
    <w:p w14:paraId="536A2CF0">
      <w:pPr>
        <w:shd w:val="clear"/>
        <w:autoSpaceDE w:val="0"/>
        <w:autoSpaceDN w:val="0"/>
        <w:adjustRightInd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cs="宋体"/>
          <w:color w:val="auto"/>
          <w:kern w:val="0"/>
          <w:sz w:val="24"/>
          <w:highlight w:val="none"/>
          <w:lang w:val="en-US" w:eastAsia="zh-CN"/>
        </w:rPr>
        <w:t>3</w:t>
      </w:r>
      <w:r>
        <w:rPr>
          <w:rFonts w:hint="eastAsia" w:ascii="宋体" w:hAnsi="宋体" w:eastAsia="宋体" w:cs="宋体"/>
          <w:color w:val="auto"/>
          <w:kern w:val="0"/>
          <w:sz w:val="24"/>
          <w:highlight w:val="none"/>
        </w:rPr>
        <w:t>.本响应文件有效期为自递交响应文件截止之日起</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个日历日。</w:t>
      </w:r>
    </w:p>
    <w:p w14:paraId="155C1E4B">
      <w:pPr>
        <w:shd w:val="clear"/>
        <w:autoSpaceDE w:val="0"/>
        <w:autoSpaceDN w:val="0"/>
        <w:adjustRightInd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cs="宋体"/>
          <w:color w:val="auto"/>
          <w:kern w:val="0"/>
          <w:sz w:val="24"/>
          <w:highlight w:val="none"/>
          <w:lang w:val="en-US" w:eastAsia="zh-CN"/>
        </w:rPr>
        <w:t>4</w:t>
      </w:r>
      <w:r>
        <w:rPr>
          <w:rFonts w:hint="eastAsia" w:ascii="宋体" w:hAnsi="宋体" w:eastAsia="宋体" w:cs="宋体"/>
          <w:color w:val="auto"/>
          <w:kern w:val="0"/>
          <w:sz w:val="24"/>
          <w:highlight w:val="none"/>
        </w:rPr>
        <w:t>.我方承诺所提交的响应文件及有关资料是完整的、真实的和准确的，否则，我方承担由此造成的任何损失及引起的任何后果。若我方已经收到成交通知书，我方将无条件的承认该成交通知书无效，对采购人不具有任何法律约束力。</w:t>
      </w:r>
    </w:p>
    <w:p w14:paraId="34CB4C4B">
      <w:pPr>
        <w:shd w:val="clear"/>
        <w:autoSpaceDE w:val="0"/>
        <w:autoSpaceDN w:val="0"/>
        <w:adjustRightInd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cs="宋体"/>
          <w:color w:val="auto"/>
          <w:kern w:val="0"/>
          <w:sz w:val="24"/>
          <w:highlight w:val="none"/>
          <w:lang w:val="en-US" w:eastAsia="zh-CN"/>
        </w:rPr>
        <w:t>5</w:t>
      </w:r>
      <w:r>
        <w:rPr>
          <w:rFonts w:hint="eastAsia" w:ascii="宋体" w:hAnsi="宋体" w:eastAsia="宋体" w:cs="宋体"/>
          <w:color w:val="auto"/>
          <w:kern w:val="0"/>
          <w:sz w:val="24"/>
          <w:highlight w:val="none"/>
        </w:rPr>
        <w:t>．如我方成交：</w:t>
      </w:r>
    </w:p>
    <w:p w14:paraId="43DB6DB2">
      <w:pPr>
        <w:shd w:val="clear"/>
        <w:autoSpaceDE w:val="0"/>
        <w:autoSpaceDN w:val="0"/>
        <w:adjustRightInd w:val="0"/>
        <w:snapToGrid w:val="0"/>
        <w:spacing w:line="360" w:lineRule="auto"/>
        <w:ind w:left="359" w:leftChars="171"/>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（1）我方承诺在收到成交通知书后，在成交通知书规定的期限内与你方签订合同。</w:t>
      </w:r>
    </w:p>
    <w:p w14:paraId="6EBE5310">
      <w:pPr>
        <w:shd w:val="clear"/>
        <w:autoSpaceDE w:val="0"/>
        <w:autoSpaceDN w:val="0"/>
        <w:adjustRightInd w:val="0"/>
        <w:snapToGrid w:val="0"/>
        <w:spacing w:line="360" w:lineRule="auto"/>
        <w:ind w:left="359" w:leftChars="171"/>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（2）我方承诺按照</w:t>
      </w:r>
      <w:r>
        <w:rPr>
          <w:rFonts w:hint="eastAsia" w:ascii="宋体" w:hAnsi="宋体" w:cs="宋体"/>
          <w:color w:val="auto"/>
          <w:kern w:val="0"/>
          <w:sz w:val="24"/>
          <w:highlight w:val="none"/>
          <w:lang w:eastAsia="zh-CN"/>
        </w:rPr>
        <w:t>磋商</w:t>
      </w:r>
      <w:r>
        <w:rPr>
          <w:rFonts w:hint="eastAsia" w:ascii="宋体" w:hAnsi="宋体" w:eastAsia="宋体" w:cs="宋体"/>
          <w:color w:val="auto"/>
          <w:kern w:val="0"/>
          <w:sz w:val="24"/>
          <w:highlight w:val="none"/>
        </w:rPr>
        <w:t>文件规定向你方递交履约保证金</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作为履行合同的担保。</w:t>
      </w:r>
    </w:p>
    <w:p w14:paraId="551A6CD0">
      <w:pPr>
        <w:shd w:val="clear"/>
        <w:autoSpaceDE w:val="0"/>
        <w:autoSpaceDN w:val="0"/>
        <w:adjustRightInd w:val="0"/>
        <w:snapToGrid w:val="0"/>
        <w:spacing w:line="360" w:lineRule="auto"/>
        <w:ind w:left="359" w:leftChars="171"/>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（3）我方承诺按合同约定的期限和地点，提供符合</w:t>
      </w:r>
      <w:r>
        <w:rPr>
          <w:rFonts w:hint="eastAsia" w:ascii="宋体" w:hAnsi="宋体" w:cs="宋体"/>
          <w:color w:val="auto"/>
          <w:kern w:val="0"/>
          <w:sz w:val="24"/>
          <w:highlight w:val="none"/>
          <w:lang w:eastAsia="zh-CN"/>
        </w:rPr>
        <w:t>磋商</w:t>
      </w:r>
      <w:r>
        <w:rPr>
          <w:rFonts w:hint="eastAsia" w:ascii="宋体" w:hAnsi="宋体" w:eastAsia="宋体" w:cs="宋体"/>
          <w:color w:val="auto"/>
          <w:kern w:val="0"/>
          <w:sz w:val="24"/>
          <w:highlight w:val="none"/>
        </w:rPr>
        <w:t>文件要求的全部的</w:t>
      </w:r>
      <w:r>
        <w:rPr>
          <w:rFonts w:hint="eastAsia" w:ascii="宋体" w:hAnsi="宋体" w:cs="宋体"/>
          <w:color w:val="auto"/>
          <w:kern w:val="0"/>
          <w:sz w:val="24"/>
          <w:highlight w:val="none"/>
          <w:lang w:eastAsia="zh-CN"/>
        </w:rPr>
        <w:t>工程</w:t>
      </w:r>
      <w:r>
        <w:rPr>
          <w:rFonts w:hint="eastAsia" w:ascii="宋体" w:hAnsi="宋体" w:eastAsia="宋体" w:cs="宋体"/>
          <w:color w:val="auto"/>
          <w:kern w:val="0"/>
          <w:sz w:val="24"/>
          <w:highlight w:val="none"/>
        </w:rPr>
        <w:t>。</w:t>
      </w:r>
    </w:p>
    <w:p w14:paraId="3169AC19">
      <w:pPr>
        <w:shd w:val="clear"/>
        <w:autoSpaceDE w:val="0"/>
        <w:autoSpaceDN w:val="0"/>
        <w:adjustRightInd w:val="0"/>
        <w:snapToGrid w:val="0"/>
        <w:spacing w:line="360" w:lineRule="auto"/>
        <w:ind w:left="359" w:leftChars="171"/>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（4）我方保证在收到成交通知书后五个工作日内按要求支付</w:t>
      </w:r>
      <w:r>
        <w:rPr>
          <w:rFonts w:hint="eastAsia" w:ascii="宋体" w:hAnsi="宋体" w:cs="宋体"/>
          <w:color w:val="auto"/>
          <w:kern w:val="0"/>
          <w:sz w:val="24"/>
          <w:highlight w:val="none"/>
          <w:lang w:eastAsia="zh-CN"/>
        </w:rPr>
        <w:t>成交</w:t>
      </w:r>
      <w:r>
        <w:rPr>
          <w:rFonts w:hint="eastAsia" w:ascii="宋体" w:hAnsi="宋体" w:eastAsia="宋体" w:cs="宋体"/>
          <w:color w:val="auto"/>
          <w:kern w:val="0"/>
          <w:sz w:val="24"/>
          <w:highlight w:val="none"/>
        </w:rPr>
        <w:t>服务费。</w:t>
      </w:r>
    </w:p>
    <w:p w14:paraId="6401838D">
      <w:pPr>
        <w:shd w:val="clear"/>
        <w:autoSpaceDE w:val="0"/>
        <w:autoSpaceDN w:val="0"/>
        <w:adjustRightInd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cs="宋体"/>
          <w:color w:val="auto"/>
          <w:kern w:val="0"/>
          <w:sz w:val="24"/>
          <w:highlight w:val="none"/>
          <w:lang w:val="en-US" w:eastAsia="zh-CN"/>
        </w:rPr>
        <w:t>6</w:t>
      </w:r>
      <w:r>
        <w:rPr>
          <w:rFonts w:hint="eastAsia" w:ascii="宋体" w:hAnsi="宋体" w:eastAsia="宋体" w:cs="宋体"/>
          <w:color w:val="auto"/>
          <w:kern w:val="0"/>
          <w:sz w:val="24"/>
          <w:highlight w:val="none"/>
        </w:rPr>
        <w:t>.如</w:t>
      </w:r>
      <w:r>
        <w:rPr>
          <w:rFonts w:hint="eastAsia" w:ascii="宋体" w:hAnsi="宋体" w:cs="宋体"/>
          <w:color w:val="auto"/>
          <w:kern w:val="0"/>
          <w:sz w:val="24"/>
          <w:highlight w:val="none"/>
          <w:lang w:eastAsia="zh-CN"/>
        </w:rPr>
        <w:t>磋商</w:t>
      </w:r>
      <w:r>
        <w:rPr>
          <w:rFonts w:hint="eastAsia" w:ascii="宋体" w:hAnsi="宋体" w:eastAsia="宋体" w:cs="宋体"/>
          <w:color w:val="auto"/>
          <w:kern w:val="0"/>
          <w:sz w:val="24"/>
          <w:highlight w:val="none"/>
        </w:rPr>
        <w:t>后的最后报价函与本报价函内容有</w:t>
      </w:r>
      <w:r>
        <w:rPr>
          <w:rFonts w:hint="eastAsia" w:ascii="宋体" w:hAnsi="宋体" w:cs="宋体"/>
          <w:color w:val="auto"/>
          <w:kern w:val="0"/>
          <w:sz w:val="24"/>
          <w:highlight w:val="none"/>
          <w:lang w:eastAsia="zh-CN"/>
        </w:rPr>
        <w:t>差异</w:t>
      </w:r>
      <w:r>
        <w:rPr>
          <w:rFonts w:hint="eastAsia" w:ascii="宋体" w:hAnsi="宋体" w:eastAsia="宋体" w:cs="宋体"/>
          <w:color w:val="auto"/>
          <w:kern w:val="0"/>
          <w:sz w:val="24"/>
          <w:highlight w:val="none"/>
        </w:rPr>
        <w:t>，以最后的报价函内容为准。</w:t>
      </w:r>
    </w:p>
    <w:p w14:paraId="2CFAA184">
      <w:pPr>
        <w:shd w:val="clear"/>
        <w:autoSpaceDE w:val="0"/>
        <w:autoSpaceDN w:val="0"/>
        <w:adjustRightInd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cs="宋体"/>
          <w:color w:val="auto"/>
          <w:kern w:val="0"/>
          <w:sz w:val="24"/>
          <w:highlight w:val="none"/>
          <w:lang w:val="en-US" w:eastAsia="zh-CN"/>
        </w:rPr>
        <w:t>7</w:t>
      </w: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（其他补充说明）。</w:t>
      </w:r>
    </w:p>
    <w:p w14:paraId="77079458">
      <w:pPr>
        <w:shd w:val="clear"/>
        <w:autoSpaceDE w:val="0"/>
        <w:autoSpaceDN w:val="0"/>
        <w:adjustRightInd w:val="0"/>
        <w:snapToGrid w:val="0"/>
        <w:spacing w:line="360" w:lineRule="auto"/>
        <w:jc w:val="left"/>
        <w:rPr>
          <w:rFonts w:hint="eastAsia" w:ascii="宋体" w:hAnsi="宋体" w:eastAsia="宋体" w:cs="宋体"/>
          <w:color w:val="auto"/>
          <w:kern w:val="0"/>
          <w:sz w:val="24"/>
          <w:highlight w:val="none"/>
        </w:rPr>
      </w:pPr>
    </w:p>
    <w:p w14:paraId="6BB7E516">
      <w:pPr>
        <w:shd w:val="clear"/>
        <w:autoSpaceDE w:val="0"/>
        <w:autoSpaceDN w:val="0"/>
        <w:adjustRightInd w:val="0"/>
        <w:snapToGrid w:val="0"/>
        <w:spacing w:line="360" w:lineRule="auto"/>
        <w:ind w:left="3780" w:leftChars="18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供应商（盖章）：</w:t>
      </w:r>
    </w:p>
    <w:p w14:paraId="3B1DA798">
      <w:pPr>
        <w:shd w:val="clear"/>
        <w:autoSpaceDE w:val="0"/>
        <w:autoSpaceDN w:val="0"/>
        <w:adjustRightInd w:val="0"/>
        <w:snapToGrid w:val="0"/>
        <w:spacing w:line="360" w:lineRule="auto"/>
        <w:ind w:left="3780" w:leftChars="18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法定代表人或授权委托代理人（签字或盖章）：</w:t>
      </w:r>
    </w:p>
    <w:p w14:paraId="5190C239">
      <w:pPr>
        <w:shd w:val="clear"/>
        <w:autoSpaceDE w:val="0"/>
        <w:autoSpaceDN w:val="0"/>
        <w:adjustRightInd w:val="0"/>
        <w:snapToGrid w:val="0"/>
        <w:spacing w:line="360" w:lineRule="auto"/>
        <w:ind w:left="3780" w:leftChars="18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地址：</w:t>
      </w:r>
    </w:p>
    <w:p w14:paraId="21DDF12C">
      <w:pPr>
        <w:shd w:val="clear"/>
        <w:autoSpaceDE w:val="0"/>
        <w:autoSpaceDN w:val="0"/>
        <w:adjustRightInd w:val="0"/>
        <w:snapToGrid w:val="0"/>
        <w:spacing w:line="360" w:lineRule="auto"/>
        <w:ind w:left="3780" w:leftChars="18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电话：</w:t>
      </w:r>
    </w:p>
    <w:p w14:paraId="30A7F1B0">
      <w:pPr>
        <w:shd w:val="clear"/>
        <w:autoSpaceDE w:val="0"/>
        <w:autoSpaceDN w:val="0"/>
        <w:adjustRightInd w:val="0"/>
        <w:snapToGrid w:val="0"/>
        <w:spacing w:line="360" w:lineRule="auto"/>
        <w:ind w:left="3780" w:leftChars="18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传真：</w:t>
      </w:r>
    </w:p>
    <w:p w14:paraId="3CEEBDD0">
      <w:pPr>
        <w:shd w:val="clear"/>
        <w:autoSpaceDE w:val="0"/>
        <w:autoSpaceDN w:val="0"/>
        <w:adjustRightInd w:val="0"/>
        <w:snapToGrid w:val="0"/>
        <w:spacing w:line="360" w:lineRule="auto"/>
        <w:ind w:left="5939" w:leftChars="2828"/>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年 月 日</w:t>
      </w:r>
    </w:p>
    <w:p w14:paraId="01FCAF66">
      <w:pPr>
        <w:shd w:val="clea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highlight w:val="none"/>
        </w:rPr>
        <w:br w:type="page"/>
      </w:r>
      <w:r>
        <w:rPr>
          <w:rFonts w:hint="eastAsia" w:ascii="宋体" w:hAnsi="宋体" w:eastAsia="宋体" w:cs="宋体"/>
          <w:b/>
          <w:color w:val="auto"/>
          <w:sz w:val="24"/>
          <w:highlight w:val="none"/>
        </w:rPr>
        <w:t xml:space="preserve"> </w:t>
      </w:r>
      <w:r>
        <w:rPr>
          <w:rFonts w:hint="eastAsia" w:ascii="宋体" w:hAnsi="宋体" w:eastAsia="宋体" w:cs="宋体"/>
          <w:color w:val="auto"/>
          <w:sz w:val="24"/>
          <w:highlight w:val="none"/>
        </w:rPr>
        <w:t>报价函附录</w:t>
      </w:r>
    </w:p>
    <w:tbl>
      <w:tblPr>
        <w:tblStyle w:val="73"/>
        <w:tblW w:w="97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44"/>
        <w:gridCol w:w="2975"/>
        <w:gridCol w:w="2743"/>
        <w:gridCol w:w="3333"/>
      </w:tblGrid>
      <w:tr w14:paraId="02AB0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1" w:hRule="atLeast"/>
          <w:jc w:val="center"/>
        </w:trPr>
        <w:tc>
          <w:tcPr>
            <w:tcW w:w="744" w:type="dxa"/>
            <w:vAlign w:val="center"/>
          </w:tcPr>
          <w:p w14:paraId="3CA469DE">
            <w:pPr>
              <w:spacing w:line="276"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2975" w:type="dxa"/>
            <w:vAlign w:val="center"/>
          </w:tcPr>
          <w:p w14:paraId="652CC387">
            <w:pPr>
              <w:spacing w:line="276"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项目</w:t>
            </w:r>
          </w:p>
        </w:tc>
        <w:tc>
          <w:tcPr>
            <w:tcW w:w="2743" w:type="dxa"/>
            <w:vAlign w:val="center"/>
          </w:tcPr>
          <w:p w14:paraId="25BDFCE7">
            <w:pPr>
              <w:spacing w:line="276"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报价金额</w:t>
            </w:r>
          </w:p>
        </w:tc>
        <w:tc>
          <w:tcPr>
            <w:tcW w:w="3333" w:type="dxa"/>
            <w:vAlign w:val="center"/>
          </w:tcPr>
          <w:p w14:paraId="37DD8256">
            <w:pPr>
              <w:spacing w:line="276"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备注</w:t>
            </w:r>
          </w:p>
        </w:tc>
      </w:tr>
      <w:tr w14:paraId="2BD73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2" w:hRule="atLeast"/>
          <w:jc w:val="center"/>
        </w:trPr>
        <w:tc>
          <w:tcPr>
            <w:tcW w:w="744" w:type="dxa"/>
            <w:vAlign w:val="center"/>
          </w:tcPr>
          <w:p w14:paraId="563BB08D">
            <w:pPr>
              <w:numPr>
                <w:ilvl w:val="0"/>
                <w:numId w:val="0"/>
              </w:numPr>
              <w:spacing w:line="276" w:lineRule="auto"/>
              <w:ind w:left="420" w:leftChars="0" w:hanging="420" w:firstLineChars="0"/>
              <w:jc w:val="center"/>
              <w:rPr>
                <w:rFonts w:hint="eastAsia"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SA"/>
              </w:rPr>
              <w:t>1</w:t>
            </w:r>
          </w:p>
        </w:tc>
        <w:tc>
          <w:tcPr>
            <w:tcW w:w="2975" w:type="dxa"/>
            <w:vAlign w:val="center"/>
          </w:tcPr>
          <w:p w14:paraId="47FA217B">
            <w:pPr>
              <w:spacing w:line="276" w:lineRule="auto"/>
              <w:ind w:left="-2" w:leftChars="-1"/>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响应总价</w:t>
            </w:r>
          </w:p>
        </w:tc>
        <w:tc>
          <w:tcPr>
            <w:tcW w:w="2743" w:type="dxa"/>
            <w:vAlign w:val="center"/>
          </w:tcPr>
          <w:p w14:paraId="71398940">
            <w:pPr>
              <w:spacing w:line="276" w:lineRule="auto"/>
              <w:jc w:val="both"/>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小写：</w:t>
            </w:r>
          </w:p>
          <w:p w14:paraId="3312F375">
            <w:pPr>
              <w:spacing w:line="276" w:lineRule="auto"/>
              <w:jc w:val="both"/>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大写：</w:t>
            </w:r>
          </w:p>
        </w:tc>
        <w:tc>
          <w:tcPr>
            <w:tcW w:w="3333" w:type="dxa"/>
            <w:vAlign w:val="center"/>
          </w:tcPr>
          <w:p w14:paraId="64E38963">
            <w:pPr>
              <w:spacing w:line="276" w:lineRule="auto"/>
              <w:jc w:val="left"/>
              <w:rPr>
                <w:rFonts w:hint="eastAsia" w:ascii="宋体" w:hAnsi="宋体" w:eastAsia="宋体" w:cs="宋体"/>
                <w:b/>
                <w:color w:val="auto"/>
                <w:szCs w:val="21"/>
                <w:highlight w:val="none"/>
              </w:rPr>
            </w:pPr>
            <w:r>
              <w:rPr>
                <w:rFonts w:hint="eastAsia" w:ascii="宋体" w:hAnsi="宋体" w:cs="宋体"/>
                <w:b/>
                <w:bCs/>
                <w:color w:val="auto"/>
                <w:szCs w:val="21"/>
                <w:highlight w:val="none"/>
                <w:lang w:val="en-US" w:eastAsia="zh-CN"/>
              </w:rPr>
              <w:t>金额</w:t>
            </w:r>
            <w:r>
              <w:rPr>
                <w:rFonts w:hint="eastAsia" w:ascii="宋体" w:hAnsi="宋体" w:eastAsia="宋体" w:cs="宋体"/>
                <w:b/>
                <w:bCs/>
                <w:color w:val="auto"/>
                <w:szCs w:val="21"/>
                <w:highlight w:val="none"/>
              </w:rPr>
              <w:t>保留小数点后两位。响应总报价大小写如有不一致，以大写为准。</w:t>
            </w:r>
          </w:p>
        </w:tc>
      </w:tr>
      <w:tr w14:paraId="7B296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5" w:hRule="atLeast"/>
          <w:jc w:val="center"/>
        </w:trPr>
        <w:tc>
          <w:tcPr>
            <w:tcW w:w="744" w:type="dxa"/>
            <w:vAlign w:val="center"/>
          </w:tcPr>
          <w:p w14:paraId="7EA7BFB2">
            <w:pPr>
              <w:numPr>
                <w:ilvl w:val="0"/>
                <w:numId w:val="0"/>
              </w:numPr>
              <w:spacing w:line="276" w:lineRule="auto"/>
              <w:ind w:left="420" w:leftChars="0" w:hanging="420" w:firstLineChars="0"/>
              <w:jc w:val="center"/>
              <w:rPr>
                <w:rFonts w:hint="eastAsia"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SA"/>
              </w:rPr>
              <w:t>2</w:t>
            </w:r>
          </w:p>
        </w:tc>
        <w:tc>
          <w:tcPr>
            <w:tcW w:w="2975" w:type="dxa"/>
            <w:vAlign w:val="center"/>
          </w:tcPr>
          <w:p w14:paraId="7A7FAAC0">
            <w:pPr>
              <w:spacing w:line="276" w:lineRule="auto"/>
              <w:ind w:left="-2" w:leftChars="-1"/>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合同履行期限</w:t>
            </w:r>
          </w:p>
        </w:tc>
        <w:tc>
          <w:tcPr>
            <w:tcW w:w="6076" w:type="dxa"/>
            <w:gridSpan w:val="2"/>
            <w:vAlign w:val="center"/>
          </w:tcPr>
          <w:p w14:paraId="59DFA16A">
            <w:pPr>
              <w:pStyle w:val="86"/>
              <w:ind w:left="0" w:leftChars="0" w:firstLine="0" w:firstLineChars="0"/>
              <w:rPr>
                <w:rFonts w:hint="default"/>
                <w:color w:val="auto"/>
                <w:highlight w:val="none"/>
                <w:lang w:val="en-US" w:eastAsia="zh-CN"/>
              </w:rPr>
            </w:pPr>
          </w:p>
        </w:tc>
      </w:tr>
      <w:tr w14:paraId="2464E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5" w:hRule="atLeast"/>
          <w:jc w:val="center"/>
        </w:trPr>
        <w:tc>
          <w:tcPr>
            <w:tcW w:w="744" w:type="dxa"/>
            <w:vAlign w:val="center"/>
          </w:tcPr>
          <w:p w14:paraId="2813BCB6">
            <w:pPr>
              <w:numPr>
                <w:ilvl w:val="0"/>
                <w:numId w:val="0"/>
              </w:numPr>
              <w:spacing w:line="276" w:lineRule="auto"/>
              <w:ind w:left="420" w:leftChars="0" w:hanging="420" w:firstLineChars="0"/>
              <w:jc w:val="center"/>
              <w:rPr>
                <w:rFonts w:hint="eastAsia"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SA"/>
              </w:rPr>
              <w:t>3</w:t>
            </w:r>
          </w:p>
        </w:tc>
        <w:tc>
          <w:tcPr>
            <w:tcW w:w="2975" w:type="dxa"/>
            <w:vAlign w:val="center"/>
          </w:tcPr>
          <w:p w14:paraId="3BF04773">
            <w:pPr>
              <w:spacing w:line="276" w:lineRule="auto"/>
              <w:ind w:left="-2" w:leftChars="-1"/>
              <w:jc w:val="center"/>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工程</w:t>
            </w:r>
            <w:r>
              <w:rPr>
                <w:rFonts w:hint="eastAsia" w:ascii="宋体" w:hAnsi="宋体" w:eastAsia="宋体" w:cs="宋体"/>
                <w:color w:val="auto"/>
                <w:szCs w:val="21"/>
                <w:highlight w:val="none"/>
              </w:rPr>
              <w:t>质量承诺</w:t>
            </w:r>
          </w:p>
        </w:tc>
        <w:tc>
          <w:tcPr>
            <w:tcW w:w="6076" w:type="dxa"/>
            <w:gridSpan w:val="2"/>
            <w:vAlign w:val="center"/>
          </w:tcPr>
          <w:p w14:paraId="77B0DD7E">
            <w:pPr>
              <w:spacing w:line="276" w:lineRule="auto"/>
              <w:rPr>
                <w:rFonts w:hint="eastAsia" w:ascii="宋体" w:hAnsi="宋体" w:eastAsia="宋体" w:cs="宋体"/>
                <w:color w:val="auto"/>
                <w:szCs w:val="21"/>
                <w:highlight w:val="none"/>
                <w:u w:val="single"/>
              </w:rPr>
            </w:pPr>
          </w:p>
        </w:tc>
      </w:tr>
      <w:tr w14:paraId="3A1AE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5" w:hRule="atLeast"/>
          <w:jc w:val="center"/>
        </w:trPr>
        <w:tc>
          <w:tcPr>
            <w:tcW w:w="744" w:type="dxa"/>
            <w:vAlign w:val="center"/>
          </w:tcPr>
          <w:p w14:paraId="3B965D8D">
            <w:pPr>
              <w:numPr>
                <w:ilvl w:val="0"/>
                <w:numId w:val="0"/>
              </w:numPr>
              <w:spacing w:line="276" w:lineRule="auto"/>
              <w:ind w:left="420" w:leftChars="0" w:hanging="420" w:firstLineChars="0"/>
              <w:jc w:val="center"/>
              <w:rPr>
                <w:rFonts w:hint="eastAsia"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SA"/>
              </w:rPr>
              <w:t>4</w:t>
            </w:r>
          </w:p>
        </w:tc>
        <w:tc>
          <w:tcPr>
            <w:tcW w:w="2975" w:type="dxa"/>
            <w:vAlign w:val="center"/>
          </w:tcPr>
          <w:p w14:paraId="4E6981E2">
            <w:pPr>
              <w:spacing w:line="276" w:lineRule="auto"/>
              <w:ind w:left="-2" w:leftChars="-1"/>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项目</w:t>
            </w:r>
            <w:r>
              <w:rPr>
                <w:rFonts w:hint="eastAsia" w:ascii="宋体" w:hAnsi="宋体" w:cs="宋体"/>
                <w:color w:val="auto"/>
                <w:szCs w:val="21"/>
                <w:highlight w:val="none"/>
                <w:lang w:val="en-US" w:eastAsia="zh-CN"/>
              </w:rPr>
              <w:t>经理</w:t>
            </w:r>
          </w:p>
        </w:tc>
        <w:tc>
          <w:tcPr>
            <w:tcW w:w="6076" w:type="dxa"/>
            <w:gridSpan w:val="2"/>
            <w:vAlign w:val="center"/>
          </w:tcPr>
          <w:p w14:paraId="5A437D5B">
            <w:pPr>
              <w:spacing w:line="276" w:lineRule="auto"/>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Cs w:val="21"/>
                <w:highlight w:val="none"/>
                <w:u w:val="none"/>
                <w:lang w:val="en-US" w:eastAsia="zh-CN"/>
              </w:rPr>
              <w:t>姓名：                    证书编号：</w:t>
            </w:r>
          </w:p>
        </w:tc>
      </w:tr>
      <w:tr w14:paraId="2C6A6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5" w:hRule="atLeast"/>
          <w:jc w:val="center"/>
        </w:trPr>
        <w:tc>
          <w:tcPr>
            <w:tcW w:w="744" w:type="dxa"/>
            <w:vAlign w:val="center"/>
          </w:tcPr>
          <w:p w14:paraId="3D063997">
            <w:pPr>
              <w:numPr>
                <w:ilvl w:val="0"/>
                <w:numId w:val="0"/>
              </w:numPr>
              <w:spacing w:line="276" w:lineRule="auto"/>
              <w:ind w:left="420" w:leftChars="0" w:hanging="420" w:firstLineChars="0"/>
              <w:jc w:val="center"/>
              <w:rPr>
                <w:rFonts w:hint="eastAsia"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SA"/>
              </w:rPr>
              <w:t>5</w:t>
            </w:r>
          </w:p>
        </w:tc>
        <w:tc>
          <w:tcPr>
            <w:tcW w:w="2975" w:type="dxa"/>
            <w:vAlign w:val="center"/>
          </w:tcPr>
          <w:p w14:paraId="3CAB6984">
            <w:pPr>
              <w:spacing w:line="276" w:lineRule="auto"/>
              <w:ind w:left="-2" w:leftChars="-1"/>
              <w:jc w:val="center"/>
              <w:rPr>
                <w:rFonts w:hint="eastAsia" w:ascii="宋体" w:hAnsi="宋体" w:eastAsia="宋体" w:cs="宋体"/>
                <w:color w:val="auto"/>
                <w:szCs w:val="21"/>
                <w:highlight w:val="none"/>
                <w:lang w:val="en-US" w:eastAsia="zh-CN"/>
              </w:rPr>
            </w:pPr>
            <w:r>
              <w:rPr>
                <w:color w:val="auto"/>
                <w:spacing w:val="-2"/>
                <w:sz w:val="22"/>
                <w:szCs w:val="22"/>
                <w:highlight w:val="none"/>
              </w:rPr>
              <w:t>是否享受折扣</w:t>
            </w:r>
          </w:p>
        </w:tc>
        <w:tc>
          <w:tcPr>
            <w:tcW w:w="6076" w:type="dxa"/>
            <w:gridSpan w:val="2"/>
            <w:vAlign w:val="center"/>
          </w:tcPr>
          <w:p w14:paraId="751A1774">
            <w:pPr>
              <w:spacing w:line="276" w:lineRule="auto"/>
              <w:rPr>
                <w:color w:val="auto"/>
                <w:spacing w:val="-8"/>
                <w:sz w:val="22"/>
                <w:szCs w:val="22"/>
                <w:highlight w:val="none"/>
              </w:rPr>
            </w:pPr>
            <w:r>
              <w:rPr>
                <w:color w:val="auto"/>
                <w:spacing w:val="-7"/>
                <w:sz w:val="22"/>
                <w:szCs w:val="22"/>
                <w:highlight w:val="none"/>
              </w:rPr>
              <w:t>是</w:t>
            </w:r>
            <w:r>
              <w:rPr>
                <w:color w:val="auto"/>
                <w:spacing w:val="-8"/>
                <w:sz w:val="22"/>
                <w:szCs w:val="22"/>
                <w:highlight w:val="none"/>
              </w:rPr>
              <w:t>○</w:t>
            </w:r>
            <w:r>
              <w:rPr>
                <w:rFonts w:hint="eastAsia"/>
                <w:color w:val="auto"/>
                <w:spacing w:val="-8"/>
                <w:sz w:val="22"/>
                <w:szCs w:val="22"/>
                <w:highlight w:val="none"/>
                <w:lang w:val="en-US" w:eastAsia="zh-CN"/>
              </w:rPr>
              <w:t xml:space="preserve">   </w:t>
            </w:r>
            <w:r>
              <w:rPr>
                <w:color w:val="auto"/>
                <w:spacing w:val="-8"/>
                <w:sz w:val="22"/>
                <w:szCs w:val="22"/>
                <w:highlight w:val="none"/>
              </w:rPr>
              <w:t>否○</w:t>
            </w:r>
          </w:p>
          <w:p w14:paraId="426E9CE3">
            <w:pPr>
              <w:spacing w:line="276" w:lineRule="auto"/>
              <w:rPr>
                <w:rFonts w:hint="eastAsia"/>
                <w:color w:val="auto"/>
                <w:spacing w:val="-8"/>
                <w:sz w:val="22"/>
                <w:szCs w:val="22"/>
                <w:highlight w:val="none"/>
                <w:lang w:val="en-US" w:eastAsia="zh-CN"/>
              </w:rPr>
            </w:pPr>
            <w:r>
              <w:rPr>
                <w:rFonts w:hint="eastAsia" w:ascii="黑体" w:hAnsi="黑体" w:eastAsia="黑体" w:cs="黑体"/>
                <w:color w:val="auto"/>
                <w:spacing w:val="-2"/>
                <w:sz w:val="18"/>
                <w:szCs w:val="18"/>
                <w:highlight w:val="none"/>
              </w:rPr>
              <w:t>小型企业、微型企业、监狱企业、残疾人</w:t>
            </w:r>
            <w:r>
              <w:rPr>
                <w:rFonts w:hint="eastAsia" w:ascii="黑体" w:hAnsi="黑体" w:eastAsia="黑体" w:cs="黑体"/>
                <w:color w:val="auto"/>
                <w:spacing w:val="-3"/>
                <w:sz w:val="18"/>
                <w:szCs w:val="18"/>
                <w:highlight w:val="none"/>
              </w:rPr>
              <w:t>福利单位请勾选是，其他请勾选否</w:t>
            </w:r>
          </w:p>
        </w:tc>
      </w:tr>
    </w:tbl>
    <w:p w14:paraId="0F5EF703">
      <w:pPr>
        <w:pStyle w:val="40"/>
        <w:shd w:val="clear"/>
        <w:tabs>
          <w:tab w:val="left" w:pos="5580"/>
        </w:tabs>
        <w:spacing w:before="120"/>
        <w:ind w:firstLine="720" w:firstLineChars="300"/>
        <w:rPr>
          <w:rFonts w:hint="eastAsia" w:ascii="宋体" w:hAnsi="宋体" w:eastAsia="宋体" w:cs="宋体"/>
          <w:color w:val="auto"/>
          <w:sz w:val="24"/>
          <w:highlight w:val="none"/>
        </w:rPr>
      </w:pPr>
    </w:p>
    <w:p w14:paraId="7770EF57">
      <w:pPr>
        <w:pStyle w:val="40"/>
        <w:shd w:val="clear"/>
        <w:tabs>
          <w:tab w:val="left" w:pos="5580"/>
        </w:tabs>
        <w:spacing w:before="120"/>
        <w:ind w:firstLine="720" w:firstLineChars="300"/>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供应商（盖章）：</w:t>
      </w:r>
    </w:p>
    <w:p w14:paraId="4ACAF75D">
      <w:pPr>
        <w:pStyle w:val="40"/>
        <w:shd w:val="clear"/>
        <w:tabs>
          <w:tab w:val="left" w:pos="5580"/>
        </w:tabs>
        <w:spacing w:before="120"/>
        <w:ind w:firstLine="720" w:firstLineChars="300"/>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法定代表人或授权委托代理人（签字或盖章）：</w:t>
      </w:r>
    </w:p>
    <w:p w14:paraId="554FDE60">
      <w:pPr>
        <w:pStyle w:val="40"/>
        <w:shd w:val="clear"/>
        <w:tabs>
          <w:tab w:val="left" w:pos="5580"/>
        </w:tabs>
        <w:spacing w:before="120"/>
        <w:ind w:firstLine="720" w:firstLineChars="300"/>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日期：</w:t>
      </w:r>
    </w:p>
    <w:p w14:paraId="38F4F224">
      <w:pPr>
        <w:pStyle w:val="40"/>
        <w:shd w:val="clear"/>
        <w:tabs>
          <w:tab w:val="left" w:pos="5580"/>
        </w:tabs>
        <w:spacing w:before="120"/>
        <w:ind w:firstLine="720" w:firstLineChars="300"/>
        <w:rPr>
          <w:rFonts w:hint="eastAsia" w:ascii="宋体" w:hAnsi="宋体" w:eastAsia="宋体" w:cs="宋体"/>
          <w:color w:val="auto"/>
          <w:sz w:val="24"/>
          <w:highlight w:val="none"/>
        </w:rPr>
      </w:pPr>
    </w:p>
    <w:p w14:paraId="06808993">
      <w:pPr>
        <w:pStyle w:val="40"/>
        <w:shd w:val="clear"/>
        <w:tabs>
          <w:tab w:val="left" w:pos="5580"/>
        </w:tabs>
        <w:spacing w:before="120"/>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2014029F">
      <w:pPr>
        <w:pStyle w:val="7"/>
        <w:tabs>
          <w:tab w:val="left" w:pos="1440"/>
        </w:tabs>
        <w:jc w:val="center"/>
        <w:outlineLvl w:val="2"/>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已标价工程量清单</w:t>
      </w:r>
    </w:p>
    <w:p w14:paraId="6676EEAD">
      <w:pPr>
        <w:keepNext w:val="0"/>
        <w:keepLines w:val="0"/>
        <w:pageBreakBefore w:val="0"/>
        <w:widowControl w:val="0"/>
        <w:shd w:val="clear"/>
        <w:kinsoku/>
        <w:wordWrap/>
        <w:overflowPunct/>
        <w:topLinePunct w:val="0"/>
        <w:autoSpaceDE/>
        <w:autoSpaceDN/>
        <w:bidi w:val="0"/>
        <w:adjustRightInd/>
        <w:snapToGrid/>
        <w:spacing w:line="360" w:lineRule="auto"/>
        <w:ind w:left="0" w:leftChars="0"/>
        <w:jc w:val="both"/>
        <w:textAlignment w:val="auto"/>
        <w:rPr>
          <w:rFonts w:hint="eastAsia" w:ascii="宋体" w:hAnsi="宋体" w:cs="宋体"/>
          <w:b/>
          <w:bCs w:val="0"/>
          <w:color w:val="auto"/>
          <w:kern w:val="0"/>
          <w:sz w:val="24"/>
          <w:szCs w:val="28"/>
          <w:highlight w:val="none"/>
          <w:lang w:val="en-US" w:eastAsia="zh-CN"/>
        </w:rPr>
      </w:pPr>
      <w:r>
        <w:rPr>
          <w:rFonts w:hint="eastAsia" w:ascii="宋体" w:hAnsi="宋体" w:cs="宋体"/>
          <w:b/>
          <w:bCs w:val="0"/>
          <w:color w:val="auto"/>
          <w:kern w:val="0"/>
          <w:sz w:val="24"/>
          <w:szCs w:val="28"/>
          <w:highlight w:val="none"/>
          <w:lang w:val="en-US" w:eastAsia="zh-CN"/>
        </w:rPr>
        <w:t>说明：</w:t>
      </w:r>
    </w:p>
    <w:p w14:paraId="1CC44B0C">
      <w:pPr>
        <w:keepNext w:val="0"/>
        <w:keepLines w:val="0"/>
        <w:pageBreakBefore w:val="0"/>
        <w:widowControl w:val="0"/>
        <w:shd w:val="clear"/>
        <w:kinsoku/>
        <w:wordWrap/>
        <w:overflowPunct/>
        <w:topLinePunct w:val="0"/>
        <w:autoSpaceDE/>
        <w:autoSpaceDN/>
        <w:bidi w:val="0"/>
        <w:adjustRightInd/>
        <w:snapToGrid/>
        <w:spacing w:line="360" w:lineRule="auto"/>
        <w:ind w:left="0" w:leftChars="0"/>
        <w:jc w:val="both"/>
        <w:textAlignment w:val="auto"/>
        <w:rPr>
          <w:rFonts w:hint="eastAsia" w:ascii="宋体" w:hAnsi="宋体" w:cs="宋体"/>
          <w:b w:val="0"/>
          <w:bCs/>
          <w:color w:val="auto"/>
          <w:kern w:val="0"/>
          <w:sz w:val="24"/>
          <w:szCs w:val="28"/>
          <w:highlight w:val="none"/>
          <w:lang w:val="en-US" w:eastAsia="zh-CN"/>
        </w:rPr>
      </w:pPr>
      <w:r>
        <w:rPr>
          <w:rFonts w:hint="eastAsia" w:ascii="宋体" w:hAnsi="宋体" w:cs="宋体"/>
          <w:b w:val="0"/>
          <w:bCs/>
          <w:color w:val="auto"/>
          <w:kern w:val="0"/>
          <w:sz w:val="24"/>
          <w:szCs w:val="28"/>
          <w:highlight w:val="none"/>
          <w:lang w:val="en-US" w:eastAsia="zh-CN"/>
        </w:rPr>
        <w:t>1.供应商应按《建设工程工程量清单计价规范》GB50500-2024中规定的工程量清单计价方式计价，计价标准执行“云建科〔2025〕63号及云建科〔2025〕72号”等现行有关配套计价文件。措施项目清单中的安全生产措施项目费应按照国家或省级、行业建设主管部门的规定计价，不得作为竞争性费用，其计价费率在投标时不得调整。增值税应按照国家或省级、行业建设主管部门的规定计算，不得作为竞争性费用，其计算费率和税率在投标时不得调整。</w:t>
      </w:r>
    </w:p>
    <w:p w14:paraId="1639C130">
      <w:pPr>
        <w:keepNext w:val="0"/>
        <w:keepLines w:val="0"/>
        <w:pageBreakBefore w:val="0"/>
        <w:widowControl w:val="0"/>
        <w:shd w:val="clear"/>
        <w:kinsoku/>
        <w:wordWrap/>
        <w:overflowPunct/>
        <w:topLinePunct w:val="0"/>
        <w:autoSpaceDE/>
        <w:autoSpaceDN/>
        <w:bidi w:val="0"/>
        <w:adjustRightInd/>
        <w:snapToGrid/>
        <w:spacing w:line="360" w:lineRule="auto"/>
        <w:ind w:left="0" w:leftChars="0"/>
        <w:jc w:val="both"/>
        <w:textAlignment w:val="auto"/>
        <w:rPr>
          <w:rFonts w:hint="eastAsia" w:ascii="宋体" w:hAnsi="宋体" w:cs="宋体"/>
          <w:b w:val="0"/>
          <w:bCs/>
          <w:color w:val="auto"/>
          <w:kern w:val="0"/>
          <w:sz w:val="24"/>
          <w:szCs w:val="28"/>
          <w:highlight w:val="none"/>
          <w:lang w:val="en-US" w:eastAsia="zh-CN"/>
        </w:rPr>
        <w:sectPr>
          <w:pgSz w:w="11906" w:h="16838"/>
          <w:pgMar w:top="1440" w:right="1083" w:bottom="1440" w:left="1083" w:header="851" w:footer="992" w:gutter="0"/>
          <w:pgNumType w:fmt="numberInDash"/>
          <w:cols w:space="0" w:num="1"/>
          <w:rtlGutter w:val="0"/>
          <w:docGrid w:type="lines" w:linePitch="314" w:charSpace="0"/>
        </w:sectPr>
      </w:pPr>
      <w:r>
        <w:rPr>
          <w:rFonts w:hint="eastAsia" w:ascii="宋体" w:hAnsi="宋体" w:cs="宋体"/>
          <w:b w:val="0"/>
          <w:bCs/>
          <w:color w:val="auto"/>
          <w:kern w:val="0"/>
          <w:sz w:val="24"/>
          <w:szCs w:val="28"/>
          <w:highlight w:val="none"/>
          <w:lang w:val="en-US" w:eastAsia="zh-CN"/>
        </w:rPr>
        <w:t>2.已标价工程量清单必须加盖编制单位公章及所属单位注册造价师签字并加盖执业专用章，注册造价工程师属供应商本单位的，其注册单位名称应与供应商名称一致。如委托编制投标报价的，应在响应文件中附有被委托人的营业执照和委托合同（协议书）复印件，响应文件中签字盖章的注册造价工程师的注册单位名称应当与被委托人名称一致。（根据《注册造价工程师管理办法》（2020年修正）、《建设工程工程量清单计价标准》（GB/T 50500-2024）的规定，本项目投标报价可以由二级及以上注册造价工程师进行编制，审核由一级注册造价工程师审核。当编制人与审核人是一级注册造价工程师时，编制人与审核人可以是同一人。）</w:t>
      </w:r>
    </w:p>
    <w:p w14:paraId="7B9BF558">
      <w:pPr>
        <w:pStyle w:val="424"/>
        <w:numPr>
          <w:ilvl w:val="0"/>
          <w:numId w:val="16"/>
        </w:numPr>
        <w:shd w:val="clear"/>
        <w:spacing w:line="360" w:lineRule="auto"/>
        <w:ind w:left="1276" w:hanging="1276" w:firstLineChars="0"/>
        <w:outlineLvl w:val="1"/>
        <w:rPr>
          <w:rFonts w:hint="eastAsia" w:ascii="宋体" w:hAnsi="宋体" w:eastAsia="宋体" w:cs="宋体"/>
          <w:b/>
          <w:color w:val="auto"/>
          <w:sz w:val="24"/>
          <w:highlight w:val="none"/>
        </w:rPr>
      </w:pPr>
      <w:bookmarkStart w:id="504" w:name="_Toc9348"/>
      <w:bookmarkStart w:id="505" w:name="_Toc17828"/>
      <w:r>
        <w:rPr>
          <w:rFonts w:hint="eastAsia" w:ascii="宋体" w:hAnsi="宋体" w:eastAsia="宋体" w:cs="宋体"/>
          <w:b/>
          <w:color w:val="auto"/>
          <w:sz w:val="24"/>
          <w:highlight w:val="none"/>
        </w:rPr>
        <w:t>法定代表人身份证明</w:t>
      </w:r>
      <w:bookmarkEnd w:id="504"/>
      <w:bookmarkEnd w:id="505"/>
    </w:p>
    <w:p w14:paraId="2CEA2E8F">
      <w:pPr>
        <w:shd w:val="clear"/>
        <w:spacing w:beforeLines="50" w:line="288" w:lineRule="auto"/>
        <w:ind w:hanging="104"/>
        <w:jc w:val="center"/>
        <w:rPr>
          <w:rFonts w:hint="eastAsia" w:ascii="宋体" w:hAnsi="宋体" w:eastAsia="宋体" w:cs="宋体"/>
          <w:color w:val="auto"/>
          <w:szCs w:val="21"/>
          <w:highlight w:val="none"/>
        </w:rPr>
      </w:pPr>
    </w:p>
    <w:p w14:paraId="700F1EBD">
      <w:pPr>
        <w:shd w:val="clear"/>
        <w:autoSpaceDE w:val="0"/>
        <w:autoSpaceDN w:val="0"/>
        <w:adjustRightInd w:val="0"/>
        <w:jc w:val="cente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法定代表人身份证明</w:t>
      </w:r>
    </w:p>
    <w:p w14:paraId="5C2EAE14">
      <w:pPr>
        <w:shd w:val="clear"/>
        <w:autoSpaceDE w:val="0"/>
        <w:autoSpaceDN w:val="0"/>
        <w:adjustRightInd w:val="0"/>
        <w:spacing w:line="360" w:lineRule="auto"/>
        <w:jc w:val="left"/>
        <w:rPr>
          <w:rFonts w:hint="eastAsia" w:ascii="宋体" w:hAnsi="宋体" w:eastAsia="宋体" w:cs="宋体"/>
          <w:color w:val="auto"/>
          <w:kern w:val="0"/>
          <w:sz w:val="24"/>
          <w:highlight w:val="none"/>
        </w:rPr>
      </w:pPr>
    </w:p>
    <w:p w14:paraId="603BACA8">
      <w:pPr>
        <w:shd w:val="clear"/>
        <w:autoSpaceDE w:val="0"/>
        <w:autoSpaceDN w:val="0"/>
        <w:adjustRightInd w:val="0"/>
        <w:spacing w:line="360" w:lineRule="auto"/>
        <w:jc w:val="left"/>
        <w:rPr>
          <w:rFonts w:hint="eastAsia" w:ascii="宋体" w:hAnsi="宋体" w:eastAsia="宋体" w:cs="宋体"/>
          <w:color w:val="auto"/>
          <w:kern w:val="0"/>
          <w:sz w:val="24"/>
          <w:highlight w:val="none"/>
        </w:rPr>
      </w:pPr>
    </w:p>
    <w:p w14:paraId="65AF45BA">
      <w:pPr>
        <w:shd w:val="clear"/>
        <w:autoSpaceDE w:val="0"/>
        <w:autoSpaceDN w:val="0"/>
        <w:adjustRightInd w:val="0"/>
        <w:spacing w:line="360" w:lineRule="auto"/>
        <w:jc w:val="left"/>
        <w:rPr>
          <w:rFonts w:hint="eastAsia" w:ascii="宋体" w:hAnsi="宋体" w:eastAsia="宋体" w:cs="宋体"/>
          <w:color w:val="auto"/>
          <w:kern w:val="0"/>
          <w:sz w:val="24"/>
          <w:highlight w:val="none"/>
        </w:rPr>
      </w:pPr>
    </w:p>
    <w:p w14:paraId="4C9F9637">
      <w:pPr>
        <w:shd w:val="clear"/>
        <w:autoSpaceDE w:val="0"/>
        <w:autoSpaceDN w:val="0"/>
        <w:adjustRightInd w:val="0"/>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姓名：</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性别：</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年龄：</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职务：</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系</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（供应商名称）的法定代表人。</w:t>
      </w:r>
    </w:p>
    <w:p w14:paraId="7D68ADCD">
      <w:pPr>
        <w:shd w:val="clear"/>
        <w:autoSpaceDE w:val="0"/>
        <w:autoSpaceDN w:val="0"/>
        <w:adjustRightInd w:val="0"/>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特此证明。</w:t>
      </w:r>
    </w:p>
    <w:p w14:paraId="0667B4E1">
      <w:pPr>
        <w:shd w:val="clear"/>
        <w:autoSpaceDE w:val="0"/>
        <w:autoSpaceDN w:val="0"/>
        <w:adjustRightInd w:val="0"/>
        <w:spacing w:line="360" w:lineRule="auto"/>
        <w:jc w:val="left"/>
        <w:rPr>
          <w:rFonts w:hint="eastAsia" w:ascii="宋体" w:hAnsi="宋体" w:eastAsia="宋体" w:cs="宋体"/>
          <w:color w:val="auto"/>
          <w:kern w:val="0"/>
          <w:sz w:val="24"/>
          <w:highlight w:val="none"/>
        </w:rPr>
      </w:pPr>
    </w:p>
    <w:p w14:paraId="07D8DD67">
      <w:pPr>
        <w:shd w:val="clear"/>
        <w:autoSpaceDE w:val="0"/>
        <w:autoSpaceDN w:val="0"/>
        <w:adjustRightInd w:val="0"/>
        <w:spacing w:line="360" w:lineRule="auto"/>
        <w:jc w:val="left"/>
        <w:rPr>
          <w:rFonts w:hint="eastAsia" w:ascii="宋体" w:hAnsi="宋体" w:eastAsia="宋体" w:cs="宋体"/>
          <w:color w:val="auto"/>
          <w:kern w:val="0"/>
          <w:sz w:val="24"/>
          <w:highlight w:val="none"/>
        </w:rPr>
      </w:pPr>
    </w:p>
    <w:p w14:paraId="52B08133">
      <w:pPr>
        <w:shd w:val="clear"/>
        <w:autoSpaceDE w:val="0"/>
        <w:autoSpaceDN w:val="0"/>
        <w:adjustRightInd w:val="0"/>
        <w:spacing w:line="360" w:lineRule="auto"/>
        <w:jc w:val="left"/>
        <w:rPr>
          <w:rFonts w:hint="eastAsia" w:ascii="宋体" w:hAnsi="宋体" w:eastAsia="宋体" w:cs="宋体"/>
          <w:color w:val="auto"/>
          <w:kern w:val="0"/>
          <w:sz w:val="24"/>
          <w:highlight w:val="none"/>
        </w:rPr>
      </w:pPr>
    </w:p>
    <w:p w14:paraId="7CF5D69F">
      <w:pPr>
        <w:shd w:val="clear"/>
        <w:autoSpaceDE w:val="0"/>
        <w:autoSpaceDN w:val="0"/>
        <w:adjustRightInd w:val="0"/>
        <w:spacing w:line="360" w:lineRule="auto"/>
        <w:jc w:val="left"/>
        <w:rPr>
          <w:rFonts w:hint="eastAsia" w:ascii="宋体" w:hAnsi="宋体" w:eastAsia="宋体" w:cs="宋体"/>
          <w:color w:val="auto"/>
          <w:kern w:val="0"/>
          <w:sz w:val="24"/>
          <w:highlight w:val="none"/>
        </w:rPr>
      </w:pPr>
    </w:p>
    <w:p w14:paraId="2795D64D">
      <w:pPr>
        <w:shd w:val="clear"/>
        <w:autoSpaceDE w:val="0"/>
        <w:autoSpaceDN w:val="0"/>
        <w:adjustRightInd w:val="0"/>
        <w:spacing w:line="360" w:lineRule="auto"/>
        <w:ind w:left="5399" w:leftChars="2571"/>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           （盖单位章）</w:t>
      </w:r>
    </w:p>
    <w:p w14:paraId="143E0AED">
      <w:pPr>
        <w:shd w:val="clear"/>
        <w:autoSpaceDE w:val="0"/>
        <w:autoSpaceDN w:val="0"/>
        <w:adjustRightInd w:val="0"/>
        <w:spacing w:line="360" w:lineRule="auto"/>
        <w:ind w:left="5399" w:leftChars="2571"/>
        <w:jc w:val="left"/>
        <w:rPr>
          <w:rFonts w:hint="eastAsia" w:ascii="宋体" w:hAnsi="宋体" w:eastAsia="宋体" w:cs="宋体"/>
          <w:color w:val="auto"/>
          <w:kern w:val="0"/>
          <w:sz w:val="24"/>
          <w:highlight w:val="none"/>
        </w:rPr>
      </w:pPr>
    </w:p>
    <w:p w14:paraId="67D2D1BC">
      <w:pPr>
        <w:shd w:val="clear"/>
        <w:autoSpaceDE w:val="0"/>
        <w:autoSpaceDN w:val="0"/>
        <w:adjustRightInd w:val="0"/>
        <w:spacing w:line="360" w:lineRule="auto"/>
        <w:ind w:left="6659" w:leftChars="3171"/>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年 月 日</w:t>
      </w:r>
    </w:p>
    <w:p w14:paraId="76C0C9FF">
      <w:pPr>
        <w:widowControl/>
        <w:shd w:val="clear"/>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br w:type="page"/>
      </w:r>
    </w:p>
    <w:p w14:paraId="3ABDD779">
      <w:pPr>
        <w:pStyle w:val="424"/>
        <w:numPr>
          <w:ilvl w:val="0"/>
          <w:numId w:val="16"/>
        </w:numPr>
        <w:shd w:val="clear"/>
        <w:spacing w:line="360" w:lineRule="auto"/>
        <w:ind w:left="1276" w:hanging="1276" w:firstLineChars="0"/>
        <w:outlineLvl w:val="1"/>
        <w:rPr>
          <w:rFonts w:hint="eastAsia" w:ascii="宋体" w:hAnsi="宋体" w:eastAsia="宋体" w:cs="宋体"/>
          <w:b/>
          <w:color w:val="auto"/>
          <w:sz w:val="24"/>
          <w:highlight w:val="none"/>
        </w:rPr>
      </w:pPr>
      <w:bookmarkStart w:id="506" w:name="_Toc19219"/>
      <w:bookmarkStart w:id="507" w:name="_Toc22622"/>
      <w:r>
        <w:rPr>
          <w:rFonts w:hint="eastAsia" w:ascii="宋体" w:hAnsi="宋体" w:eastAsia="宋体" w:cs="宋体"/>
          <w:b/>
          <w:color w:val="auto"/>
          <w:sz w:val="24"/>
          <w:highlight w:val="none"/>
        </w:rPr>
        <w:t>授权委托书</w:t>
      </w:r>
      <w:bookmarkEnd w:id="506"/>
      <w:bookmarkEnd w:id="507"/>
    </w:p>
    <w:p w14:paraId="49216AFA">
      <w:pPr>
        <w:shd w:val="clear"/>
        <w:autoSpaceDE w:val="0"/>
        <w:autoSpaceDN w:val="0"/>
        <w:adjustRightInd w:val="0"/>
        <w:jc w:val="center"/>
        <w:rPr>
          <w:rFonts w:hint="eastAsia" w:ascii="宋体" w:hAnsi="宋体" w:eastAsia="宋体" w:cs="宋体"/>
          <w:color w:val="auto"/>
          <w:kern w:val="0"/>
          <w:sz w:val="18"/>
          <w:szCs w:val="18"/>
          <w:highlight w:val="none"/>
        </w:rPr>
      </w:pPr>
    </w:p>
    <w:p w14:paraId="0DE4E0C4">
      <w:pPr>
        <w:shd w:val="clear"/>
        <w:autoSpaceDE w:val="0"/>
        <w:autoSpaceDN w:val="0"/>
        <w:adjustRightInd w:val="0"/>
        <w:jc w:val="cente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授权委托书</w:t>
      </w:r>
    </w:p>
    <w:p w14:paraId="6CBD32DD">
      <w:pPr>
        <w:shd w:val="clear"/>
        <w:autoSpaceDE w:val="0"/>
        <w:autoSpaceDN w:val="0"/>
        <w:adjustRightInd w:val="0"/>
        <w:jc w:val="center"/>
        <w:rPr>
          <w:rFonts w:hint="eastAsia" w:ascii="宋体" w:hAnsi="宋体" w:eastAsia="宋体" w:cs="宋体"/>
          <w:color w:val="auto"/>
          <w:kern w:val="0"/>
          <w:sz w:val="28"/>
          <w:szCs w:val="28"/>
          <w:highlight w:val="none"/>
        </w:rPr>
      </w:pPr>
    </w:p>
    <w:p w14:paraId="0EF30E70">
      <w:pPr>
        <w:shd w:val="clear"/>
        <w:autoSpaceDE w:val="0"/>
        <w:autoSpaceDN w:val="0"/>
        <w:adjustRightInd w:val="0"/>
        <w:jc w:val="left"/>
        <w:rPr>
          <w:rFonts w:hint="eastAsia" w:ascii="宋体" w:hAnsi="宋体" w:eastAsia="宋体" w:cs="宋体"/>
          <w:color w:val="auto"/>
          <w:kern w:val="0"/>
          <w:szCs w:val="21"/>
          <w:highlight w:val="none"/>
        </w:rPr>
      </w:pPr>
    </w:p>
    <w:p w14:paraId="36FFA7BF">
      <w:pPr>
        <w:shd w:val="clea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本人</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（姓名）系</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（供应商名称）的法定代表人，现委托</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（姓名）为我方代理人。代理人根据授权，以我方名义签署、澄清、说明、补正、递交、撤回、修改</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（项目名称）响应文件、签订合同和处理有关事宜，其法律后果由我方承担。</w:t>
      </w:r>
    </w:p>
    <w:p w14:paraId="7AD2B25D">
      <w:pPr>
        <w:shd w:val="clea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委托期限：</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w:t>
      </w:r>
    </w:p>
    <w:p w14:paraId="1AD7338E">
      <w:pPr>
        <w:shd w:val="clea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p>
    <w:p w14:paraId="17792CD9">
      <w:pPr>
        <w:shd w:val="clea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代理人无转委托权。</w:t>
      </w:r>
    </w:p>
    <w:p w14:paraId="1B5D6F21">
      <w:pPr>
        <w:shd w:val="clear"/>
        <w:autoSpaceDE w:val="0"/>
        <w:autoSpaceDN w:val="0"/>
        <w:adjustRightInd w:val="0"/>
        <w:spacing w:line="360" w:lineRule="auto"/>
        <w:jc w:val="left"/>
        <w:rPr>
          <w:rFonts w:hint="eastAsia" w:ascii="宋体" w:hAnsi="宋体" w:eastAsia="宋体" w:cs="宋体"/>
          <w:color w:val="auto"/>
          <w:kern w:val="0"/>
          <w:sz w:val="24"/>
          <w:highlight w:val="none"/>
        </w:rPr>
      </w:pPr>
    </w:p>
    <w:p w14:paraId="43ADDAD7">
      <w:pPr>
        <w:shd w:val="clear"/>
        <w:autoSpaceDE w:val="0"/>
        <w:autoSpaceDN w:val="0"/>
        <w:adjustRightInd w:val="0"/>
        <w:spacing w:line="360" w:lineRule="auto"/>
        <w:jc w:val="left"/>
        <w:rPr>
          <w:rFonts w:hint="eastAsia" w:ascii="宋体" w:hAnsi="宋体" w:eastAsia="宋体" w:cs="宋体"/>
          <w:color w:val="auto"/>
          <w:kern w:val="0"/>
          <w:sz w:val="24"/>
          <w:highlight w:val="none"/>
        </w:rPr>
      </w:pPr>
    </w:p>
    <w:p w14:paraId="28070FF6">
      <w:pPr>
        <w:shd w:val="clear"/>
        <w:autoSpaceDE w:val="0"/>
        <w:autoSpaceDN w:val="0"/>
        <w:adjustRightInd w:val="0"/>
        <w:spacing w:line="360" w:lineRule="auto"/>
        <w:jc w:val="left"/>
        <w:rPr>
          <w:rFonts w:hint="eastAsia" w:ascii="宋体" w:hAnsi="宋体" w:eastAsia="宋体" w:cs="宋体"/>
          <w:color w:val="auto"/>
          <w:kern w:val="0"/>
          <w:sz w:val="24"/>
          <w:highlight w:val="none"/>
        </w:rPr>
      </w:pPr>
    </w:p>
    <w:p w14:paraId="09BDC6A4">
      <w:pPr>
        <w:shd w:val="clear"/>
        <w:autoSpaceDE w:val="0"/>
        <w:autoSpaceDN w:val="0"/>
        <w:adjustRightInd w:val="0"/>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附：法定代表人身份证明及被授权人身份证明（</w:t>
      </w:r>
      <w:r>
        <w:rPr>
          <w:rFonts w:hint="eastAsia" w:ascii="宋体" w:hAnsi="宋体" w:cs="宋体"/>
          <w:color w:val="auto"/>
          <w:kern w:val="0"/>
          <w:sz w:val="24"/>
          <w:highlight w:val="none"/>
          <w:lang w:eastAsia="zh-CN"/>
        </w:rPr>
        <w:t>扫描件</w:t>
      </w:r>
      <w:r>
        <w:rPr>
          <w:rFonts w:hint="eastAsia" w:ascii="宋体" w:hAnsi="宋体" w:eastAsia="宋体" w:cs="宋体"/>
          <w:color w:val="auto"/>
          <w:kern w:val="0"/>
          <w:sz w:val="24"/>
          <w:highlight w:val="none"/>
        </w:rPr>
        <w:t>或</w:t>
      </w:r>
      <w:r>
        <w:rPr>
          <w:rFonts w:hint="eastAsia" w:ascii="宋体" w:hAnsi="宋体" w:cs="宋体"/>
          <w:color w:val="auto"/>
          <w:kern w:val="0"/>
          <w:sz w:val="24"/>
          <w:highlight w:val="none"/>
          <w:lang w:eastAsia="zh-CN"/>
        </w:rPr>
        <w:t>扫描件</w:t>
      </w:r>
      <w:r>
        <w:rPr>
          <w:rFonts w:hint="eastAsia" w:ascii="宋体" w:hAnsi="宋体" w:eastAsia="宋体" w:cs="宋体"/>
          <w:color w:val="auto"/>
          <w:kern w:val="0"/>
          <w:sz w:val="24"/>
          <w:highlight w:val="none"/>
        </w:rPr>
        <w:t>）</w:t>
      </w:r>
    </w:p>
    <w:p w14:paraId="1F1A0E54">
      <w:pPr>
        <w:shd w:val="clear"/>
        <w:autoSpaceDE w:val="0"/>
        <w:autoSpaceDN w:val="0"/>
        <w:adjustRightInd w:val="0"/>
        <w:spacing w:line="360" w:lineRule="auto"/>
        <w:jc w:val="left"/>
        <w:rPr>
          <w:rFonts w:hint="eastAsia" w:ascii="宋体" w:hAnsi="宋体" w:eastAsia="宋体" w:cs="宋体"/>
          <w:color w:val="auto"/>
          <w:kern w:val="0"/>
          <w:sz w:val="24"/>
          <w:highlight w:val="none"/>
        </w:rPr>
      </w:pPr>
    </w:p>
    <w:p w14:paraId="40891A71">
      <w:pPr>
        <w:shd w:val="clear"/>
        <w:autoSpaceDE w:val="0"/>
        <w:autoSpaceDN w:val="0"/>
        <w:adjustRightInd w:val="0"/>
        <w:spacing w:line="360" w:lineRule="auto"/>
        <w:jc w:val="left"/>
        <w:rPr>
          <w:rFonts w:hint="eastAsia" w:ascii="宋体" w:hAnsi="宋体" w:eastAsia="宋体" w:cs="宋体"/>
          <w:color w:val="auto"/>
          <w:kern w:val="0"/>
          <w:sz w:val="24"/>
          <w:highlight w:val="none"/>
        </w:rPr>
      </w:pPr>
    </w:p>
    <w:p w14:paraId="5277F6CF">
      <w:pPr>
        <w:shd w:val="clear"/>
        <w:autoSpaceDE w:val="0"/>
        <w:autoSpaceDN w:val="0"/>
        <w:adjustRightInd w:val="0"/>
        <w:spacing w:line="360" w:lineRule="auto"/>
        <w:jc w:val="left"/>
        <w:rPr>
          <w:rFonts w:hint="eastAsia" w:ascii="宋体" w:hAnsi="宋体" w:eastAsia="宋体" w:cs="宋体"/>
          <w:color w:val="auto"/>
          <w:kern w:val="0"/>
          <w:sz w:val="24"/>
          <w:highlight w:val="none"/>
        </w:rPr>
      </w:pPr>
    </w:p>
    <w:p w14:paraId="33004706">
      <w:pPr>
        <w:shd w:val="clear"/>
        <w:autoSpaceDE w:val="0"/>
        <w:autoSpaceDN w:val="0"/>
        <w:adjustRightInd w:val="0"/>
        <w:spacing w:line="360" w:lineRule="auto"/>
        <w:ind w:left="3958" w:leftChars="1885"/>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            （盖单位章）</w:t>
      </w:r>
    </w:p>
    <w:p w14:paraId="2085C564">
      <w:pPr>
        <w:shd w:val="clear"/>
        <w:autoSpaceDE w:val="0"/>
        <w:autoSpaceDN w:val="0"/>
        <w:adjustRightInd w:val="0"/>
        <w:spacing w:line="360" w:lineRule="auto"/>
        <w:ind w:left="3958" w:leftChars="1885"/>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             （签字或盖人名章）</w:t>
      </w:r>
    </w:p>
    <w:p w14:paraId="7E1EECA7">
      <w:pPr>
        <w:shd w:val="clear"/>
        <w:autoSpaceDE w:val="0"/>
        <w:autoSpaceDN w:val="0"/>
        <w:adjustRightInd w:val="0"/>
        <w:spacing w:line="360" w:lineRule="auto"/>
        <w:ind w:left="3958" w:leftChars="1885"/>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身份证号码：</w:t>
      </w:r>
    </w:p>
    <w:p w14:paraId="168D5560">
      <w:pPr>
        <w:shd w:val="clear"/>
        <w:autoSpaceDE w:val="0"/>
        <w:autoSpaceDN w:val="0"/>
        <w:adjustRightInd w:val="0"/>
        <w:spacing w:line="360" w:lineRule="auto"/>
        <w:ind w:left="3958" w:leftChars="1885"/>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委托代理人：              （签字或盖人名章）</w:t>
      </w:r>
    </w:p>
    <w:p w14:paraId="3C4F6F6C">
      <w:pPr>
        <w:shd w:val="clear"/>
        <w:autoSpaceDE w:val="0"/>
        <w:autoSpaceDN w:val="0"/>
        <w:adjustRightInd w:val="0"/>
        <w:spacing w:line="360" w:lineRule="auto"/>
        <w:ind w:left="3958" w:leftChars="1885"/>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身份证号码：</w:t>
      </w:r>
    </w:p>
    <w:p w14:paraId="07B7F5EB">
      <w:pPr>
        <w:shd w:val="clear"/>
        <w:autoSpaceDE w:val="0"/>
        <w:autoSpaceDN w:val="0"/>
        <w:adjustRightInd w:val="0"/>
        <w:spacing w:line="360" w:lineRule="auto"/>
        <w:ind w:left="3958" w:leftChars="1885"/>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年 月 日</w:t>
      </w:r>
    </w:p>
    <w:p w14:paraId="494C7452">
      <w:pP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br w:type="page"/>
      </w:r>
    </w:p>
    <w:p w14:paraId="071D5B1A">
      <w:pPr>
        <w:pStyle w:val="424"/>
        <w:numPr>
          <w:ilvl w:val="0"/>
          <w:numId w:val="16"/>
        </w:numPr>
        <w:shd w:val="clear"/>
        <w:spacing w:line="360" w:lineRule="auto"/>
        <w:ind w:left="1276" w:hanging="1276" w:firstLineChars="0"/>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商务、合同条款偏差表</w:t>
      </w:r>
    </w:p>
    <w:p w14:paraId="67F1294C">
      <w:pPr>
        <w:shd w:val="clear"/>
        <w:spacing w:after="240"/>
        <w:ind w:hanging="119"/>
        <w:rPr>
          <w:rFonts w:hint="eastAsia" w:ascii="宋体" w:hAnsi="宋体" w:eastAsia="宋体" w:cs="宋体"/>
          <w:color w:val="auto"/>
          <w:highlight w:val="none"/>
        </w:rPr>
      </w:pPr>
    </w:p>
    <w:p w14:paraId="796E44B6">
      <w:pPr>
        <w:shd w:val="clear"/>
        <w:spacing w:after="240"/>
        <w:ind w:hanging="119"/>
        <w:jc w:val="center"/>
        <w:outlineLvl w:val="9"/>
        <w:rPr>
          <w:rFonts w:hint="eastAsia" w:ascii="宋体" w:hAnsi="宋体" w:eastAsia="宋体" w:cs="宋体"/>
          <w:color w:val="auto"/>
          <w:highlight w:val="none"/>
          <w:u w:val="single"/>
        </w:rPr>
      </w:pPr>
      <w:bookmarkStart w:id="508" w:name="_Toc26771"/>
      <w:bookmarkStart w:id="509" w:name="_Toc10349"/>
      <w:r>
        <w:rPr>
          <w:rFonts w:hint="eastAsia" w:ascii="宋体" w:hAnsi="宋体" w:eastAsia="宋体" w:cs="宋体"/>
          <w:b/>
          <w:color w:val="auto"/>
          <w:sz w:val="24"/>
          <w:highlight w:val="none"/>
        </w:rPr>
        <w:t>商务、合同条款偏差表</w:t>
      </w:r>
      <w:bookmarkEnd w:id="508"/>
      <w:bookmarkEnd w:id="509"/>
    </w:p>
    <w:tbl>
      <w:tblPr>
        <w:tblStyle w:val="73"/>
        <w:tblW w:w="901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093"/>
        <w:gridCol w:w="3623"/>
        <w:gridCol w:w="1134"/>
        <w:gridCol w:w="851"/>
        <w:gridCol w:w="1310"/>
      </w:tblGrid>
      <w:tr w14:paraId="69DAD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1" w:hRule="atLeast"/>
          <w:jc w:val="center"/>
        </w:trPr>
        <w:tc>
          <w:tcPr>
            <w:tcW w:w="2093" w:type="dxa"/>
          </w:tcPr>
          <w:p w14:paraId="653F7996">
            <w:pPr>
              <w:shd w:val="clear"/>
              <w:spacing w:line="440" w:lineRule="atLeast"/>
              <w:jc w:val="center"/>
              <w:rPr>
                <w:rFonts w:hint="eastAsia" w:ascii="宋体" w:hAnsi="宋体" w:eastAsia="宋体" w:cs="宋体"/>
                <w:color w:val="auto"/>
                <w:highlight w:val="none"/>
              </w:rPr>
            </w:pPr>
            <w:r>
              <w:rPr>
                <w:rFonts w:hint="eastAsia" w:ascii="宋体" w:hAnsi="宋体" w:cs="宋体"/>
                <w:color w:val="auto"/>
                <w:highlight w:val="none"/>
                <w:lang w:eastAsia="zh-CN"/>
              </w:rPr>
              <w:t>磋商</w:t>
            </w:r>
            <w:r>
              <w:rPr>
                <w:rFonts w:hint="eastAsia" w:ascii="宋体" w:hAnsi="宋体" w:eastAsia="宋体" w:cs="宋体"/>
                <w:color w:val="auto"/>
                <w:highlight w:val="none"/>
              </w:rPr>
              <w:t>文件条目号</w:t>
            </w:r>
          </w:p>
        </w:tc>
        <w:tc>
          <w:tcPr>
            <w:tcW w:w="3623" w:type="dxa"/>
          </w:tcPr>
          <w:p w14:paraId="5C987CA8">
            <w:pPr>
              <w:shd w:val="clear"/>
              <w:spacing w:line="440" w:lineRule="atLeast"/>
              <w:jc w:val="center"/>
              <w:rPr>
                <w:rFonts w:hint="eastAsia" w:ascii="宋体" w:hAnsi="宋体" w:eastAsia="宋体" w:cs="宋体"/>
                <w:color w:val="auto"/>
                <w:highlight w:val="none"/>
              </w:rPr>
            </w:pPr>
            <w:r>
              <w:rPr>
                <w:rFonts w:hint="eastAsia" w:ascii="宋体" w:hAnsi="宋体" w:cs="宋体"/>
                <w:color w:val="auto"/>
                <w:highlight w:val="none"/>
                <w:lang w:eastAsia="zh-CN"/>
              </w:rPr>
              <w:t>磋商</w:t>
            </w:r>
            <w:r>
              <w:rPr>
                <w:rFonts w:hint="eastAsia" w:ascii="宋体" w:hAnsi="宋体" w:eastAsia="宋体" w:cs="宋体"/>
                <w:color w:val="auto"/>
                <w:highlight w:val="none"/>
              </w:rPr>
              <w:t>文件的商务、合同条款</w:t>
            </w:r>
          </w:p>
        </w:tc>
        <w:tc>
          <w:tcPr>
            <w:tcW w:w="1134" w:type="dxa"/>
          </w:tcPr>
          <w:p w14:paraId="5B6A73E6">
            <w:pPr>
              <w:shd w:val="clear"/>
              <w:spacing w:line="44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完全响应</w:t>
            </w:r>
          </w:p>
        </w:tc>
        <w:tc>
          <w:tcPr>
            <w:tcW w:w="851" w:type="dxa"/>
          </w:tcPr>
          <w:p w14:paraId="7AEB9297">
            <w:pPr>
              <w:shd w:val="clear"/>
              <w:spacing w:line="44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有偏离</w:t>
            </w:r>
          </w:p>
        </w:tc>
        <w:tc>
          <w:tcPr>
            <w:tcW w:w="1310" w:type="dxa"/>
          </w:tcPr>
          <w:p w14:paraId="42C714B5">
            <w:pPr>
              <w:shd w:val="clear"/>
              <w:spacing w:line="44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偏离简述</w:t>
            </w:r>
          </w:p>
        </w:tc>
      </w:tr>
      <w:tr w14:paraId="6C962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9" w:hRule="atLeast"/>
          <w:jc w:val="center"/>
        </w:trPr>
        <w:tc>
          <w:tcPr>
            <w:tcW w:w="2093" w:type="dxa"/>
          </w:tcPr>
          <w:p w14:paraId="678C8C94">
            <w:pPr>
              <w:shd w:val="clear"/>
              <w:spacing w:line="440" w:lineRule="atLeast"/>
              <w:rPr>
                <w:rFonts w:hint="eastAsia" w:ascii="宋体" w:hAnsi="宋体" w:eastAsia="宋体" w:cs="宋体"/>
                <w:color w:val="auto"/>
                <w:highlight w:val="none"/>
              </w:rPr>
            </w:pPr>
          </w:p>
        </w:tc>
        <w:tc>
          <w:tcPr>
            <w:tcW w:w="3623" w:type="dxa"/>
          </w:tcPr>
          <w:p w14:paraId="5FC756E9">
            <w:pPr>
              <w:shd w:val="clear"/>
              <w:spacing w:line="440" w:lineRule="atLeast"/>
              <w:rPr>
                <w:rFonts w:hint="eastAsia" w:ascii="宋体" w:hAnsi="宋体" w:eastAsia="宋体" w:cs="宋体"/>
                <w:color w:val="auto"/>
                <w:highlight w:val="none"/>
              </w:rPr>
            </w:pPr>
          </w:p>
        </w:tc>
        <w:tc>
          <w:tcPr>
            <w:tcW w:w="1134" w:type="dxa"/>
          </w:tcPr>
          <w:p w14:paraId="1AD4A598">
            <w:pPr>
              <w:shd w:val="clear"/>
              <w:spacing w:line="440" w:lineRule="atLeast"/>
              <w:rPr>
                <w:rFonts w:hint="eastAsia" w:ascii="宋体" w:hAnsi="宋体" w:eastAsia="宋体" w:cs="宋体"/>
                <w:color w:val="auto"/>
                <w:highlight w:val="none"/>
              </w:rPr>
            </w:pPr>
          </w:p>
        </w:tc>
        <w:tc>
          <w:tcPr>
            <w:tcW w:w="851" w:type="dxa"/>
          </w:tcPr>
          <w:p w14:paraId="2E292545">
            <w:pPr>
              <w:shd w:val="clear"/>
              <w:spacing w:line="440" w:lineRule="atLeast"/>
              <w:rPr>
                <w:rFonts w:hint="eastAsia" w:ascii="宋体" w:hAnsi="宋体" w:eastAsia="宋体" w:cs="宋体"/>
                <w:color w:val="auto"/>
                <w:highlight w:val="none"/>
              </w:rPr>
            </w:pPr>
          </w:p>
        </w:tc>
        <w:tc>
          <w:tcPr>
            <w:tcW w:w="1310" w:type="dxa"/>
          </w:tcPr>
          <w:p w14:paraId="1355F3C2">
            <w:pPr>
              <w:shd w:val="clear"/>
              <w:spacing w:line="440" w:lineRule="atLeast"/>
              <w:rPr>
                <w:rFonts w:hint="eastAsia" w:ascii="宋体" w:hAnsi="宋体" w:eastAsia="宋体" w:cs="宋体"/>
                <w:color w:val="auto"/>
                <w:highlight w:val="none"/>
              </w:rPr>
            </w:pPr>
          </w:p>
        </w:tc>
      </w:tr>
      <w:tr w14:paraId="19168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093" w:type="dxa"/>
          </w:tcPr>
          <w:p w14:paraId="7238EF5C">
            <w:pPr>
              <w:shd w:val="clear"/>
              <w:spacing w:line="440" w:lineRule="atLeast"/>
              <w:rPr>
                <w:rFonts w:hint="eastAsia" w:ascii="宋体" w:hAnsi="宋体" w:eastAsia="宋体" w:cs="宋体"/>
                <w:color w:val="auto"/>
                <w:highlight w:val="none"/>
              </w:rPr>
            </w:pPr>
          </w:p>
        </w:tc>
        <w:tc>
          <w:tcPr>
            <w:tcW w:w="3623" w:type="dxa"/>
          </w:tcPr>
          <w:p w14:paraId="37CAA1FC">
            <w:pPr>
              <w:shd w:val="clear"/>
              <w:spacing w:line="440" w:lineRule="atLeast"/>
              <w:rPr>
                <w:rFonts w:hint="eastAsia" w:ascii="宋体" w:hAnsi="宋体" w:eastAsia="宋体" w:cs="宋体"/>
                <w:color w:val="auto"/>
                <w:highlight w:val="none"/>
              </w:rPr>
            </w:pPr>
          </w:p>
        </w:tc>
        <w:tc>
          <w:tcPr>
            <w:tcW w:w="1134" w:type="dxa"/>
          </w:tcPr>
          <w:p w14:paraId="69BF2C2B">
            <w:pPr>
              <w:shd w:val="clear"/>
              <w:spacing w:line="440" w:lineRule="atLeast"/>
              <w:rPr>
                <w:rFonts w:hint="eastAsia" w:ascii="宋体" w:hAnsi="宋体" w:eastAsia="宋体" w:cs="宋体"/>
                <w:color w:val="auto"/>
                <w:highlight w:val="none"/>
              </w:rPr>
            </w:pPr>
          </w:p>
        </w:tc>
        <w:tc>
          <w:tcPr>
            <w:tcW w:w="851" w:type="dxa"/>
          </w:tcPr>
          <w:p w14:paraId="4CFFF30E">
            <w:pPr>
              <w:shd w:val="clear"/>
              <w:spacing w:line="440" w:lineRule="atLeast"/>
              <w:rPr>
                <w:rFonts w:hint="eastAsia" w:ascii="宋体" w:hAnsi="宋体" w:eastAsia="宋体" w:cs="宋体"/>
                <w:color w:val="auto"/>
                <w:highlight w:val="none"/>
              </w:rPr>
            </w:pPr>
          </w:p>
        </w:tc>
        <w:tc>
          <w:tcPr>
            <w:tcW w:w="1310" w:type="dxa"/>
          </w:tcPr>
          <w:p w14:paraId="4A332D21">
            <w:pPr>
              <w:shd w:val="clear"/>
              <w:spacing w:line="440" w:lineRule="atLeast"/>
              <w:rPr>
                <w:rFonts w:hint="eastAsia" w:ascii="宋体" w:hAnsi="宋体" w:eastAsia="宋体" w:cs="宋体"/>
                <w:color w:val="auto"/>
                <w:highlight w:val="none"/>
              </w:rPr>
            </w:pPr>
          </w:p>
        </w:tc>
      </w:tr>
      <w:tr w14:paraId="3DA39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093" w:type="dxa"/>
          </w:tcPr>
          <w:p w14:paraId="6F48378A">
            <w:pPr>
              <w:shd w:val="clear"/>
              <w:spacing w:line="440" w:lineRule="atLeast"/>
              <w:rPr>
                <w:rFonts w:hint="eastAsia" w:ascii="宋体" w:hAnsi="宋体" w:eastAsia="宋体" w:cs="宋体"/>
                <w:color w:val="auto"/>
                <w:highlight w:val="none"/>
              </w:rPr>
            </w:pPr>
          </w:p>
        </w:tc>
        <w:tc>
          <w:tcPr>
            <w:tcW w:w="3623" w:type="dxa"/>
          </w:tcPr>
          <w:p w14:paraId="7B6C01B6">
            <w:pPr>
              <w:shd w:val="clear"/>
              <w:spacing w:line="440" w:lineRule="atLeast"/>
              <w:rPr>
                <w:rFonts w:hint="eastAsia" w:ascii="宋体" w:hAnsi="宋体" w:eastAsia="宋体" w:cs="宋体"/>
                <w:color w:val="auto"/>
                <w:highlight w:val="none"/>
              </w:rPr>
            </w:pPr>
          </w:p>
        </w:tc>
        <w:tc>
          <w:tcPr>
            <w:tcW w:w="1134" w:type="dxa"/>
          </w:tcPr>
          <w:p w14:paraId="24CEA971">
            <w:pPr>
              <w:shd w:val="clear"/>
              <w:spacing w:line="440" w:lineRule="atLeast"/>
              <w:rPr>
                <w:rFonts w:hint="eastAsia" w:ascii="宋体" w:hAnsi="宋体" w:eastAsia="宋体" w:cs="宋体"/>
                <w:color w:val="auto"/>
                <w:highlight w:val="none"/>
              </w:rPr>
            </w:pPr>
          </w:p>
        </w:tc>
        <w:tc>
          <w:tcPr>
            <w:tcW w:w="851" w:type="dxa"/>
          </w:tcPr>
          <w:p w14:paraId="2FD36DDC">
            <w:pPr>
              <w:shd w:val="clear"/>
              <w:spacing w:line="440" w:lineRule="atLeast"/>
              <w:rPr>
                <w:rFonts w:hint="eastAsia" w:ascii="宋体" w:hAnsi="宋体" w:eastAsia="宋体" w:cs="宋体"/>
                <w:color w:val="auto"/>
                <w:highlight w:val="none"/>
              </w:rPr>
            </w:pPr>
          </w:p>
        </w:tc>
        <w:tc>
          <w:tcPr>
            <w:tcW w:w="1310" w:type="dxa"/>
          </w:tcPr>
          <w:p w14:paraId="50D1551F">
            <w:pPr>
              <w:shd w:val="clear"/>
              <w:spacing w:line="440" w:lineRule="atLeast"/>
              <w:rPr>
                <w:rFonts w:hint="eastAsia" w:ascii="宋体" w:hAnsi="宋体" w:eastAsia="宋体" w:cs="宋体"/>
                <w:color w:val="auto"/>
                <w:highlight w:val="none"/>
              </w:rPr>
            </w:pPr>
          </w:p>
        </w:tc>
      </w:tr>
      <w:tr w14:paraId="7E138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093" w:type="dxa"/>
            <w:vAlign w:val="center"/>
          </w:tcPr>
          <w:p w14:paraId="11CD3C3E">
            <w:pPr>
              <w:shd w:val="clear"/>
              <w:spacing w:line="440" w:lineRule="atLeast"/>
              <w:rPr>
                <w:rFonts w:hint="eastAsia" w:ascii="宋体" w:hAnsi="宋体" w:eastAsia="宋体" w:cs="宋体"/>
                <w:color w:val="auto"/>
                <w:highlight w:val="none"/>
              </w:rPr>
            </w:pPr>
          </w:p>
        </w:tc>
        <w:tc>
          <w:tcPr>
            <w:tcW w:w="3623" w:type="dxa"/>
            <w:vAlign w:val="center"/>
          </w:tcPr>
          <w:p w14:paraId="7F55F295">
            <w:pPr>
              <w:shd w:val="clear"/>
              <w:spacing w:line="440" w:lineRule="atLeast"/>
              <w:rPr>
                <w:rFonts w:hint="eastAsia" w:ascii="宋体" w:hAnsi="宋体" w:eastAsia="宋体" w:cs="宋体"/>
                <w:color w:val="auto"/>
                <w:highlight w:val="none"/>
              </w:rPr>
            </w:pPr>
          </w:p>
        </w:tc>
        <w:tc>
          <w:tcPr>
            <w:tcW w:w="1134" w:type="dxa"/>
          </w:tcPr>
          <w:p w14:paraId="36811852">
            <w:pPr>
              <w:shd w:val="clear"/>
              <w:spacing w:line="440" w:lineRule="atLeast"/>
              <w:rPr>
                <w:rFonts w:hint="eastAsia" w:ascii="宋体" w:hAnsi="宋体" w:eastAsia="宋体" w:cs="宋体"/>
                <w:color w:val="auto"/>
                <w:highlight w:val="none"/>
              </w:rPr>
            </w:pPr>
          </w:p>
        </w:tc>
        <w:tc>
          <w:tcPr>
            <w:tcW w:w="851" w:type="dxa"/>
          </w:tcPr>
          <w:p w14:paraId="34938EAD">
            <w:pPr>
              <w:shd w:val="clear"/>
              <w:spacing w:line="440" w:lineRule="atLeast"/>
              <w:rPr>
                <w:rFonts w:hint="eastAsia" w:ascii="宋体" w:hAnsi="宋体" w:eastAsia="宋体" w:cs="宋体"/>
                <w:color w:val="auto"/>
                <w:highlight w:val="none"/>
              </w:rPr>
            </w:pPr>
          </w:p>
        </w:tc>
        <w:tc>
          <w:tcPr>
            <w:tcW w:w="1310" w:type="dxa"/>
          </w:tcPr>
          <w:p w14:paraId="48A47528">
            <w:pPr>
              <w:shd w:val="clear"/>
              <w:spacing w:line="440" w:lineRule="atLeast"/>
              <w:rPr>
                <w:rFonts w:hint="eastAsia" w:ascii="宋体" w:hAnsi="宋体" w:eastAsia="宋体" w:cs="宋体"/>
                <w:color w:val="auto"/>
                <w:highlight w:val="none"/>
              </w:rPr>
            </w:pPr>
          </w:p>
        </w:tc>
      </w:tr>
      <w:tr w14:paraId="7C441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093" w:type="dxa"/>
            <w:vAlign w:val="center"/>
          </w:tcPr>
          <w:p w14:paraId="554D7B28">
            <w:pPr>
              <w:shd w:val="clear"/>
              <w:spacing w:line="440" w:lineRule="atLeast"/>
              <w:rPr>
                <w:rFonts w:hint="eastAsia" w:ascii="宋体" w:hAnsi="宋体" w:eastAsia="宋体" w:cs="宋体"/>
                <w:color w:val="auto"/>
                <w:szCs w:val="21"/>
                <w:highlight w:val="none"/>
              </w:rPr>
            </w:pPr>
          </w:p>
        </w:tc>
        <w:tc>
          <w:tcPr>
            <w:tcW w:w="3623" w:type="dxa"/>
            <w:vAlign w:val="center"/>
          </w:tcPr>
          <w:p w14:paraId="7DFD6400">
            <w:pPr>
              <w:shd w:val="clear"/>
              <w:spacing w:line="440" w:lineRule="atLeast"/>
              <w:rPr>
                <w:rFonts w:hint="eastAsia" w:ascii="宋体" w:hAnsi="宋体" w:eastAsia="宋体" w:cs="宋体"/>
                <w:color w:val="auto"/>
                <w:szCs w:val="21"/>
                <w:highlight w:val="none"/>
              </w:rPr>
            </w:pPr>
          </w:p>
        </w:tc>
        <w:tc>
          <w:tcPr>
            <w:tcW w:w="1134" w:type="dxa"/>
          </w:tcPr>
          <w:p w14:paraId="68A327E0">
            <w:pPr>
              <w:shd w:val="clear"/>
              <w:spacing w:line="440" w:lineRule="atLeast"/>
              <w:rPr>
                <w:rFonts w:hint="eastAsia" w:ascii="宋体" w:hAnsi="宋体" w:eastAsia="宋体" w:cs="宋体"/>
                <w:color w:val="auto"/>
                <w:highlight w:val="none"/>
              </w:rPr>
            </w:pPr>
          </w:p>
        </w:tc>
        <w:tc>
          <w:tcPr>
            <w:tcW w:w="851" w:type="dxa"/>
          </w:tcPr>
          <w:p w14:paraId="16596D66">
            <w:pPr>
              <w:shd w:val="clear"/>
              <w:spacing w:line="440" w:lineRule="atLeast"/>
              <w:rPr>
                <w:rFonts w:hint="eastAsia" w:ascii="宋体" w:hAnsi="宋体" w:eastAsia="宋体" w:cs="宋体"/>
                <w:color w:val="auto"/>
                <w:highlight w:val="none"/>
              </w:rPr>
            </w:pPr>
          </w:p>
        </w:tc>
        <w:tc>
          <w:tcPr>
            <w:tcW w:w="1310" w:type="dxa"/>
          </w:tcPr>
          <w:p w14:paraId="3A9B6486">
            <w:pPr>
              <w:shd w:val="clear"/>
              <w:spacing w:line="440" w:lineRule="atLeast"/>
              <w:rPr>
                <w:rFonts w:hint="eastAsia" w:ascii="宋体" w:hAnsi="宋体" w:eastAsia="宋体" w:cs="宋体"/>
                <w:color w:val="auto"/>
                <w:highlight w:val="none"/>
              </w:rPr>
            </w:pPr>
          </w:p>
        </w:tc>
      </w:tr>
      <w:tr w14:paraId="3D243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093" w:type="dxa"/>
            <w:vAlign w:val="center"/>
          </w:tcPr>
          <w:p w14:paraId="3CC34162">
            <w:pPr>
              <w:shd w:val="clear"/>
              <w:spacing w:line="4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3623" w:type="dxa"/>
            <w:vAlign w:val="center"/>
          </w:tcPr>
          <w:p w14:paraId="5A3CBE4B">
            <w:pPr>
              <w:shd w:val="clear"/>
              <w:spacing w:line="4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1134" w:type="dxa"/>
          </w:tcPr>
          <w:p w14:paraId="76A0EF49">
            <w:pPr>
              <w:shd w:val="clear"/>
              <w:spacing w:line="440" w:lineRule="atLeast"/>
              <w:rPr>
                <w:rFonts w:hint="eastAsia" w:ascii="宋体" w:hAnsi="宋体" w:eastAsia="宋体" w:cs="宋体"/>
                <w:color w:val="auto"/>
                <w:highlight w:val="none"/>
              </w:rPr>
            </w:pPr>
          </w:p>
        </w:tc>
        <w:tc>
          <w:tcPr>
            <w:tcW w:w="851" w:type="dxa"/>
          </w:tcPr>
          <w:p w14:paraId="64A246D2">
            <w:pPr>
              <w:shd w:val="clear"/>
              <w:spacing w:line="440" w:lineRule="atLeast"/>
              <w:rPr>
                <w:rFonts w:hint="eastAsia" w:ascii="宋体" w:hAnsi="宋体" w:eastAsia="宋体" w:cs="宋体"/>
                <w:color w:val="auto"/>
                <w:highlight w:val="none"/>
              </w:rPr>
            </w:pPr>
          </w:p>
        </w:tc>
        <w:tc>
          <w:tcPr>
            <w:tcW w:w="1310" w:type="dxa"/>
          </w:tcPr>
          <w:p w14:paraId="14AFDD52">
            <w:pPr>
              <w:shd w:val="clear"/>
              <w:spacing w:line="440" w:lineRule="atLeast"/>
              <w:rPr>
                <w:rFonts w:hint="eastAsia" w:ascii="宋体" w:hAnsi="宋体" w:eastAsia="宋体" w:cs="宋体"/>
                <w:color w:val="auto"/>
                <w:highlight w:val="none"/>
              </w:rPr>
            </w:pPr>
          </w:p>
        </w:tc>
      </w:tr>
    </w:tbl>
    <w:p w14:paraId="50CD4B42">
      <w:pPr>
        <w:shd w:val="clear"/>
        <w:spacing w:line="288" w:lineRule="auto"/>
        <w:rPr>
          <w:rFonts w:hint="eastAsia" w:ascii="宋体" w:hAnsi="宋体" w:eastAsia="宋体" w:cs="宋体"/>
          <w:bCs/>
          <w:color w:val="auto"/>
          <w:szCs w:val="21"/>
          <w:highlight w:val="none"/>
        </w:rPr>
      </w:pPr>
    </w:p>
    <w:p w14:paraId="4C04343A">
      <w:pPr>
        <w:shd w:val="clear"/>
        <w:spacing w:line="288" w:lineRule="auto"/>
        <w:rPr>
          <w:rFonts w:hint="eastAsia" w:ascii="宋体" w:hAnsi="宋体" w:eastAsia="宋体" w:cs="宋体"/>
          <w:bCs/>
          <w:color w:val="auto"/>
          <w:szCs w:val="21"/>
          <w:highlight w:val="none"/>
        </w:rPr>
      </w:pPr>
    </w:p>
    <w:p w14:paraId="6608A30D">
      <w:pPr>
        <w:shd w:val="clear"/>
        <w:spacing w:line="288"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供应商（盖章）：</w:t>
      </w:r>
    </w:p>
    <w:p w14:paraId="55A54764">
      <w:pPr>
        <w:shd w:val="clear"/>
        <w:spacing w:line="288"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法定代表人或授权委托代理人（签字或盖章）：</w:t>
      </w:r>
    </w:p>
    <w:p w14:paraId="3F250B7C">
      <w:pPr>
        <w:shd w:val="clear"/>
        <w:spacing w:line="288"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日期：</w:t>
      </w:r>
    </w:p>
    <w:p w14:paraId="29AE01A7">
      <w:pPr>
        <w:shd w:val="clear"/>
        <w:rPr>
          <w:rFonts w:hint="eastAsia" w:ascii="宋体" w:hAnsi="宋体" w:eastAsia="宋体" w:cs="宋体"/>
          <w:color w:val="auto"/>
          <w:highlight w:val="none"/>
        </w:rPr>
      </w:pPr>
    </w:p>
    <w:p w14:paraId="47421E8E">
      <w:pPr>
        <w:shd w:val="clear"/>
        <w:snapToGrid w:val="0"/>
        <w:spacing w:afterLines="50"/>
        <w:rPr>
          <w:rFonts w:hint="eastAsia" w:ascii="宋体" w:hAnsi="宋体" w:eastAsia="宋体" w:cs="宋体"/>
          <w:color w:val="auto"/>
          <w:highlight w:val="none"/>
        </w:rPr>
      </w:pPr>
      <w:r>
        <w:rPr>
          <w:rFonts w:hint="eastAsia" w:ascii="宋体" w:hAnsi="宋体" w:eastAsia="宋体" w:cs="宋体"/>
          <w:color w:val="auto"/>
          <w:highlight w:val="none"/>
        </w:rPr>
        <w:t>注：1、</w:t>
      </w:r>
      <w:r>
        <w:rPr>
          <w:rFonts w:hint="eastAsia" w:ascii="宋体" w:hAnsi="宋体" w:eastAsia="宋体" w:cs="宋体"/>
          <w:color w:val="auto"/>
          <w:highlight w:val="none"/>
        </w:rPr>
        <w:tab/>
      </w:r>
      <w:r>
        <w:rPr>
          <w:rFonts w:hint="eastAsia" w:ascii="宋体" w:hAnsi="宋体" w:eastAsia="宋体" w:cs="宋体"/>
          <w:color w:val="auto"/>
          <w:highlight w:val="none"/>
        </w:rPr>
        <w:t>供应商根据本</w:t>
      </w:r>
      <w:r>
        <w:rPr>
          <w:rFonts w:hint="eastAsia" w:ascii="宋体" w:hAnsi="宋体" w:cs="宋体"/>
          <w:color w:val="auto"/>
          <w:highlight w:val="none"/>
          <w:lang w:eastAsia="zh-CN"/>
        </w:rPr>
        <w:t>磋商</w:t>
      </w:r>
      <w:r>
        <w:rPr>
          <w:rFonts w:hint="eastAsia" w:ascii="宋体" w:hAnsi="宋体" w:eastAsia="宋体" w:cs="宋体"/>
          <w:color w:val="auto"/>
          <w:highlight w:val="none"/>
        </w:rPr>
        <w:t>文件的供应商须知及合同条款填写本表；</w:t>
      </w:r>
    </w:p>
    <w:p w14:paraId="098DF1A2">
      <w:pPr>
        <w:shd w:val="clear"/>
        <w:snapToGrid w:val="0"/>
        <w:spacing w:afterLines="50"/>
        <w:ind w:left="850" w:leftChars="203" w:hanging="424" w:hangingChars="202"/>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rPr>
        <w:tab/>
      </w:r>
      <w:r>
        <w:rPr>
          <w:rFonts w:hint="eastAsia" w:ascii="宋体" w:hAnsi="宋体" w:eastAsia="宋体" w:cs="宋体"/>
          <w:color w:val="auto"/>
          <w:highlight w:val="none"/>
        </w:rPr>
        <w:t>对完全响应的条目在下表相应列中标注“O”。对有偏离的条目在本表相应列中标注“正偏离”或“负偏离”。仅可在“完全响应”及“有偏离”中选一标注，同时，当且仅当选取“有偏离”栏中加以标注后，才能在“偏离简述”栏中加以说明。</w:t>
      </w:r>
    </w:p>
    <w:p w14:paraId="2C78C25D">
      <w:pPr>
        <w:shd w:val="clear"/>
        <w:snapToGrid w:val="0"/>
        <w:spacing w:afterLines="50"/>
        <w:ind w:left="850" w:leftChars="203" w:hanging="424" w:hangingChars="202"/>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rPr>
        <w:tab/>
      </w:r>
      <w:r>
        <w:rPr>
          <w:rFonts w:hint="eastAsia" w:ascii="宋体" w:hAnsi="宋体" w:eastAsia="宋体" w:cs="宋体"/>
          <w:color w:val="auto"/>
          <w:highlight w:val="none"/>
        </w:rPr>
        <w:t>正偏离是指应答的条件高于</w:t>
      </w:r>
      <w:r>
        <w:rPr>
          <w:rFonts w:hint="eastAsia" w:ascii="宋体" w:hAnsi="宋体" w:cs="宋体"/>
          <w:color w:val="auto"/>
          <w:highlight w:val="none"/>
          <w:lang w:eastAsia="zh-CN"/>
        </w:rPr>
        <w:t>磋商</w:t>
      </w:r>
      <w:r>
        <w:rPr>
          <w:rFonts w:hint="eastAsia" w:ascii="宋体" w:hAnsi="宋体" w:eastAsia="宋体" w:cs="宋体"/>
          <w:color w:val="auto"/>
          <w:highlight w:val="none"/>
        </w:rPr>
        <w:t>文件要求，负偏离是指应答的条件低于</w:t>
      </w:r>
      <w:r>
        <w:rPr>
          <w:rFonts w:hint="eastAsia" w:ascii="宋体" w:hAnsi="宋体" w:cs="宋体"/>
          <w:color w:val="auto"/>
          <w:highlight w:val="none"/>
          <w:lang w:eastAsia="zh-CN"/>
        </w:rPr>
        <w:t>磋商</w:t>
      </w:r>
      <w:r>
        <w:rPr>
          <w:rFonts w:hint="eastAsia" w:ascii="宋体" w:hAnsi="宋体" w:eastAsia="宋体" w:cs="宋体"/>
          <w:color w:val="auto"/>
          <w:highlight w:val="none"/>
        </w:rPr>
        <w:t>文件要求。</w:t>
      </w:r>
    </w:p>
    <w:p w14:paraId="6EFD811B">
      <w:pPr>
        <w:shd w:val="clear"/>
        <w:snapToGrid w:val="0"/>
        <w:spacing w:afterLines="50"/>
        <w:ind w:left="850" w:leftChars="203" w:hanging="424" w:hangingChars="202"/>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eastAsia="宋体" w:cs="宋体"/>
          <w:color w:val="auto"/>
          <w:highlight w:val="none"/>
        </w:rPr>
        <w:tab/>
      </w:r>
      <w:r>
        <w:rPr>
          <w:rFonts w:hint="eastAsia" w:ascii="宋体" w:hAnsi="宋体" w:eastAsia="宋体" w:cs="宋体"/>
          <w:color w:val="auto"/>
          <w:highlight w:val="none"/>
        </w:rPr>
        <w:t>供应商须完整填写响应表。如果未完整填写本表的各项内容则视作供应商已经对</w:t>
      </w:r>
      <w:r>
        <w:rPr>
          <w:rFonts w:hint="eastAsia" w:ascii="宋体" w:hAnsi="宋体" w:cs="宋体"/>
          <w:color w:val="auto"/>
          <w:highlight w:val="none"/>
          <w:lang w:eastAsia="zh-CN"/>
        </w:rPr>
        <w:t>磋商</w:t>
      </w:r>
      <w:r>
        <w:rPr>
          <w:rFonts w:hint="eastAsia" w:ascii="宋体" w:hAnsi="宋体" w:eastAsia="宋体" w:cs="宋体"/>
          <w:color w:val="auto"/>
          <w:highlight w:val="none"/>
        </w:rPr>
        <w:t>文件相关要求和内容完全理解并同意，其报价为在此基础上的完全价格。</w:t>
      </w:r>
    </w:p>
    <w:p w14:paraId="1EB15079">
      <w:pPr>
        <w:shd w:val="clear"/>
        <w:snapToGrid w:val="0"/>
        <w:spacing w:afterLines="50"/>
        <w:ind w:left="850" w:leftChars="203" w:hanging="424" w:hangingChars="202"/>
        <w:rPr>
          <w:rFonts w:hint="eastAsia" w:ascii="宋体" w:hAnsi="宋体" w:eastAsia="宋体" w:cs="宋体"/>
          <w:color w:val="auto"/>
          <w:highlight w:val="none"/>
        </w:rPr>
      </w:pPr>
      <w:r>
        <w:rPr>
          <w:rFonts w:hint="eastAsia" w:ascii="宋体" w:hAnsi="宋体" w:eastAsia="宋体" w:cs="宋体"/>
          <w:color w:val="auto"/>
          <w:highlight w:val="none"/>
        </w:rPr>
        <w:t>5、</w:t>
      </w:r>
      <w:r>
        <w:rPr>
          <w:rFonts w:hint="eastAsia" w:ascii="宋体" w:hAnsi="宋体" w:eastAsia="宋体" w:cs="宋体"/>
          <w:color w:val="auto"/>
          <w:highlight w:val="none"/>
        </w:rPr>
        <w:tab/>
      </w:r>
      <w:r>
        <w:rPr>
          <w:rFonts w:hint="eastAsia" w:ascii="宋体" w:hAnsi="宋体" w:eastAsia="宋体" w:cs="宋体"/>
          <w:color w:val="auto"/>
          <w:highlight w:val="none"/>
        </w:rPr>
        <w:t>在采购人与成交供应商签订合同时，如成交供应商未在响应文件“响应表”中列出偏离说明，无论已发生或即将发生任何情形，均视为完全符合</w:t>
      </w:r>
      <w:r>
        <w:rPr>
          <w:rFonts w:hint="eastAsia" w:ascii="宋体" w:hAnsi="宋体" w:cs="宋体"/>
          <w:color w:val="auto"/>
          <w:highlight w:val="none"/>
          <w:lang w:eastAsia="zh-CN"/>
        </w:rPr>
        <w:t>磋商</w:t>
      </w:r>
      <w:r>
        <w:rPr>
          <w:rFonts w:hint="eastAsia" w:ascii="宋体" w:hAnsi="宋体" w:eastAsia="宋体" w:cs="宋体"/>
          <w:color w:val="auto"/>
          <w:highlight w:val="none"/>
        </w:rPr>
        <w:t>文件要求，并写入合同。若成交供应商在合同签订前，以上述事项为借口而不履行合同签订手续及执行合同，则视作拒绝与采购人签订合同。</w:t>
      </w:r>
    </w:p>
    <w:p w14:paraId="0F4AAD4D">
      <w:pPr>
        <w:shd w:val="clear"/>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r>
    </w:p>
    <w:p w14:paraId="33BC1A57">
      <w:pPr>
        <w:pStyle w:val="424"/>
        <w:numPr>
          <w:ilvl w:val="0"/>
          <w:numId w:val="16"/>
        </w:numPr>
        <w:shd w:val="clear"/>
        <w:spacing w:line="360" w:lineRule="auto"/>
        <w:ind w:left="1276" w:hanging="1276" w:firstLineChars="0"/>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供应商基本情况表</w:t>
      </w:r>
    </w:p>
    <w:p w14:paraId="0C5FBFBE">
      <w:pPr>
        <w:shd w:val="clear"/>
        <w:rPr>
          <w:rFonts w:hint="eastAsia" w:ascii="宋体" w:hAnsi="宋体" w:eastAsia="宋体" w:cs="宋体"/>
          <w:color w:val="auto"/>
          <w:highlight w:val="none"/>
        </w:rPr>
      </w:pPr>
    </w:p>
    <w:p w14:paraId="73D69377">
      <w:pPr>
        <w:shd w:val="clear"/>
        <w:spacing w:line="360" w:lineRule="auto"/>
        <w:jc w:val="center"/>
        <w:outlineLvl w:val="9"/>
        <w:rPr>
          <w:rFonts w:hint="eastAsia" w:ascii="宋体" w:hAnsi="宋体" w:eastAsia="宋体" w:cs="宋体"/>
          <w:b/>
          <w:color w:val="auto"/>
          <w:sz w:val="24"/>
          <w:highlight w:val="none"/>
        </w:rPr>
      </w:pPr>
      <w:bookmarkStart w:id="510" w:name="_Toc26439"/>
      <w:bookmarkStart w:id="511" w:name="_Toc23898"/>
      <w:r>
        <w:rPr>
          <w:rFonts w:hint="eastAsia" w:ascii="宋体" w:hAnsi="宋体" w:eastAsia="宋体" w:cs="宋体"/>
          <w:b/>
          <w:color w:val="auto"/>
          <w:sz w:val="24"/>
          <w:highlight w:val="none"/>
        </w:rPr>
        <w:t>供应商基本情况表</w:t>
      </w:r>
      <w:bookmarkEnd w:id="510"/>
      <w:bookmarkEnd w:id="511"/>
    </w:p>
    <w:p w14:paraId="650A44B2">
      <w:pPr>
        <w:shd w:val="clear"/>
        <w:spacing w:line="440" w:lineRule="exact"/>
        <w:ind w:firstLine="420" w:firstLineChars="200"/>
        <w:rPr>
          <w:rFonts w:hint="eastAsia" w:ascii="宋体" w:hAnsi="宋体" w:eastAsia="宋体" w:cs="宋体"/>
          <w:color w:val="auto"/>
          <w:highlight w:val="none"/>
        </w:rPr>
      </w:pPr>
    </w:p>
    <w:tbl>
      <w:tblPr>
        <w:tblStyle w:val="73"/>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62"/>
        <w:gridCol w:w="166"/>
        <w:gridCol w:w="3109"/>
        <w:gridCol w:w="151"/>
        <w:gridCol w:w="1333"/>
        <w:gridCol w:w="212"/>
        <w:gridCol w:w="2545"/>
      </w:tblGrid>
      <w:tr w14:paraId="38702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5" w:hRule="atLeast"/>
          <w:jc w:val="center"/>
        </w:trPr>
        <w:tc>
          <w:tcPr>
            <w:tcW w:w="1662" w:type="dxa"/>
            <w:vAlign w:val="center"/>
          </w:tcPr>
          <w:p w14:paraId="3DF033E4">
            <w:pPr>
              <w:shd w:val="clear"/>
              <w:rPr>
                <w:rFonts w:hint="eastAsia" w:ascii="宋体" w:hAnsi="宋体" w:eastAsia="宋体" w:cs="宋体"/>
                <w:color w:val="auto"/>
                <w:sz w:val="24"/>
                <w:highlight w:val="none"/>
              </w:rPr>
            </w:pPr>
            <w:r>
              <w:rPr>
                <w:rFonts w:hint="eastAsia" w:ascii="宋体" w:hAnsi="宋体" w:eastAsia="宋体" w:cs="宋体"/>
                <w:color w:val="auto"/>
                <w:sz w:val="24"/>
                <w:highlight w:val="none"/>
              </w:rPr>
              <w:t>企业名称</w:t>
            </w:r>
          </w:p>
        </w:tc>
        <w:tc>
          <w:tcPr>
            <w:tcW w:w="3426" w:type="dxa"/>
            <w:gridSpan w:val="3"/>
            <w:vAlign w:val="center"/>
          </w:tcPr>
          <w:p w14:paraId="3372B118">
            <w:pPr>
              <w:shd w:val="clear"/>
              <w:rPr>
                <w:rFonts w:hint="eastAsia" w:ascii="宋体" w:hAnsi="宋体" w:eastAsia="宋体" w:cs="宋体"/>
                <w:color w:val="auto"/>
                <w:sz w:val="24"/>
                <w:highlight w:val="none"/>
              </w:rPr>
            </w:pPr>
          </w:p>
        </w:tc>
        <w:tc>
          <w:tcPr>
            <w:tcW w:w="1545" w:type="dxa"/>
            <w:gridSpan w:val="2"/>
            <w:vAlign w:val="center"/>
          </w:tcPr>
          <w:p w14:paraId="1BF14D3C">
            <w:pPr>
              <w:shd w:val="clear"/>
              <w:rPr>
                <w:rFonts w:hint="eastAsia" w:ascii="宋体" w:hAnsi="宋体" w:eastAsia="宋体" w:cs="宋体"/>
                <w:color w:val="auto"/>
                <w:sz w:val="24"/>
                <w:highlight w:val="none"/>
              </w:rPr>
            </w:pPr>
            <w:r>
              <w:rPr>
                <w:rFonts w:hint="eastAsia" w:ascii="宋体" w:hAnsi="宋体" w:eastAsia="宋体" w:cs="宋体"/>
                <w:color w:val="auto"/>
                <w:sz w:val="24"/>
                <w:highlight w:val="none"/>
              </w:rPr>
              <w:t>成立日期</w:t>
            </w:r>
          </w:p>
        </w:tc>
        <w:tc>
          <w:tcPr>
            <w:tcW w:w="2545" w:type="dxa"/>
            <w:vAlign w:val="center"/>
          </w:tcPr>
          <w:p w14:paraId="588ABA66">
            <w:pPr>
              <w:shd w:val="clear"/>
              <w:rPr>
                <w:rFonts w:hint="eastAsia" w:ascii="宋体" w:hAnsi="宋体" w:eastAsia="宋体" w:cs="宋体"/>
                <w:color w:val="auto"/>
                <w:sz w:val="24"/>
                <w:highlight w:val="none"/>
              </w:rPr>
            </w:pPr>
          </w:p>
        </w:tc>
      </w:tr>
      <w:tr w14:paraId="77617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5" w:hRule="atLeast"/>
          <w:jc w:val="center"/>
        </w:trPr>
        <w:tc>
          <w:tcPr>
            <w:tcW w:w="5088" w:type="dxa"/>
            <w:gridSpan w:val="4"/>
            <w:vAlign w:val="center"/>
          </w:tcPr>
          <w:p w14:paraId="43547D5E">
            <w:pPr>
              <w:shd w:val="clear"/>
              <w:rPr>
                <w:rFonts w:hint="eastAsia" w:ascii="宋体" w:hAnsi="宋体" w:eastAsia="宋体" w:cs="宋体"/>
                <w:color w:val="auto"/>
                <w:sz w:val="24"/>
                <w:highlight w:val="none"/>
              </w:rPr>
            </w:pPr>
            <w:r>
              <w:rPr>
                <w:rFonts w:hint="eastAsia" w:ascii="宋体" w:hAnsi="宋体" w:eastAsia="宋体" w:cs="宋体"/>
                <w:color w:val="auto"/>
                <w:sz w:val="24"/>
                <w:highlight w:val="none"/>
              </w:rPr>
              <w:t>统一社会信用代码</w:t>
            </w:r>
          </w:p>
        </w:tc>
        <w:tc>
          <w:tcPr>
            <w:tcW w:w="4090" w:type="dxa"/>
            <w:gridSpan w:val="3"/>
            <w:vAlign w:val="center"/>
          </w:tcPr>
          <w:p w14:paraId="1616F3D5">
            <w:pPr>
              <w:shd w:val="clear"/>
              <w:rPr>
                <w:rFonts w:hint="eastAsia" w:ascii="宋体" w:hAnsi="宋体" w:eastAsia="宋体" w:cs="宋体"/>
                <w:color w:val="auto"/>
                <w:sz w:val="24"/>
                <w:highlight w:val="none"/>
              </w:rPr>
            </w:pPr>
          </w:p>
        </w:tc>
      </w:tr>
      <w:tr w14:paraId="6ECE0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5" w:hRule="atLeast"/>
          <w:jc w:val="center"/>
        </w:trPr>
        <w:tc>
          <w:tcPr>
            <w:tcW w:w="1828" w:type="dxa"/>
            <w:gridSpan w:val="2"/>
            <w:vAlign w:val="center"/>
          </w:tcPr>
          <w:p w14:paraId="638B4D4C">
            <w:pPr>
              <w:shd w:val="clear"/>
              <w:rPr>
                <w:rFonts w:hint="eastAsia" w:ascii="宋体" w:hAnsi="宋体" w:eastAsia="宋体" w:cs="宋体"/>
                <w:color w:val="auto"/>
                <w:sz w:val="24"/>
                <w:highlight w:val="none"/>
              </w:rPr>
            </w:pPr>
            <w:r>
              <w:rPr>
                <w:rFonts w:hint="eastAsia" w:ascii="宋体" w:hAnsi="宋体" w:eastAsia="宋体" w:cs="宋体"/>
                <w:color w:val="auto"/>
                <w:sz w:val="24"/>
                <w:highlight w:val="none"/>
              </w:rPr>
              <w:t>注册资本</w:t>
            </w:r>
          </w:p>
        </w:tc>
        <w:tc>
          <w:tcPr>
            <w:tcW w:w="3260" w:type="dxa"/>
            <w:gridSpan w:val="2"/>
            <w:vAlign w:val="center"/>
          </w:tcPr>
          <w:p w14:paraId="5E96B8A4">
            <w:pPr>
              <w:shd w:val="clear"/>
              <w:rPr>
                <w:rFonts w:hint="eastAsia" w:ascii="宋体" w:hAnsi="宋体" w:eastAsia="宋体" w:cs="宋体"/>
                <w:color w:val="auto"/>
                <w:sz w:val="24"/>
                <w:highlight w:val="none"/>
              </w:rPr>
            </w:pPr>
          </w:p>
        </w:tc>
        <w:tc>
          <w:tcPr>
            <w:tcW w:w="1545" w:type="dxa"/>
            <w:gridSpan w:val="2"/>
            <w:vAlign w:val="center"/>
          </w:tcPr>
          <w:p w14:paraId="68DF1ADA">
            <w:pPr>
              <w:shd w:val="clear"/>
              <w:rPr>
                <w:rFonts w:hint="eastAsia" w:ascii="宋体" w:hAnsi="宋体" w:eastAsia="宋体" w:cs="宋体"/>
                <w:color w:val="auto"/>
                <w:sz w:val="24"/>
                <w:highlight w:val="none"/>
              </w:rPr>
            </w:pPr>
            <w:r>
              <w:rPr>
                <w:rFonts w:hint="eastAsia" w:ascii="宋体" w:hAnsi="宋体" w:eastAsia="宋体" w:cs="宋体"/>
                <w:color w:val="auto"/>
                <w:sz w:val="24"/>
                <w:highlight w:val="none"/>
              </w:rPr>
              <w:t>企业类型</w:t>
            </w:r>
          </w:p>
        </w:tc>
        <w:tc>
          <w:tcPr>
            <w:tcW w:w="2545" w:type="dxa"/>
            <w:vAlign w:val="center"/>
          </w:tcPr>
          <w:p w14:paraId="60201C29">
            <w:pPr>
              <w:shd w:val="clear"/>
              <w:rPr>
                <w:rFonts w:hint="eastAsia" w:ascii="宋体" w:hAnsi="宋体" w:eastAsia="宋体" w:cs="宋体"/>
                <w:color w:val="auto"/>
                <w:sz w:val="24"/>
                <w:highlight w:val="none"/>
              </w:rPr>
            </w:pPr>
          </w:p>
        </w:tc>
      </w:tr>
      <w:tr w14:paraId="39C60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5" w:hRule="atLeast"/>
          <w:jc w:val="center"/>
        </w:trPr>
        <w:tc>
          <w:tcPr>
            <w:tcW w:w="1828" w:type="dxa"/>
            <w:gridSpan w:val="2"/>
            <w:vAlign w:val="center"/>
          </w:tcPr>
          <w:p w14:paraId="5141971F">
            <w:pPr>
              <w:shd w:val="clear"/>
              <w:rPr>
                <w:rFonts w:hint="eastAsia" w:ascii="宋体" w:hAnsi="宋体" w:eastAsia="宋体" w:cs="宋体"/>
                <w:color w:val="auto"/>
                <w:sz w:val="24"/>
                <w:highlight w:val="none"/>
              </w:rPr>
            </w:pPr>
            <w:r>
              <w:rPr>
                <w:rFonts w:hint="eastAsia" w:ascii="宋体" w:hAnsi="宋体" w:eastAsia="宋体" w:cs="宋体"/>
                <w:color w:val="auto"/>
                <w:sz w:val="24"/>
                <w:highlight w:val="none"/>
              </w:rPr>
              <w:t>批准登记机关</w:t>
            </w:r>
          </w:p>
        </w:tc>
        <w:tc>
          <w:tcPr>
            <w:tcW w:w="7350" w:type="dxa"/>
            <w:gridSpan w:val="5"/>
            <w:vAlign w:val="center"/>
          </w:tcPr>
          <w:p w14:paraId="178D9E05">
            <w:pPr>
              <w:shd w:val="clear"/>
              <w:rPr>
                <w:rFonts w:hint="eastAsia" w:ascii="宋体" w:hAnsi="宋体" w:eastAsia="宋体" w:cs="宋体"/>
                <w:color w:val="auto"/>
                <w:sz w:val="24"/>
                <w:highlight w:val="none"/>
              </w:rPr>
            </w:pPr>
          </w:p>
        </w:tc>
      </w:tr>
      <w:tr w14:paraId="75DE6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5" w:hRule="atLeast"/>
          <w:jc w:val="center"/>
        </w:trPr>
        <w:tc>
          <w:tcPr>
            <w:tcW w:w="1828" w:type="dxa"/>
            <w:gridSpan w:val="2"/>
            <w:vAlign w:val="center"/>
          </w:tcPr>
          <w:p w14:paraId="149D7857">
            <w:pPr>
              <w:shd w:val="clea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p>
        </w:tc>
        <w:tc>
          <w:tcPr>
            <w:tcW w:w="3260" w:type="dxa"/>
            <w:gridSpan w:val="2"/>
            <w:vAlign w:val="center"/>
          </w:tcPr>
          <w:p w14:paraId="554B1FE9">
            <w:pPr>
              <w:shd w:val="clear"/>
              <w:rPr>
                <w:rFonts w:hint="eastAsia" w:ascii="宋体" w:hAnsi="宋体" w:eastAsia="宋体" w:cs="宋体"/>
                <w:color w:val="auto"/>
                <w:sz w:val="24"/>
                <w:highlight w:val="none"/>
              </w:rPr>
            </w:pPr>
          </w:p>
        </w:tc>
        <w:tc>
          <w:tcPr>
            <w:tcW w:w="1545" w:type="dxa"/>
            <w:gridSpan w:val="2"/>
            <w:vAlign w:val="center"/>
          </w:tcPr>
          <w:p w14:paraId="70E59543">
            <w:pPr>
              <w:shd w:val="clear"/>
              <w:rPr>
                <w:rFonts w:hint="eastAsia" w:ascii="宋体" w:hAnsi="宋体" w:eastAsia="宋体" w:cs="宋体"/>
                <w:color w:val="auto"/>
                <w:sz w:val="24"/>
                <w:highlight w:val="none"/>
              </w:rPr>
            </w:pPr>
            <w:r>
              <w:rPr>
                <w:rFonts w:hint="eastAsia" w:ascii="宋体" w:hAnsi="宋体" w:eastAsia="宋体" w:cs="宋体"/>
                <w:color w:val="auto"/>
                <w:sz w:val="24"/>
                <w:highlight w:val="none"/>
              </w:rPr>
              <w:t>营业期限</w:t>
            </w:r>
          </w:p>
        </w:tc>
        <w:tc>
          <w:tcPr>
            <w:tcW w:w="2545" w:type="dxa"/>
            <w:vAlign w:val="center"/>
          </w:tcPr>
          <w:p w14:paraId="10986E90">
            <w:pPr>
              <w:shd w:val="clear"/>
              <w:rPr>
                <w:rFonts w:hint="eastAsia" w:ascii="宋体" w:hAnsi="宋体" w:eastAsia="宋体" w:cs="宋体"/>
                <w:color w:val="auto"/>
                <w:sz w:val="24"/>
                <w:highlight w:val="none"/>
              </w:rPr>
            </w:pPr>
          </w:p>
        </w:tc>
      </w:tr>
      <w:tr w14:paraId="1A20A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5" w:hRule="atLeast"/>
          <w:jc w:val="center"/>
        </w:trPr>
        <w:tc>
          <w:tcPr>
            <w:tcW w:w="1828" w:type="dxa"/>
            <w:gridSpan w:val="2"/>
            <w:vAlign w:val="center"/>
          </w:tcPr>
          <w:p w14:paraId="4B9CE9B3">
            <w:pPr>
              <w:shd w:val="clear"/>
              <w:rPr>
                <w:rFonts w:hint="eastAsia" w:ascii="宋体" w:hAnsi="宋体" w:eastAsia="宋体" w:cs="宋体"/>
                <w:color w:val="auto"/>
                <w:sz w:val="24"/>
                <w:highlight w:val="none"/>
              </w:rPr>
            </w:pPr>
            <w:r>
              <w:rPr>
                <w:rFonts w:hint="eastAsia" w:ascii="宋体" w:hAnsi="宋体" w:eastAsia="宋体" w:cs="宋体"/>
                <w:color w:val="auto"/>
                <w:sz w:val="24"/>
                <w:highlight w:val="none"/>
              </w:rPr>
              <w:t>资质类型</w:t>
            </w:r>
          </w:p>
        </w:tc>
        <w:tc>
          <w:tcPr>
            <w:tcW w:w="3260" w:type="dxa"/>
            <w:gridSpan w:val="2"/>
            <w:vAlign w:val="center"/>
          </w:tcPr>
          <w:p w14:paraId="0AC8EB73">
            <w:pPr>
              <w:shd w:val="clear"/>
              <w:rPr>
                <w:rFonts w:hint="eastAsia" w:ascii="宋体" w:hAnsi="宋体" w:eastAsia="宋体" w:cs="宋体"/>
                <w:color w:val="auto"/>
                <w:sz w:val="24"/>
                <w:highlight w:val="none"/>
              </w:rPr>
            </w:pPr>
          </w:p>
        </w:tc>
        <w:tc>
          <w:tcPr>
            <w:tcW w:w="1545" w:type="dxa"/>
            <w:gridSpan w:val="2"/>
            <w:vAlign w:val="center"/>
          </w:tcPr>
          <w:p w14:paraId="748C81F2">
            <w:pPr>
              <w:shd w:val="clear"/>
              <w:rPr>
                <w:rFonts w:hint="eastAsia" w:ascii="宋体" w:hAnsi="宋体" w:eastAsia="宋体" w:cs="宋体"/>
                <w:color w:val="auto"/>
                <w:sz w:val="24"/>
                <w:highlight w:val="none"/>
              </w:rPr>
            </w:pPr>
            <w:r>
              <w:rPr>
                <w:rFonts w:hint="eastAsia" w:ascii="宋体" w:hAnsi="宋体" w:eastAsia="宋体" w:cs="宋体"/>
                <w:color w:val="auto"/>
                <w:sz w:val="24"/>
                <w:highlight w:val="none"/>
              </w:rPr>
              <w:t>资质等级</w:t>
            </w:r>
          </w:p>
        </w:tc>
        <w:tc>
          <w:tcPr>
            <w:tcW w:w="2545" w:type="dxa"/>
            <w:vAlign w:val="center"/>
          </w:tcPr>
          <w:p w14:paraId="6C68431D">
            <w:pPr>
              <w:shd w:val="clear"/>
              <w:rPr>
                <w:rFonts w:hint="eastAsia" w:ascii="宋体" w:hAnsi="宋体" w:eastAsia="宋体" w:cs="宋体"/>
                <w:color w:val="auto"/>
                <w:sz w:val="24"/>
                <w:highlight w:val="none"/>
              </w:rPr>
            </w:pPr>
          </w:p>
        </w:tc>
      </w:tr>
      <w:tr w14:paraId="28905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5" w:hRule="atLeast"/>
          <w:jc w:val="center"/>
        </w:trPr>
        <w:tc>
          <w:tcPr>
            <w:tcW w:w="1828" w:type="dxa"/>
            <w:gridSpan w:val="2"/>
            <w:vAlign w:val="center"/>
          </w:tcPr>
          <w:p w14:paraId="4CCF2F7A">
            <w:pPr>
              <w:shd w:val="clear"/>
              <w:rPr>
                <w:rFonts w:hint="eastAsia" w:ascii="宋体" w:hAnsi="宋体" w:eastAsia="宋体" w:cs="宋体"/>
                <w:color w:val="auto"/>
                <w:sz w:val="24"/>
                <w:highlight w:val="none"/>
              </w:rPr>
            </w:pPr>
            <w:r>
              <w:rPr>
                <w:rFonts w:hint="eastAsia" w:ascii="宋体" w:hAnsi="宋体" w:eastAsia="宋体" w:cs="宋体"/>
                <w:color w:val="auto"/>
                <w:sz w:val="24"/>
                <w:highlight w:val="none"/>
              </w:rPr>
              <w:t>主营业务</w:t>
            </w:r>
          </w:p>
        </w:tc>
        <w:tc>
          <w:tcPr>
            <w:tcW w:w="7350" w:type="dxa"/>
            <w:gridSpan w:val="5"/>
            <w:vAlign w:val="center"/>
          </w:tcPr>
          <w:p w14:paraId="488B15C2">
            <w:pPr>
              <w:shd w:val="clear"/>
              <w:rPr>
                <w:rFonts w:hint="eastAsia" w:ascii="宋体" w:hAnsi="宋体" w:eastAsia="宋体" w:cs="宋体"/>
                <w:color w:val="auto"/>
                <w:sz w:val="24"/>
                <w:highlight w:val="none"/>
              </w:rPr>
            </w:pPr>
          </w:p>
        </w:tc>
      </w:tr>
      <w:tr w14:paraId="39A3A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5" w:hRule="atLeast"/>
          <w:jc w:val="center"/>
        </w:trPr>
        <w:tc>
          <w:tcPr>
            <w:tcW w:w="1828" w:type="dxa"/>
            <w:gridSpan w:val="2"/>
            <w:vAlign w:val="center"/>
          </w:tcPr>
          <w:p w14:paraId="60C6D4BA">
            <w:pPr>
              <w:shd w:val="clear"/>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p>
        </w:tc>
        <w:tc>
          <w:tcPr>
            <w:tcW w:w="7350" w:type="dxa"/>
            <w:gridSpan w:val="5"/>
            <w:vAlign w:val="center"/>
          </w:tcPr>
          <w:p w14:paraId="7DC20352">
            <w:pPr>
              <w:shd w:val="clear"/>
              <w:rPr>
                <w:rFonts w:hint="eastAsia" w:ascii="宋体" w:hAnsi="宋体" w:eastAsia="宋体" w:cs="宋体"/>
                <w:color w:val="auto"/>
                <w:sz w:val="24"/>
                <w:highlight w:val="none"/>
              </w:rPr>
            </w:pPr>
          </w:p>
        </w:tc>
      </w:tr>
      <w:tr w14:paraId="13CF2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5" w:hRule="atLeast"/>
          <w:jc w:val="center"/>
        </w:trPr>
        <w:tc>
          <w:tcPr>
            <w:tcW w:w="1828" w:type="dxa"/>
            <w:gridSpan w:val="2"/>
            <w:vAlign w:val="center"/>
          </w:tcPr>
          <w:p w14:paraId="69B3C490">
            <w:pPr>
              <w:shd w:val="clear"/>
              <w:rPr>
                <w:rFonts w:hint="eastAsia" w:ascii="宋体" w:hAnsi="宋体" w:eastAsia="宋体" w:cs="宋体"/>
                <w:color w:val="auto"/>
                <w:sz w:val="24"/>
                <w:highlight w:val="none"/>
              </w:rPr>
            </w:pPr>
            <w:r>
              <w:rPr>
                <w:rFonts w:hint="eastAsia" w:ascii="宋体" w:hAnsi="宋体" w:eastAsia="宋体" w:cs="宋体"/>
                <w:color w:val="auto"/>
                <w:sz w:val="24"/>
                <w:highlight w:val="none"/>
              </w:rPr>
              <w:t>开户银行</w:t>
            </w:r>
          </w:p>
        </w:tc>
        <w:tc>
          <w:tcPr>
            <w:tcW w:w="7350" w:type="dxa"/>
            <w:gridSpan w:val="5"/>
            <w:vAlign w:val="center"/>
          </w:tcPr>
          <w:p w14:paraId="55D5372B">
            <w:pPr>
              <w:shd w:val="clear"/>
              <w:rPr>
                <w:rFonts w:hint="eastAsia" w:ascii="宋体" w:hAnsi="宋体" w:eastAsia="宋体" w:cs="宋体"/>
                <w:color w:val="auto"/>
                <w:sz w:val="24"/>
                <w:highlight w:val="none"/>
              </w:rPr>
            </w:pPr>
          </w:p>
        </w:tc>
      </w:tr>
      <w:tr w14:paraId="53814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jc w:val="center"/>
        </w:trPr>
        <w:tc>
          <w:tcPr>
            <w:tcW w:w="1828" w:type="dxa"/>
            <w:gridSpan w:val="2"/>
            <w:vAlign w:val="center"/>
          </w:tcPr>
          <w:p w14:paraId="59003A9C">
            <w:pPr>
              <w:shd w:val="clear"/>
              <w:rPr>
                <w:rFonts w:hint="eastAsia" w:ascii="宋体" w:hAnsi="宋体" w:eastAsia="宋体" w:cs="宋体"/>
                <w:color w:val="auto"/>
                <w:sz w:val="24"/>
                <w:highlight w:val="none"/>
              </w:rPr>
            </w:pPr>
            <w:r>
              <w:rPr>
                <w:rFonts w:hint="eastAsia" w:ascii="宋体" w:hAnsi="宋体" w:eastAsia="宋体" w:cs="宋体"/>
                <w:color w:val="auto"/>
                <w:sz w:val="24"/>
                <w:highlight w:val="none"/>
              </w:rPr>
              <w:t>开户行号</w:t>
            </w:r>
          </w:p>
          <w:p w14:paraId="7BBD7037">
            <w:pPr>
              <w:shd w:val="clear"/>
              <w:rPr>
                <w:rFonts w:hint="eastAsia" w:ascii="宋体" w:hAnsi="宋体" w:eastAsia="宋体" w:cs="宋体"/>
                <w:color w:val="auto"/>
                <w:sz w:val="24"/>
                <w:highlight w:val="none"/>
              </w:rPr>
            </w:pPr>
            <w:r>
              <w:rPr>
                <w:rFonts w:hint="eastAsia" w:ascii="宋体" w:hAnsi="宋体" w:eastAsia="宋体" w:cs="宋体"/>
                <w:color w:val="auto"/>
                <w:sz w:val="24"/>
                <w:highlight w:val="none"/>
              </w:rPr>
              <w:t>（如有）</w:t>
            </w:r>
          </w:p>
        </w:tc>
        <w:tc>
          <w:tcPr>
            <w:tcW w:w="7350" w:type="dxa"/>
            <w:gridSpan w:val="5"/>
            <w:vAlign w:val="center"/>
          </w:tcPr>
          <w:p w14:paraId="22EDE36A">
            <w:pPr>
              <w:shd w:val="clear"/>
              <w:rPr>
                <w:rFonts w:hint="eastAsia" w:ascii="宋体" w:hAnsi="宋体" w:eastAsia="宋体" w:cs="宋体"/>
                <w:color w:val="auto"/>
                <w:sz w:val="24"/>
                <w:highlight w:val="none"/>
              </w:rPr>
            </w:pPr>
          </w:p>
        </w:tc>
      </w:tr>
      <w:tr w14:paraId="4FC53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5" w:hRule="atLeast"/>
          <w:jc w:val="center"/>
        </w:trPr>
        <w:tc>
          <w:tcPr>
            <w:tcW w:w="1828" w:type="dxa"/>
            <w:gridSpan w:val="2"/>
            <w:vAlign w:val="center"/>
          </w:tcPr>
          <w:p w14:paraId="77E9B364">
            <w:pPr>
              <w:shd w:val="clear"/>
              <w:rPr>
                <w:rFonts w:hint="eastAsia" w:ascii="宋体" w:hAnsi="宋体" w:eastAsia="宋体" w:cs="宋体"/>
                <w:color w:val="auto"/>
                <w:sz w:val="24"/>
                <w:highlight w:val="none"/>
              </w:rPr>
            </w:pPr>
            <w:r>
              <w:rPr>
                <w:rFonts w:hint="eastAsia" w:ascii="宋体" w:hAnsi="宋体" w:eastAsia="宋体" w:cs="宋体"/>
                <w:color w:val="auto"/>
                <w:sz w:val="24"/>
                <w:highlight w:val="none"/>
              </w:rPr>
              <w:t>银行账号</w:t>
            </w:r>
          </w:p>
        </w:tc>
        <w:tc>
          <w:tcPr>
            <w:tcW w:w="7350" w:type="dxa"/>
            <w:gridSpan w:val="5"/>
            <w:vAlign w:val="center"/>
          </w:tcPr>
          <w:p w14:paraId="457A856A">
            <w:pPr>
              <w:shd w:val="clear"/>
              <w:rPr>
                <w:rFonts w:hint="eastAsia" w:ascii="宋体" w:hAnsi="宋体" w:eastAsia="宋体" w:cs="宋体"/>
                <w:color w:val="auto"/>
                <w:sz w:val="24"/>
                <w:highlight w:val="none"/>
              </w:rPr>
            </w:pPr>
          </w:p>
        </w:tc>
      </w:tr>
      <w:tr w14:paraId="01FF7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5" w:hRule="atLeast"/>
          <w:jc w:val="center"/>
        </w:trPr>
        <w:tc>
          <w:tcPr>
            <w:tcW w:w="1828" w:type="dxa"/>
            <w:gridSpan w:val="2"/>
            <w:vAlign w:val="center"/>
          </w:tcPr>
          <w:p w14:paraId="673AB735">
            <w:pPr>
              <w:shd w:val="clear"/>
              <w:rPr>
                <w:rFonts w:hint="eastAsia" w:ascii="宋体" w:hAnsi="宋体" w:eastAsia="宋体" w:cs="宋体"/>
                <w:color w:val="auto"/>
                <w:sz w:val="24"/>
                <w:highlight w:val="none"/>
              </w:rPr>
            </w:pPr>
            <w:r>
              <w:rPr>
                <w:rFonts w:hint="eastAsia" w:ascii="宋体" w:hAnsi="宋体" w:eastAsia="宋体" w:cs="宋体"/>
                <w:color w:val="auto"/>
                <w:sz w:val="24"/>
                <w:highlight w:val="none"/>
              </w:rPr>
              <w:t>电  话</w:t>
            </w:r>
          </w:p>
        </w:tc>
        <w:tc>
          <w:tcPr>
            <w:tcW w:w="3109" w:type="dxa"/>
            <w:vAlign w:val="center"/>
          </w:tcPr>
          <w:p w14:paraId="62AD9D2E">
            <w:pPr>
              <w:shd w:val="clear"/>
              <w:rPr>
                <w:rFonts w:hint="eastAsia" w:ascii="宋体" w:hAnsi="宋体" w:eastAsia="宋体" w:cs="宋体"/>
                <w:color w:val="auto"/>
                <w:sz w:val="24"/>
                <w:highlight w:val="none"/>
              </w:rPr>
            </w:pPr>
          </w:p>
        </w:tc>
        <w:tc>
          <w:tcPr>
            <w:tcW w:w="1484" w:type="dxa"/>
            <w:gridSpan w:val="2"/>
            <w:vAlign w:val="center"/>
          </w:tcPr>
          <w:p w14:paraId="20E0320B">
            <w:pPr>
              <w:shd w:val="clear"/>
              <w:rPr>
                <w:rFonts w:hint="eastAsia" w:ascii="宋体" w:hAnsi="宋体" w:eastAsia="宋体" w:cs="宋体"/>
                <w:color w:val="auto"/>
                <w:sz w:val="24"/>
                <w:highlight w:val="none"/>
              </w:rPr>
            </w:pPr>
            <w:r>
              <w:rPr>
                <w:rFonts w:hint="eastAsia" w:ascii="宋体" w:hAnsi="宋体" w:eastAsia="宋体" w:cs="宋体"/>
                <w:color w:val="auto"/>
                <w:sz w:val="24"/>
                <w:highlight w:val="none"/>
              </w:rPr>
              <w:t>传  真</w:t>
            </w:r>
          </w:p>
        </w:tc>
        <w:tc>
          <w:tcPr>
            <w:tcW w:w="2757" w:type="dxa"/>
            <w:gridSpan w:val="2"/>
            <w:vAlign w:val="center"/>
          </w:tcPr>
          <w:p w14:paraId="3FB49A3D">
            <w:pPr>
              <w:shd w:val="clear"/>
              <w:rPr>
                <w:rFonts w:hint="eastAsia" w:ascii="宋体" w:hAnsi="宋体" w:eastAsia="宋体" w:cs="宋体"/>
                <w:color w:val="auto"/>
                <w:sz w:val="24"/>
                <w:highlight w:val="none"/>
              </w:rPr>
            </w:pPr>
          </w:p>
        </w:tc>
      </w:tr>
      <w:tr w14:paraId="0529C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5" w:hRule="atLeast"/>
          <w:jc w:val="center"/>
        </w:trPr>
        <w:tc>
          <w:tcPr>
            <w:tcW w:w="1828" w:type="dxa"/>
            <w:gridSpan w:val="2"/>
            <w:vAlign w:val="center"/>
          </w:tcPr>
          <w:p w14:paraId="47B806A2">
            <w:pPr>
              <w:shd w:val="clear"/>
              <w:rPr>
                <w:rFonts w:hint="eastAsia" w:ascii="宋体" w:hAnsi="宋体" w:eastAsia="宋体" w:cs="宋体"/>
                <w:color w:val="auto"/>
                <w:sz w:val="24"/>
                <w:highlight w:val="none"/>
              </w:rPr>
            </w:pPr>
            <w:r>
              <w:rPr>
                <w:rFonts w:hint="eastAsia" w:ascii="宋体" w:hAnsi="宋体" w:eastAsia="宋体" w:cs="宋体"/>
                <w:color w:val="auto"/>
                <w:sz w:val="24"/>
                <w:highlight w:val="none"/>
              </w:rPr>
              <w:t>邮  箱</w:t>
            </w:r>
          </w:p>
        </w:tc>
        <w:tc>
          <w:tcPr>
            <w:tcW w:w="3109" w:type="dxa"/>
            <w:vAlign w:val="center"/>
          </w:tcPr>
          <w:p w14:paraId="3708C28A">
            <w:pPr>
              <w:shd w:val="clear"/>
              <w:rPr>
                <w:rFonts w:hint="eastAsia" w:ascii="宋体" w:hAnsi="宋体" w:eastAsia="宋体" w:cs="宋体"/>
                <w:color w:val="auto"/>
                <w:sz w:val="24"/>
                <w:highlight w:val="none"/>
              </w:rPr>
            </w:pPr>
          </w:p>
        </w:tc>
        <w:tc>
          <w:tcPr>
            <w:tcW w:w="1484" w:type="dxa"/>
            <w:gridSpan w:val="2"/>
            <w:vAlign w:val="center"/>
          </w:tcPr>
          <w:p w14:paraId="0F93213F">
            <w:pPr>
              <w:shd w:val="clear"/>
              <w:rPr>
                <w:rFonts w:hint="eastAsia" w:ascii="宋体" w:hAnsi="宋体" w:eastAsia="宋体" w:cs="宋体"/>
                <w:color w:val="auto"/>
                <w:sz w:val="24"/>
                <w:highlight w:val="none"/>
              </w:rPr>
            </w:pPr>
            <w:r>
              <w:rPr>
                <w:rFonts w:hint="eastAsia" w:ascii="宋体" w:hAnsi="宋体" w:eastAsia="宋体" w:cs="宋体"/>
                <w:color w:val="auto"/>
                <w:sz w:val="24"/>
                <w:highlight w:val="none"/>
              </w:rPr>
              <w:t>邮  编</w:t>
            </w:r>
          </w:p>
        </w:tc>
        <w:tc>
          <w:tcPr>
            <w:tcW w:w="2757" w:type="dxa"/>
            <w:gridSpan w:val="2"/>
            <w:vAlign w:val="center"/>
          </w:tcPr>
          <w:p w14:paraId="4001CCD2">
            <w:pPr>
              <w:shd w:val="clear"/>
              <w:rPr>
                <w:rFonts w:hint="eastAsia" w:ascii="宋体" w:hAnsi="宋体" w:eastAsia="宋体" w:cs="宋体"/>
                <w:color w:val="auto"/>
                <w:sz w:val="24"/>
                <w:highlight w:val="none"/>
              </w:rPr>
            </w:pPr>
          </w:p>
        </w:tc>
      </w:tr>
      <w:tr w14:paraId="0B098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jc w:val="center"/>
        </w:trPr>
        <w:tc>
          <w:tcPr>
            <w:tcW w:w="1828" w:type="dxa"/>
            <w:gridSpan w:val="2"/>
            <w:vAlign w:val="center"/>
          </w:tcPr>
          <w:p w14:paraId="596089F5">
            <w:pPr>
              <w:shd w:val="clear"/>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w:t>
            </w:r>
          </w:p>
        </w:tc>
        <w:tc>
          <w:tcPr>
            <w:tcW w:w="3109" w:type="dxa"/>
            <w:vAlign w:val="center"/>
          </w:tcPr>
          <w:p w14:paraId="21409449">
            <w:pPr>
              <w:shd w:val="clear"/>
              <w:rPr>
                <w:rFonts w:hint="eastAsia" w:ascii="宋体" w:hAnsi="宋体" w:eastAsia="宋体" w:cs="宋体"/>
                <w:color w:val="auto"/>
                <w:sz w:val="24"/>
                <w:highlight w:val="none"/>
              </w:rPr>
            </w:pPr>
          </w:p>
        </w:tc>
        <w:tc>
          <w:tcPr>
            <w:tcW w:w="1484" w:type="dxa"/>
            <w:gridSpan w:val="2"/>
            <w:vAlign w:val="center"/>
          </w:tcPr>
          <w:p w14:paraId="61E54DA4">
            <w:pPr>
              <w:shd w:val="clear"/>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w:t>
            </w:r>
          </w:p>
        </w:tc>
        <w:tc>
          <w:tcPr>
            <w:tcW w:w="2757" w:type="dxa"/>
            <w:gridSpan w:val="2"/>
            <w:vAlign w:val="center"/>
          </w:tcPr>
          <w:p w14:paraId="67653B86">
            <w:pPr>
              <w:shd w:val="clear"/>
              <w:rPr>
                <w:rFonts w:hint="eastAsia" w:ascii="宋体" w:hAnsi="宋体" w:eastAsia="宋体" w:cs="宋体"/>
                <w:color w:val="auto"/>
                <w:sz w:val="24"/>
                <w:highlight w:val="none"/>
              </w:rPr>
            </w:pPr>
          </w:p>
        </w:tc>
      </w:tr>
    </w:tbl>
    <w:p w14:paraId="7B0907EA">
      <w:pPr>
        <w:shd w:val="clear"/>
        <w:spacing w:line="440" w:lineRule="exact"/>
        <w:ind w:firstLine="420" w:firstLineChars="200"/>
        <w:rPr>
          <w:rFonts w:hint="eastAsia" w:ascii="宋体" w:hAnsi="宋体" w:eastAsia="宋体" w:cs="宋体"/>
          <w:color w:val="auto"/>
          <w:highlight w:val="none"/>
        </w:rPr>
      </w:pPr>
    </w:p>
    <w:p w14:paraId="52BBE8ED">
      <w:pPr>
        <w:shd w:val="clear"/>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兹声明上述信息是真实、正确的，并提供了全部能提供的资料和数据；如我方提供的证明材料有虚假情况，愿承担相应后果。</w:t>
      </w:r>
    </w:p>
    <w:p w14:paraId="4A2D2B94">
      <w:pPr>
        <w:shd w:val="clear"/>
        <w:rPr>
          <w:rFonts w:hint="eastAsia" w:ascii="宋体" w:hAnsi="宋体" w:eastAsia="宋体" w:cs="宋体"/>
          <w:color w:val="auto"/>
          <w:highlight w:val="none"/>
        </w:rPr>
      </w:pPr>
    </w:p>
    <w:p w14:paraId="088B3C0E">
      <w:pPr>
        <w:shd w:val="clear"/>
        <w:rPr>
          <w:rFonts w:hint="eastAsia" w:ascii="宋体" w:hAnsi="宋体" w:eastAsia="宋体" w:cs="宋体"/>
          <w:color w:val="auto"/>
          <w:highlight w:val="none"/>
        </w:rPr>
      </w:pPr>
    </w:p>
    <w:p w14:paraId="6739338B">
      <w:pPr>
        <w:shd w:val="clear"/>
        <w:rPr>
          <w:rFonts w:hint="eastAsia" w:ascii="宋体" w:hAnsi="宋体" w:eastAsia="宋体" w:cs="宋体"/>
          <w:color w:val="auto"/>
          <w:highlight w:val="none"/>
        </w:rPr>
      </w:pPr>
    </w:p>
    <w:p w14:paraId="58BA1FAE">
      <w:pPr>
        <w:shd w:val="clear"/>
        <w:spacing w:beforeLines="50" w:line="440" w:lineRule="exact"/>
        <w:ind w:left="460" w:leftChars="21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供应商（盖章）：</w:t>
      </w:r>
    </w:p>
    <w:p w14:paraId="38FF8424">
      <w:pPr>
        <w:shd w:val="clear"/>
        <w:spacing w:beforeLines="50" w:line="440" w:lineRule="exact"/>
        <w:ind w:left="460" w:leftChars="21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法定代表人或授权委托代理人（签字或盖章）：</w:t>
      </w:r>
    </w:p>
    <w:p w14:paraId="48C6E13B">
      <w:pPr>
        <w:shd w:val="clear"/>
        <w:spacing w:beforeLines="50" w:line="440" w:lineRule="exact"/>
        <w:ind w:left="460" w:leftChars="219"/>
        <w:rPr>
          <w:rFonts w:hint="eastAsia" w:ascii="宋体" w:hAnsi="宋体" w:eastAsia="宋体" w:cs="宋体"/>
          <w:b/>
          <w:color w:val="auto"/>
          <w:sz w:val="24"/>
          <w:highlight w:val="none"/>
        </w:rPr>
      </w:pPr>
      <w:r>
        <w:rPr>
          <w:rFonts w:hint="eastAsia" w:ascii="宋体" w:hAnsi="宋体" w:eastAsia="宋体" w:cs="宋体"/>
          <w:b w:val="0"/>
          <w:bCs/>
          <w:color w:val="auto"/>
          <w:sz w:val="24"/>
          <w:highlight w:val="none"/>
        </w:rPr>
        <w:t>日期：</w:t>
      </w:r>
      <w:r>
        <w:rPr>
          <w:rFonts w:hint="eastAsia" w:ascii="宋体" w:hAnsi="宋体" w:eastAsia="宋体" w:cs="宋体"/>
          <w:b/>
          <w:color w:val="auto"/>
          <w:sz w:val="24"/>
          <w:highlight w:val="none"/>
        </w:rPr>
        <w:br w:type="page"/>
      </w:r>
    </w:p>
    <w:p w14:paraId="26053866">
      <w:pPr>
        <w:pStyle w:val="424"/>
        <w:numPr>
          <w:ilvl w:val="0"/>
          <w:numId w:val="16"/>
        </w:numPr>
        <w:shd w:val="clear"/>
        <w:spacing w:line="360" w:lineRule="auto"/>
        <w:ind w:left="1276" w:hanging="1276" w:firstLineChars="0"/>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资格证明文件</w:t>
      </w:r>
    </w:p>
    <w:tbl>
      <w:tblPr>
        <w:tblStyle w:val="73"/>
        <w:tblW w:w="9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3898"/>
        <w:gridCol w:w="5139"/>
      </w:tblGrid>
      <w:tr w14:paraId="599ED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766" w:type="dxa"/>
            <w:vAlign w:val="center"/>
          </w:tcPr>
          <w:p w14:paraId="5E05F2FF">
            <w:pPr>
              <w:shd w:val="clear"/>
              <w:snapToGrid w:val="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3898" w:type="dxa"/>
            <w:vAlign w:val="center"/>
          </w:tcPr>
          <w:p w14:paraId="536F3688">
            <w:pPr>
              <w:shd w:val="clear"/>
              <w:snapToGrid w:val="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评审内容</w:t>
            </w:r>
          </w:p>
        </w:tc>
        <w:tc>
          <w:tcPr>
            <w:tcW w:w="5139" w:type="dxa"/>
            <w:vAlign w:val="center"/>
          </w:tcPr>
          <w:p w14:paraId="7AFDDF32">
            <w:pPr>
              <w:shd w:val="clear"/>
              <w:snapToGrid w:val="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评审合格标准</w:t>
            </w:r>
          </w:p>
        </w:tc>
      </w:tr>
      <w:tr w14:paraId="0DBB7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766" w:type="dxa"/>
            <w:vAlign w:val="center"/>
          </w:tcPr>
          <w:p w14:paraId="0825B76F">
            <w:pPr>
              <w:shd w:val="clear"/>
              <w:snapToGrid w:val="0"/>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w:t>
            </w:r>
          </w:p>
        </w:tc>
        <w:tc>
          <w:tcPr>
            <w:tcW w:w="3898" w:type="dxa"/>
            <w:vAlign w:val="center"/>
          </w:tcPr>
          <w:p w14:paraId="51D1F78E">
            <w:pPr>
              <w:shd w:val="clear"/>
              <w:snapToGrid w:val="0"/>
              <w:jc w:val="left"/>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名称</w:t>
            </w:r>
          </w:p>
        </w:tc>
        <w:tc>
          <w:tcPr>
            <w:tcW w:w="5139" w:type="dxa"/>
            <w:vAlign w:val="center"/>
          </w:tcPr>
          <w:p w14:paraId="475E3277">
            <w:pPr>
              <w:shd w:val="clear"/>
              <w:snapToGrid w:val="0"/>
              <w:jc w:val="left"/>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与</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报名、营业执照一致（符合法定工商变更程序除外）</w:t>
            </w:r>
            <w:r>
              <w:rPr>
                <w:rFonts w:hint="eastAsia" w:ascii="宋体" w:hAnsi="宋体" w:cs="宋体"/>
                <w:color w:val="auto"/>
                <w:sz w:val="24"/>
                <w:szCs w:val="24"/>
                <w:highlight w:val="none"/>
                <w:lang w:eastAsia="zh-CN"/>
              </w:rPr>
              <w:t>。</w:t>
            </w:r>
          </w:p>
          <w:p w14:paraId="1045CD6E">
            <w:pPr>
              <w:shd w:val="clear"/>
              <w:snapToGrid w:val="0"/>
              <w:jc w:val="left"/>
              <w:rPr>
                <w:rFonts w:hint="eastAsia" w:ascii="宋体" w:hAnsi="宋体" w:eastAsia="宋体" w:cs="宋体"/>
                <w:b/>
                <w:color w:val="auto"/>
                <w:sz w:val="24"/>
                <w:szCs w:val="24"/>
                <w:highlight w:val="none"/>
                <w:lang w:eastAsia="zh-CN"/>
              </w:rPr>
            </w:pPr>
            <w:r>
              <w:rPr>
                <w:rFonts w:hint="eastAsia" w:ascii="宋体" w:hAnsi="宋体" w:cs="宋体"/>
                <w:color w:val="auto"/>
                <w:sz w:val="24"/>
                <w:szCs w:val="24"/>
                <w:highlight w:val="none"/>
                <w:lang w:eastAsia="zh-CN"/>
              </w:rPr>
              <w:t>提供</w:t>
            </w:r>
            <w:r>
              <w:rPr>
                <w:rFonts w:hint="eastAsia" w:ascii="宋体" w:hAnsi="宋体" w:eastAsia="宋体" w:cs="宋体"/>
                <w:color w:val="auto"/>
                <w:sz w:val="24"/>
                <w:szCs w:val="24"/>
                <w:highlight w:val="none"/>
              </w:rPr>
              <w:t>营业执照</w:t>
            </w:r>
            <w:r>
              <w:rPr>
                <w:rFonts w:hint="eastAsia" w:ascii="宋体" w:hAnsi="宋体" w:cs="宋体"/>
                <w:color w:val="auto"/>
                <w:sz w:val="24"/>
                <w:szCs w:val="24"/>
                <w:highlight w:val="none"/>
                <w:lang w:eastAsia="zh-CN"/>
              </w:rPr>
              <w:t>扫描件。</w:t>
            </w:r>
          </w:p>
        </w:tc>
      </w:tr>
      <w:tr w14:paraId="007AB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766" w:type="dxa"/>
            <w:vAlign w:val="center"/>
          </w:tcPr>
          <w:p w14:paraId="63D4C8A8">
            <w:pPr>
              <w:shd w:val="clea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898" w:type="dxa"/>
            <w:vAlign w:val="center"/>
          </w:tcPr>
          <w:p w14:paraId="42902A5B">
            <w:pPr>
              <w:shd w:val="clear"/>
              <w:snapToGrid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具有独立承担民事责任的能力</w:t>
            </w:r>
          </w:p>
        </w:tc>
        <w:tc>
          <w:tcPr>
            <w:tcW w:w="5139" w:type="dxa"/>
          </w:tcPr>
          <w:p w14:paraId="75BC3254">
            <w:pPr>
              <w:shd w:val="clear"/>
              <w:snapToGrid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提供了有效的法人或者其他组织的营业执照等证明文件，自然人的身份证明。</w:t>
            </w:r>
          </w:p>
          <w:p w14:paraId="1A299E64">
            <w:pPr>
              <w:shd w:val="clear"/>
              <w:snapToGrid w:val="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提供</w:t>
            </w:r>
            <w:r>
              <w:rPr>
                <w:rFonts w:hint="eastAsia" w:ascii="宋体" w:hAnsi="宋体" w:eastAsia="宋体" w:cs="宋体"/>
                <w:color w:val="auto"/>
                <w:sz w:val="24"/>
                <w:szCs w:val="24"/>
                <w:highlight w:val="none"/>
              </w:rPr>
              <w:t>营业执照</w:t>
            </w:r>
            <w:r>
              <w:rPr>
                <w:rFonts w:hint="eastAsia" w:ascii="宋体" w:hAnsi="宋体" w:cs="宋体"/>
                <w:color w:val="auto"/>
                <w:sz w:val="24"/>
                <w:szCs w:val="24"/>
                <w:highlight w:val="none"/>
                <w:lang w:eastAsia="zh-CN"/>
              </w:rPr>
              <w:t>等法定证明文件扫描件。</w:t>
            </w:r>
          </w:p>
        </w:tc>
      </w:tr>
      <w:tr w14:paraId="74CAB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6" w:hRule="atLeast"/>
          <w:jc w:val="center"/>
        </w:trPr>
        <w:tc>
          <w:tcPr>
            <w:tcW w:w="766" w:type="dxa"/>
            <w:vAlign w:val="center"/>
          </w:tcPr>
          <w:p w14:paraId="2C2299F0">
            <w:pPr>
              <w:shd w:val="clea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898" w:type="dxa"/>
            <w:vAlign w:val="center"/>
          </w:tcPr>
          <w:p w14:paraId="657051DE">
            <w:pPr>
              <w:shd w:val="clear"/>
              <w:snapToGrid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具有健全的财务会计制度</w:t>
            </w:r>
          </w:p>
        </w:tc>
        <w:tc>
          <w:tcPr>
            <w:tcW w:w="5139" w:type="dxa"/>
          </w:tcPr>
          <w:p w14:paraId="7A38E4A6">
            <w:pPr>
              <w:shd w:val="clear"/>
              <w:snapToGrid w:val="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供应商具有健全的财务会计制度，提供下列两项证明材料之一：</w:t>
            </w:r>
          </w:p>
          <w:p w14:paraId="3EE6B91C">
            <w:pPr>
              <w:keepNext w:val="0"/>
              <w:keepLines w:val="0"/>
              <w:pageBreakBefore w:val="0"/>
              <w:widowControl w:val="0"/>
              <w:shd w:val="clear"/>
              <w:kinsoku/>
              <w:wordWrap w:val="0"/>
              <w:overflowPunct/>
              <w:topLinePunct/>
              <w:autoSpaceDE/>
              <w:autoSpaceDN/>
              <w:bidi w:val="0"/>
              <w:adjustRightInd/>
              <w:snapToGrid w:val="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（1）提供近三年（202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至202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年）任意一年第三方审计机构出具的财务审计报告正文和必要的财务报表（至少包括资产负债表、现金流量表、利润表/损益表、附注），根据《财政部关于注册会计师在审计报告上签字盖章有关问题的通知》、《关于加强审计报告查验工作的通知》，2022年及之后的审计报告应在注册会计师行业统一监管平台（网址http://acc.mof.gov.cn）赋二维码，审计报告盖有会计师事务所公章和两名中国注册会计师签名盖章，并附有会计师事务所营业执照、会计师事务所执业证书、注册会计师证书；成立时间不足一个完整会计年度的供应商，</w:t>
            </w:r>
            <w:r>
              <w:rPr>
                <w:rFonts w:hint="eastAsia" w:ascii="宋体" w:hAnsi="宋体" w:cs="宋体"/>
                <w:color w:val="auto"/>
                <w:sz w:val="24"/>
                <w:szCs w:val="24"/>
                <w:highlight w:val="none"/>
                <w:lang w:eastAsia="zh-CN"/>
              </w:rPr>
              <w:t>响应文件</w:t>
            </w:r>
            <w:r>
              <w:rPr>
                <w:rFonts w:hint="eastAsia" w:ascii="宋体" w:hAnsi="宋体" w:eastAsia="宋体" w:cs="宋体"/>
                <w:color w:val="auto"/>
                <w:sz w:val="24"/>
                <w:szCs w:val="24"/>
                <w:highlight w:val="none"/>
                <w:lang w:eastAsia="zh-CN"/>
              </w:rPr>
              <w:t>中提供提交</w:t>
            </w:r>
            <w:r>
              <w:rPr>
                <w:rFonts w:hint="eastAsia" w:ascii="宋体" w:hAnsi="宋体" w:cs="宋体"/>
                <w:color w:val="auto"/>
                <w:sz w:val="24"/>
                <w:szCs w:val="24"/>
                <w:highlight w:val="none"/>
                <w:lang w:eastAsia="zh-CN"/>
              </w:rPr>
              <w:t>响应文件</w:t>
            </w:r>
            <w:r>
              <w:rPr>
                <w:rFonts w:hint="eastAsia" w:ascii="宋体" w:hAnsi="宋体" w:eastAsia="宋体" w:cs="宋体"/>
                <w:color w:val="auto"/>
                <w:sz w:val="24"/>
                <w:szCs w:val="24"/>
                <w:highlight w:val="none"/>
                <w:lang w:eastAsia="zh-CN"/>
              </w:rPr>
              <w:t>截止时间前近三个月内基本开户银行出具的资信证明。请注意2024年9月5日后出具的财务报告财务报表（至少包括资产负债表、现金流量表、利润表/损益表、附注）也应附二维码。（二维码指注册会计师行业统一监管平台赋码，并非会计师事务所自行赋码）</w:t>
            </w:r>
          </w:p>
          <w:p w14:paraId="7790B2E5">
            <w:pPr>
              <w:keepNext w:val="0"/>
              <w:keepLines w:val="0"/>
              <w:pageBreakBefore w:val="0"/>
              <w:widowControl w:val="0"/>
              <w:shd w:val="clear"/>
              <w:kinsoku/>
              <w:wordWrap w:val="0"/>
              <w:overflowPunct/>
              <w:topLinePunct/>
              <w:autoSpaceDE/>
              <w:autoSpaceDN/>
              <w:bidi w:val="0"/>
              <w:adjustRightInd/>
              <w:snapToGrid w:val="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（2）提供具有健全的财务会计制度且财务状况良好的书面承诺函。</w:t>
            </w:r>
          </w:p>
          <w:p w14:paraId="776CA0D2">
            <w:pPr>
              <w:keepNext w:val="0"/>
              <w:keepLines w:val="0"/>
              <w:pageBreakBefore w:val="0"/>
              <w:widowControl w:val="0"/>
              <w:shd w:val="clear"/>
              <w:kinsoku/>
              <w:wordWrap w:val="0"/>
              <w:overflowPunct/>
              <w:topLinePunct/>
              <w:autoSpaceDE/>
              <w:autoSpaceDN/>
              <w:bidi w:val="0"/>
              <w:adjustRightInd/>
              <w:snapToGrid w:val="0"/>
              <w:jc w:val="lef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提供</w:t>
            </w:r>
            <w:r>
              <w:rPr>
                <w:rFonts w:hint="eastAsia" w:ascii="宋体" w:hAnsi="宋体" w:eastAsia="宋体" w:cs="宋体"/>
                <w:color w:val="auto"/>
                <w:sz w:val="24"/>
                <w:szCs w:val="24"/>
                <w:highlight w:val="none"/>
                <w:lang w:eastAsia="zh-CN"/>
              </w:rPr>
              <w:t>近三年（202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年至202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年）任意一年第三方审计机构出具的财务审计报告正文和必要的财务报表（至少包括资产负债表、现金流量表、利润表/损益表、附注），成立时间不足一个完整会计年度的供应商，</w:t>
            </w:r>
            <w:r>
              <w:rPr>
                <w:rFonts w:hint="eastAsia" w:ascii="宋体" w:hAnsi="宋体" w:cs="宋体"/>
                <w:color w:val="auto"/>
                <w:sz w:val="24"/>
                <w:szCs w:val="24"/>
                <w:highlight w:val="none"/>
                <w:lang w:eastAsia="zh-CN"/>
              </w:rPr>
              <w:t>提供</w:t>
            </w:r>
            <w:r>
              <w:rPr>
                <w:rFonts w:hint="eastAsia" w:ascii="宋体" w:hAnsi="宋体" w:eastAsia="宋体" w:cs="宋体"/>
                <w:color w:val="auto"/>
                <w:sz w:val="24"/>
                <w:szCs w:val="24"/>
                <w:highlight w:val="none"/>
                <w:lang w:eastAsia="zh-CN"/>
              </w:rPr>
              <w:t>提交</w:t>
            </w:r>
            <w:r>
              <w:rPr>
                <w:rFonts w:hint="eastAsia" w:ascii="宋体" w:hAnsi="宋体" w:cs="宋体"/>
                <w:color w:val="auto"/>
                <w:sz w:val="24"/>
                <w:szCs w:val="24"/>
                <w:highlight w:val="none"/>
                <w:lang w:eastAsia="zh-CN"/>
              </w:rPr>
              <w:t>响应文件</w:t>
            </w:r>
            <w:r>
              <w:rPr>
                <w:rFonts w:hint="eastAsia" w:ascii="宋体" w:hAnsi="宋体" w:eastAsia="宋体" w:cs="宋体"/>
                <w:color w:val="auto"/>
                <w:sz w:val="24"/>
                <w:szCs w:val="24"/>
                <w:highlight w:val="none"/>
                <w:lang w:eastAsia="zh-CN"/>
              </w:rPr>
              <w:t>截止时间前近三个月内基本开户银行出具的资信证明扫描件；或</w:t>
            </w:r>
            <w:r>
              <w:rPr>
                <w:rFonts w:hint="eastAsia" w:ascii="宋体" w:hAnsi="宋体" w:cs="宋体"/>
                <w:color w:val="auto"/>
                <w:sz w:val="24"/>
                <w:szCs w:val="24"/>
                <w:highlight w:val="none"/>
                <w:lang w:eastAsia="zh-CN"/>
              </w:rPr>
              <w:t>提供</w:t>
            </w:r>
            <w:r>
              <w:rPr>
                <w:rFonts w:hint="eastAsia" w:ascii="宋体" w:hAnsi="宋体" w:eastAsia="宋体" w:cs="宋体"/>
                <w:color w:val="auto"/>
                <w:sz w:val="24"/>
                <w:szCs w:val="24"/>
                <w:highlight w:val="none"/>
                <w:lang w:eastAsia="zh-CN"/>
              </w:rPr>
              <w:t>具有健全的财务会计制度且财务状况良好的书面承诺函（承诺函格式可自拟）。</w:t>
            </w:r>
          </w:p>
        </w:tc>
      </w:tr>
      <w:tr w14:paraId="14F9B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6" w:type="dxa"/>
            <w:vAlign w:val="center"/>
          </w:tcPr>
          <w:p w14:paraId="3E2B1882">
            <w:pPr>
              <w:shd w:val="clea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3898" w:type="dxa"/>
            <w:vAlign w:val="center"/>
          </w:tcPr>
          <w:p w14:paraId="5AD709CD">
            <w:pPr>
              <w:shd w:val="clear"/>
              <w:snapToGrid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具有履行合同所必需的设备和专业技术能力</w:t>
            </w:r>
          </w:p>
        </w:tc>
        <w:tc>
          <w:tcPr>
            <w:tcW w:w="5139" w:type="dxa"/>
          </w:tcPr>
          <w:p w14:paraId="2720728B">
            <w:pPr>
              <w:shd w:val="clear"/>
              <w:snapToGrid w:val="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提供了可充分满足履行合同所需</w:t>
            </w:r>
            <w:r>
              <w:rPr>
                <w:rFonts w:hint="eastAsia" w:ascii="宋体" w:hAnsi="宋体" w:cs="宋体"/>
                <w:color w:val="auto"/>
                <w:sz w:val="24"/>
                <w:szCs w:val="24"/>
                <w:highlight w:val="none"/>
                <w:lang w:eastAsia="zh-CN"/>
              </w:rPr>
              <w:t>的设备</w:t>
            </w:r>
            <w:r>
              <w:rPr>
                <w:rFonts w:hint="eastAsia" w:ascii="宋体" w:hAnsi="宋体" w:eastAsia="宋体" w:cs="宋体"/>
                <w:color w:val="auto"/>
                <w:sz w:val="24"/>
                <w:szCs w:val="24"/>
                <w:highlight w:val="none"/>
              </w:rPr>
              <w:t>和专业技术能力的证明材料或承诺</w:t>
            </w:r>
            <w:r>
              <w:rPr>
                <w:rFonts w:hint="eastAsia" w:ascii="宋体" w:hAnsi="宋体" w:cs="宋体"/>
                <w:color w:val="auto"/>
                <w:sz w:val="24"/>
                <w:szCs w:val="24"/>
                <w:highlight w:val="none"/>
                <w:lang w:eastAsia="zh-CN"/>
              </w:rPr>
              <w:t>。</w:t>
            </w:r>
          </w:p>
          <w:p w14:paraId="69B8F713">
            <w:pPr>
              <w:shd w:val="clear"/>
              <w:snapToGrid w:val="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提供</w:t>
            </w:r>
            <w:r>
              <w:rPr>
                <w:rFonts w:hint="eastAsia" w:ascii="宋体" w:hAnsi="宋体" w:cs="宋体"/>
                <w:color w:val="auto"/>
                <w:sz w:val="24"/>
                <w:szCs w:val="24"/>
                <w:highlight w:val="none"/>
                <w:lang w:val="en-US" w:eastAsia="zh-CN"/>
              </w:rPr>
              <w:t>电子</w:t>
            </w:r>
            <w:r>
              <w:rPr>
                <w:rFonts w:hint="eastAsia" w:ascii="宋体" w:hAnsi="宋体" w:cs="宋体"/>
                <w:color w:val="auto"/>
                <w:sz w:val="24"/>
                <w:szCs w:val="24"/>
                <w:highlight w:val="none"/>
                <w:lang w:eastAsia="zh-CN"/>
              </w:rPr>
              <w:t>原件。</w:t>
            </w:r>
          </w:p>
        </w:tc>
      </w:tr>
      <w:tr w14:paraId="24C76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jc w:val="center"/>
        </w:trPr>
        <w:tc>
          <w:tcPr>
            <w:tcW w:w="766" w:type="dxa"/>
            <w:vAlign w:val="center"/>
          </w:tcPr>
          <w:p w14:paraId="61A73A71">
            <w:pPr>
              <w:shd w:val="clea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3898" w:type="dxa"/>
            <w:vAlign w:val="center"/>
          </w:tcPr>
          <w:p w14:paraId="00A566F2">
            <w:pPr>
              <w:shd w:val="clear"/>
              <w:snapToGrid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有依法缴纳税收和社会保障资金的良好记录</w:t>
            </w:r>
          </w:p>
        </w:tc>
        <w:tc>
          <w:tcPr>
            <w:tcW w:w="5139" w:type="dxa"/>
          </w:tcPr>
          <w:p w14:paraId="4676E51C">
            <w:pPr>
              <w:shd w:val="clear"/>
              <w:snapToGrid w:val="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提供公司2025年1月（含）以来至今任意1个月缴纳税收证明文件（银行出具的缴税凭证或税务机关出具的证明的扫描件）或免税证明，或</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lang w:eastAsia="zh-CN"/>
              </w:rPr>
              <w:t>自行出具的具有良好依法缴税的承诺函。</w:t>
            </w:r>
          </w:p>
          <w:p w14:paraId="5A29D3F1">
            <w:pPr>
              <w:shd w:val="clear"/>
              <w:snapToGrid w:val="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提供公司2025年1月（含）以来至今任意1个月的社会保障资金缴纳记录（其中基本养老保险、基本医疗保险（含生育保险）、工伤保险、失业保险均须依法缴纳）或免缴纳证明，或</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lang w:eastAsia="zh-CN"/>
              </w:rPr>
              <w:t>自行出具的具有良好依法缴纳社会保障资金的承诺函。</w:t>
            </w:r>
          </w:p>
          <w:p w14:paraId="76E53D7D">
            <w:pPr>
              <w:shd w:val="clear"/>
              <w:snapToGrid w:val="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提供</w:t>
            </w:r>
            <w:r>
              <w:rPr>
                <w:rFonts w:hint="eastAsia" w:ascii="宋体" w:hAnsi="宋体" w:eastAsia="宋体" w:cs="宋体"/>
                <w:color w:val="auto"/>
                <w:sz w:val="24"/>
                <w:szCs w:val="24"/>
                <w:highlight w:val="none"/>
                <w:lang w:eastAsia="zh-CN"/>
              </w:rPr>
              <w:t>本款</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和</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要求的材料（承诺函格式可自拟）。</w:t>
            </w:r>
          </w:p>
        </w:tc>
      </w:tr>
      <w:tr w14:paraId="3E18E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766" w:type="dxa"/>
            <w:vAlign w:val="center"/>
          </w:tcPr>
          <w:p w14:paraId="3B42C936">
            <w:pPr>
              <w:shd w:val="clea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3898" w:type="dxa"/>
            <w:vAlign w:val="center"/>
          </w:tcPr>
          <w:p w14:paraId="06337C9E">
            <w:pPr>
              <w:shd w:val="clear"/>
              <w:snapToGrid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参加政府采购活动前三年内，在经营活动中没有重大违法记录</w:t>
            </w:r>
          </w:p>
        </w:tc>
        <w:tc>
          <w:tcPr>
            <w:tcW w:w="5139" w:type="dxa"/>
          </w:tcPr>
          <w:p w14:paraId="4AFC48E2">
            <w:pPr>
              <w:shd w:val="clear"/>
              <w:snapToGrid w:val="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提供了有效的参加政府采购活动前3年内在经营活动中没有重大违法记录的书面声明</w:t>
            </w:r>
            <w:r>
              <w:rPr>
                <w:rFonts w:hint="eastAsia" w:ascii="宋体" w:hAnsi="宋体" w:cs="宋体"/>
                <w:color w:val="auto"/>
                <w:sz w:val="24"/>
                <w:szCs w:val="24"/>
                <w:highlight w:val="none"/>
                <w:lang w:eastAsia="zh-CN"/>
              </w:rPr>
              <w:t>。</w:t>
            </w:r>
          </w:p>
          <w:p w14:paraId="1C33CF15">
            <w:pPr>
              <w:shd w:val="clear"/>
              <w:snapToGrid w:val="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提供</w:t>
            </w:r>
            <w:r>
              <w:rPr>
                <w:rFonts w:hint="eastAsia" w:ascii="宋体" w:hAnsi="宋体" w:cs="宋体"/>
                <w:color w:val="auto"/>
                <w:sz w:val="24"/>
                <w:szCs w:val="24"/>
                <w:highlight w:val="none"/>
                <w:lang w:val="en-US" w:eastAsia="zh-CN"/>
              </w:rPr>
              <w:t>电子</w:t>
            </w:r>
            <w:r>
              <w:rPr>
                <w:rFonts w:hint="eastAsia" w:ascii="宋体" w:hAnsi="宋体" w:cs="宋体"/>
                <w:color w:val="auto"/>
                <w:sz w:val="24"/>
                <w:szCs w:val="24"/>
                <w:highlight w:val="none"/>
                <w:lang w:eastAsia="zh-CN"/>
              </w:rPr>
              <w:t>原件。</w:t>
            </w:r>
          </w:p>
        </w:tc>
      </w:tr>
      <w:tr w14:paraId="36049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66" w:type="dxa"/>
            <w:vAlign w:val="center"/>
          </w:tcPr>
          <w:p w14:paraId="29CA134B">
            <w:pPr>
              <w:shd w:val="clea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3898" w:type="dxa"/>
            <w:vAlign w:val="center"/>
          </w:tcPr>
          <w:p w14:paraId="4C1D1E76">
            <w:pPr>
              <w:shd w:val="clear"/>
              <w:snapToGrid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“信用中国”网站和中国政府采购网（www.ccgp.gov.cn）查询记录</w:t>
            </w:r>
          </w:p>
        </w:tc>
        <w:tc>
          <w:tcPr>
            <w:tcW w:w="5139" w:type="dxa"/>
          </w:tcPr>
          <w:p w14:paraId="5447E23F">
            <w:pPr>
              <w:keepNext w:val="0"/>
              <w:keepLines w:val="0"/>
              <w:pageBreakBefore w:val="0"/>
              <w:widowControl w:val="0"/>
              <w:shd w:val="clear"/>
              <w:kinsoku/>
              <w:wordWrap w:val="0"/>
              <w:overflowPunct/>
              <w:topLinePunct/>
              <w:autoSpaceDE/>
              <w:autoSpaceDN/>
              <w:bidi w:val="0"/>
              <w:adjustRightInd/>
              <w:snapToGrid w:val="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未被“信用中国”网站（www.creditchina.gov.cn）中列入失信被执行人、重大税收违法失信主体的供应商；未被中国政府采购网（www.ccgp.gov.cn）列入政府采购严重违法失信行为记录名单中被财政部门禁止参加政府采购活动的供应商</w:t>
            </w:r>
            <w:r>
              <w:rPr>
                <w:rFonts w:hint="eastAsia" w:ascii="宋体" w:hAnsi="宋体" w:cs="宋体"/>
                <w:color w:val="auto"/>
                <w:sz w:val="24"/>
                <w:szCs w:val="24"/>
                <w:highlight w:val="none"/>
                <w:lang w:eastAsia="zh-CN"/>
              </w:rPr>
              <w:t>。</w:t>
            </w:r>
          </w:p>
          <w:p w14:paraId="4DA48C25">
            <w:pPr>
              <w:keepNext w:val="0"/>
              <w:keepLines w:val="0"/>
              <w:pageBreakBefore w:val="0"/>
              <w:widowControl w:val="0"/>
              <w:shd w:val="clear"/>
              <w:kinsoku/>
              <w:wordWrap w:val="0"/>
              <w:overflowPunct/>
              <w:topLinePunct/>
              <w:autoSpaceDE/>
              <w:autoSpaceDN/>
              <w:bidi w:val="0"/>
              <w:adjustRightInd/>
              <w:snapToGrid w:val="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由采购代理机构统一查询</w:t>
            </w:r>
            <w:r>
              <w:rPr>
                <w:rFonts w:hint="eastAsia" w:ascii="宋体" w:hAnsi="宋体" w:cs="宋体"/>
                <w:color w:val="auto"/>
                <w:sz w:val="24"/>
                <w:szCs w:val="24"/>
                <w:highlight w:val="none"/>
                <w:lang w:eastAsia="zh-CN"/>
              </w:rPr>
              <w:t>后提交磋商小组。</w:t>
            </w:r>
          </w:p>
        </w:tc>
      </w:tr>
      <w:tr w14:paraId="59329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766" w:type="dxa"/>
            <w:vAlign w:val="center"/>
          </w:tcPr>
          <w:p w14:paraId="2285136A">
            <w:pPr>
              <w:shd w:val="clea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3898" w:type="dxa"/>
            <w:vAlign w:val="center"/>
          </w:tcPr>
          <w:p w14:paraId="180C6A77">
            <w:pPr>
              <w:shd w:val="clear"/>
              <w:snapToGrid w:val="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单位负责人为同一人或者存在直接控股、管理关系的不同供应商，不得参加同一合同项下的政府采购活动。</w:t>
            </w:r>
          </w:p>
        </w:tc>
        <w:tc>
          <w:tcPr>
            <w:tcW w:w="5139" w:type="dxa"/>
            <w:vAlign w:val="center"/>
          </w:tcPr>
          <w:p w14:paraId="1BF072D9">
            <w:pPr>
              <w:shd w:val="clear"/>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提供了“</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关联企业情况声明”。各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之间不存在单位负责人为同一人或者</w:t>
            </w:r>
            <w:r>
              <w:rPr>
                <w:rFonts w:hint="eastAsia" w:ascii="宋体" w:hAnsi="宋体" w:cs="宋体"/>
                <w:color w:val="auto"/>
                <w:sz w:val="24"/>
                <w:szCs w:val="24"/>
                <w:highlight w:val="none"/>
                <w:lang w:eastAsia="zh-CN"/>
              </w:rPr>
              <w:t>存在直接控股</w:t>
            </w:r>
            <w:r>
              <w:rPr>
                <w:rFonts w:hint="eastAsia" w:ascii="宋体" w:hAnsi="宋体" w:eastAsia="宋体" w:cs="宋体"/>
                <w:color w:val="auto"/>
                <w:sz w:val="24"/>
                <w:szCs w:val="24"/>
                <w:highlight w:val="none"/>
              </w:rPr>
              <w:t>、管理关系情形。</w:t>
            </w:r>
          </w:p>
          <w:p w14:paraId="694A8F8B">
            <w:pPr>
              <w:shd w:val="clear"/>
              <w:snapToGrid w:val="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提供</w:t>
            </w:r>
            <w:r>
              <w:rPr>
                <w:rFonts w:hint="eastAsia" w:ascii="宋体" w:hAnsi="宋体" w:cs="宋体"/>
                <w:color w:val="auto"/>
                <w:sz w:val="24"/>
                <w:szCs w:val="24"/>
                <w:highlight w:val="none"/>
                <w:lang w:val="en-US" w:eastAsia="zh-CN"/>
              </w:rPr>
              <w:t>电子</w:t>
            </w:r>
            <w:r>
              <w:rPr>
                <w:rFonts w:hint="eastAsia" w:ascii="宋体" w:hAnsi="宋体" w:cs="宋体"/>
                <w:color w:val="auto"/>
                <w:sz w:val="24"/>
                <w:szCs w:val="24"/>
                <w:highlight w:val="none"/>
                <w:lang w:eastAsia="zh-CN"/>
              </w:rPr>
              <w:t>原件。</w:t>
            </w:r>
          </w:p>
        </w:tc>
      </w:tr>
      <w:tr w14:paraId="13D54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766" w:type="dxa"/>
            <w:vAlign w:val="center"/>
          </w:tcPr>
          <w:p w14:paraId="287F2F2F">
            <w:pPr>
              <w:shd w:val="clea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3898" w:type="dxa"/>
            <w:vAlign w:val="center"/>
          </w:tcPr>
          <w:p w14:paraId="13D39407">
            <w:pPr>
              <w:shd w:val="clear"/>
              <w:snapToGrid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为本项目提供整体设计、规范编制或者项目管理、监理、检测等服务的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，不得再参加本项目</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w:t>
            </w:r>
          </w:p>
        </w:tc>
        <w:tc>
          <w:tcPr>
            <w:tcW w:w="5139" w:type="dxa"/>
            <w:vAlign w:val="center"/>
          </w:tcPr>
          <w:p w14:paraId="11D90077">
            <w:pPr>
              <w:shd w:val="clear"/>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提供了</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未为本项目提供整体设计、规范编制或者项目管理、监理、检测等服务的声明。</w:t>
            </w:r>
          </w:p>
          <w:p w14:paraId="1ADD04DF">
            <w:pPr>
              <w:shd w:val="clear"/>
              <w:snapToGrid w:val="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提供</w:t>
            </w:r>
            <w:r>
              <w:rPr>
                <w:rFonts w:hint="eastAsia" w:ascii="宋体" w:hAnsi="宋体" w:cs="宋体"/>
                <w:color w:val="auto"/>
                <w:sz w:val="24"/>
                <w:szCs w:val="24"/>
                <w:highlight w:val="none"/>
                <w:lang w:val="en-US" w:eastAsia="zh-CN"/>
              </w:rPr>
              <w:t>电子</w:t>
            </w:r>
            <w:r>
              <w:rPr>
                <w:rFonts w:hint="eastAsia" w:ascii="宋体" w:hAnsi="宋体" w:cs="宋体"/>
                <w:color w:val="auto"/>
                <w:sz w:val="24"/>
                <w:szCs w:val="24"/>
                <w:highlight w:val="none"/>
                <w:lang w:eastAsia="zh-CN"/>
              </w:rPr>
              <w:t>原件。</w:t>
            </w:r>
          </w:p>
        </w:tc>
      </w:tr>
      <w:tr w14:paraId="1F2A5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66" w:type="dxa"/>
            <w:vAlign w:val="center"/>
          </w:tcPr>
          <w:p w14:paraId="6B13B19D">
            <w:pPr>
              <w:shd w:val="clea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3898" w:type="dxa"/>
            <w:vAlign w:val="center"/>
          </w:tcPr>
          <w:p w14:paraId="07D8D132">
            <w:pPr>
              <w:shd w:val="clear"/>
              <w:snapToGrid w:val="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联合体</w:t>
            </w:r>
          </w:p>
        </w:tc>
        <w:tc>
          <w:tcPr>
            <w:tcW w:w="5139" w:type="dxa"/>
            <w:vAlign w:val="center"/>
          </w:tcPr>
          <w:p w14:paraId="1D17D242">
            <w:pPr>
              <w:shd w:val="clear"/>
              <w:snapToGrid w:val="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非</w:t>
            </w:r>
            <w:r>
              <w:rPr>
                <w:rFonts w:hint="eastAsia" w:ascii="宋体" w:hAnsi="宋体" w:eastAsia="宋体" w:cs="宋体"/>
                <w:color w:val="auto"/>
                <w:sz w:val="24"/>
                <w:szCs w:val="24"/>
                <w:highlight w:val="none"/>
                <w:lang w:eastAsia="zh-CN"/>
              </w:rPr>
              <w:t>联合体</w:t>
            </w:r>
            <w:r>
              <w:rPr>
                <w:rFonts w:hint="eastAsia" w:ascii="宋体" w:hAnsi="宋体" w:cs="宋体"/>
                <w:color w:val="auto"/>
                <w:sz w:val="24"/>
                <w:szCs w:val="24"/>
                <w:highlight w:val="none"/>
                <w:lang w:eastAsia="zh-CN"/>
              </w:rPr>
              <w:t>磋商。</w:t>
            </w:r>
          </w:p>
        </w:tc>
      </w:tr>
      <w:tr w14:paraId="5B3A7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66" w:type="dxa"/>
            <w:vAlign w:val="center"/>
          </w:tcPr>
          <w:p w14:paraId="111DB9A6">
            <w:pPr>
              <w:shd w:val="clear"/>
              <w:snapToGrid w:val="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w:t>
            </w:r>
          </w:p>
        </w:tc>
        <w:tc>
          <w:tcPr>
            <w:tcW w:w="3898" w:type="dxa"/>
            <w:vAlign w:val="center"/>
          </w:tcPr>
          <w:p w14:paraId="6239B35D">
            <w:pPr>
              <w:shd w:val="clear"/>
              <w:snapToGrid w:val="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中小企业资格</w:t>
            </w:r>
          </w:p>
        </w:tc>
        <w:tc>
          <w:tcPr>
            <w:tcW w:w="5139" w:type="dxa"/>
            <w:vAlign w:val="center"/>
          </w:tcPr>
          <w:p w14:paraId="5BF5EC1E">
            <w:pPr>
              <w:shd w:val="clear"/>
              <w:snapToGrid w:val="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根据财政部、工业和信息化部关于印发《政府采购促进中小企业发展管理办法》的通知(财库(2020)46号)等相关文件要求，本项目专门面向中型企业、小型企业、微型企业、残疾人福利性单位、监狱企业进行采购。(符合要求的供应商须提供《中小企业声明函》或《残疾人福利性单位声明函》或属于监狱企业的证明文件，否则响应无效)</w:t>
            </w:r>
          </w:p>
          <w:p w14:paraId="062FA9AC">
            <w:pPr>
              <w:shd w:val="clear"/>
              <w:snapToGrid w:val="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提供</w:t>
            </w:r>
            <w:r>
              <w:rPr>
                <w:rFonts w:hint="eastAsia" w:ascii="宋体" w:hAnsi="宋体" w:cs="宋体"/>
                <w:color w:val="auto"/>
                <w:sz w:val="24"/>
                <w:szCs w:val="24"/>
                <w:highlight w:val="none"/>
                <w:lang w:val="en-US" w:eastAsia="zh-CN"/>
              </w:rPr>
              <w:t>中型企业、小型企业、微型企业、残疾人福利性单位、监狱企业证明材料。</w:t>
            </w:r>
          </w:p>
        </w:tc>
      </w:tr>
      <w:tr w14:paraId="5C046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66" w:type="dxa"/>
            <w:vAlign w:val="center"/>
          </w:tcPr>
          <w:p w14:paraId="55212F6C">
            <w:pPr>
              <w:shd w:val="clear"/>
              <w:snapToGrid w:val="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w:t>
            </w:r>
          </w:p>
        </w:tc>
        <w:tc>
          <w:tcPr>
            <w:tcW w:w="3898" w:type="dxa"/>
            <w:vAlign w:val="center"/>
          </w:tcPr>
          <w:p w14:paraId="733FF8F3">
            <w:pPr>
              <w:shd w:val="clear"/>
              <w:snapToGrid w:val="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资质要求</w:t>
            </w:r>
          </w:p>
        </w:tc>
        <w:tc>
          <w:tcPr>
            <w:tcW w:w="5139" w:type="dxa"/>
            <w:vAlign w:val="center"/>
          </w:tcPr>
          <w:p w14:paraId="50AA0B3F">
            <w:pPr>
              <w:shd w:val="clear"/>
              <w:snapToGrid w:val="0"/>
              <w:rPr>
                <w:rFonts w:hint="default" w:ascii="宋体" w:hAnsi="宋体" w:cs="宋体"/>
                <w:i w:val="0"/>
                <w:iCs w:val="0"/>
                <w:caps w:val="0"/>
                <w:color w:val="auto"/>
                <w:spacing w:val="0"/>
                <w:sz w:val="24"/>
                <w:szCs w:val="24"/>
                <w:highlight w:val="none"/>
                <w:shd w:val="clear" w:fill="FFFFFF"/>
                <w:lang w:val="en-US" w:eastAsia="zh-CN"/>
              </w:rPr>
            </w:pPr>
            <w:r>
              <w:rPr>
                <w:rFonts w:hint="default" w:ascii="宋体" w:hAnsi="宋体" w:cs="宋体"/>
                <w:i w:val="0"/>
                <w:iCs w:val="0"/>
                <w:caps w:val="0"/>
                <w:color w:val="auto"/>
                <w:spacing w:val="0"/>
                <w:sz w:val="24"/>
                <w:szCs w:val="24"/>
                <w:highlight w:val="none"/>
                <w:shd w:val="clear" w:fill="FFFFFF"/>
                <w:lang w:val="en-US" w:eastAsia="zh-CN"/>
              </w:rPr>
              <w:t>具备建设行政主管部门核发的合法有效的建筑工程施工总承包叁级及以上资质，具备有效的安全生产许可证（安全生产许可证取消年检的，提供主管部门的证明文件）。</w:t>
            </w:r>
          </w:p>
          <w:p w14:paraId="1DBB0F9F">
            <w:pPr>
              <w:shd w:val="clear"/>
              <w:snapToGrid w:val="0"/>
              <w:rPr>
                <w:rFonts w:hint="default" w:ascii="宋体" w:hAnsi="宋体" w:cs="宋体"/>
                <w:i w:val="0"/>
                <w:iCs w:val="0"/>
                <w:caps w:val="0"/>
                <w:color w:val="auto"/>
                <w:spacing w:val="0"/>
                <w:sz w:val="24"/>
                <w:szCs w:val="24"/>
                <w:highlight w:val="none"/>
                <w:shd w:val="clear" w:fill="FFFFFF"/>
                <w:lang w:val="en-US" w:eastAsia="zh-CN"/>
              </w:rPr>
            </w:pPr>
            <w:r>
              <w:rPr>
                <w:rFonts w:hint="eastAsia" w:ascii="宋体" w:hAnsi="宋体" w:cs="宋体"/>
                <w:color w:val="auto"/>
                <w:sz w:val="24"/>
                <w:szCs w:val="24"/>
                <w:highlight w:val="none"/>
                <w:lang w:eastAsia="zh-CN"/>
              </w:rPr>
              <w:t>提供</w:t>
            </w:r>
            <w:r>
              <w:rPr>
                <w:rFonts w:hint="eastAsia" w:ascii="宋体" w:hAnsi="宋体" w:cs="宋体"/>
                <w:i w:val="0"/>
                <w:iCs w:val="0"/>
                <w:caps w:val="0"/>
                <w:color w:val="auto"/>
                <w:spacing w:val="0"/>
                <w:sz w:val="24"/>
                <w:szCs w:val="24"/>
                <w:highlight w:val="none"/>
                <w:shd w:val="clear" w:fill="FFFFFF"/>
                <w:lang w:val="en-US" w:eastAsia="zh-CN"/>
              </w:rPr>
              <w:t>资质证书扫描件。</w:t>
            </w:r>
          </w:p>
        </w:tc>
      </w:tr>
      <w:tr w14:paraId="5EF26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66" w:type="dxa"/>
            <w:vAlign w:val="center"/>
          </w:tcPr>
          <w:p w14:paraId="71200914">
            <w:pPr>
              <w:shd w:val="clear"/>
              <w:snapToGrid w:val="0"/>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w:t>
            </w:r>
          </w:p>
        </w:tc>
        <w:tc>
          <w:tcPr>
            <w:tcW w:w="3898" w:type="dxa"/>
            <w:vAlign w:val="center"/>
          </w:tcPr>
          <w:p w14:paraId="096507B1">
            <w:pPr>
              <w:shd w:val="clear"/>
              <w:snapToGrid w:val="0"/>
              <w:jc w:val="lef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项目经理</w:t>
            </w:r>
          </w:p>
        </w:tc>
        <w:tc>
          <w:tcPr>
            <w:tcW w:w="5139" w:type="dxa"/>
            <w:vAlign w:val="center"/>
          </w:tcPr>
          <w:p w14:paraId="584C51F5">
            <w:pPr>
              <w:shd w:val="clear"/>
              <w:snapToGrid w:val="0"/>
              <w:rPr>
                <w:rFonts w:hint="eastAsia" w:ascii="宋体" w:hAnsi="宋体" w:cs="宋体"/>
                <w:i w:val="0"/>
                <w:iCs w:val="0"/>
                <w:caps w:val="0"/>
                <w:color w:val="auto"/>
                <w:spacing w:val="0"/>
                <w:sz w:val="24"/>
                <w:szCs w:val="24"/>
                <w:highlight w:val="none"/>
                <w:shd w:val="clear" w:fill="FFFFFF"/>
                <w:lang w:val="en-US" w:eastAsia="zh-CN"/>
              </w:rPr>
            </w:pPr>
            <w:r>
              <w:rPr>
                <w:rFonts w:hint="eastAsia" w:ascii="宋体" w:hAnsi="宋体" w:cs="宋体"/>
                <w:i w:val="0"/>
                <w:iCs w:val="0"/>
                <w:caps w:val="0"/>
                <w:color w:val="auto"/>
                <w:spacing w:val="0"/>
                <w:sz w:val="24"/>
                <w:szCs w:val="24"/>
                <w:highlight w:val="none"/>
                <w:shd w:val="clear" w:fill="FFFFFF"/>
                <w:lang w:val="en-US" w:eastAsia="zh-CN"/>
              </w:rPr>
              <w:t>供应商拟派项目经理具备二级及以上注册建造师（建筑工程专业）执业资格，具有有效的安全生产考核合格证书，目前以及项目在建期间不得担任其他在建工程项目的项目经理，并不得兼任本项目或其他项目的其他管理人员。</w:t>
            </w:r>
          </w:p>
          <w:p w14:paraId="472EFA7D">
            <w:pPr>
              <w:shd w:val="clear"/>
              <w:snapToGrid w:val="0"/>
              <w:rPr>
                <w:rFonts w:hint="default" w:ascii="宋体" w:hAnsi="宋体" w:cs="宋体"/>
                <w:i w:val="0"/>
                <w:iCs w:val="0"/>
                <w:caps w:val="0"/>
                <w:color w:val="auto"/>
                <w:spacing w:val="0"/>
                <w:sz w:val="24"/>
                <w:szCs w:val="24"/>
                <w:highlight w:val="none"/>
                <w:shd w:val="clear" w:fill="FFFFFF"/>
                <w:lang w:val="en-US" w:eastAsia="zh-CN"/>
              </w:rPr>
            </w:pPr>
            <w:r>
              <w:rPr>
                <w:rFonts w:hint="eastAsia" w:ascii="宋体" w:hAnsi="宋体" w:cs="宋体"/>
                <w:color w:val="auto"/>
                <w:sz w:val="24"/>
                <w:szCs w:val="24"/>
                <w:highlight w:val="none"/>
                <w:lang w:eastAsia="zh-CN"/>
              </w:rPr>
              <w:t>提供</w:t>
            </w:r>
            <w:r>
              <w:rPr>
                <w:rFonts w:hint="eastAsia" w:ascii="宋体" w:hAnsi="宋体" w:cs="宋体"/>
                <w:i w:val="0"/>
                <w:iCs w:val="0"/>
                <w:caps w:val="0"/>
                <w:color w:val="auto"/>
                <w:spacing w:val="0"/>
                <w:sz w:val="24"/>
                <w:szCs w:val="24"/>
                <w:highlight w:val="none"/>
                <w:shd w:val="clear" w:fill="FFFFFF"/>
                <w:lang w:val="en-US" w:eastAsia="zh-CN"/>
              </w:rPr>
              <w:t>项目经理</w:t>
            </w:r>
            <w:r>
              <w:rPr>
                <w:rFonts w:hint="default" w:ascii="宋体" w:hAnsi="宋体" w:cs="宋体"/>
                <w:i w:val="0"/>
                <w:iCs w:val="0"/>
                <w:caps w:val="0"/>
                <w:color w:val="auto"/>
                <w:spacing w:val="0"/>
                <w:sz w:val="24"/>
                <w:szCs w:val="24"/>
                <w:highlight w:val="none"/>
                <w:shd w:val="clear" w:fill="FFFFFF"/>
                <w:lang w:val="en-US" w:eastAsia="zh-CN"/>
              </w:rPr>
              <w:t>注册建造师</w:t>
            </w:r>
            <w:r>
              <w:rPr>
                <w:rFonts w:hint="eastAsia" w:ascii="宋体" w:hAnsi="宋体" w:cs="宋体"/>
                <w:i w:val="0"/>
                <w:iCs w:val="0"/>
                <w:caps w:val="0"/>
                <w:color w:val="auto"/>
                <w:spacing w:val="0"/>
                <w:sz w:val="24"/>
                <w:szCs w:val="24"/>
                <w:highlight w:val="none"/>
                <w:shd w:val="clear" w:fill="FFFFFF"/>
                <w:lang w:val="en-US" w:eastAsia="zh-CN"/>
              </w:rPr>
              <w:t>执业证书扫描件、</w:t>
            </w:r>
            <w:r>
              <w:rPr>
                <w:rFonts w:hint="default" w:ascii="宋体" w:hAnsi="宋体" w:cs="宋体"/>
                <w:i w:val="0"/>
                <w:iCs w:val="0"/>
                <w:caps w:val="0"/>
                <w:color w:val="auto"/>
                <w:spacing w:val="0"/>
                <w:sz w:val="24"/>
                <w:szCs w:val="24"/>
                <w:highlight w:val="none"/>
                <w:shd w:val="clear" w:fill="FFFFFF"/>
                <w:lang w:val="en-US" w:eastAsia="zh-CN"/>
              </w:rPr>
              <w:t>安全生产考核合格证书</w:t>
            </w:r>
            <w:r>
              <w:rPr>
                <w:rFonts w:hint="eastAsia" w:ascii="宋体" w:hAnsi="宋体" w:cs="宋体"/>
                <w:i w:val="0"/>
                <w:iCs w:val="0"/>
                <w:caps w:val="0"/>
                <w:color w:val="auto"/>
                <w:spacing w:val="0"/>
                <w:sz w:val="24"/>
                <w:szCs w:val="24"/>
                <w:highlight w:val="none"/>
                <w:shd w:val="clear" w:fill="FFFFFF"/>
                <w:lang w:val="en-US" w:eastAsia="zh-CN"/>
              </w:rPr>
              <w:t>扫描件、</w:t>
            </w:r>
            <w:r>
              <w:rPr>
                <w:rFonts w:hint="default" w:ascii="宋体" w:hAnsi="宋体" w:cs="宋体"/>
                <w:i w:val="0"/>
                <w:iCs w:val="0"/>
                <w:caps w:val="0"/>
                <w:color w:val="auto"/>
                <w:spacing w:val="0"/>
                <w:sz w:val="24"/>
                <w:szCs w:val="24"/>
                <w:highlight w:val="none"/>
                <w:shd w:val="clear" w:fill="FFFFFF"/>
                <w:lang w:val="en-US" w:eastAsia="zh-CN"/>
              </w:rPr>
              <w:t>目前以及项目在建期间不得担任其他在建工程项目的项目经理，并不得兼任本项目或其他项目的其他管理人员</w:t>
            </w:r>
            <w:r>
              <w:rPr>
                <w:rFonts w:hint="eastAsia" w:ascii="宋体" w:hAnsi="宋体" w:cs="宋体"/>
                <w:i w:val="0"/>
                <w:iCs w:val="0"/>
                <w:caps w:val="0"/>
                <w:color w:val="auto"/>
                <w:spacing w:val="0"/>
                <w:sz w:val="24"/>
                <w:szCs w:val="24"/>
                <w:highlight w:val="none"/>
                <w:shd w:val="clear" w:fill="FFFFFF"/>
                <w:lang w:val="en-US" w:eastAsia="zh-CN"/>
              </w:rPr>
              <w:t>承诺书电子原件。</w:t>
            </w:r>
          </w:p>
        </w:tc>
      </w:tr>
      <w:tr w14:paraId="4F6B5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66" w:type="dxa"/>
            <w:vAlign w:val="center"/>
          </w:tcPr>
          <w:p w14:paraId="6A04632F">
            <w:pPr>
              <w:shd w:val="clear"/>
              <w:snapToGrid w:val="0"/>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13</w:t>
            </w:r>
          </w:p>
        </w:tc>
        <w:tc>
          <w:tcPr>
            <w:tcW w:w="3898" w:type="dxa"/>
            <w:vAlign w:val="center"/>
          </w:tcPr>
          <w:p w14:paraId="4335C1DE">
            <w:pPr>
              <w:shd w:val="clear"/>
              <w:snapToGrid w:val="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安全生产考核合格证书</w:t>
            </w:r>
          </w:p>
        </w:tc>
        <w:tc>
          <w:tcPr>
            <w:tcW w:w="5139" w:type="dxa"/>
            <w:vAlign w:val="center"/>
          </w:tcPr>
          <w:p w14:paraId="6FC3A6CD">
            <w:pPr>
              <w:shd w:val="clear"/>
              <w:snapToGrid w:val="0"/>
              <w:rPr>
                <w:rFonts w:hint="default" w:ascii="宋体" w:hAnsi="宋体" w:cs="宋体"/>
                <w:i w:val="0"/>
                <w:iCs w:val="0"/>
                <w:caps w:val="0"/>
                <w:color w:val="auto"/>
                <w:spacing w:val="0"/>
                <w:sz w:val="24"/>
                <w:szCs w:val="24"/>
                <w:highlight w:val="none"/>
                <w:shd w:val="clear" w:fill="FFFFFF"/>
                <w:lang w:val="en-US" w:eastAsia="zh-CN"/>
              </w:rPr>
            </w:pPr>
            <w:r>
              <w:rPr>
                <w:rFonts w:hint="default" w:ascii="宋体" w:hAnsi="宋体" w:cs="宋体"/>
                <w:i w:val="0"/>
                <w:iCs w:val="0"/>
                <w:caps w:val="0"/>
                <w:color w:val="auto"/>
                <w:spacing w:val="0"/>
                <w:sz w:val="24"/>
                <w:szCs w:val="24"/>
                <w:highlight w:val="none"/>
                <w:shd w:val="clear" w:fill="FFFFFF"/>
                <w:lang w:val="en-US" w:eastAsia="zh-CN"/>
              </w:rPr>
              <w:t>按照《建筑施工企业安全生产许可证动态监管暂行办法》</w:t>
            </w:r>
            <w:r>
              <w:rPr>
                <w:rFonts w:hint="eastAsia" w:ascii="宋体" w:hAnsi="宋体" w:cs="宋体"/>
                <w:i w:val="0"/>
                <w:iCs w:val="0"/>
                <w:caps w:val="0"/>
                <w:color w:val="auto"/>
                <w:spacing w:val="0"/>
                <w:sz w:val="24"/>
                <w:szCs w:val="24"/>
                <w:highlight w:val="none"/>
                <w:shd w:val="clear" w:fill="FFFFFF"/>
                <w:lang w:val="en-US" w:eastAsia="zh-CN"/>
              </w:rPr>
              <w:t>，</w:t>
            </w:r>
            <w:r>
              <w:rPr>
                <w:rFonts w:hint="default" w:ascii="宋体" w:hAnsi="宋体" w:cs="宋体"/>
                <w:i w:val="0"/>
                <w:iCs w:val="0"/>
                <w:caps w:val="0"/>
                <w:color w:val="auto"/>
                <w:spacing w:val="0"/>
                <w:sz w:val="24"/>
                <w:szCs w:val="24"/>
                <w:highlight w:val="none"/>
                <w:shd w:val="clear" w:fill="FFFFFF"/>
                <w:lang w:val="en-US" w:eastAsia="zh-CN"/>
              </w:rPr>
              <w:t>供应商应提供安全生产许可证，以及企业主要负责人、拟担任该项目经理和专职安全生产管理人员的安全生产考核合格证书。</w:t>
            </w:r>
          </w:p>
          <w:p w14:paraId="16B06C83">
            <w:pPr>
              <w:shd w:val="clear"/>
              <w:snapToGrid w:val="0"/>
              <w:rPr>
                <w:rFonts w:hint="default" w:ascii="宋体" w:hAnsi="宋体" w:cs="宋体"/>
                <w:i w:val="0"/>
                <w:iCs w:val="0"/>
                <w:caps w:val="0"/>
                <w:color w:val="auto"/>
                <w:spacing w:val="0"/>
                <w:sz w:val="24"/>
                <w:szCs w:val="24"/>
                <w:highlight w:val="none"/>
                <w:shd w:val="clear" w:fill="FFFFFF"/>
                <w:lang w:val="en-US" w:eastAsia="zh-CN"/>
              </w:rPr>
            </w:pPr>
            <w:r>
              <w:rPr>
                <w:rFonts w:hint="eastAsia" w:ascii="宋体" w:hAnsi="宋体" w:cs="宋体"/>
                <w:color w:val="auto"/>
                <w:sz w:val="24"/>
                <w:szCs w:val="24"/>
                <w:highlight w:val="none"/>
                <w:lang w:eastAsia="zh-CN"/>
              </w:rPr>
              <w:t>提供</w:t>
            </w:r>
            <w:r>
              <w:rPr>
                <w:rFonts w:hint="default" w:ascii="宋体" w:hAnsi="宋体" w:cs="宋体"/>
                <w:i w:val="0"/>
                <w:iCs w:val="0"/>
                <w:caps w:val="0"/>
                <w:color w:val="auto"/>
                <w:spacing w:val="0"/>
                <w:sz w:val="24"/>
                <w:szCs w:val="24"/>
                <w:highlight w:val="none"/>
                <w:shd w:val="clear" w:fill="FFFFFF"/>
                <w:lang w:val="en-US" w:eastAsia="zh-CN"/>
              </w:rPr>
              <w:t>企业主要负责人、拟担任该项目经理和专职安全生产管理人员的安全生产考核合格证书</w:t>
            </w:r>
            <w:r>
              <w:rPr>
                <w:rFonts w:hint="eastAsia" w:ascii="宋体" w:hAnsi="宋体" w:cs="宋体"/>
                <w:i w:val="0"/>
                <w:iCs w:val="0"/>
                <w:caps w:val="0"/>
                <w:color w:val="auto"/>
                <w:spacing w:val="0"/>
                <w:sz w:val="24"/>
                <w:szCs w:val="24"/>
                <w:highlight w:val="none"/>
                <w:shd w:val="clear" w:fill="FFFFFF"/>
                <w:lang w:val="en-US" w:eastAsia="zh-CN"/>
              </w:rPr>
              <w:t>扫描件。</w:t>
            </w:r>
          </w:p>
        </w:tc>
      </w:tr>
    </w:tbl>
    <w:p w14:paraId="61FCB453">
      <w:pPr>
        <w:shd w:val="clear"/>
        <w:jc w:val="center"/>
        <w:rPr>
          <w:rFonts w:hint="eastAsia" w:ascii="宋体" w:hAnsi="宋体" w:eastAsia="宋体" w:cs="宋体"/>
          <w:color w:val="auto"/>
          <w:highlight w:val="none"/>
        </w:rPr>
      </w:pPr>
    </w:p>
    <w:p w14:paraId="3695D66C">
      <w:pPr>
        <w:shd w:val="clear"/>
        <w:jc w:val="both"/>
        <w:outlineLvl w:val="2"/>
        <w:rPr>
          <w:rFonts w:hint="eastAsia" w:ascii="宋体" w:hAnsi="宋体" w:eastAsia="宋体" w:cs="宋体"/>
          <w:b/>
          <w:color w:val="auto"/>
          <w:sz w:val="24"/>
          <w:highlight w:val="none"/>
        </w:rPr>
      </w:pPr>
      <w:bookmarkStart w:id="512" w:name="_Toc31740"/>
      <w:bookmarkStart w:id="513" w:name="_Toc18442"/>
      <w:bookmarkStart w:id="514" w:name="_Toc15604"/>
      <w:r>
        <w:rPr>
          <w:rFonts w:hint="eastAsia" w:ascii="宋体" w:hAnsi="宋体" w:cs="宋体"/>
          <w:b/>
          <w:color w:val="auto"/>
          <w:sz w:val="24"/>
          <w:highlight w:val="none"/>
          <w:lang w:val="en-US" w:eastAsia="zh-CN"/>
        </w:rPr>
        <w:t>6</w:t>
      </w:r>
      <w:r>
        <w:rPr>
          <w:rFonts w:hint="eastAsia" w:ascii="宋体" w:hAnsi="宋体" w:eastAsia="宋体" w:cs="宋体"/>
          <w:b/>
          <w:color w:val="auto"/>
          <w:sz w:val="24"/>
          <w:highlight w:val="none"/>
        </w:rPr>
        <w:t xml:space="preserve">-1 </w:t>
      </w:r>
      <w:r>
        <w:rPr>
          <w:rFonts w:hint="eastAsia" w:ascii="宋体" w:hAnsi="宋体" w:eastAsia="宋体" w:cs="宋体"/>
          <w:b/>
          <w:color w:val="auto"/>
          <w:sz w:val="24"/>
          <w:highlight w:val="none"/>
          <w:lang w:eastAsia="zh-CN"/>
        </w:rPr>
        <w:t>供应商</w:t>
      </w:r>
      <w:r>
        <w:rPr>
          <w:rFonts w:hint="eastAsia" w:ascii="宋体" w:hAnsi="宋体" w:eastAsia="宋体" w:cs="宋体"/>
          <w:b/>
          <w:color w:val="auto"/>
          <w:sz w:val="24"/>
          <w:highlight w:val="none"/>
        </w:rPr>
        <w:t>“三证合一”的企业法人营业执照副本扫描件</w:t>
      </w:r>
      <w:bookmarkEnd w:id="512"/>
      <w:bookmarkEnd w:id="513"/>
      <w:bookmarkEnd w:id="514"/>
    </w:p>
    <w:p w14:paraId="4F726E72">
      <w:pPr>
        <w:shd w:val="clear"/>
        <w:jc w:val="left"/>
        <w:rPr>
          <w:rFonts w:hint="eastAsia" w:ascii="宋体" w:hAnsi="宋体" w:eastAsia="宋体" w:cs="宋体"/>
          <w:color w:val="auto"/>
          <w:sz w:val="24"/>
          <w:highlight w:val="none"/>
        </w:rPr>
      </w:pPr>
    </w:p>
    <w:p w14:paraId="3BCCCA80">
      <w:pPr>
        <w:shd w:val="clear"/>
        <w:autoSpaceDE w:val="0"/>
        <w:autoSpaceDN w:val="0"/>
        <w:snapToGrid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说明：</w:t>
      </w:r>
    </w:p>
    <w:p w14:paraId="2E3A5A28">
      <w:pPr>
        <w:shd w:val="clear"/>
        <w:autoSpaceDE w:val="0"/>
        <w:autoSpaceDN w:val="0"/>
        <w:snapToGrid w:val="0"/>
        <w:spacing w:line="38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供应商是企业（包括合伙企业）的，应提供其在工商部门注册的有效“企业法人营业执照”或“营业执照”的扫描件；</w:t>
      </w:r>
    </w:p>
    <w:p w14:paraId="6E55FE67">
      <w:pPr>
        <w:shd w:val="clear"/>
        <w:autoSpaceDE w:val="0"/>
        <w:autoSpaceDN w:val="0"/>
        <w:snapToGrid w:val="0"/>
        <w:spacing w:line="38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供应商是事业单位的，应提供其有效的“事业单位法人证书”扫描件；</w:t>
      </w:r>
    </w:p>
    <w:p w14:paraId="69652965">
      <w:pPr>
        <w:shd w:val="clear"/>
        <w:autoSpaceDE w:val="0"/>
        <w:autoSpaceDN w:val="0"/>
        <w:snapToGrid w:val="0"/>
        <w:spacing w:line="38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供应商是非企业专业服务机构的，应提供其有效的“执业许可证”扫描件；</w:t>
      </w:r>
    </w:p>
    <w:p w14:paraId="1CF21F14">
      <w:pPr>
        <w:shd w:val="clear"/>
        <w:autoSpaceDE w:val="0"/>
        <w:autoSpaceDN w:val="0"/>
        <w:snapToGrid w:val="0"/>
        <w:spacing w:line="38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供应商是个体工商户的，应提供其有效的“个体工商户营业执照”扫描件；</w:t>
      </w:r>
    </w:p>
    <w:p w14:paraId="0FB6E7F7">
      <w:pPr>
        <w:shd w:val="clear"/>
        <w:autoSpaceDE w:val="0"/>
        <w:autoSpaceDN w:val="0"/>
        <w:snapToGrid w:val="0"/>
        <w:spacing w:line="38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供应商是自然人的，应提供其有效的自然人身份证明扫描件。</w:t>
      </w:r>
    </w:p>
    <w:p w14:paraId="4283F58F">
      <w:pPr>
        <w:shd w:val="clear"/>
        <w:jc w:val="left"/>
        <w:rPr>
          <w:rFonts w:hint="eastAsia" w:ascii="宋体" w:hAnsi="宋体" w:eastAsia="宋体" w:cs="宋体"/>
          <w:color w:val="auto"/>
          <w:sz w:val="24"/>
          <w:highlight w:val="none"/>
        </w:rPr>
      </w:pPr>
    </w:p>
    <w:p w14:paraId="34093FCB">
      <w:pPr>
        <w:shd w:val="clear"/>
        <w:jc w:val="left"/>
        <w:rPr>
          <w:rFonts w:hint="eastAsia" w:ascii="宋体" w:hAnsi="宋体" w:eastAsia="宋体" w:cs="宋体"/>
          <w:color w:val="auto"/>
          <w:sz w:val="24"/>
          <w:highlight w:val="none"/>
        </w:rPr>
      </w:pPr>
    </w:p>
    <w:p w14:paraId="32414215">
      <w:pPr>
        <w:shd w:val="clear"/>
        <w:snapToGrid w:val="0"/>
        <w:jc w:val="left"/>
        <w:outlineLvl w:val="2"/>
        <w:rPr>
          <w:rFonts w:hint="eastAsia" w:ascii="宋体" w:hAnsi="宋体" w:eastAsia="宋体" w:cs="宋体"/>
          <w:b/>
          <w:bCs/>
          <w:color w:val="auto"/>
          <w:sz w:val="21"/>
          <w:szCs w:val="21"/>
          <w:highlight w:val="none"/>
        </w:rPr>
      </w:pPr>
      <w:bookmarkStart w:id="515" w:name="_Toc21701"/>
      <w:bookmarkStart w:id="516" w:name="_Toc16787"/>
      <w:bookmarkStart w:id="517" w:name="_Toc21548"/>
      <w:r>
        <w:rPr>
          <w:rFonts w:hint="eastAsia" w:ascii="宋体" w:hAnsi="宋体" w:cs="宋体"/>
          <w:b/>
          <w:color w:val="auto"/>
          <w:sz w:val="24"/>
          <w:highlight w:val="none"/>
          <w:lang w:val="en-US" w:eastAsia="zh-CN"/>
        </w:rPr>
        <w:t>6</w:t>
      </w:r>
      <w:r>
        <w:rPr>
          <w:rFonts w:hint="eastAsia" w:ascii="宋体" w:hAnsi="宋体" w:eastAsia="宋体" w:cs="宋体"/>
          <w:b/>
          <w:color w:val="auto"/>
          <w:sz w:val="24"/>
          <w:highlight w:val="none"/>
          <w:lang w:val="en-US" w:eastAsia="zh-CN"/>
        </w:rPr>
        <w:t>-</w:t>
      </w:r>
      <w:r>
        <w:rPr>
          <w:rFonts w:hint="eastAsia" w:ascii="宋体" w:hAnsi="宋体" w:eastAsia="宋体" w:cs="宋体"/>
          <w:b/>
          <w:color w:val="auto"/>
          <w:sz w:val="24"/>
          <w:highlight w:val="none"/>
        </w:rPr>
        <w:t xml:space="preserve">2  </w:t>
      </w:r>
      <w:bookmarkEnd w:id="515"/>
      <w:bookmarkEnd w:id="516"/>
      <w:bookmarkEnd w:id="517"/>
      <w:r>
        <w:rPr>
          <w:rFonts w:hint="eastAsia" w:ascii="宋体" w:hAnsi="宋体" w:eastAsia="宋体" w:cs="宋体"/>
          <w:b/>
          <w:bCs/>
          <w:color w:val="auto"/>
          <w:sz w:val="21"/>
          <w:szCs w:val="21"/>
          <w:highlight w:val="none"/>
        </w:rPr>
        <w:t>供应商具有健全的财务会计制度，提供下列两项证明材料之一：</w:t>
      </w:r>
    </w:p>
    <w:p w14:paraId="56D2D196">
      <w:pPr>
        <w:shd w:val="clear"/>
        <w:autoSpaceDE w:val="0"/>
        <w:autoSpaceDN w:val="0"/>
        <w:snapToGrid w:val="0"/>
        <w:spacing w:line="3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（1）提供近三年（202</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至202</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年）任意一年第三方审计机构出具的财务审计报告正文和必要的财务报表（至少包括资产负债表、现金流量表、利润表/损益表、附注），根据《财政部关于注册会计师在审计报告上签字盖章有关问题的通知》、《关于加强审计报告查验工作的通知》，2022年及之后的审计报告应在注册会计师行业统一监管平台（网址http://acc.mof.gov.cn）赋二维码，审计报告盖有会计师事务所公章和两名中国注册会计师签名盖章，并附有会计师事务所营业执照、会计师事务所执业证书、注册会计师证书；成立时间不足一个完整会计年度的供应商，</w:t>
      </w:r>
      <w:r>
        <w:rPr>
          <w:rFonts w:hint="eastAsia" w:ascii="宋体" w:hAnsi="宋体" w:cs="宋体"/>
          <w:color w:val="auto"/>
          <w:sz w:val="21"/>
          <w:szCs w:val="21"/>
          <w:highlight w:val="none"/>
          <w:lang w:eastAsia="zh-CN"/>
        </w:rPr>
        <w:t>响应文件</w:t>
      </w:r>
      <w:r>
        <w:rPr>
          <w:rFonts w:hint="eastAsia" w:ascii="宋体" w:hAnsi="宋体" w:eastAsia="宋体" w:cs="宋体"/>
          <w:color w:val="auto"/>
          <w:sz w:val="21"/>
          <w:szCs w:val="21"/>
          <w:highlight w:val="none"/>
        </w:rPr>
        <w:t>中提供提交</w:t>
      </w:r>
      <w:r>
        <w:rPr>
          <w:rFonts w:hint="eastAsia" w:ascii="宋体" w:hAnsi="宋体" w:cs="宋体"/>
          <w:color w:val="auto"/>
          <w:sz w:val="21"/>
          <w:szCs w:val="21"/>
          <w:highlight w:val="none"/>
          <w:lang w:eastAsia="zh-CN"/>
        </w:rPr>
        <w:t>响应文件</w:t>
      </w:r>
      <w:r>
        <w:rPr>
          <w:rFonts w:hint="eastAsia" w:ascii="宋体" w:hAnsi="宋体" w:eastAsia="宋体" w:cs="宋体"/>
          <w:color w:val="auto"/>
          <w:sz w:val="21"/>
          <w:szCs w:val="21"/>
          <w:highlight w:val="none"/>
        </w:rPr>
        <w:t>截止时间前近三个月内基本开户银行出具的资信证明。请注意2024年9月5日后出具的财务报告财务报表（至少包括资产负债表、现金流量表、利润表/损益表、附注）也应附二维码。（二维码指注册会计师行业统一监管平台赋码，并非会计师事务所自行赋码）</w:t>
      </w:r>
    </w:p>
    <w:p w14:paraId="7E408813">
      <w:pPr>
        <w:shd w:val="clear"/>
        <w:ind w:firstLine="420" w:firstLineChars="200"/>
        <w:jc w:val="both"/>
        <w:outlineLvl w:val="9"/>
        <w:rPr>
          <w:rFonts w:hint="eastAsia" w:ascii="宋体" w:hAnsi="宋体" w:eastAsia="宋体" w:cs="宋体"/>
          <w:b/>
          <w:color w:val="auto"/>
          <w:sz w:val="24"/>
          <w:highlight w:val="none"/>
        </w:rPr>
      </w:pPr>
      <w:r>
        <w:rPr>
          <w:rFonts w:hint="eastAsia" w:ascii="宋体" w:hAnsi="宋体" w:eastAsia="宋体" w:cs="宋体"/>
          <w:color w:val="auto"/>
          <w:sz w:val="21"/>
          <w:szCs w:val="21"/>
          <w:highlight w:val="none"/>
        </w:rPr>
        <w:t>（2）提供具有健全的财务会计制度且财务状况良好的书面承诺函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格式自拟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15E1D1BE">
      <w:pPr>
        <w:shd w:val="clear"/>
        <w:ind w:firstLine="562" w:firstLineChars="200"/>
        <w:jc w:val="both"/>
        <w:outlineLvl w:val="9"/>
        <w:rPr>
          <w:rFonts w:hint="eastAsia" w:ascii="宋体" w:hAnsi="宋体" w:cs="宋体"/>
          <w:b/>
          <w:color w:val="auto"/>
          <w:spacing w:val="20"/>
          <w:sz w:val="24"/>
          <w:highlight w:val="none"/>
          <w:lang w:val="en-US" w:eastAsia="zh-CN"/>
        </w:rPr>
      </w:pPr>
      <w:bookmarkStart w:id="518" w:name="_Toc1233"/>
      <w:bookmarkStart w:id="519" w:name="_Toc19881"/>
      <w:bookmarkStart w:id="520" w:name="_Toc10448"/>
    </w:p>
    <w:p w14:paraId="1C58B9FA">
      <w:pPr>
        <w:shd w:val="clear"/>
        <w:ind w:firstLine="562" w:firstLineChars="200"/>
        <w:jc w:val="both"/>
        <w:outlineLvl w:val="9"/>
        <w:rPr>
          <w:rFonts w:hint="eastAsia" w:ascii="宋体" w:hAnsi="宋体" w:cs="宋体"/>
          <w:b/>
          <w:color w:val="auto"/>
          <w:spacing w:val="20"/>
          <w:sz w:val="24"/>
          <w:highlight w:val="none"/>
          <w:lang w:val="en-US" w:eastAsia="zh-CN"/>
        </w:rPr>
      </w:pPr>
    </w:p>
    <w:p w14:paraId="37FDE2C7">
      <w:pPr>
        <w:widowControl/>
        <w:shd w:val="clear"/>
        <w:jc w:val="left"/>
        <w:outlineLvl w:val="2"/>
        <w:rPr>
          <w:rFonts w:hint="eastAsia" w:ascii="宋体" w:hAnsi="宋体" w:eastAsia="宋体" w:cs="宋体"/>
          <w:b/>
          <w:color w:val="auto"/>
          <w:sz w:val="24"/>
          <w:highlight w:val="none"/>
        </w:rPr>
      </w:pPr>
      <w:r>
        <w:rPr>
          <w:rFonts w:hint="eastAsia" w:ascii="宋体" w:hAnsi="宋体" w:cs="宋体"/>
          <w:b/>
          <w:color w:val="auto"/>
          <w:spacing w:val="20"/>
          <w:sz w:val="24"/>
          <w:highlight w:val="none"/>
          <w:lang w:val="en-US" w:eastAsia="zh-CN"/>
        </w:rPr>
        <w:t>6</w:t>
      </w:r>
      <w:r>
        <w:rPr>
          <w:rFonts w:hint="eastAsia" w:ascii="宋体" w:hAnsi="宋体" w:eastAsia="宋体" w:cs="宋体"/>
          <w:b/>
          <w:color w:val="auto"/>
          <w:sz w:val="24"/>
          <w:highlight w:val="none"/>
        </w:rPr>
        <w:t>-3  依法缴纳税收的证明</w:t>
      </w:r>
      <w:bookmarkEnd w:id="518"/>
      <w:bookmarkEnd w:id="519"/>
      <w:bookmarkEnd w:id="520"/>
    </w:p>
    <w:p w14:paraId="0F3644E8">
      <w:pPr>
        <w:shd w:val="clear"/>
        <w:tabs>
          <w:tab w:val="left" w:pos="993"/>
          <w:tab w:val="left" w:pos="1030"/>
          <w:tab w:val="left" w:pos="8364"/>
        </w:tabs>
        <w:snapToGrid w:val="0"/>
        <w:spacing w:after="156" w:afterLines="50"/>
        <w:ind w:left="420" w:right="-57" w:rightChars="-27" w:firstLine="480" w:firstLineChars="200"/>
        <w:jc w:val="left"/>
        <w:rPr>
          <w:rFonts w:hint="eastAsia" w:ascii="宋体" w:hAnsi="宋体" w:eastAsia="宋体" w:cs="宋体"/>
          <w:color w:val="auto"/>
          <w:sz w:val="24"/>
          <w:highlight w:val="none"/>
        </w:rPr>
      </w:pPr>
    </w:p>
    <w:p w14:paraId="6BFB77F7">
      <w:pPr>
        <w:shd w:val="clear"/>
        <w:tabs>
          <w:tab w:val="left" w:pos="993"/>
          <w:tab w:val="left" w:pos="1030"/>
          <w:tab w:val="left" w:pos="8364"/>
        </w:tabs>
        <w:snapToGrid w:val="0"/>
        <w:spacing w:after="156" w:afterLines="50"/>
        <w:ind w:left="420" w:right="-57" w:rightChars="-27"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提供公司2025年1月（含）以来至今任意1个月缴纳税收证明文件（银行出具的缴税凭证或税务机关出具的证明的扫描件）或免税证明，或供应商自行出具的具有良好依法缴税的承诺函。</w:t>
      </w:r>
    </w:p>
    <w:p w14:paraId="2B78E23D">
      <w:pPr>
        <w:shd w:val="clear"/>
        <w:tabs>
          <w:tab w:val="left" w:pos="993"/>
          <w:tab w:val="left" w:pos="1030"/>
          <w:tab w:val="left" w:pos="8364"/>
        </w:tabs>
        <w:snapToGrid w:val="0"/>
        <w:spacing w:after="156" w:afterLines="50"/>
        <w:ind w:left="420" w:right="-57" w:rightChars="-27" w:firstLine="480" w:firstLineChars="200"/>
        <w:jc w:val="left"/>
        <w:rPr>
          <w:rFonts w:hint="eastAsia" w:ascii="宋体" w:hAnsi="宋体" w:eastAsia="宋体" w:cs="宋体"/>
          <w:color w:val="auto"/>
          <w:sz w:val="24"/>
          <w:highlight w:val="none"/>
        </w:rPr>
      </w:pPr>
    </w:p>
    <w:p w14:paraId="1340F468">
      <w:pPr>
        <w:shd w:val="clear"/>
        <w:tabs>
          <w:tab w:val="left" w:pos="993"/>
          <w:tab w:val="left" w:pos="1030"/>
          <w:tab w:val="left" w:pos="8364"/>
        </w:tabs>
        <w:snapToGrid w:val="0"/>
        <w:spacing w:after="156" w:afterLines="50"/>
        <w:ind w:left="420" w:right="-57" w:rightChars="-27" w:firstLine="480" w:firstLineChars="200"/>
        <w:jc w:val="left"/>
        <w:rPr>
          <w:rFonts w:hint="eastAsia" w:ascii="宋体" w:hAnsi="宋体" w:eastAsia="宋体" w:cs="宋体"/>
          <w:color w:val="auto"/>
          <w:sz w:val="24"/>
          <w:highlight w:val="none"/>
        </w:rPr>
      </w:pPr>
    </w:p>
    <w:p w14:paraId="44483C14">
      <w:pPr>
        <w:shd w:val="clear"/>
        <w:tabs>
          <w:tab w:val="left" w:pos="993"/>
          <w:tab w:val="left" w:pos="1030"/>
          <w:tab w:val="left" w:pos="8364"/>
        </w:tabs>
        <w:snapToGrid w:val="0"/>
        <w:spacing w:after="156" w:afterLines="50"/>
        <w:ind w:right="-57" w:rightChars="-27"/>
        <w:jc w:val="left"/>
        <w:outlineLvl w:val="2"/>
        <w:rPr>
          <w:rFonts w:hint="eastAsia" w:ascii="宋体" w:hAnsi="宋体" w:eastAsia="宋体" w:cs="宋体"/>
          <w:b/>
          <w:color w:val="auto"/>
          <w:sz w:val="24"/>
          <w:highlight w:val="none"/>
        </w:rPr>
      </w:pPr>
      <w:bookmarkStart w:id="521" w:name="_Toc2794"/>
      <w:bookmarkStart w:id="522" w:name="_Toc29373"/>
      <w:bookmarkStart w:id="523" w:name="_Toc16271"/>
      <w:r>
        <w:rPr>
          <w:rFonts w:hint="eastAsia" w:ascii="宋体" w:hAnsi="宋体" w:cs="宋体"/>
          <w:b/>
          <w:color w:val="auto"/>
          <w:sz w:val="24"/>
          <w:highlight w:val="none"/>
          <w:lang w:val="en-US" w:eastAsia="zh-CN"/>
        </w:rPr>
        <w:t>6</w:t>
      </w:r>
      <w:r>
        <w:rPr>
          <w:rFonts w:hint="eastAsia" w:ascii="宋体" w:hAnsi="宋体" w:eastAsia="宋体" w:cs="宋体"/>
          <w:b/>
          <w:color w:val="auto"/>
          <w:sz w:val="24"/>
          <w:highlight w:val="none"/>
        </w:rPr>
        <w:t>-4  社会保障资金缴纳记录</w:t>
      </w:r>
      <w:bookmarkEnd w:id="521"/>
      <w:bookmarkEnd w:id="522"/>
      <w:bookmarkEnd w:id="523"/>
    </w:p>
    <w:p w14:paraId="0F412658">
      <w:pPr>
        <w:shd w:val="clear"/>
        <w:tabs>
          <w:tab w:val="left" w:pos="993"/>
          <w:tab w:val="left" w:pos="1030"/>
          <w:tab w:val="left" w:pos="8364"/>
        </w:tabs>
        <w:snapToGrid w:val="0"/>
        <w:spacing w:after="156" w:afterLines="50"/>
        <w:ind w:left="659" w:leftChars="314" w:right="-57" w:rightChars="-27" w:firstLine="240" w:firstLineChars="1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cr/>
      </w:r>
      <w:r>
        <w:rPr>
          <w:rFonts w:hint="eastAsia" w:ascii="宋体" w:hAnsi="宋体" w:eastAsia="宋体" w:cs="宋体"/>
          <w:color w:val="auto"/>
          <w:sz w:val="24"/>
          <w:szCs w:val="24"/>
          <w:highlight w:val="none"/>
          <w:lang w:val="en-US" w:eastAsia="zh-CN"/>
        </w:rPr>
        <w:t>提供公司2025年1月（含）以来至今任意1个月的社会保障资金缴纳记录（其中基本养老保险、基本医疗保险（含生育保险）、工伤保险、失业保险均须依法缴纳）或免缴纳证明，或</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自行出具的具有良好依法缴纳社会保障资金的承诺函。</w:t>
      </w:r>
    </w:p>
    <w:p w14:paraId="40D5993E">
      <w:pPr>
        <w:shd w:val="clear"/>
        <w:tabs>
          <w:tab w:val="left" w:pos="993"/>
          <w:tab w:val="left" w:pos="1030"/>
          <w:tab w:val="left" w:pos="8364"/>
        </w:tabs>
        <w:snapToGrid w:val="0"/>
        <w:spacing w:after="156" w:afterLines="50"/>
        <w:ind w:left="420" w:leftChars="200" w:right="-57" w:rightChars="-27"/>
        <w:jc w:val="left"/>
        <w:rPr>
          <w:rFonts w:hint="eastAsia" w:ascii="宋体" w:hAnsi="宋体" w:eastAsia="宋体" w:cs="宋体"/>
          <w:b/>
          <w:color w:val="auto"/>
          <w:sz w:val="24"/>
          <w:highlight w:val="none"/>
        </w:rPr>
      </w:pPr>
      <w:bookmarkStart w:id="524" w:name="_Toc14366"/>
      <w:bookmarkStart w:id="525" w:name="_Toc17455"/>
      <w:bookmarkStart w:id="526" w:name="_Toc27325"/>
    </w:p>
    <w:p w14:paraId="7C481772">
      <w:pPr>
        <w:shd w:val="clear"/>
        <w:tabs>
          <w:tab w:val="left" w:pos="993"/>
          <w:tab w:val="left" w:pos="1030"/>
          <w:tab w:val="left" w:pos="8364"/>
        </w:tabs>
        <w:snapToGrid w:val="0"/>
        <w:spacing w:after="156" w:afterLines="50"/>
        <w:ind w:left="420" w:leftChars="200" w:right="-57" w:rightChars="-27"/>
        <w:jc w:val="left"/>
        <w:rPr>
          <w:rFonts w:hint="eastAsia" w:ascii="宋体" w:hAnsi="宋体" w:eastAsia="宋体" w:cs="宋体"/>
          <w:b/>
          <w:color w:val="auto"/>
          <w:sz w:val="24"/>
          <w:highlight w:val="none"/>
        </w:rPr>
      </w:pPr>
    </w:p>
    <w:p w14:paraId="54021E20">
      <w:pPr>
        <w:shd w:val="clear"/>
        <w:tabs>
          <w:tab w:val="left" w:pos="993"/>
          <w:tab w:val="left" w:pos="1030"/>
          <w:tab w:val="left" w:pos="8364"/>
        </w:tabs>
        <w:snapToGrid w:val="0"/>
        <w:spacing w:after="156" w:afterLines="50"/>
        <w:ind w:right="-57" w:rightChars="-27"/>
        <w:jc w:val="left"/>
        <w:outlineLvl w:val="2"/>
        <w:rPr>
          <w:rFonts w:hint="eastAsia" w:ascii="宋体" w:hAnsi="宋体" w:eastAsia="宋体" w:cs="宋体"/>
          <w:b/>
          <w:color w:val="auto"/>
          <w:kern w:val="0"/>
          <w:sz w:val="24"/>
          <w:highlight w:val="none"/>
        </w:rPr>
      </w:pPr>
      <w:r>
        <w:rPr>
          <w:rFonts w:hint="eastAsia" w:ascii="宋体" w:hAnsi="宋体" w:cs="宋体"/>
          <w:b/>
          <w:color w:val="auto"/>
          <w:sz w:val="24"/>
          <w:highlight w:val="none"/>
          <w:lang w:val="en-US" w:eastAsia="zh-CN"/>
        </w:rPr>
        <w:t>6</w:t>
      </w:r>
      <w:r>
        <w:rPr>
          <w:rFonts w:hint="eastAsia" w:ascii="宋体" w:hAnsi="宋体" w:eastAsia="宋体" w:cs="宋体"/>
          <w:b/>
          <w:color w:val="auto"/>
          <w:sz w:val="24"/>
          <w:highlight w:val="none"/>
        </w:rPr>
        <w:t>-5  具有履行合同所必需的设备和专业技术能力承诺书</w:t>
      </w:r>
      <w:bookmarkEnd w:id="524"/>
      <w:bookmarkEnd w:id="525"/>
      <w:bookmarkEnd w:id="526"/>
    </w:p>
    <w:p w14:paraId="1B641A41">
      <w:pPr>
        <w:shd w:val="clear"/>
        <w:ind w:firstLine="480"/>
        <w:rPr>
          <w:rFonts w:hint="eastAsia" w:ascii="宋体" w:hAnsi="宋体" w:eastAsia="宋体" w:cs="宋体"/>
          <w:color w:val="auto"/>
          <w:kern w:val="0"/>
          <w:sz w:val="24"/>
          <w:highlight w:val="none"/>
        </w:rPr>
      </w:pPr>
    </w:p>
    <w:p w14:paraId="3259DE74">
      <w:pPr>
        <w:shd w:val="clear"/>
        <w:ind w:firstLine="480"/>
        <w:rPr>
          <w:rFonts w:hint="eastAsia" w:ascii="宋体" w:hAnsi="宋体" w:eastAsia="宋体" w:cs="宋体"/>
          <w:color w:val="auto"/>
          <w:kern w:val="0"/>
          <w:sz w:val="24"/>
          <w:highlight w:val="none"/>
        </w:rPr>
      </w:pPr>
    </w:p>
    <w:p w14:paraId="36176CA0">
      <w:pPr>
        <w:shd w:val="clear"/>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u w:val="single"/>
        </w:rPr>
        <w:t>(采购人名称)      ：</w:t>
      </w:r>
    </w:p>
    <w:p w14:paraId="1333F093">
      <w:pPr>
        <w:shd w:val="clear"/>
        <w:ind w:firstLine="480"/>
        <w:rPr>
          <w:rFonts w:hint="eastAsia" w:ascii="宋体" w:hAnsi="宋体" w:eastAsia="宋体" w:cs="宋体"/>
          <w:color w:val="auto"/>
          <w:kern w:val="0"/>
          <w:sz w:val="24"/>
          <w:highlight w:val="none"/>
        </w:rPr>
      </w:pPr>
    </w:p>
    <w:p w14:paraId="2D2DDC68">
      <w:pPr>
        <w:shd w:val="clear"/>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我公司承诺</w:t>
      </w:r>
      <w:r>
        <w:rPr>
          <w:rFonts w:hint="eastAsia" w:ascii="宋体" w:hAnsi="宋体" w:eastAsia="宋体" w:cs="宋体"/>
          <w:color w:val="auto"/>
          <w:sz w:val="24"/>
          <w:highlight w:val="none"/>
        </w:rPr>
        <w:t>具备履行合同所必需的</w:t>
      </w:r>
      <w:r>
        <w:rPr>
          <w:rFonts w:hint="eastAsia" w:ascii="宋体" w:hAnsi="宋体" w:cs="宋体"/>
          <w:color w:val="auto"/>
          <w:sz w:val="24"/>
          <w:highlight w:val="none"/>
          <w:lang w:val="en-US" w:eastAsia="zh-CN"/>
        </w:rPr>
        <w:t>服务</w:t>
      </w:r>
      <w:r>
        <w:rPr>
          <w:rFonts w:hint="eastAsia" w:ascii="宋体" w:hAnsi="宋体" w:eastAsia="宋体" w:cs="宋体"/>
          <w:color w:val="auto"/>
          <w:sz w:val="24"/>
          <w:highlight w:val="none"/>
        </w:rPr>
        <w:t>和专业技术能力</w:t>
      </w:r>
      <w:r>
        <w:rPr>
          <w:rFonts w:hint="eastAsia" w:ascii="宋体" w:hAnsi="宋体" w:eastAsia="宋体" w:cs="宋体"/>
          <w:color w:val="auto"/>
          <w:kern w:val="0"/>
          <w:sz w:val="24"/>
          <w:highlight w:val="none"/>
        </w:rPr>
        <w:t>。</w:t>
      </w:r>
    </w:p>
    <w:p w14:paraId="7756F6EA">
      <w:pPr>
        <w:shd w:val="clear"/>
        <w:ind w:firstLine="480"/>
        <w:rPr>
          <w:rFonts w:hint="eastAsia" w:ascii="宋体" w:hAnsi="宋体" w:eastAsia="宋体" w:cs="宋体"/>
          <w:b/>
          <w:color w:val="auto"/>
          <w:sz w:val="24"/>
          <w:highlight w:val="none"/>
        </w:rPr>
      </w:pPr>
    </w:p>
    <w:p w14:paraId="69A3D08E">
      <w:pPr>
        <w:shd w:val="clear"/>
        <w:ind w:firstLine="480"/>
        <w:rPr>
          <w:rFonts w:hint="eastAsia" w:ascii="宋体" w:hAnsi="宋体" w:eastAsia="宋体" w:cs="宋体"/>
          <w:b/>
          <w:color w:val="auto"/>
          <w:sz w:val="24"/>
          <w:highlight w:val="none"/>
        </w:rPr>
      </w:pPr>
    </w:p>
    <w:p w14:paraId="6AB9DB0D">
      <w:pPr>
        <w:shd w:val="clear"/>
        <w:ind w:firstLine="480"/>
        <w:rPr>
          <w:rFonts w:hint="eastAsia" w:ascii="宋体" w:hAnsi="宋体" w:eastAsia="宋体" w:cs="宋体"/>
          <w:b/>
          <w:color w:val="auto"/>
          <w:sz w:val="24"/>
          <w:highlight w:val="none"/>
        </w:rPr>
      </w:pPr>
    </w:p>
    <w:p w14:paraId="3CBF441B">
      <w:pPr>
        <w:shd w:val="clear"/>
        <w:tabs>
          <w:tab w:val="left" w:pos="1440"/>
        </w:tabs>
        <w:outlineLvl w:val="9"/>
        <w:rPr>
          <w:rFonts w:hint="eastAsia" w:ascii="宋体" w:hAnsi="宋体" w:eastAsia="宋体" w:cs="宋体"/>
          <w:color w:val="auto"/>
          <w:sz w:val="24"/>
          <w:highlight w:val="none"/>
        </w:rPr>
      </w:pPr>
      <w:bookmarkStart w:id="527" w:name="_Toc28538"/>
      <w:bookmarkStart w:id="528" w:name="_Toc25779"/>
      <w:r>
        <w:rPr>
          <w:rFonts w:hint="eastAsia" w:ascii="宋体" w:hAnsi="宋体" w:eastAsia="宋体" w:cs="宋体"/>
          <w:color w:val="auto"/>
          <w:sz w:val="24"/>
          <w:highlight w:val="none"/>
        </w:rPr>
        <w:t>供应商（盖章）：</w:t>
      </w:r>
      <w:bookmarkEnd w:id="527"/>
      <w:bookmarkEnd w:id="528"/>
    </w:p>
    <w:p w14:paraId="2E3CF5E1">
      <w:pPr>
        <w:shd w:val="clear"/>
        <w:tabs>
          <w:tab w:val="left" w:pos="1440"/>
        </w:tabs>
        <w:outlineLvl w:val="9"/>
        <w:rPr>
          <w:rFonts w:hint="eastAsia" w:ascii="宋体" w:hAnsi="宋体" w:eastAsia="宋体" w:cs="宋体"/>
          <w:color w:val="auto"/>
          <w:sz w:val="24"/>
          <w:highlight w:val="none"/>
        </w:rPr>
      </w:pPr>
      <w:bookmarkStart w:id="529" w:name="_Toc10939"/>
      <w:bookmarkStart w:id="530" w:name="_Toc7715"/>
      <w:r>
        <w:rPr>
          <w:rFonts w:hint="eastAsia" w:ascii="宋体" w:hAnsi="宋体" w:eastAsia="宋体" w:cs="宋体"/>
          <w:color w:val="auto"/>
          <w:sz w:val="24"/>
          <w:highlight w:val="none"/>
        </w:rPr>
        <w:t>法定代表人或授权委托代理人（签字或盖章）：</w:t>
      </w:r>
      <w:bookmarkEnd w:id="529"/>
      <w:bookmarkEnd w:id="530"/>
    </w:p>
    <w:p w14:paraId="227E4B7C">
      <w:pPr>
        <w:shd w:val="clear"/>
        <w:tabs>
          <w:tab w:val="left" w:pos="1440"/>
        </w:tabs>
        <w:outlineLvl w:val="9"/>
        <w:rPr>
          <w:rFonts w:hint="eastAsia" w:ascii="宋体" w:hAnsi="宋体" w:eastAsia="宋体" w:cs="宋体"/>
          <w:color w:val="auto"/>
          <w:sz w:val="24"/>
          <w:highlight w:val="none"/>
        </w:rPr>
      </w:pPr>
      <w:bookmarkStart w:id="531" w:name="_Toc20701"/>
      <w:bookmarkStart w:id="532" w:name="_Toc14865"/>
      <w:r>
        <w:rPr>
          <w:rFonts w:hint="eastAsia" w:ascii="宋体" w:hAnsi="宋体" w:eastAsia="宋体" w:cs="宋体"/>
          <w:color w:val="auto"/>
          <w:sz w:val="24"/>
          <w:highlight w:val="none"/>
        </w:rPr>
        <w:t>日期：</w:t>
      </w:r>
      <w:bookmarkEnd w:id="531"/>
      <w:bookmarkEnd w:id="532"/>
    </w:p>
    <w:p w14:paraId="116E8C5C">
      <w:pPr>
        <w:shd w:val="clear"/>
        <w:outlineLvl w:val="9"/>
        <w:rPr>
          <w:rFonts w:hint="eastAsia" w:ascii="宋体" w:hAnsi="宋体" w:eastAsia="宋体" w:cs="宋体"/>
          <w:color w:val="auto"/>
          <w:sz w:val="24"/>
          <w:highlight w:val="none"/>
        </w:rPr>
      </w:pPr>
    </w:p>
    <w:p w14:paraId="115396EF">
      <w:pPr>
        <w:shd w:val="clear"/>
        <w:bidi w:val="0"/>
        <w:outlineLvl w:val="9"/>
        <w:rPr>
          <w:rFonts w:hint="eastAsia"/>
          <w:color w:val="auto"/>
          <w:highlight w:val="none"/>
        </w:rPr>
      </w:pPr>
    </w:p>
    <w:p w14:paraId="7C655D33">
      <w:pPr>
        <w:rPr>
          <w:rFonts w:hint="eastAsia"/>
          <w:color w:val="auto"/>
          <w:highlight w:val="none"/>
        </w:rPr>
      </w:pPr>
      <w:r>
        <w:rPr>
          <w:rFonts w:hint="eastAsia"/>
          <w:color w:val="auto"/>
          <w:highlight w:val="none"/>
        </w:rPr>
        <w:br w:type="page"/>
      </w:r>
    </w:p>
    <w:p w14:paraId="0E5153BE">
      <w:pPr>
        <w:shd w:val="clear"/>
        <w:bidi w:val="0"/>
        <w:rPr>
          <w:rFonts w:hint="eastAsia"/>
          <w:color w:val="auto"/>
          <w:highlight w:val="none"/>
        </w:rPr>
      </w:pPr>
    </w:p>
    <w:p w14:paraId="2ACA347D">
      <w:pPr>
        <w:shd w:val="clear"/>
        <w:tabs>
          <w:tab w:val="left" w:pos="993"/>
          <w:tab w:val="left" w:pos="1030"/>
          <w:tab w:val="left" w:pos="8364"/>
        </w:tabs>
        <w:snapToGrid w:val="0"/>
        <w:spacing w:after="156" w:afterLines="50"/>
        <w:ind w:right="-57" w:rightChars="-27"/>
        <w:jc w:val="left"/>
        <w:outlineLvl w:val="2"/>
        <w:rPr>
          <w:rFonts w:hint="eastAsia" w:ascii="宋体" w:hAnsi="宋体" w:eastAsia="宋体" w:cs="宋体"/>
          <w:b/>
          <w:color w:val="auto"/>
          <w:sz w:val="24"/>
          <w:highlight w:val="none"/>
        </w:rPr>
      </w:pPr>
      <w:bookmarkStart w:id="533" w:name="_Toc12562"/>
      <w:bookmarkStart w:id="534" w:name="_Toc2139"/>
      <w:bookmarkStart w:id="535" w:name="_Toc9381"/>
      <w:r>
        <w:rPr>
          <w:rFonts w:hint="eastAsia" w:ascii="宋体" w:hAnsi="宋体" w:cs="宋体"/>
          <w:b/>
          <w:color w:val="auto"/>
          <w:sz w:val="24"/>
          <w:highlight w:val="none"/>
          <w:lang w:val="en-US" w:eastAsia="zh-CN"/>
        </w:rPr>
        <w:t>6</w:t>
      </w:r>
      <w:r>
        <w:rPr>
          <w:rFonts w:hint="eastAsia" w:ascii="宋体" w:hAnsi="宋体" w:eastAsia="宋体" w:cs="宋体"/>
          <w:b/>
          <w:color w:val="auto"/>
          <w:sz w:val="24"/>
          <w:highlight w:val="none"/>
        </w:rPr>
        <w:t xml:space="preserve">-6  </w:t>
      </w:r>
      <w:r>
        <w:rPr>
          <w:rFonts w:hint="eastAsia" w:ascii="宋体" w:hAnsi="宋体" w:eastAsia="宋体" w:cs="宋体"/>
          <w:b/>
          <w:color w:val="auto"/>
          <w:sz w:val="24"/>
          <w:highlight w:val="none"/>
          <w:lang w:eastAsia="zh-CN"/>
        </w:rPr>
        <w:t>供应商</w:t>
      </w:r>
      <w:r>
        <w:rPr>
          <w:rFonts w:hint="eastAsia" w:ascii="宋体" w:hAnsi="宋体" w:eastAsia="宋体" w:cs="宋体"/>
          <w:b/>
          <w:color w:val="auto"/>
          <w:sz w:val="24"/>
          <w:highlight w:val="none"/>
        </w:rPr>
        <w:t>参加政府采购活动前3年内在经营活动中没有重大违法记录的书面声明</w:t>
      </w:r>
      <w:bookmarkEnd w:id="533"/>
      <w:bookmarkEnd w:id="534"/>
      <w:bookmarkEnd w:id="535"/>
    </w:p>
    <w:p w14:paraId="23445CAC">
      <w:pPr>
        <w:shd w:val="clear"/>
        <w:jc w:val="center"/>
        <w:rPr>
          <w:rFonts w:hint="eastAsia" w:ascii="宋体" w:hAnsi="宋体" w:eastAsia="宋体" w:cs="宋体"/>
          <w:color w:val="auto"/>
          <w:sz w:val="24"/>
          <w:highlight w:val="none"/>
        </w:rPr>
      </w:pPr>
    </w:p>
    <w:p w14:paraId="769AEE06">
      <w:pPr>
        <w:shd w:val="clear"/>
        <w:jc w:val="center"/>
        <w:outlineLvl w:val="9"/>
        <w:rPr>
          <w:rFonts w:hint="eastAsia" w:ascii="宋体" w:hAnsi="宋体" w:eastAsia="宋体" w:cs="宋体"/>
          <w:b/>
          <w:color w:val="auto"/>
          <w:sz w:val="24"/>
          <w:highlight w:val="none"/>
        </w:rPr>
      </w:pPr>
      <w:bookmarkStart w:id="536" w:name="_Toc31540"/>
      <w:bookmarkStart w:id="537" w:name="_Toc24316"/>
      <w:r>
        <w:rPr>
          <w:rFonts w:hint="eastAsia" w:ascii="宋体" w:hAnsi="宋体" w:eastAsia="宋体" w:cs="宋体"/>
          <w:b/>
          <w:color w:val="auto"/>
          <w:sz w:val="24"/>
          <w:highlight w:val="none"/>
        </w:rPr>
        <w:t>声明函</w:t>
      </w:r>
      <w:bookmarkEnd w:id="536"/>
      <w:bookmarkEnd w:id="537"/>
    </w:p>
    <w:p w14:paraId="0B907B7C">
      <w:pPr>
        <w:shd w:val="clear"/>
        <w:jc w:val="center"/>
        <w:rPr>
          <w:rFonts w:hint="eastAsia" w:ascii="宋体" w:hAnsi="宋体" w:eastAsia="宋体" w:cs="宋体"/>
          <w:color w:val="auto"/>
          <w:sz w:val="24"/>
          <w:highlight w:val="none"/>
        </w:rPr>
      </w:pPr>
    </w:p>
    <w:p w14:paraId="0E6E2102">
      <w:pPr>
        <w:shd w:val="clear"/>
        <w:tabs>
          <w:tab w:val="left" w:pos="5580"/>
        </w:tabs>
        <w:spacing w:before="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 xml:space="preserve">   （采购人）  </w:t>
      </w:r>
    </w:p>
    <w:p w14:paraId="49872CF2">
      <w:pPr>
        <w:shd w:val="clear"/>
        <w:tabs>
          <w:tab w:val="left" w:pos="5580"/>
        </w:tabs>
        <w:spacing w:before="120" w:line="360" w:lineRule="auto"/>
        <w:ind w:firstLine="480" w:firstLineChars="200"/>
        <w:rPr>
          <w:rFonts w:hint="eastAsia" w:ascii="宋体" w:hAnsi="宋体" w:eastAsia="宋体" w:cs="宋体"/>
          <w:color w:val="auto"/>
          <w:sz w:val="24"/>
          <w:highlight w:val="none"/>
        </w:rPr>
      </w:pPr>
    </w:p>
    <w:p w14:paraId="1C1FD28F">
      <w:pPr>
        <w:shd w:val="clear"/>
        <w:tabs>
          <w:tab w:val="left" w:pos="5580"/>
        </w:tabs>
        <w:spacing w:before="120"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在本项目</w:t>
      </w:r>
      <w:r>
        <w:rPr>
          <w:rFonts w:hint="eastAsia" w:ascii="宋体" w:hAnsi="宋体" w:cs="宋体"/>
          <w:color w:val="auto"/>
          <w:sz w:val="24"/>
          <w:highlight w:val="none"/>
          <w:lang w:eastAsia="zh-CN"/>
        </w:rPr>
        <w:t>磋商</w:t>
      </w:r>
      <w:r>
        <w:rPr>
          <w:rFonts w:hint="eastAsia" w:ascii="宋体" w:hAnsi="宋体" w:eastAsia="宋体" w:cs="宋体"/>
          <w:color w:val="auto"/>
          <w:sz w:val="24"/>
          <w:highlight w:val="none"/>
        </w:rPr>
        <w:t>文件截止时间前，我公司郑重承诺在参加本项目政府采购活动前三年内，在经营活动中无重大违法记录。公司未受到刑事处罚或责令停业、吊销许可证（或执照）、较大数额罚款等行政处罚；未处于财产被接管、冻结、破产状况。</w:t>
      </w:r>
    </w:p>
    <w:p w14:paraId="10CE92FC">
      <w:pPr>
        <w:shd w:val="clear"/>
        <w:tabs>
          <w:tab w:val="left" w:pos="5580"/>
        </w:tabs>
        <w:spacing w:before="120"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如发现我单位提供的声明函不实时，我单位将按照《政府采购法》有关提供虚假材料的规定，接受处罚。</w:t>
      </w:r>
    </w:p>
    <w:p w14:paraId="54A739CC">
      <w:pPr>
        <w:shd w:val="clear"/>
        <w:tabs>
          <w:tab w:val="left" w:pos="5580"/>
        </w:tabs>
        <w:spacing w:before="120"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特此声明。</w:t>
      </w:r>
    </w:p>
    <w:p w14:paraId="1657D7F6">
      <w:pPr>
        <w:shd w:val="clear"/>
        <w:tabs>
          <w:tab w:val="left" w:pos="5580"/>
        </w:tabs>
        <w:spacing w:before="120" w:line="360" w:lineRule="auto"/>
        <w:ind w:firstLine="480" w:firstLineChars="200"/>
        <w:rPr>
          <w:rFonts w:hint="eastAsia" w:ascii="宋体" w:hAnsi="宋体" w:eastAsia="宋体" w:cs="宋体"/>
          <w:color w:val="auto"/>
          <w:sz w:val="24"/>
          <w:highlight w:val="none"/>
        </w:rPr>
      </w:pPr>
    </w:p>
    <w:p w14:paraId="595BB7A4">
      <w:pPr>
        <w:shd w:val="clear"/>
        <w:tabs>
          <w:tab w:val="left" w:pos="5580"/>
        </w:tabs>
        <w:spacing w:before="120" w:line="360" w:lineRule="auto"/>
        <w:ind w:firstLine="480" w:firstLineChars="200"/>
        <w:rPr>
          <w:rFonts w:hint="eastAsia" w:ascii="宋体" w:hAnsi="宋体" w:eastAsia="宋体" w:cs="宋体"/>
          <w:color w:val="auto"/>
          <w:sz w:val="24"/>
          <w:highlight w:val="none"/>
        </w:rPr>
      </w:pPr>
    </w:p>
    <w:p w14:paraId="47DF5438">
      <w:pPr>
        <w:shd w:val="clear"/>
        <w:tabs>
          <w:tab w:val="left" w:pos="5580"/>
        </w:tabs>
        <w:spacing w:before="120" w:line="360" w:lineRule="auto"/>
        <w:ind w:firstLine="480" w:firstLineChars="200"/>
        <w:rPr>
          <w:rFonts w:hint="eastAsia" w:ascii="宋体" w:hAnsi="宋体" w:eastAsia="宋体" w:cs="宋体"/>
          <w:color w:val="auto"/>
          <w:sz w:val="24"/>
          <w:highlight w:val="none"/>
          <w:u w:val="none"/>
        </w:rPr>
      </w:pPr>
    </w:p>
    <w:p w14:paraId="6480F549">
      <w:pPr>
        <w:pStyle w:val="305"/>
        <w:shd w:val="clear"/>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供应商（盖章）：</w:t>
      </w:r>
    </w:p>
    <w:p w14:paraId="2C73D778">
      <w:pPr>
        <w:pStyle w:val="305"/>
        <w:shd w:val="clear"/>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法定代表人或授权委托代理人（签字或盖章）：</w:t>
      </w:r>
    </w:p>
    <w:p w14:paraId="05EC5FA7">
      <w:pPr>
        <w:pStyle w:val="305"/>
        <w:shd w:val="clea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none"/>
        </w:rPr>
        <w:t>日期：</w:t>
      </w:r>
      <w:r>
        <w:rPr>
          <w:rFonts w:hint="eastAsia" w:ascii="宋体" w:hAnsi="宋体" w:eastAsia="宋体" w:cs="宋体"/>
          <w:color w:val="auto"/>
          <w:sz w:val="24"/>
          <w:highlight w:val="none"/>
          <w:u w:val="single"/>
        </w:rPr>
        <w:br w:type="page"/>
      </w:r>
    </w:p>
    <w:p w14:paraId="2C981887">
      <w:pPr>
        <w:shd w:val="clear"/>
        <w:jc w:val="center"/>
        <w:outlineLvl w:val="2"/>
        <w:rPr>
          <w:rFonts w:hint="eastAsia" w:ascii="宋体" w:hAnsi="宋体" w:eastAsia="宋体" w:cs="宋体"/>
          <w:b/>
          <w:color w:val="auto"/>
          <w:sz w:val="24"/>
          <w:highlight w:val="none"/>
        </w:rPr>
      </w:pPr>
      <w:bookmarkStart w:id="538" w:name="_Toc20882"/>
      <w:bookmarkStart w:id="539" w:name="_Toc15314"/>
      <w:bookmarkStart w:id="540" w:name="_Toc1047"/>
      <w:r>
        <w:rPr>
          <w:rFonts w:hint="eastAsia" w:ascii="宋体" w:hAnsi="宋体" w:cs="宋体"/>
          <w:b/>
          <w:bCs/>
          <w:color w:val="auto"/>
          <w:szCs w:val="21"/>
          <w:highlight w:val="none"/>
          <w:lang w:val="en-US" w:eastAsia="zh-CN"/>
        </w:rPr>
        <w:t>6</w:t>
      </w:r>
      <w:r>
        <w:rPr>
          <w:rFonts w:hint="eastAsia" w:ascii="宋体" w:hAnsi="宋体" w:eastAsia="宋体" w:cs="宋体"/>
          <w:b/>
          <w:bCs/>
          <w:color w:val="auto"/>
          <w:szCs w:val="21"/>
          <w:highlight w:val="none"/>
        </w:rPr>
        <w:t xml:space="preserve">-7  </w:t>
      </w:r>
      <w:r>
        <w:rPr>
          <w:rFonts w:hint="eastAsia" w:ascii="宋体" w:hAnsi="宋体" w:eastAsia="宋体" w:cs="宋体"/>
          <w:b/>
          <w:color w:val="auto"/>
          <w:sz w:val="24"/>
          <w:highlight w:val="none"/>
          <w:lang w:eastAsia="zh-CN"/>
        </w:rPr>
        <w:t>供应商</w:t>
      </w:r>
      <w:r>
        <w:rPr>
          <w:rFonts w:hint="eastAsia" w:ascii="宋体" w:hAnsi="宋体" w:eastAsia="宋体" w:cs="宋体"/>
          <w:b/>
          <w:color w:val="auto"/>
          <w:sz w:val="24"/>
          <w:highlight w:val="none"/>
        </w:rPr>
        <w:t>控股股东名称、控股公司的名称和存在管理、被管理关系的单位名称说明</w:t>
      </w:r>
      <w:bookmarkEnd w:id="538"/>
      <w:bookmarkEnd w:id="539"/>
      <w:bookmarkEnd w:id="540"/>
    </w:p>
    <w:p w14:paraId="1EB5CA9E">
      <w:pPr>
        <w:shd w:val="clear"/>
        <w:ind w:firstLine="420"/>
        <w:rPr>
          <w:rFonts w:hint="eastAsia" w:ascii="宋体" w:hAnsi="宋体" w:eastAsia="宋体" w:cs="宋体"/>
          <w:color w:val="auto"/>
          <w:szCs w:val="21"/>
          <w:highlight w:val="none"/>
        </w:rPr>
      </w:pPr>
    </w:p>
    <w:p w14:paraId="7552B5DD">
      <w:pPr>
        <w:shd w:val="clea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p>
    <w:p w14:paraId="29DB2BC9">
      <w:pPr>
        <w:shd w:val="clear"/>
        <w:ind w:firstLine="426"/>
        <w:rPr>
          <w:rFonts w:hint="eastAsia" w:ascii="宋体" w:hAnsi="宋体" w:eastAsia="宋体" w:cs="宋体"/>
          <w:color w:val="auto"/>
          <w:sz w:val="24"/>
          <w:highlight w:val="none"/>
        </w:rPr>
      </w:pPr>
      <w:r>
        <w:rPr>
          <w:rFonts w:hint="eastAsia" w:ascii="宋体" w:hAnsi="宋体" w:eastAsia="宋体" w:cs="宋体"/>
          <w:color w:val="auto"/>
          <w:sz w:val="24"/>
          <w:highlight w:val="none"/>
        </w:rPr>
        <w:t>与我方的法定代表人（单位负责人）为同一人的企业如下：</w:t>
      </w:r>
    </w:p>
    <w:p w14:paraId="3592652B">
      <w:pPr>
        <w:shd w:val="clear"/>
        <w:ind w:firstLine="426"/>
        <w:rPr>
          <w:rFonts w:hint="eastAsia" w:ascii="宋体" w:hAnsi="宋体" w:eastAsia="宋体" w:cs="宋体"/>
          <w:color w:val="auto"/>
          <w:sz w:val="24"/>
          <w:highlight w:val="none"/>
        </w:rPr>
      </w:pPr>
    </w:p>
    <w:p w14:paraId="7A17F9BF">
      <w:pPr>
        <w:shd w:val="clear"/>
        <w:ind w:firstLine="426"/>
        <w:rPr>
          <w:rFonts w:hint="eastAsia" w:ascii="宋体" w:hAnsi="宋体" w:eastAsia="宋体" w:cs="宋体"/>
          <w:color w:val="auto"/>
          <w:sz w:val="24"/>
          <w:highlight w:val="none"/>
        </w:rPr>
      </w:pPr>
      <w:r>
        <w:rPr>
          <w:rFonts w:hint="eastAsia" w:ascii="宋体" w:hAnsi="宋体" w:eastAsia="宋体" w:cs="宋体"/>
          <w:color w:val="auto"/>
          <w:sz w:val="24"/>
          <w:highlight w:val="none"/>
        </w:rPr>
        <w:t>我方的控股股东如下：</w:t>
      </w:r>
    </w:p>
    <w:p w14:paraId="328B80A6">
      <w:pPr>
        <w:shd w:val="clear"/>
        <w:ind w:firstLine="426"/>
        <w:rPr>
          <w:rFonts w:hint="eastAsia" w:ascii="宋体" w:hAnsi="宋体" w:eastAsia="宋体" w:cs="宋体"/>
          <w:color w:val="auto"/>
          <w:sz w:val="24"/>
          <w:highlight w:val="none"/>
        </w:rPr>
      </w:pPr>
    </w:p>
    <w:p w14:paraId="715FD875">
      <w:pPr>
        <w:shd w:val="clear"/>
        <w:ind w:firstLine="426"/>
        <w:rPr>
          <w:rFonts w:hint="eastAsia" w:ascii="宋体" w:hAnsi="宋体" w:eastAsia="宋体" w:cs="宋体"/>
          <w:color w:val="auto"/>
          <w:sz w:val="24"/>
          <w:highlight w:val="none"/>
        </w:rPr>
      </w:pPr>
      <w:r>
        <w:rPr>
          <w:rFonts w:hint="eastAsia" w:ascii="宋体" w:hAnsi="宋体" w:eastAsia="宋体" w:cs="宋体"/>
          <w:color w:val="auto"/>
          <w:sz w:val="24"/>
          <w:highlight w:val="none"/>
        </w:rPr>
        <w:t>我方直接控股的企业如下：</w:t>
      </w:r>
    </w:p>
    <w:p w14:paraId="3A5E4B79">
      <w:pPr>
        <w:shd w:val="clear"/>
        <w:ind w:firstLine="426"/>
        <w:rPr>
          <w:rFonts w:hint="eastAsia" w:ascii="宋体" w:hAnsi="宋体" w:eastAsia="宋体" w:cs="宋体"/>
          <w:color w:val="auto"/>
          <w:sz w:val="24"/>
          <w:highlight w:val="none"/>
        </w:rPr>
      </w:pPr>
    </w:p>
    <w:p w14:paraId="6D19D500">
      <w:pPr>
        <w:shd w:val="clear"/>
        <w:ind w:firstLine="426"/>
        <w:rPr>
          <w:rFonts w:hint="eastAsia" w:ascii="宋体" w:hAnsi="宋体" w:eastAsia="宋体" w:cs="宋体"/>
          <w:color w:val="auto"/>
          <w:sz w:val="24"/>
          <w:highlight w:val="none"/>
        </w:rPr>
      </w:pPr>
      <w:r>
        <w:rPr>
          <w:rFonts w:hint="eastAsia" w:ascii="宋体" w:hAnsi="宋体" w:eastAsia="宋体" w:cs="宋体"/>
          <w:color w:val="auto"/>
          <w:sz w:val="24"/>
          <w:highlight w:val="none"/>
        </w:rPr>
        <w:t>与我方存在管理、被管理关系的单位名称如下：</w:t>
      </w:r>
    </w:p>
    <w:p w14:paraId="746B66AA">
      <w:pPr>
        <w:shd w:val="clear"/>
        <w:ind w:firstLine="426"/>
        <w:rPr>
          <w:rFonts w:hint="eastAsia" w:ascii="宋体" w:hAnsi="宋体" w:eastAsia="宋体" w:cs="宋体"/>
          <w:color w:val="auto"/>
          <w:sz w:val="24"/>
          <w:highlight w:val="none"/>
        </w:rPr>
      </w:pPr>
    </w:p>
    <w:p w14:paraId="562CB929">
      <w:pPr>
        <w:shd w:val="clear"/>
        <w:ind w:firstLine="426"/>
        <w:rPr>
          <w:rFonts w:hint="eastAsia" w:ascii="宋体" w:hAnsi="宋体" w:eastAsia="宋体" w:cs="宋体"/>
          <w:color w:val="auto"/>
          <w:szCs w:val="21"/>
          <w:highlight w:val="none"/>
        </w:rPr>
      </w:pPr>
    </w:p>
    <w:p w14:paraId="19B0FC1C">
      <w:pPr>
        <w:shd w:val="clear"/>
        <w:ind w:firstLine="420" w:firstLineChars="200"/>
        <w:rPr>
          <w:rFonts w:hint="eastAsia" w:ascii="宋体" w:hAnsi="宋体" w:eastAsia="宋体" w:cs="宋体"/>
          <w:color w:val="auto"/>
          <w:szCs w:val="21"/>
          <w:highlight w:val="none"/>
        </w:rPr>
      </w:pPr>
    </w:p>
    <w:p w14:paraId="01E72A09">
      <w:pPr>
        <w:pStyle w:val="305"/>
        <w:shd w:val="clear"/>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供应商（盖章）：</w:t>
      </w:r>
    </w:p>
    <w:p w14:paraId="4A26F135">
      <w:pPr>
        <w:pStyle w:val="305"/>
        <w:shd w:val="clear"/>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法定代表人或授权委托代理人（签字或盖章）：</w:t>
      </w:r>
    </w:p>
    <w:p w14:paraId="5ECBED65">
      <w:pPr>
        <w:pStyle w:val="305"/>
        <w:shd w:val="clear"/>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highlight w:val="none"/>
          <w:u w:val="none"/>
        </w:rPr>
        <w:t>日期：</w:t>
      </w:r>
      <w:r>
        <w:rPr>
          <w:rFonts w:hint="eastAsia" w:ascii="宋体" w:hAnsi="宋体" w:eastAsia="宋体" w:cs="宋体"/>
          <w:color w:val="auto"/>
          <w:szCs w:val="21"/>
          <w:highlight w:val="none"/>
        </w:rPr>
        <w:br w:type="page"/>
      </w:r>
    </w:p>
    <w:p w14:paraId="566A8D2B">
      <w:pPr>
        <w:shd w:val="clear"/>
        <w:jc w:val="center"/>
        <w:outlineLvl w:val="2"/>
        <w:rPr>
          <w:rFonts w:hint="eastAsia" w:ascii="宋体" w:hAnsi="宋体" w:eastAsia="宋体" w:cs="宋体"/>
          <w:b/>
          <w:color w:val="auto"/>
          <w:sz w:val="24"/>
          <w:highlight w:val="none"/>
        </w:rPr>
      </w:pPr>
      <w:bookmarkStart w:id="541" w:name="_Toc21167"/>
      <w:bookmarkStart w:id="542" w:name="_Toc32535"/>
      <w:bookmarkStart w:id="543" w:name="_Toc14800"/>
      <w:r>
        <w:rPr>
          <w:rFonts w:hint="eastAsia" w:ascii="宋体" w:hAnsi="宋体" w:cs="宋体"/>
          <w:b/>
          <w:bCs/>
          <w:color w:val="auto"/>
          <w:szCs w:val="21"/>
          <w:highlight w:val="none"/>
          <w:lang w:val="en-US" w:eastAsia="zh-CN"/>
        </w:rPr>
        <w:t>6</w:t>
      </w:r>
      <w:r>
        <w:rPr>
          <w:rFonts w:hint="eastAsia" w:ascii="宋体" w:hAnsi="宋体" w:eastAsia="宋体" w:cs="宋体"/>
          <w:b/>
          <w:bCs/>
          <w:color w:val="auto"/>
          <w:szCs w:val="21"/>
          <w:highlight w:val="none"/>
        </w:rPr>
        <w:t xml:space="preserve">-8  </w:t>
      </w:r>
      <w:r>
        <w:rPr>
          <w:rFonts w:hint="eastAsia" w:ascii="宋体" w:hAnsi="宋体" w:eastAsia="宋体" w:cs="宋体"/>
          <w:b/>
          <w:color w:val="auto"/>
          <w:sz w:val="24"/>
          <w:highlight w:val="none"/>
          <w:lang w:eastAsia="zh-CN"/>
        </w:rPr>
        <w:t>供应商</w:t>
      </w:r>
      <w:r>
        <w:rPr>
          <w:rFonts w:hint="eastAsia" w:ascii="宋体" w:hAnsi="宋体" w:eastAsia="宋体" w:cs="宋体"/>
          <w:b/>
          <w:color w:val="auto"/>
          <w:sz w:val="24"/>
          <w:highlight w:val="none"/>
        </w:rPr>
        <w:t>是否属于为本项目提供整体设计、规范编制或者项目管理、监理、检测等服务的</w:t>
      </w:r>
      <w:r>
        <w:rPr>
          <w:rFonts w:hint="eastAsia" w:ascii="宋体" w:hAnsi="宋体" w:eastAsia="宋体" w:cs="宋体"/>
          <w:b/>
          <w:color w:val="auto"/>
          <w:sz w:val="24"/>
          <w:highlight w:val="none"/>
          <w:lang w:eastAsia="zh-CN"/>
        </w:rPr>
        <w:t>供应商</w:t>
      </w:r>
      <w:r>
        <w:rPr>
          <w:rFonts w:hint="eastAsia" w:ascii="宋体" w:hAnsi="宋体" w:eastAsia="宋体" w:cs="宋体"/>
          <w:b/>
          <w:color w:val="auto"/>
          <w:sz w:val="24"/>
          <w:highlight w:val="none"/>
        </w:rPr>
        <w:t>声明</w:t>
      </w:r>
      <w:bookmarkEnd w:id="541"/>
      <w:bookmarkEnd w:id="542"/>
      <w:bookmarkEnd w:id="543"/>
    </w:p>
    <w:p w14:paraId="2209F6C6">
      <w:pPr>
        <w:shd w:val="clear"/>
        <w:ind w:firstLine="420"/>
        <w:rPr>
          <w:rFonts w:hint="eastAsia" w:ascii="宋体" w:hAnsi="宋体" w:eastAsia="宋体" w:cs="宋体"/>
          <w:color w:val="auto"/>
          <w:szCs w:val="21"/>
          <w:highlight w:val="none"/>
        </w:rPr>
      </w:pPr>
    </w:p>
    <w:p w14:paraId="76C2A5E8">
      <w:pPr>
        <w:shd w:val="clear"/>
        <w:spacing w:line="360" w:lineRule="auto"/>
        <w:rPr>
          <w:rFonts w:hint="eastAsia" w:ascii="宋体" w:hAnsi="宋体" w:eastAsia="宋体" w:cs="宋体"/>
          <w:color w:val="auto"/>
          <w:szCs w:val="21"/>
          <w:highlight w:val="none"/>
        </w:rPr>
      </w:pPr>
    </w:p>
    <w:p w14:paraId="33805D92">
      <w:pPr>
        <w:shd w:val="clea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p>
    <w:p w14:paraId="1BC9D676">
      <w:pPr>
        <w:shd w:val="clear"/>
        <w:spacing w:line="480" w:lineRule="auto"/>
        <w:ind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 </w:t>
      </w:r>
      <w:r>
        <w:rPr>
          <w:rFonts w:hint="eastAsia" w:ascii="宋体" w:hAnsi="宋体" w:eastAsia="宋体" w:cs="宋体"/>
          <w:i/>
          <w:iCs/>
          <w:color w:val="auto"/>
          <w:sz w:val="24"/>
          <w:highlight w:val="none"/>
          <w:u w:val="single"/>
        </w:rPr>
        <w:t>不属于</w:t>
      </w:r>
      <w:r>
        <w:rPr>
          <w:rFonts w:hint="eastAsia" w:ascii="宋体" w:hAnsi="宋体" w:eastAsia="宋体" w:cs="宋体"/>
          <w:color w:val="auto"/>
          <w:sz w:val="24"/>
          <w:highlight w:val="none"/>
        </w:rPr>
        <w:t xml:space="preserve"> 为本项目提供整体设计、规范编制或者项目管理、监理、检测等服务的</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。也</w:t>
      </w:r>
      <w:r>
        <w:rPr>
          <w:rFonts w:hint="eastAsia" w:ascii="宋体" w:hAnsi="宋体" w:eastAsia="宋体" w:cs="宋体"/>
          <w:i/>
          <w:iCs/>
          <w:color w:val="auto"/>
          <w:sz w:val="24"/>
          <w:highlight w:val="none"/>
          <w:u w:val="single"/>
        </w:rPr>
        <w:t>不属于</w:t>
      </w:r>
      <w:r>
        <w:rPr>
          <w:rFonts w:hint="eastAsia" w:ascii="宋体" w:hAnsi="宋体" w:eastAsia="宋体" w:cs="宋体"/>
          <w:color w:val="auto"/>
          <w:sz w:val="24"/>
          <w:highlight w:val="none"/>
        </w:rPr>
        <w:t>单位负责人为同一人或者</w:t>
      </w:r>
      <w:r>
        <w:rPr>
          <w:rFonts w:hint="eastAsia" w:ascii="宋体" w:hAnsi="宋体" w:cs="宋体"/>
          <w:color w:val="auto"/>
          <w:sz w:val="24"/>
          <w:highlight w:val="none"/>
          <w:lang w:eastAsia="zh-CN"/>
        </w:rPr>
        <w:t>存在直接控股</w:t>
      </w:r>
      <w:r>
        <w:rPr>
          <w:rFonts w:hint="eastAsia" w:ascii="宋体" w:hAnsi="宋体" w:eastAsia="宋体" w:cs="宋体"/>
          <w:color w:val="auto"/>
          <w:sz w:val="24"/>
          <w:highlight w:val="none"/>
        </w:rPr>
        <w:t>、管理关系的不同单位同时参加本项目的</w:t>
      </w:r>
      <w:r>
        <w:rPr>
          <w:rFonts w:hint="eastAsia" w:ascii="宋体" w:hAnsi="宋体" w:cs="宋体"/>
          <w:color w:val="auto"/>
          <w:sz w:val="24"/>
          <w:highlight w:val="none"/>
          <w:lang w:eastAsia="zh-CN"/>
        </w:rPr>
        <w:t>磋商</w:t>
      </w:r>
      <w:r>
        <w:rPr>
          <w:rFonts w:hint="eastAsia" w:ascii="宋体" w:hAnsi="宋体" w:eastAsia="宋体" w:cs="宋体"/>
          <w:color w:val="auto"/>
          <w:sz w:val="24"/>
          <w:highlight w:val="none"/>
        </w:rPr>
        <w:t>的情形。</w:t>
      </w:r>
    </w:p>
    <w:p w14:paraId="1F7668F1">
      <w:pPr>
        <w:shd w:val="clear"/>
        <w:ind w:firstLine="426"/>
        <w:rPr>
          <w:rFonts w:hint="eastAsia" w:ascii="宋体" w:hAnsi="宋体" w:eastAsia="宋体" w:cs="宋体"/>
          <w:color w:val="auto"/>
          <w:sz w:val="24"/>
          <w:highlight w:val="none"/>
        </w:rPr>
      </w:pPr>
    </w:p>
    <w:p w14:paraId="32D51FA5">
      <w:pPr>
        <w:keepNext w:val="0"/>
        <w:keepLines w:val="0"/>
        <w:pageBreakBefore w:val="0"/>
        <w:widowControl w:val="0"/>
        <w:shd w:val="clear"/>
        <w:kinsoku/>
        <w:wordWrap/>
        <w:overflowPunct/>
        <w:topLinePunct w:val="0"/>
        <w:autoSpaceDE/>
        <w:autoSpaceDN/>
        <w:bidi w:val="0"/>
        <w:adjustRightInd/>
        <w:snapToGrid/>
        <w:spacing w:line="480" w:lineRule="auto"/>
        <w:ind w:firstLine="42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供应商（盖章）：</w:t>
      </w:r>
    </w:p>
    <w:p w14:paraId="12B8F4E9">
      <w:pPr>
        <w:keepNext w:val="0"/>
        <w:keepLines w:val="0"/>
        <w:pageBreakBefore w:val="0"/>
        <w:widowControl w:val="0"/>
        <w:shd w:val="clear"/>
        <w:kinsoku/>
        <w:wordWrap/>
        <w:overflowPunct/>
        <w:topLinePunct w:val="0"/>
        <w:autoSpaceDE/>
        <w:autoSpaceDN/>
        <w:bidi w:val="0"/>
        <w:adjustRightInd/>
        <w:snapToGrid/>
        <w:spacing w:line="480" w:lineRule="auto"/>
        <w:ind w:firstLine="42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法定代表人或授权委托代理人（签字或盖章）：</w:t>
      </w:r>
    </w:p>
    <w:p w14:paraId="3DD7CE88">
      <w:pPr>
        <w:keepNext w:val="0"/>
        <w:keepLines w:val="0"/>
        <w:pageBreakBefore w:val="0"/>
        <w:widowControl w:val="0"/>
        <w:shd w:val="clear"/>
        <w:kinsoku/>
        <w:wordWrap/>
        <w:overflowPunct/>
        <w:topLinePunct w:val="0"/>
        <w:autoSpaceDE/>
        <w:autoSpaceDN/>
        <w:bidi w:val="0"/>
        <w:adjustRightInd/>
        <w:snapToGrid/>
        <w:spacing w:line="480" w:lineRule="auto"/>
        <w:ind w:firstLine="42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p>
    <w:p w14:paraId="31282465">
      <w:pPr>
        <w:pStyle w:val="3"/>
        <w:shd w:val="clear"/>
        <w:outlineLvl w:val="9"/>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rPr>
        <w:t>6-</w:t>
      </w: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资质</w:t>
      </w:r>
    </w:p>
    <w:tbl>
      <w:tblPr>
        <w:tblStyle w:val="73"/>
        <w:tblW w:w="97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64"/>
        <w:gridCol w:w="6935"/>
      </w:tblGrid>
      <w:tr w14:paraId="0B399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2864" w:type="dxa"/>
            <w:vAlign w:val="center"/>
          </w:tcPr>
          <w:p w14:paraId="7F40EA54">
            <w:pPr>
              <w:shd w:val="clear"/>
              <w:snapToGrid w:val="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资质要求</w:t>
            </w:r>
          </w:p>
        </w:tc>
        <w:tc>
          <w:tcPr>
            <w:tcW w:w="6935" w:type="dxa"/>
            <w:vAlign w:val="center"/>
          </w:tcPr>
          <w:p w14:paraId="199F52DE">
            <w:pPr>
              <w:shd w:val="clear"/>
              <w:snapToGrid w:val="0"/>
              <w:rPr>
                <w:rFonts w:hint="default" w:ascii="宋体" w:hAnsi="宋体" w:cs="宋体"/>
                <w:i w:val="0"/>
                <w:iCs w:val="0"/>
                <w:caps w:val="0"/>
                <w:color w:val="auto"/>
                <w:spacing w:val="0"/>
                <w:sz w:val="24"/>
                <w:szCs w:val="24"/>
                <w:highlight w:val="none"/>
                <w:shd w:val="clear" w:fill="FFFFFF"/>
                <w:lang w:val="en-US" w:eastAsia="zh-CN"/>
              </w:rPr>
            </w:pPr>
            <w:r>
              <w:rPr>
                <w:rFonts w:hint="default" w:ascii="宋体" w:hAnsi="宋体" w:cs="宋体"/>
                <w:i w:val="0"/>
                <w:iCs w:val="0"/>
                <w:caps w:val="0"/>
                <w:color w:val="auto"/>
                <w:spacing w:val="0"/>
                <w:sz w:val="24"/>
                <w:szCs w:val="24"/>
                <w:highlight w:val="none"/>
                <w:shd w:val="clear" w:fill="FFFFFF"/>
                <w:lang w:val="en-US" w:eastAsia="zh-CN"/>
              </w:rPr>
              <w:t>具备建设行政主管部门核发的合法有效的建筑工程施工总承包叁级及以上资质，具备有效的安全生产许可证（安全生产许可证取消年检的，提供主管部门的证明文件）。</w:t>
            </w:r>
          </w:p>
          <w:p w14:paraId="6FF370EC">
            <w:pPr>
              <w:shd w:val="clear"/>
              <w:snapToGrid w:val="0"/>
              <w:rPr>
                <w:rFonts w:hint="default" w:ascii="宋体" w:hAnsi="宋体" w:cs="宋体"/>
                <w:i w:val="0"/>
                <w:iCs w:val="0"/>
                <w:caps w:val="0"/>
                <w:color w:val="auto"/>
                <w:spacing w:val="0"/>
                <w:sz w:val="24"/>
                <w:szCs w:val="24"/>
                <w:highlight w:val="none"/>
                <w:shd w:val="clear" w:fill="FFFFFF"/>
                <w:lang w:val="en-US" w:eastAsia="zh-CN"/>
              </w:rPr>
            </w:pPr>
            <w:r>
              <w:rPr>
                <w:rFonts w:hint="eastAsia" w:ascii="宋体" w:hAnsi="宋体" w:cs="宋体"/>
                <w:i w:val="0"/>
                <w:iCs w:val="0"/>
                <w:caps w:val="0"/>
                <w:color w:val="auto"/>
                <w:spacing w:val="0"/>
                <w:sz w:val="24"/>
                <w:szCs w:val="24"/>
                <w:highlight w:val="none"/>
                <w:shd w:val="clear" w:fill="FFFFFF"/>
                <w:lang w:val="en-US" w:eastAsia="zh-CN"/>
              </w:rPr>
              <w:t>提供资质证书和</w:t>
            </w:r>
            <w:r>
              <w:rPr>
                <w:rFonts w:hint="default" w:ascii="宋体" w:hAnsi="宋体" w:cs="宋体"/>
                <w:i w:val="0"/>
                <w:iCs w:val="0"/>
                <w:caps w:val="0"/>
                <w:color w:val="auto"/>
                <w:spacing w:val="0"/>
                <w:sz w:val="24"/>
                <w:szCs w:val="24"/>
                <w:highlight w:val="none"/>
                <w:shd w:val="clear" w:fill="FFFFFF"/>
                <w:lang w:val="en-US" w:eastAsia="zh-CN"/>
              </w:rPr>
              <w:t>安全生产许可证</w:t>
            </w:r>
            <w:r>
              <w:rPr>
                <w:rFonts w:hint="eastAsia" w:ascii="宋体" w:hAnsi="宋体" w:cs="宋体"/>
                <w:i w:val="0"/>
                <w:iCs w:val="0"/>
                <w:caps w:val="0"/>
                <w:color w:val="auto"/>
                <w:spacing w:val="0"/>
                <w:sz w:val="24"/>
                <w:szCs w:val="24"/>
                <w:highlight w:val="none"/>
                <w:shd w:val="clear" w:fill="FFFFFF"/>
                <w:lang w:val="en-US" w:eastAsia="zh-CN"/>
              </w:rPr>
              <w:t>扫描件。</w:t>
            </w:r>
          </w:p>
        </w:tc>
      </w:tr>
      <w:tr w14:paraId="5718B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1" w:hRule="atLeast"/>
          <w:jc w:val="center"/>
        </w:trPr>
        <w:tc>
          <w:tcPr>
            <w:tcW w:w="2864" w:type="dxa"/>
            <w:vAlign w:val="center"/>
          </w:tcPr>
          <w:p w14:paraId="3029358C">
            <w:pPr>
              <w:shd w:val="clear"/>
              <w:snapToGrid w:val="0"/>
              <w:jc w:val="lef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项目经理</w:t>
            </w:r>
          </w:p>
        </w:tc>
        <w:tc>
          <w:tcPr>
            <w:tcW w:w="6935" w:type="dxa"/>
            <w:vAlign w:val="center"/>
          </w:tcPr>
          <w:p w14:paraId="2F858DFB">
            <w:pPr>
              <w:shd w:val="clear"/>
              <w:snapToGrid w:val="0"/>
              <w:rPr>
                <w:rFonts w:hint="eastAsia" w:ascii="宋体" w:hAnsi="宋体" w:cs="宋体"/>
                <w:i w:val="0"/>
                <w:iCs w:val="0"/>
                <w:caps w:val="0"/>
                <w:color w:val="auto"/>
                <w:spacing w:val="0"/>
                <w:sz w:val="24"/>
                <w:szCs w:val="24"/>
                <w:highlight w:val="none"/>
                <w:shd w:val="clear" w:fill="FFFFFF"/>
                <w:lang w:val="en-US" w:eastAsia="zh-CN"/>
              </w:rPr>
            </w:pPr>
            <w:r>
              <w:rPr>
                <w:rFonts w:hint="eastAsia" w:ascii="宋体" w:hAnsi="宋体" w:cs="宋体"/>
                <w:i w:val="0"/>
                <w:iCs w:val="0"/>
                <w:caps w:val="0"/>
                <w:color w:val="auto"/>
                <w:spacing w:val="0"/>
                <w:sz w:val="24"/>
                <w:szCs w:val="24"/>
                <w:highlight w:val="none"/>
                <w:shd w:val="clear" w:fill="FFFFFF"/>
                <w:lang w:val="en-US" w:eastAsia="zh-CN"/>
              </w:rPr>
              <w:t>供应商拟派项目经理具备二级及以上注册建造师（建筑工程专业）执业资格，具有有效的安全生产考核合格证书，目前以及项目在建期间不得担任其他在建工程项目的项目经理，并不得兼任本项目或其他项目的其他管理人员。</w:t>
            </w:r>
          </w:p>
          <w:p w14:paraId="10F6E2D3">
            <w:pPr>
              <w:shd w:val="clear"/>
              <w:snapToGrid w:val="0"/>
              <w:rPr>
                <w:rFonts w:hint="default" w:ascii="宋体" w:hAnsi="宋体" w:cs="宋体"/>
                <w:i w:val="0"/>
                <w:iCs w:val="0"/>
                <w:caps w:val="0"/>
                <w:color w:val="auto"/>
                <w:spacing w:val="0"/>
                <w:sz w:val="24"/>
                <w:szCs w:val="24"/>
                <w:highlight w:val="none"/>
                <w:shd w:val="clear" w:fill="FFFFFF"/>
                <w:lang w:val="en-US" w:eastAsia="zh-CN"/>
              </w:rPr>
            </w:pPr>
            <w:r>
              <w:rPr>
                <w:rFonts w:hint="eastAsia" w:ascii="宋体" w:hAnsi="宋体" w:cs="宋体"/>
                <w:i w:val="0"/>
                <w:iCs w:val="0"/>
                <w:caps w:val="0"/>
                <w:color w:val="auto"/>
                <w:spacing w:val="0"/>
                <w:sz w:val="24"/>
                <w:szCs w:val="24"/>
                <w:highlight w:val="none"/>
                <w:shd w:val="clear" w:fill="FFFFFF"/>
                <w:lang w:val="en-US" w:eastAsia="zh-CN"/>
              </w:rPr>
              <w:t>提供项目经理</w:t>
            </w:r>
            <w:r>
              <w:rPr>
                <w:rFonts w:hint="default" w:ascii="宋体" w:hAnsi="宋体" w:cs="宋体"/>
                <w:i w:val="0"/>
                <w:iCs w:val="0"/>
                <w:caps w:val="0"/>
                <w:color w:val="auto"/>
                <w:spacing w:val="0"/>
                <w:sz w:val="24"/>
                <w:szCs w:val="24"/>
                <w:highlight w:val="none"/>
                <w:shd w:val="clear" w:fill="FFFFFF"/>
                <w:lang w:val="en-US" w:eastAsia="zh-CN"/>
              </w:rPr>
              <w:t>注册建造师</w:t>
            </w:r>
            <w:r>
              <w:rPr>
                <w:rFonts w:hint="eastAsia" w:ascii="宋体" w:hAnsi="宋体" w:cs="宋体"/>
                <w:i w:val="0"/>
                <w:iCs w:val="0"/>
                <w:caps w:val="0"/>
                <w:color w:val="auto"/>
                <w:spacing w:val="0"/>
                <w:sz w:val="24"/>
                <w:szCs w:val="24"/>
                <w:highlight w:val="none"/>
                <w:shd w:val="clear" w:fill="FFFFFF"/>
                <w:lang w:val="en-US" w:eastAsia="zh-CN"/>
              </w:rPr>
              <w:t>执业证书扫描件、</w:t>
            </w:r>
            <w:r>
              <w:rPr>
                <w:rFonts w:hint="default" w:ascii="宋体" w:hAnsi="宋体" w:cs="宋体"/>
                <w:i w:val="0"/>
                <w:iCs w:val="0"/>
                <w:caps w:val="0"/>
                <w:color w:val="auto"/>
                <w:spacing w:val="0"/>
                <w:sz w:val="24"/>
                <w:szCs w:val="24"/>
                <w:highlight w:val="none"/>
                <w:shd w:val="clear" w:fill="FFFFFF"/>
                <w:lang w:val="en-US" w:eastAsia="zh-CN"/>
              </w:rPr>
              <w:t>安全生产考核合格证书</w:t>
            </w:r>
            <w:r>
              <w:rPr>
                <w:rFonts w:hint="eastAsia" w:ascii="宋体" w:hAnsi="宋体" w:cs="宋体"/>
                <w:i w:val="0"/>
                <w:iCs w:val="0"/>
                <w:caps w:val="0"/>
                <w:color w:val="auto"/>
                <w:spacing w:val="0"/>
                <w:sz w:val="24"/>
                <w:szCs w:val="24"/>
                <w:highlight w:val="none"/>
                <w:shd w:val="clear" w:fill="FFFFFF"/>
                <w:lang w:val="en-US" w:eastAsia="zh-CN"/>
              </w:rPr>
              <w:t>扫描件、</w:t>
            </w:r>
            <w:r>
              <w:rPr>
                <w:rFonts w:hint="default" w:ascii="宋体" w:hAnsi="宋体" w:cs="宋体"/>
                <w:i w:val="0"/>
                <w:iCs w:val="0"/>
                <w:caps w:val="0"/>
                <w:color w:val="auto"/>
                <w:spacing w:val="0"/>
                <w:sz w:val="24"/>
                <w:szCs w:val="24"/>
                <w:highlight w:val="none"/>
                <w:shd w:val="clear" w:fill="FFFFFF"/>
                <w:lang w:val="en-US" w:eastAsia="zh-CN"/>
              </w:rPr>
              <w:t>目前以及项目在建期间不得担任其他在建工程项目的项目经理，并不得兼任本项目或其他项目的其他管理人员</w:t>
            </w:r>
            <w:r>
              <w:rPr>
                <w:rFonts w:hint="eastAsia" w:ascii="宋体" w:hAnsi="宋体" w:cs="宋体"/>
                <w:i w:val="0"/>
                <w:iCs w:val="0"/>
                <w:caps w:val="0"/>
                <w:color w:val="auto"/>
                <w:spacing w:val="0"/>
                <w:sz w:val="24"/>
                <w:szCs w:val="24"/>
                <w:highlight w:val="none"/>
                <w:shd w:val="clear" w:fill="FFFFFF"/>
                <w:lang w:val="en-US" w:eastAsia="zh-CN"/>
              </w:rPr>
              <w:t>承诺书电子原件。</w:t>
            </w:r>
          </w:p>
        </w:tc>
      </w:tr>
      <w:tr w14:paraId="1F157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jc w:val="center"/>
        </w:trPr>
        <w:tc>
          <w:tcPr>
            <w:tcW w:w="2864" w:type="dxa"/>
            <w:vAlign w:val="center"/>
          </w:tcPr>
          <w:p w14:paraId="445898E0">
            <w:pPr>
              <w:shd w:val="clear"/>
              <w:snapToGrid w:val="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安全生产考核合格证书</w:t>
            </w:r>
          </w:p>
        </w:tc>
        <w:tc>
          <w:tcPr>
            <w:tcW w:w="6935" w:type="dxa"/>
            <w:vAlign w:val="center"/>
          </w:tcPr>
          <w:p w14:paraId="5C2D5A7B">
            <w:pPr>
              <w:shd w:val="clear"/>
              <w:snapToGrid w:val="0"/>
              <w:rPr>
                <w:rFonts w:hint="default" w:ascii="宋体" w:hAnsi="宋体" w:cs="宋体"/>
                <w:i w:val="0"/>
                <w:iCs w:val="0"/>
                <w:caps w:val="0"/>
                <w:color w:val="auto"/>
                <w:spacing w:val="0"/>
                <w:sz w:val="24"/>
                <w:szCs w:val="24"/>
                <w:highlight w:val="none"/>
                <w:shd w:val="clear" w:fill="FFFFFF"/>
                <w:lang w:val="en-US" w:eastAsia="zh-CN"/>
              </w:rPr>
            </w:pPr>
            <w:r>
              <w:rPr>
                <w:rFonts w:hint="default" w:ascii="宋体" w:hAnsi="宋体" w:cs="宋体"/>
                <w:i w:val="0"/>
                <w:iCs w:val="0"/>
                <w:caps w:val="0"/>
                <w:color w:val="auto"/>
                <w:spacing w:val="0"/>
                <w:sz w:val="24"/>
                <w:szCs w:val="24"/>
                <w:highlight w:val="none"/>
                <w:shd w:val="clear" w:fill="FFFFFF"/>
                <w:lang w:val="en-US" w:eastAsia="zh-CN"/>
              </w:rPr>
              <w:t>按照《建筑施工企业安全生产许可证动态监管暂行办法》</w:t>
            </w:r>
            <w:r>
              <w:rPr>
                <w:rFonts w:hint="eastAsia" w:ascii="宋体" w:hAnsi="宋体" w:cs="宋体"/>
                <w:i w:val="0"/>
                <w:iCs w:val="0"/>
                <w:caps w:val="0"/>
                <w:color w:val="auto"/>
                <w:spacing w:val="0"/>
                <w:sz w:val="24"/>
                <w:szCs w:val="24"/>
                <w:highlight w:val="none"/>
                <w:shd w:val="clear" w:fill="FFFFFF"/>
                <w:lang w:val="en-US" w:eastAsia="zh-CN"/>
              </w:rPr>
              <w:t>，</w:t>
            </w:r>
            <w:r>
              <w:rPr>
                <w:rFonts w:hint="default" w:ascii="宋体" w:hAnsi="宋体" w:cs="宋体"/>
                <w:i w:val="0"/>
                <w:iCs w:val="0"/>
                <w:caps w:val="0"/>
                <w:color w:val="auto"/>
                <w:spacing w:val="0"/>
                <w:sz w:val="24"/>
                <w:szCs w:val="24"/>
                <w:highlight w:val="none"/>
                <w:shd w:val="clear" w:fill="FFFFFF"/>
                <w:lang w:val="en-US" w:eastAsia="zh-CN"/>
              </w:rPr>
              <w:t>供应商应提供安全生产许可证，以及企业主要负责人、拟担任该项目经理和专职安全生产管理人员的安全生产考核合格证书。</w:t>
            </w:r>
          </w:p>
          <w:p w14:paraId="4F99BE69">
            <w:pPr>
              <w:shd w:val="clear"/>
              <w:snapToGrid w:val="0"/>
              <w:rPr>
                <w:rFonts w:hint="default" w:ascii="宋体" w:hAnsi="宋体" w:cs="宋体"/>
                <w:i w:val="0"/>
                <w:iCs w:val="0"/>
                <w:caps w:val="0"/>
                <w:color w:val="auto"/>
                <w:spacing w:val="0"/>
                <w:sz w:val="24"/>
                <w:szCs w:val="24"/>
                <w:highlight w:val="none"/>
                <w:shd w:val="clear" w:fill="FFFFFF"/>
                <w:lang w:val="en-US" w:eastAsia="zh-CN"/>
              </w:rPr>
            </w:pPr>
            <w:r>
              <w:rPr>
                <w:rFonts w:hint="eastAsia" w:ascii="宋体" w:hAnsi="宋体" w:cs="宋体"/>
                <w:i w:val="0"/>
                <w:iCs w:val="0"/>
                <w:caps w:val="0"/>
                <w:color w:val="auto"/>
                <w:spacing w:val="0"/>
                <w:sz w:val="24"/>
                <w:szCs w:val="24"/>
                <w:highlight w:val="none"/>
                <w:shd w:val="clear" w:fill="FFFFFF"/>
                <w:lang w:val="en-US" w:eastAsia="zh-CN"/>
              </w:rPr>
              <w:t>提供</w:t>
            </w:r>
            <w:r>
              <w:rPr>
                <w:rFonts w:hint="default" w:ascii="宋体" w:hAnsi="宋体" w:cs="宋体"/>
                <w:i w:val="0"/>
                <w:iCs w:val="0"/>
                <w:caps w:val="0"/>
                <w:color w:val="auto"/>
                <w:spacing w:val="0"/>
                <w:sz w:val="24"/>
                <w:szCs w:val="24"/>
                <w:highlight w:val="none"/>
                <w:shd w:val="clear" w:fill="FFFFFF"/>
                <w:lang w:val="en-US" w:eastAsia="zh-CN"/>
              </w:rPr>
              <w:t>企业主要负责人、拟担任该项目经理和专职安全生产管理人员的安全生产考核合格证书</w:t>
            </w:r>
            <w:r>
              <w:rPr>
                <w:rFonts w:hint="eastAsia" w:ascii="宋体" w:hAnsi="宋体" w:cs="宋体"/>
                <w:i w:val="0"/>
                <w:iCs w:val="0"/>
                <w:caps w:val="0"/>
                <w:color w:val="auto"/>
                <w:spacing w:val="0"/>
                <w:sz w:val="24"/>
                <w:szCs w:val="24"/>
                <w:highlight w:val="none"/>
                <w:shd w:val="clear" w:fill="FFFFFF"/>
                <w:lang w:val="en-US" w:eastAsia="zh-CN"/>
              </w:rPr>
              <w:t>扫描件。</w:t>
            </w:r>
          </w:p>
        </w:tc>
      </w:tr>
    </w:tbl>
    <w:p w14:paraId="49E15CEB">
      <w:pPr>
        <w:pStyle w:val="424"/>
        <w:numPr>
          <w:ilvl w:val="0"/>
          <w:numId w:val="0"/>
        </w:numPr>
        <w:shd w:val="clear"/>
        <w:spacing w:line="360" w:lineRule="auto"/>
        <w:ind w:leftChars="0"/>
        <w:outlineLvl w:val="9"/>
        <w:rPr>
          <w:rFonts w:hint="eastAsia" w:ascii="宋体" w:hAnsi="宋体" w:eastAsia="宋体" w:cs="宋体"/>
          <w:b/>
          <w:color w:val="auto"/>
          <w:sz w:val="24"/>
          <w:highlight w:val="none"/>
        </w:rPr>
        <w:sectPr>
          <w:pgSz w:w="11906" w:h="16838"/>
          <w:pgMar w:top="1440" w:right="1083" w:bottom="1440" w:left="1083" w:header="851" w:footer="992" w:gutter="0"/>
          <w:pgNumType w:fmt="numberInDash"/>
          <w:cols w:space="0" w:num="1"/>
          <w:rtlGutter w:val="0"/>
          <w:docGrid w:type="lines" w:linePitch="314" w:charSpace="0"/>
        </w:sectPr>
      </w:pPr>
    </w:p>
    <w:p w14:paraId="658E5417">
      <w:pPr>
        <w:pStyle w:val="424"/>
        <w:numPr>
          <w:ilvl w:val="0"/>
          <w:numId w:val="16"/>
        </w:numPr>
        <w:shd w:val="clear"/>
        <w:spacing w:line="360" w:lineRule="auto"/>
        <w:ind w:left="1276" w:hanging="1276" w:firstLineChars="0"/>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供应商业绩一览表</w:t>
      </w:r>
    </w:p>
    <w:p w14:paraId="40F870FF">
      <w:pPr>
        <w:shd w:val="clear"/>
        <w:rPr>
          <w:rFonts w:hint="eastAsia" w:ascii="宋体" w:hAnsi="宋体" w:eastAsia="宋体" w:cs="宋体"/>
          <w:color w:val="auto"/>
          <w:highlight w:val="none"/>
        </w:rPr>
      </w:pPr>
    </w:p>
    <w:tbl>
      <w:tblPr>
        <w:tblStyle w:val="73"/>
        <w:tblW w:w="9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
        <w:gridCol w:w="2170"/>
        <w:gridCol w:w="1389"/>
        <w:gridCol w:w="2135"/>
        <w:gridCol w:w="2012"/>
        <w:gridCol w:w="1188"/>
      </w:tblGrid>
      <w:tr w14:paraId="2B157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962" w:type="dxa"/>
            <w:vAlign w:val="center"/>
          </w:tcPr>
          <w:p w14:paraId="17603D58">
            <w:pPr>
              <w:shd w:val="clea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年份</w:t>
            </w:r>
          </w:p>
        </w:tc>
        <w:tc>
          <w:tcPr>
            <w:tcW w:w="2170" w:type="dxa"/>
            <w:vAlign w:val="center"/>
          </w:tcPr>
          <w:p w14:paraId="602BAA4E">
            <w:pPr>
              <w:shd w:val="clear"/>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项目</w:t>
            </w:r>
            <w:r>
              <w:rPr>
                <w:rFonts w:hint="eastAsia" w:ascii="宋体" w:hAnsi="宋体" w:eastAsia="宋体" w:cs="宋体"/>
                <w:color w:val="auto"/>
                <w:sz w:val="24"/>
                <w:highlight w:val="none"/>
              </w:rPr>
              <w:t>名称</w:t>
            </w:r>
          </w:p>
        </w:tc>
        <w:tc>
          <w:tcPr>
            <w:tcW w:w="1389" w:type="dxa"/>
            <w:vAlign w:val="center"/>
          </w:tcPr>
          <w:p w14:paraId="368387AB">
            <w:pPr>
              <w:shd w:val="clea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合同总价</w:t>
            </w:r>
          </w:p>
        </w:tc>
        <w:tc>
          <w:tcPr>
            <w:tcW w:w="2135" w:type="dxa"/>
            <w:vAlign w:val="center"/>
          </w:tcPr>
          <w:p w14:paraId="7EF07226">
            <w:pPr>
              <w:shd w:val="clear"/>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委托</w:t>
            </w:r>
            <w:r>
              <w:rPr>
                <w:rFonts w:hint="eastAsia" w:ascii="宋体" w:hAnsi="宋体" w:eastAsia="宋体" w:cs="宋体"/>
                <w:color w:val="auto"/>
                <w:sz w:val="24"/>
                <w:highlight w:val="none"/>
              </w:rPr>
              <w:t>单位名称</w:t>
            </w:r>
          </w:p>
        </w:tc>
        <w:tc>
          <w:tcPr>
            <w:tcW w:w="2012" w:type="dxa"/>
            <w:vAlign w:val="center"/>
          </w:tcPr>
          <w:p w14:paraId="65689EF0">
            <w:pPr>
              <w:shd w:val="clear"/>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委托</w:t>
            </w:r>
            <w:r>
              <w:rPr>
                <w:rFonts w:hint="eastAsia" w:ascii="宋体" w:hAnsi="宋体" w:eastAsia="宋体" w:cs="宋体"/>
                <w:color w:val="auto"/>
                <w:sz w:val="24"/>
                <w:highlight w:val="none"/>
              </w:rPr>
              <w:t>单位联系人及电话</w:t>
            </w:r>
          </w:p>
        </w:tc>
        <w:tc>
          <w:tcPr>
            <w:tcW w:w="1188" w:type="dxa"/>
            <w:vAlign w:val="center"/>
          </w:tcPr>
          <w:p w14:paraId="58C94118">
            <w:pPr>
              <w:shd w:val="clea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r>
      <w:tr w14:paraId="28E72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962" w:type="dxa"/>
            <w:vAlign w:val="center"/>
          </w:tcPr>
          <w:p w14:paraId="5917B2EC">
            <w:pPr>
              <w:shd w:val="clea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20  年</w:t>
            </w:r>
          </w:p>
        </w:tc>
        <w:tc>
          <w:tcPr>
            <w:tcW w:w="2170" w:type="dxa"/>
            <w:vAlign w:val="center"/>
          </w:tcPr>
          <w:p w14:paraId="629F5F79">
            <w:pPr>
              <w:shd w:val="clear"/>
              <w:jc w:val="center"/>
              <w:rPr>
                <w:rFonts w:hint="eastAsia" w:ascii="宋体" w:hAnsi="宋体" w:eastAsia="宋体" w:cs="宋体"/>
                <w:color w:val="auto"/>
                <w:sz w:val="24"/>
                <w:highlight w:val="none"/>
              </w:rPr>
            </w:pPr>
          </w:p>
        </w:tc>
        <w:tc>
          <w:tcPr>
            <w:tcW w:w="1389" w:type="dxa"/>
            <w:vAlign w:val="center"/>
          </w:tcPr>
          <w:p w14:paraId="7BE49116">
            <w:pPr>
              <w:shd w:val="clear"/>
              <w:jc w:val="center"/>
              <w:rPr>
                <w:rFonts w:hint="eastAsia" w:ascii="宋体" w:hAnsi="宋体" w:eastAsia="宋体" w:cs="宋体"/>
                <w:color w:val="auto"/>
                <w:sz w:val="24"/>
                <w:highlight w:val="none"/>
              </w:rPr>
            </w:pPr>
          </w:p>
        </w:tc>
        <w:tc>
          <w:tcPr>
            <w:tcW w:w="2135" w:type="dxa"/>
            <w:vAlign w:val="center"/>
          </w:tcPr>
          <w:p w14:paraId="7C997A7F">
            <w:pPr>
              <w:shd w:val="clear"/>
              <w:jc w:val="center"/>
              <w:rPr>
                <w:rFonts w:hint="eastAsia" w:ascii="宋体" w:hAnsi="宋体" w:eastAsia="宋体" w:cs="宋体"/>
                <w:color w:val="auto"/>
                <w:sz w:val="24"/>
                <w:highlight w:val="none"/>
              </w:rPr>
            </w:pPr>
          </w:p>
        </w:tc>
        <w:tc>
          <w:tcPr>
            <w:tcW w:w="2012" w:type="dxa"/>
            <w:vAlign w:val="center"/>
          </w:tcPr>
          <w:p w14:paraId="0E6AB5B7">
            <w:pPr>
              <w:shd w:val="clear"/>
              <w:jc w:val="center"/>
              <w:rPr>
                <w:rFonts w:hint="eastAsia" w:ascii="宋体" w:hAnsi="宋体" w:eastAsia="宋体" w:cs="宋体"/>
                <w:color w:val="auto"/>
                <w:sz w:val="24"/>
                <w:highlight w:val="none"/>
              </w:rPr>
            </w:pPr>
          </w:p>
        </w:tc>
        <w:tc>
          <w:tcPr>
            <w:tcW w:w="1188" w:type="dxa"/>
            <w:vAlign w:val="center"/>
          </w:tcPr>
          <w:p w14:paraId="2F86BB3E">
            <w:pPr>
              <w:shd w:val="clear"/>
              <w:jc w:val="center"/>
              <w:rPr>
                <w:rFonts w:hint="eastAsia" w:ascii="宋体" w:hAnsi="宋体" w:eastAsia="宋体" w:cs="宋体"/>
                <w:color w:val="auto"/>
                <w:sz w:val="24"/>
                <w:highlight w:val="none"/>
              </w:rPr>
            </w:pPr>
          </w:p>
        </w:tc>
      </w:tr>
      <w:tr w14:paraId="10C62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962" w:type="dxa"/>
            <w:vAlign w:val="center"/>
          </w:tcPr>
          <w:p w14:paraId="7273B609">
            <w:pPr>
              <w:shd w:val="clear"/>
              <w:jc w:val="center"/>
              <w:rPr>
                <w:rFonts w:hint="eastAsia" w:ascii="宋体" w:hAnsi="宋体" w:eastAsia="宋体" w:cs="宋体"/>
                <w:color w:val="auto"/>
                <w:sz w:val="24"/>
                <w:highlight w:val="none"/>
              </w:rPr>
            </w:pPr>
          </w:p>
        </w:tc>
        <w:tc>
          <w:tcPr>
            <w:tcW w:w="2170" w:type="dxa"/>
            <w:vAlign w:val="center"/>
          </w:tcPr>
          <w:p w14:paraId="067E587C">
            <w:pPr>
              <w:shd w:val="clear"/>
              <w:jc w:val="center"/>
              <w:rPr>
                <w:rFonts w:hint="eastAsia" w:ascii="宋体" w:hAnsi="宋体" w:eastAsia="宋体" w:cs="宋体"/>
                <w:color w:val="auto"/>
                <w:sz w:val="24"/>
                <w:highlight w:val="none"/>
              </w:rPr>
            </w:pPr>
          </w:p>
        </w:tc>
        <w:tc>
          <w:tcPr>
            <w:tcW w:w="1389" w:type="dxa"/>
            <w:vAlign w:val="center"/>
          </w:tcPr>
          <w:p w14:paraId="41A040F3">
            <w:pPr>
              <w:shd w:val="clear"/>
              <w:jc w:val="center"/>
              <w:rPr>
                <w:rFonts w:hint="eastAsia" w:ascii="宋体" w:hAnsi="宋体" w:eastAsia="宋体" w:cs="宋体"/>
                <w:color w:val="auto"/>
                <w:sz w:val="24"/>
                <w:highlight w:val="none"/>
              </w:rPr>
            </w:pPr>
          </w:p>
        </w:tc>
        <w:tc>
          <w:tcPr>
            <w:tcW w:w="2135" w:type="dxa"/>
            <w:vAlign w:val="center"/>
          </w:tcPr>
          <w:p w14:paraId="7D4C489C">
            <w:pPr>
              <w:shd w:val="clear"/>
              <w:jc w:val="center"/>
              <w:rPr>
                <w:rFonts w:hint="eastAsia" w:ascii="宋体" w:hAnsi="宋体" w:eastAsia="宋体" w:cs="宋体"/>
                <w:color w:val="auto"/>
                <w:sz w:val="24"/>
                <w:highlight w:val="none"/>
              </w:rPr>
            </w:pPr>
          </w:p>
        </w:tc>
        <w:tc>
          <w:tcPr>
            <w:tcW w:w="2012" w:type="dxa"/>
            <w:vAlign w:val="center"/>
          </w:tcPr>
          <w:p w14:paraId="4BE736FB">
            <w:pPr>
              <w:shd w:val="clear"/>
              <w:jc w:val="center"/>
              <w:rPr>
                <w:rFonts w:hint="eastAsia" w:ascii="宋体" w:hAnsi="宋体" w:eastAsia="宋体" w:cs="宋体"/>
                <w:color w:val="auto"/>
                <w:sz w:val="24"/>
                <w:highlight w:val="none"/>
              </w:rPr>
            </w:pPr>
          </w:p>
        </w:tc>
        <w:tc>
          <w:tcPr>
            <w:tcW w:w="1188" w:type="dxa"/>
            <w:vAlign w:val="center"/>
          </w:tcPr>
          <w:p w14:paraId="02BF470A">
            <w:pPr>
              <w:shd w:val="clear"/>
              <w:jc w:val="center"/>
              <w:rPr>
                <w:rFonts w:hint="eastAsia" w:ascii="宋体" w:hAnsi="宋体" w:eastAsia="宋体" w:cs="宋体"/>
                <w:color w:val="auto"/>
                <w:sz w:val="24"/>
                <w:highlight w:val="none"/>
              </w:rPr>
            </w:pPr>
          </w:p>
        </w:tc>
      </w:tr>
      <w:tr w14:paraId="56B64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962" w:type="dxa"/>
            <w:vAlign w:val="center"/>
          </w:tcPr>
          <w:p w14:paraId="7432BEC3">
            <w:pPr>
              <w:shd w:val="clea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20  年</w:t>
            </w:r>
          </w:p>
        </w:tc>
        <w:tc>
          <w:tcPr>
            <w:tcW w:w="2170" w:type="dxa"/>
            <w:vAlign w:val="center"/>
          </w:tcPr>
          <w:p w14:paraId="53BD1C22">
            <w:pPr>
              <w:shd w:val="clear"/>
              <w:jc w:val="center"/>
              <w:rPr>
                <w:rFonts w:hint="eastAsia" w:ascii="宋体" w:hAnsi="宋体" w:eastAsia="宋体" w:cs="宋体"/>
                <w:color w:val="auto"/>
                <w:sz w:val="24"/>
                <w:highlight w:val="none"/>
              </w:rPr>
            </w:pPr>
          </w:p>
        </w:tc>
        <w:tc>
          <w:tcPr>
            <w:tcW w:w="1389" w:type="dxa"/>
            <w:vAlign w:val="center"/>
          </w:tcPr>
          <w:p w14:paraId="43C1914D">
            <w:pPr>
              <w:shd w:val="clear"/>
              <w:jc w:val="center"/>
              <w:rPr>
                <w:rFonts w:hint="eastAsia" w:ascii="宋体" w:hAnsi="宋体" w:eastAsia="宋体" w:cs="宋体"/>
                <w:color w:val="auto"/>
                <w:sz w:val="24"/>
                <w:highlight w:val="none"/>
              </w:rPr>
            </w:pPr>
          </w:p>
        </w:tc>
        <w:tc>
          <w:tcPr>
            <w:tcW w:w="2135" w:type="dxa"/>
            <w:vAlign w:val="center"/>
          </w:tcPr>
          <w:p w14:paraId="21BF7CB2">
            <w:pPr>
              <w:shd w:val="clear"/>
              <w:jc w:val="center"/>
              <w:rPr>
                <w:rFonts w:hint="eastAsia" w:ascii="宋体" w:hAnsi="宋体" w:eastAsia="宋体" w:cs="宋体"/>
                <w:color w:val="auto"/>
                <w:sz w:val="24"/>
                <w:highlight w:val="none"/>
              </w:rPr>
            </w:pPr>
          </w:p>
        </w:tc>
        <w:tc>
          <w:tcPr>
            <w:tcW w:w="2012" w:type="dxa"/>
            <w:vAlign w:val="center"/>
          </w:tcPr>
          <w:p w14:paraId="37714FD7">
            <w:pPr>
              <w:shd w:val="clear"/>
              <w:jc w:val="center"/>
              <w:rPr>
                <w:rFonts w:hint="eastAsia" w:ascii="宋体" w:hAnsi="宋体" w:eastAsia="宋体" w:cs="宋体"/>
                <w:color w:val="auto"/>
                <w:sz w:val="24"/>
                <w:highlight w:val="none"/>
              </w:rPr>
            </w:pPr>
          </w:p>
        </w:tc>
        <w:tc>
          <w:tcPr>
            <w:tcW w:w="1188" w:type="dxa"/>
            <w:vAlign w:val="center"/>
          </w:tcPr>
          <w:p w14:paraId="78929020">
            <w:pPr>
              <w:shd w:val="clear"/>
              <w:jc w:val="center"/>
              <w:rPr>
                <w:rFonts w:hint="eastAsia" w:ascii="宋体" w:hAnsi="宋体" w:eastAsia="宋体" w:cs="宋体"/>
                <w:color w:val="auto"/>
                <w:sz w:val="24"/>
                <w:highlight w:val="none"/>
              </w:rPr>
            </w:pPr>
          </w:p>
        </w:tc>
      </w:tr>
      <w:tr w14:paraId="79480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962" w:type="dxa"/>
            <w:vAlign w:val="center"/>
          </w:tcPr>
          <w:p w14:paraId="0D9D6569">
            <w:pPr>
              <w:shd w:val="clear"/>
              <w:jc w:val="center"/>
              <w:rPr>
                <w:rFonts w:hint="eastAsia" w:ascii="宋体" w:hAnsi="宋体" w:eastAsia="宋体" w:cs="宋体"/>
                <w:color w:val="auto"/>
                <w:sz w:val="24"/>
                <w:highlight w:val="none"/>
              </w:rPr>
            </w:pPr>
          </w:p>
        </w:tc>
        <w:tc>
          <w:tcPr>
            <w:tcW w:w="2170" w:type="dxa"/>
            <w:vAlign w:val="center"/>
          </w:tcPr>
          <w:p w14:paraId="571CF8AF">
            <w:pPr>
              <w:shd w:val="clear"/>
              <w:jc w:val="center"/>
              <w:rPr>
                <w:rFonts w:hint="eastAsia" w:ascii="宋体" w:hAnsi="宋体" w:eastAsia="宋体" w:cs="宋体"/>
                <w:color w:val="auto"/>
                <w:sz w:val="24"/>
                <w:highlight w:val="none"/>
              </w:rPr>
            </w:pPr>
          </w:p>
        </w:tc>
        <w:tc>
          <w:tcPr>
            <w:tcW w:w="1389" w:type="dxa"/>
            <w:vAlign w:val="center"/>
          </w:tcPr>
          <w:p w14:paraId="5156B841">
            <w:pPr>
              <w:shd w:val="clear"/>
              <w:jc w:val="center"/>
              <w:rPr>
                <w:rFonts w:hint="eastAsia" w:ascii="宋体" w:hAnsi="宋体" w:eastAsia="宋体" w:cs="宋体"/>
                <w:color w:val="auto"/>
                <w:sz w:val="24"/>
                <w:highlight w:val="none"/>
              </w:rPr>
            </w:pPr>
          </w:p>
        </w:tc>
        <w:tc>
          <w:tcPr>
            <w:tcW w:w="2135" w:type="dxa"/>
            <w:vAlign w:val="center"/>
          </w:tcPr>
          <w:p w14:paraId="6ECA381D">
            <w:pPr>
              <w:shd w:val="clear"/>
              <w:jc w:val="center"/>
              <w:rPr>
                <w:rFonts w:hint="eastAsia" w:ascii="宋体" w:hAnsi="宋体" w:eastAsia="宋体" w:cs="宋体"/>
                <w:color w:val="auto"/>
                <w:sz w:val="24"/>
                <w:highlight w:val="none"/>
              </w:rPr>
            </w:pPr>
          </w:p>
        </w:tc>
        <w:tc>
          <w:tcPr>
            <w:tcW w:w="2012" w:type="dxa"/>
            <w:vAlign w:val="center"/>
          </w:tcPr>
          <w:p w14:paraId="2ADEAE42">
            <w:pPr>
              <w:shd w:val="clear"/>
              <w:jc w:val="center"/>
              <w:rPr>
                <w:rFonts w:hint="eastAsia" w:ascii="宋体" w:hAnsi="宋体" w:eastAsia="宋体" w:cs="宋体"/>
                <w:color w:val="auto"/>
                <w:sz w:val="24"/>
                <w:highlight w:val="none"/>
              </w:rPr>
            </w:pPr>
          </w:p>
        </w:tc>
        <w:tc>
          <w:tcPr>
            <w:tcW w:w="1188" w:type="dxa"/>
            <w:vAlign w:val="center"/>
          </w:tcPr>
          <w:p w14:paraId="12DAAE60">
            <w:pPr>
              <w:shd w:val="clear"/>
              <w:jc w:val="center"/>
              <w:rPr>
                <w:rFonts w:hint="eastAsia" w:ascii="宋体" w:hAnsi="宋体" w:eastAsia="宋体" w:cs="宋体"/>
                <w:color w:val="auto"/>
                <w:sz w:val="24"/>
                <w:highlight w:val="none"/>
              </w:rPr>
            </w:pPr>
          </w:p>
        </w:tc>
      </w:tr>
      <w:tr w14:paraId="6F89B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962" w:type="dxa"/>
            <w:vAlign w:val="center"/>
          </w:tcPr>
          <w:p w14:paraId="21375EB1">
            <w:pPr>
              <w:shd w:val="clea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20  年</w:t>
            </w:r>
          </w:p>
        </w:tc>
        <w:tc>
          <w:tcPr>
            <w:tcW w:w="2170" w:type="dxa"/>
            <w:vAlign w:val="center"/>
          </w:tcPr>
          <w:p w14:paraId="509C9F43">
            <w:pPr>
              <w:shd w:val="clear"/>
              <w:jc w:val="center"/>
              <w:rPr>
                <w:rFonts w:hint="eastAsia" w:ascii="宋体" w:hAnsi="宋体" w:eastAsia="宋体" w:cs="宋体"/>
                <w:color w:val="auto"/>
                <w:sz w:val="24"/>
                <w:highlight w:val="none"/>
              </w:rPr>
            </w:pPr>
          </w:p>
        </w:tc>
        <w:tc>
          <w:tcPr>
            <w:tcW w:w="1389" w:type="dxa"/>
            <w:vAlign w:val="center"/>
          </w:tcPr>
          <w:p w14:paraId="59D836B0">
            <w:pPr>
              <w:shd w:val="clear"/>
              <w:jc w:val="center"/>
              <w:rPr>
                <w:rFonts w:hint="eastAsia" w:ascii="宋体" w:hAnsi="宋体" w:eastAsia="宋体" w:cs="宋体"/>
                <w:color w:val="auto"/>
                <w:sz w:val="24"/>
                <w:highlight w:val="none"/>
              </w:rPr>
            </w:pPr>
          </w:p>
        </w:tc>
        <w:tc>
          <w:tcPr>
            <w:tcW w:w="2135" w:type="dxa"/>
            <w:vAlign w:val="center"/>
          </w:tcPr>
          <w:p w14:paraId="6C85B0CC">
            <w:pPr>
              <w:shd w:val="clear"/>
              <w:jc w:val="center"/>
              <w:rPr>
                <w:rFonts w:hint="eastAsia" w:ascii="宋体" w:hAnsi="宋体" w:eastAsia="宋体" w:cs="宋体"/>
                <w:color w:val="auto"/>
                <w:sz w:val="24"/>
                <w:highlight w:val="none"/>
              </w:rPr>
            </w:pPr>
          </w:p>
        </w:tc>
        <w:tc>
          <w:tcPr>
            <w:tcW w:w="2012" w:type="dxa"/>
            <w:vAlign w:val="center"/>
          </w:tcPr>
          <w:p w14:paraId="7626B18A">
            <w:pPr>
              <w:shd w:val="clear"/>
              <w:jc w:val="center"/>
              <w:rPr>
                <w:rFonts w:hint="eastAsia" w:ascii="宋体" w:hAnsi="宋体" w:eastAsia="宋体" w:cs="宋体"/>
                <w:color w:val="auto"/>
                <w:sz w:val="24"/>
                <w:highlight w:val="none"/>
              </w:rPr>
            </w:pPr>
          </w:p>
        </w:tc>
        <w:tc>
          <w:tcPr>
            <w:tcW w:w="1188" w:type="dxa"/>
            <w:vAlign w:val="center"/>
          </w:tcPr>
          <w:p w14:paraId="32672B30">
            <w:pPr>
              <w:shd w:val="clear"/>
              <w:jc w:val="center"/>
              <w:rPr>
                <w:rFonts w:hint="eastAsia" w:ascii="宋体" w:hAnsi="宋体" w:eastAsia="宋体" w:cs="宋体"/>
                <w:color w:val="auto"/>
                <w:sz w:val="24"/>
                <w:highlight w:val="none"/>
              </w:rPr>
            </w:pPr>
          </w:p>
        </w:tc>
      </w:tr>
    </w:tbl>
    <w:p w14:paraId="32676674">
      <w:pPr>
        <w:shd w:val="clear"/>
        <w:autoSpaceDE w:val="0"/>
        <w:autoSpaceDN w:val="0"/>
        <w:ind w:left="700" w:hanging="700" w:hangingChars="332"/>
        <w:outlineLvl w:val="9"/>
        <w:rPr>
          <w:rFonts w:hint="eastAsia" w:ascii="宋体" w:hAnsi="宋体" w:eastAsia="宋体" w:cs="宋体"/>
          <w:color w:val="auto"/>
          <w:szCs w:val="21"/>
          <w:highlight w:val="none"/>
        </w:rPr>
      </w:pPr>
      <w:bookmarkStart w:id="544" w:name="_Toc28682"/>
      <w:bookmarkStart w:id="545" w:name="_Toc23141"/>
      <w:r>
        <w:rPr>
          <w:rFonts w:hint="eastAsia" w:ascii="宋体" w:hAnsi="宋体" w:eastAsia="宋体" w:cs="宋体"/>
          <w:b/>
          <w:color w:val="auto"/>
          <w:szCs w:val="21"/>
          <w:highlight w:val="none"/>
        </w:rPr>
        <w:t>注：</w:t>
      </w:r>
      <w:bookmarkEnd w:id="544"/>
      <w:bookmarkEnd w:id="545"/>
      <w:r>
        <w:rPr>
          <w:rFonts w:hint="eastAsia" w:ascii="宋体" w:hAnsi="宋体" w:eastAsia="宋体" w:cs="宋体"/>
          <w:color w:val="auto"/>
          <w:szCs w:val="21"/>
          <w:highlight w:val="none"/>
        </w:rPr>
        <w:t>供应商须提供相应的证明文件（</w:t>
      </w:r>
      <w:r>
        <w:rPr>
          <w:rFonts w:hint="eastAsia" w:ascii="宋体" w:hAnsi="宋体" w:cs="宋体"/>
          <w:color w:val="auto"/>
          <w:szCs w:val="21"/>
          <w:highlight w:val="none"/>
          <w:lang w:eastAsia="zh-CN"/>
        </w:rPr>
        <w:t>证明材料要求见第三章“评审办法和标准”</w:t>
      </w:r>
      <w:r>
        <w:rPr>
          <w:rFonts w:hint="eastAsia" w:ascii="宋体" w:hAnsi="宋体" w:eastAsia="宋体" w:cs="宋体"/>
          <w:color w:val="auto"/>
          <w:szCs w:val="21"/>
          <w:highlight w:val="none"/>
        </w:rPr>
        <w:t>）</w:t>
      </w:r>
    </w:p>
    <w:p w14:paraId="3125BEAD">
      <w:pPr>
        <w:shd w:val="clear"/>
        <w:bidi w:val="0"/>
        <w:rPr>
          <w:rFonts w:hint="eastAsia"/>
          <w:color w:val="auto"/>
          <w:highlight w:val="none"/>
        </w:rPr>
      </w:pPr>
    </w:p>
    <w:p w14:paraId="38ADB243">
      <w:pPr>
        <w:keepNext w:val="0"/>
        <w:keepLines w:val="0"/>
        <w:pageBreakBefore w:val="0"/>
        <w:widowControl w:val="0"/>
        <w:shd w:val="clear"/>
        <w:kinsoku/>
        <w:wordWrap/>
        <w:overflowPunct/>
        <w:topLinePunct w:val="0"/>
        <w:autoSpaceDE/>
        <w:autoSpaceDN/>
        <w:bidi w:val="0"/>
        <w:adjustRightInd/>
        <w:snapToGrid/>
        <w:spacing w:line="480" w:lineRule="auto"/>
        <w:ind w:firstLine="42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供应商（盖章）：</w:t>
      </w:r>
    </w:p>
    <w:p w14:paraId="00FFEE7F">
      <w:pPr>
        <w:keepNext w:val="0"/>
        <w:keepLines w:val="0"/>
        <w:pageBreakBefore w:val="0"/>
        <w:widowControl w:val="0"/>
        <w:shd w:val="clear"/>
        <w:kinsoku/>
        <w:wordWrap/>
        <w:overflowPunct/>
        <w:topLinePunct w:val="0"/>
        <w:autoSpaceDE/>
        <w:autoSpaceDN/>
        <w:bidi w:val="0"/>
        <w:adjustRightInd/>
        <w:snapToGrid/>
        <w:spacing w:line="480" w:lineRule="auto"/>
        <w:ind w:firstLine="42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法定代表人或授权委托代理人（签字或盖章）：</w:t>
      </w:r>
    </w:p>
    <w:p w14:paraId="7481B465">
      <w:pPr>
        <w:keepNext w:val="0"/>
        <w:keepLines w:val="0"/>
        <w:pageBreakBefore w:val="0"/>
        <w:widowControl w:val="0"/>
        <w:shd w:val="clear"/>
        <w:kinsoku/>
        <w:wordWrap/>
        <w:overflowPunct/>
        <w:topLinePunct w:val="0"/>
        <w:autoSpaceDE/>
        <w:autoSpaceDN/>
        <w:bidi w:val="0"/>
        <w:adjustRightInd/>
        <w:snapToGrid/>
        <w:spacing w:line="480" w:lineRule="auto"/>
        <w:ind w:firstLine="425"/>
        <w:textAlignment w:val="auto"/>
        <w:rPr>
          <w:rFonts w:hint="eastAsia" w:ascii="宋体" w:hAnsi="宋体" w:eastAsia="宋体" w:cs="宋体"/>
          <w:color w:val="auto"/>
          <w:sz w:val="24"/>
          <w:highlight w:val="none"/>
        </w:rPr>
        <w:sectPr>
          <w:footerReference r:id="rId8" w:type="default"/>
          <w:pgSz w:w="11906" w:h="16838"/>
          <w:pgMar w:top="1440" w:right="1083" w:bottom="1440" w:left="1083" w:header="851" w:footer="992" w:gutter="0"/>
          <w:pgNumType w:fmt="numberInDash"/>
          <w:cols w:space="0" w:num="1"/>
          <w:rtlGutter w:val="0"/>
          <w:docGrid w:type="lines" w:linePitch="314" w:charSpace="0"/>
        </w:sectPr>
      </w:pPr>
      <w:r>
        <w:rPr>
          <w:rFonts w:hint="eastAsia" w:ascii="宋体" w:hAnsi="宋体" w:eastAsia="宋体" w:cs="宋体"/>
          <w:color w:val="auto"/>
          <w:sz w:val="24"/>
          <w:highlight w:val="none"/>
        </w:rPr>
        <w:t>日期：</w:t>
      </w:r>
    </w:p>
    <w:p w14:paraId="415AB966">
      <w:pPr>
        <w:pStyle w:val="424"/>
        <w:numPr>
          <w:ilvl w:val="0"/>
          <w:numId w:val="16"/>
        </w:numPr>
        <w:shd w:val="clear"/>
        <w:spacing w:line="360" w:lineRule="auto"/>
        <w:ind w:left="1276" w:hanging="1276" w:firstLineChars="0"/>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小微企业、监狱企业、残疾人福利单位的声明函或证明材料</w:t>
      </w:r>
    </w:p>
    <w:p w14:paraId="36575340">
      <w:pPr>
        <w:pStyle w:val="40"/>
        <w:shd w:val="clear"/>
        <w:snapToGrid w:val="0"/>
        <w:spacing w:beforeLines="50"/>
        <w:rPr>
          <w:rFonts w:hint="eastAsia" w:ascii="宋体" w:hAnsi="宋体" w:eastAsia="宋体" w:cs="宋体"/>
          <w:color w:val="auto"/>
          <w:sz w:val="24"/>
          <w:highlight w:val="none"/>
        </w:rPr>
      </w:pPr>
    </w:p>
    <w:p w14:paraId="4456D3E1">
      <w:pPr>
        <w:jc w:val="center"/>
        <w:outlineLvl w:val="1"/>
        <w:rPr>
          <w:rFonts w:hint="eastAsia" w:ascii="宋体" w:hAnsi="宋体" w:eastAsia="宋体" w:cs="宋体"/>
          <w:color w:val="auto"/>
          <w:sz w:val="32"/>
          <w:szCs w:val="32"/>
          <w:highlight w:val="none"/>
        </w:rPr>
      </w:pPr>
      <w:bookmarkStart w:id="546" w:name="_Toc25392"/>
      <w:bookmarkStart w:id="547" w:name="_Toc21598"/>
      <w:bookmarkStart w:id="548" w:name="_Toc13843"/>
      <w:r>
        <w:rPr>
          <w:rFonts w:hint="eastAsia" w:ascii="宋体" w:hAnsi="宋体" w:eastAsia="宋体" w:cs="宋体"/>
          <w:color w:val="auto"/>
          <w:sz w:val="32"/>
          <w:szCs w:val="32"/>
          <w:highlight w:val="none"/>
        </w:rPr>
        <w:t>（一）中小企业声明函</w:t>
      </w:r>
      <w:bookmarkEnd w:id="546"/>
      <w:bookmarkEnd w:id="547"/>
      <w:bookmarkEnd w:id="548"/>
      <w:r>
        <w:rPr>
          <w:rFonts w:hint="eastAsia" w:ascii="宋体" w:hAnsi="宋体" w:eastAsia="宋体" w:cs="宋体"/>
          <w:color w:val="auto"/>
          <w:sz w:val="32"/>
          <w:szCs w:val="32"/>
          <w:highlight w:val="none"/>
        </w:rPr>
        <w:t>（</w:t>
      </w:r>
      <w:r>
        <w:rPr>
          <w:rFonts w:hint="eastAsia" w:ascii="宋体" w:hAnsi="宋体" w:cs="宋体"/>
          <w:color w:val="auto"/>
          <w:sz w:val="32"/>
          <w:szCs w:val="32"/>
          <w:highlight w:val="none"/>
          <w:lang w:val="en-US" w:eastAsia="zh-CN"/>
        </w:rPr>
        <w:t>工程</w:t>
      </w:r>
      <w:r>
        <w:rPr>
          <w:rFonts w:hint="eastAsia" w:ascii="宋体" w:hAnsi="宋体" w:eastAsia="宋体" w:cs="宋体"/>
          <w:color w:val="auto"/>
          <w:sz w:val="32"/>
          <w:szCs w:val="32"/>
          <w:highlight w:val="none"/>
        </w:rPr>
        <w:t>）</w:t>
      </w:r>
    </w:p>
    <w:p w14:paraId="606BC745">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（注：符合中小企业划型标准的企业请提供本函，不符合的不提供本函）</w:t>
      </w:r>
    </w:p>
    <w:p w14:paraId="4280FFD0">
      <w:pPr>
        <w:spacing w:line="360" w:lineRule="auto"/>
        <w:ind w:firstLine="480" w:firstLineChars="200"/>
        <w:rPr>
          <w:rFonts w:hint="eastAsia" w:ascii="宋体" w:hAnsi="宋体" w:eastAsia="宋体" w:cs="宋体"/>
          <w:color w:val="auto"/>
          <w:sz w:val="24"/>
          <w:highlight w:val="none"/>
        </w:rPr>
      </w:pPr>
    </w:p>
    <w:p w14:paraId="625C8D2B">
      <w:pPr>
        <w:spacing w:line="360" w:lineRule="auto"/>
        <w:ind w:left="12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本公司（联合体）郑重声明，根据《政府采购促进中小企业发展管理办法》（财库〔2020〕46 号）的规定，本公司（联合体）参加</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lang w:eastAsia="zh-CN"/>
        </w:rPr>
        <w:t>巧家县人民医院</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（单位名称）的</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巧家县人民医院医养结合与康复楼—血透室提升改造项目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名称）采购活动。工程的施工单位全部为符合政策要求的中小企业（或者：服务全部由符合政策要求的中小企业承接）。相关企业（含联合体中的中小企业、签订分包意向协议的中小企业）的具体情况如下：</w:t>
      </w:r>
    </w:p>
    <w:p w14:paraId="4FADE31D">
      <w:pPr>
        <w:numPr>
          <w:ilvl w:val="0"/>
          <w:numId w:val="0"/>
        </w:numPr>
        <w:spacing w:line="360" w:lineRule="auto"/>
        <w:ind w:left="12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kern w:val="2"/>
          <w:sz w:val="24"/>
          <w:szCs w:val="24"/>
          <w:highlight w:val="none"/>
          <w:lang w:val="en-US" w:eastAsia="zh-CN" w:bidi="ar-SA"/>
        </w:rPr>
        <w:t>1、</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（标的名称），属于</w:t>
      </w:r>
      <w:r>
        <w:rPr>
          <w:rFonts w:hint="eastAsia" w:ascii="宋体" w:hAnsi="宋体" w:eastAsia="宋体" w:cs="宋体"/>
          <w:color w:val="auto"/>
          <w:sz w:val="24"/>
          <w:highlight w:val="none"/>
          <w:u w:val="single"/>
        </w:rPr>
        <w:t xml:space="preserve"> 建筑业 （采购文件中明确的所属行业）</w:t>
      </w:r>
      <w:r>
        <w:rPr>
          <w:rFonts w:hint="eastAsia" w:ascii="宋体" w:hAnsi="宋体" w:eastAsia="宋体" w:cs="宋体"/>
          <w:color w:val="auto"/>
          <w:sz w:val="24"/>
          <w:highlight w:val="none"/>
        </w:rPr>
        <w:t>：承建（承接）企业为</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（企业名称）</w:t>
      </w:r>
      <w:r>
        <w:rPr>
          <w:rFonts w:hint="eastAsia" w:ascii="宋体" w:hAnsi="宋体" w:eastAsia="宋体" w:cs="宋体"/>
          <w:color w:val="auto"/>
          <w:sz w:val="24"/>
          <w:highlight w:val="none"/>
        </w:rPr>
        <w:t>，从业人员</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人，营业收入为</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万元，资产总额为</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万元，属于</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（中型企业、小型企业、微型企业）</w:t>
      </w:r>
      <w:r>
        <w:rPr>
          <w:rFonts w:hint="eastAsia" w:ascii="宋体" w:hAnsi="宋体" w:eastAsia="宋体" w:cs="宋体"/>
          <w:color w:val="auto"/>
          <w:sz w:val="24"/>
          <w:highlight w:val="none"/>
        </w:rPr>
        <w:t>；</w:t>
      </w:r>
    </w:p>
    <w:p w14:paraId="7A5C1BED">
      <w:pPr>
        <w:numPr>
          <w:ilvl w:val="0"/>
          <w:numId w:val="0"/>
        </w:numPr>
        <w:spacing w:line="360" w:lineRule="auto"/>
        <w:ind w:left="12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kern w:val="2"/>
          <w:sz w:val="24"/>
          <w:szCs w:val="24"/>
          <w:highlight w:val="none"/>
          <w:lang w:val="en-US" w:eastAsia="zh-CN" w:bidi="ar-SA"/>
        </w:rPr>
        <w:t>2、</w:t>
      </w:r>
      <w:r>
        <w:rPr>
          <w:rFonts w:ascii="宋体" w:hAnsi="宋体" w:eastAsia="宋体" w:cs="宋体"/>
          <w:color w:val="auto"/>
          <w:sz w:val="24"/>
          <w:szCs w:val="24"/>
          <w:highlight w:val="none"/>
          <w:u w:val="single"/>
        </w:rPr>
        <w:t xml:space="preserve"> / （标的名称）</w:t>
      </w:r>
      <w:r>
        <w:rPr>
          <w:rFonts w:ascii="宋体" w:hAnsi="宋体" w:eastAsia="宋体" w:cs="宋体"/>
          <w:color w:val="auto"/>
          <w:sz w:val="24"/>
          <w:szCs w:val="24"/>
          <w:highlight w:val="none"/>
        </w:rPr>
        <w:t>，属于</w:t>
      </w:r>
      <w:r>
        <w:rPr>
          <w:rFonts w:ascii="宋体" w:hAnsi="宋体" w:eastAsia="宋体" w:cs="宋体"/>
          <w:color w:val="auto"/>
          <w:sz w:val="24"/>
          <w:szCs w:val="24"/>
          <w:highlight w:val="none"/>
          <w:u w:val="single"/>
        </w:rPr>
        <w:t xml:space="preserve"> / （采购文件中明确的所属行业）</w:t>
      </w:r>
      <w:r>
        <w:rPr>
          <w:rFonts w:ascii="宋体" w:hAnsi="宋体" w:eastAsia="宋体" w:cs="宋体"/>
          <w:color w:val="auto"/>
          <w:sz w:val="24"/>
          <w:szCs w:val="24"/>
          <w:highlight w:val="none"/>
        </w:rPr>
        <w:t>：承建（承接）企业为</w:t>
      </w:r>
      <w:r>
        <w:rPr>
          <w:rFonts w:ascii="宋体" w:hAnsi="宋体" w:eastAsia="宋体" w:cs="宋体"/>
          <w:color w:val="auto"/>
          <w:sz w:val="24"/>
          <w:szCs w:val="24"/>
          <w:highlight w:val="none"/>
          <w:u w:val="single"/>
        </w:rPr>
        <w:t xml:space="preserve"> / （企业名称）</w:t>
      </w:r>
      <w:r>
        <w:rPr>
          <w:rFonts w:ascii="宋体" w:hAnsi="宋体" w:eastAsia="宋体" w:cs="宋体"/>
          <w:color w:val="auto"/>
          <w:sz w:val="24"/>
          <w:szCs w:val="24"/>
          <w:highlight w:val="none"/>
        </w:rPr>
        <w:t>，从业人员</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人，营业收入为</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万元，资产总额为</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万元，属于</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（中型企业、小型企业、微型企业）；</w:t>
      </w:r>
    </w:p>
    <w:p w14:paraId="17B6409A">
      <w:pPr>
        <w:numPr>
          <w:ilvl w:val="0"/>
          <w:numId w:val="0"/>
        </w:numPr>
        <w:spacing w:line="360" w:lineRule="auto"/>
        <w:ind w:left="120" w:leftChars="0" w:firstLine="480" w:firstLineChars="200"/>
        <w:rPr>
          <w:rFonts w:hint="eastAsia" w:ascii="宋体" w:hAnsi="宋体" w:eastAsia="宋体" w:cs="宋体"/>
          <w:color w:val="auto"/>
          <w:sz w:val="24"/>
          <w:highlight w:val="none"/>
        </w:rPr>
      </w:pPr>
      <w:r>
        <w:rPr>
          <w:rFonts w:ascii="宋体" w:hAnsi="宋体" w:eastAsia="宋体" w:cs="宋体"/>
          <w:color w:val="auto"/>
          <w:sz w:val="24"/>
          <w:szCs w:val="24"/>
          <w:highlight w:val="none"/>
        </w:rPr>
        <w:t>……</w:t>
      </w:r>
    </w:p>
    <w:p w14:paraId="4EEDEE2E">
      <w:pPr>
        <w:numPr>
          <w:ilvl w:val="0"/>
          <w:numId w:val="0"/>
        </w:numPr>
        <w:spacing w:line="360" w:lineRule="auto"/>
        <w:ind w:firstLine="480" w:firstLineChars="200"/>
        <w:rPr>
          <w:rFonts w:ascii="宋体" w:hAnsi="宋体" w:eastAsia="宋体" w:cs="宋体"/>
          <w:color w:val="auto"/>
          <w:sz w:val="24"/>
          <w:szCs w:val="24"/>
          <w:highlight w:val="none"/>
        </w:rPr>
      </w:pPr>
    </w:p>
    <w:p w14:paraId="10FC8BAE">
      <w:pPr>
        <w:numPr>
          <w:ilvl w:val="0"/>
          <w:numId w:val="0"/>
        </w:num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以上企业，不属于大企业的分支机构，不</w:t>
      </w:r>
      <w:r>
        <w:rPr>
          <w:rFonts w:hint="eastAsia" w:ascii="宋体" w:hAnsi="宋体" w:cs="宋体"/>
          <w:color w:val="auto"/>
          <w:sz w:val="24"/>
          <w:highlight w:val="none"/>
          <w:lang w:eastAsia="zh-CN"/>
        </w:rPr>
        <w:t>存在直接控股</w:t>
      </w:r>
      <w:r>
        <w:rPr>
          <w:rFonts w:hint="eastAsia" w:ascii="宋体" w:hAnsi="宋体" w:eastAsia="宋体" w:cs="宋体"/>
          <w:color w:val="auto"/>
          <w:sz w:val="24"/>
          <w:highlight w:val="none"/>
        </w:rPr>
        <w:t xml:space="preserve">股东为大企业的情形，也不存在与大企业的负责人为同一人的情形。 </w:t>
      </w:r>
    </w:p>
    <w:p w14:paraId="5594DCD0">
      <w:pPr>
        <w:numPr>
          <w:ilvl w:val="0"/>
          <w:numId w:val="0"/>
        </w:num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 </w:t>
      </w:r>
    </w:p>
    <w:p w14:paraId="6C507173">
      <w:pPr>
        <w:spacing w:line="360" w:lineRule="auto"/>
        <w:ind w:left="12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6643D5D8">
      <w:pPr>
        <w:spacing w:line="360" w:lineRule="auto"/>
        <w:ind w:left="120"/>
        <w:jc w:val="center"/>
        <w:rPr>
          <w:rFonts w:hint="eastAsia" w:ascii="宋体" w:hAnsi="宋体" w:eastAsia="宋体" w:cs="宋体"/>
          <w:color w:val="auto"/>
          <w:sz w:val="24"/>
          <w:highlight w:val="none"/>
        </w:rPr>
      </w:pPr>
    </w:p>
    <w:p w14:paraId="6DC62980">
      <w:pPr>
        <w:spacing w:line="360" w:lineRule="auto"/>
        <w:ind w:left="12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企业名称（电子公章）：</w:t>
      </w:r>
    </w:p>
    <w:p w14:paraId="3A81F926">
      <w:pPr>
        <w:spacing w:line="360" w:lineRule="auto"/>
        <w:ind w:left="120"/>
        <w:jc w:val="center"/>
        <w:rPr>
          <w:rFonts w:hint="eastAsia" w:ascii="宋体" w:hAnsi="宋体" w:eastAsia="宋体" w:cs="宋体"/>
          <w:color w:val="auto"/>
          <w:highlight w:val="none"/>
        </w:rPr>
      </w:pPr>
      <w:r>
        <w:rPr>
          <w:rFonts w:hint="eastAsia" w:ascii="宋体" w:hAnsi="宋体" w:eastAsia="宋体" w:cs="宋体"/>
          <w:color w:val="auto"/>
          <w:sz w:val="24"/>
          <w:highlight w:val="none"/>
        </w:rPr>
        <w:t>日 期：</w:t>
      </w:r>
    </w:p>
    <w:p w14:paraId="3EE40AD9">
      <w:pPr>
        <w:widowControl/>
        <w:shd w:val="clea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1FDA9E2E">
      <w:pPr>
        <w:shd w:val="clear"/>
        <w:jc w:val="center"/>
        <w:outlineLvl w:val="1"/>
        <w:rPr>
          <w:rFonts w:hint="eastAsia" w:ascii="宋体" w:hAnsi="宋体" w:eastAsia="宋体" w:cs="宋体"/>
          <w:color w:val="auto"/>
          <w:sz w:val="32"/>
          <w:szCs w:val="32"/>
          <w:highlight w:val="none"/>
        </w:rPr>
      </w:pPr>
      <w:bookmarkStart w:id="549" w:name="_Toc1501"/>
      <w:bookmarkStart w:id="550" w:name="_Toc16709"/>
      <w:r>
        <w:rPr>
          <w:rFonts w:hint="eastAsia" w:ascii="宋体" w:hAnsi="宋体" w:eastAsia="宋体" w:cs="宋体"/>
          <w:color w:val="auto"/>
          <w:sz w:val="32"/>
          <w:szCs w:val="32"/>
          <w:highlight w:val="none"/>
        </w:rPr>
        <w:t>（二）监狱企业证明</w:t>
      </w:r>
      <w:bookmarkEnd w:id="549"/>
      <w:bookmarkEnd w:id="550"/>
    </w:p>
    <w:p w14:paraId="6C83D573">
      <w:pPr>
        <w:shd w:val="clea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（注：符合条件的监狱企业请提供本函，不符合的不提供本函）</w:t>
      </w:r>
    </w:p>
    <w:p w14:paraId="6921D78C">
      <w:pPr>
        <w:pStyle w:val="40"/>
        <w:shd w:val="clear"/>
        <w:snapToGrid w:val="0"/>
        <w:spacing w:beforeLines="50"/>
        <w:rPr>
          <w:rFonts w:hint="eastAsia" w:ascii="宋体" w:hAnsi="宋体" w:eastAsia="宋体" w:cs="宋体"/>
          <w:color w:val="auto"/>
          <w:sz w:val="24"/>
          <w:szCs w:val="24"/>
          <w:highlight w:val="none"/>
        </w:rPr>
      </w:pPr>
    </w:p>
    <w:p w14:paraId="7DB7F677">
      <w:pPr>
        <w:pStyle w:val="40"/>
        <w:shd w:val="clear"/>
        <w:snapToGrid w:val="0"/>
        <w:spacing w:beforeLine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省级以上监狱管理局、戒毒管理局（含新疆生产建设兵团）出具的属于监狱企业的证明文件。</w:t>
      </w:r>
    </w:p>
    <w:p w14:paraId="4731031C">
      <w:pPr>
        <w:pStyle w:val="40"/>
        <w:shd w:val="clear"/>
        <w:snapToGrid w:val="0"/>
        <w:spacing w:beforeLines="50"/>
        <w:rPr>
          <w:rFonts w:hint="eastAsia" w:ascii="宋体" w:hAnsi="宋体" w:eastAsia="宋体" w:cs="宋体"/>
          <w:color w:val="auto"/>
          <w:sz w:val="24"/>
          <w:szCs w:val="24"/>
          <w:highlight w:val="none"/>
        </w:rPr>
      </w:pPr>
    </w:p>
    <w:p w14:paraId="1648FC6A">
      <w:pPr>
        <w:shd w:val="clear"/>
        <w:jc w:val="center"/>
        <w:outlineLvl w:val="9"/>
        <w:rPr>
          <w:rFonts w:hint="eastAsia" w:ascii="宋体" w:hAnsi="宋体" w:eastAsia="宋体" w:cs="宋体"/>
          <w:color w:val="auto"/>
          <w:sz w:val="32"/>
          <w:szCs w:val="32"/>
          <w:highlight w:val="none"/>
        </w:rPr>
      </w:pPr>
    </w:p>
    <w:p w14:paraId="1318D6FD">
      <w:pPr>
        <w:shd w:val="clear"/>
        <w:jc w:val="center"/>
        <w:outlineLvl w:val="9"/>
        <w:rPr>
          <w:rFonts w:hint="eastAsia" w:ascii="宋体" w:hAnsi="宋体" w:eastAsia="宋体" w:cs="宋体"/>
          <w:color w:val="auto"/>
          <w:sz w:val="32"/>
          <w:szCs w:val="32"/>
          <w:highlight w:val="none"/>
        </w:rPr>
      </w:pPr>
    </w:p>
    <w:p w14:paraId="1F3CC01E">
      <w:pPr>
        <w:shd w:val="clear"/>
        <w:jc w:val="center"/>
        <w:outlineLvl w:val="1"/>
        <w:rPr>
          <w:rFonts w:hint="eastAsia" w:ascii="宋体" w:hAnsi="宋体" w:eastAsia="宋体" w:cs="宋体"/>
          <w:color w:val="auto"/>
          <w:sz w:val="32"/>
          <w:szCs w:val="32"/>
          <w:highlight w:val="none"/>
        </w:rPr>
      </w:pPr>
      <w:bookmarkStart w:id="551" w:name="_Toc28478"/>
      <w:bookmarkStart w:id="552" w:name="_Toc2379"/>
      <w:r>
        <w:rPr>
          <w:rFonts w:hint="eastAsia" w:ascii="宋体" w:hAnsi="宋体" w:eastAsia="宋体" w:cs="宋体"/>
          <w:color w:val="auto"/>
          <w:sz w:val="32"/>
          <w:szCs w:val="32"/>
          <w:highlight w:val="none"/>
        </w:rPr>
        <w:t>（三）残疾人福利性单位声明函</w:t>
      </w:r>
      <w:bookmarkEnd w:id="551"/>
      <w:bookmarkEnd w:id="552"/>
    </w:p>
    <w:p w14:paraId="181C07D1">
      <w:pPr>
        <w:shd w:val="clea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（注：符合条件的残疾人福利性单位请提供本函，不符合的不提供本函）</w:t>
      </w:r>
    </w:p>
    <w:p w14:paraId="022C65F7">
      <w:pPr>
        <w:shd w:val="clear"/>
        <w:rPr>
          <w:rFonts w:hint="eastAsia" w:ascii="宋体" w:hAnsi="宋体" w:eastAsia="宋体" w:cs="宋体"/>
          <w:color w:val="auto"/>
          <w:sz w:val="24"/>
          <w:highlight w:val="none"/>
        </w:rPr>
      </w:pPr>
    </w:p>
    <w:p w14:paraId="5C1B86F2">
      <w:pPr>
        <w:shd w:val="clear"/>
        <w:rPr>
          <w:rFonts w:hint="eastAsia" w:ascii="宋体" w:hAnsi="宋体" w:eastAsia="宋体" w:cs="宋体"/>
          <w:color w:val="auto"/>
          <w:sz w:val="24"/>
          <w:highlight w:val="none"/>
        </w:rPr>
      </w:pPr>
    </w:p>
    <w:p w14:paraId="62AB0EEE">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w:t>
      </w:r>
      <w:r>
        <w:rPr>
          <w:rFonts w:hint="eastAsia" w:ascii="宋体" w:hAnsi="宋体" w:cs="宋体"/>
          <w:color w:val="auto"/>
          <w:sz w:val="24"/>
          <w:highlight w:val="none"/>
          <w:lang w:val="en-US" w:eastAsia="zh-CN"/>
        </w:rPr>
        <w:t>服务</w:t>
      </w:r>
      <w:r>
        <w:rPr>
          <w:rFonts w:hint="eastAsia" w:ascii="宋体" w:hAnsi="宋体" w:eastAsia="宋体" w:cs="宋体"/>
          <w:color w:val="auto"/>
          <w:sz w:val="24"/>
          <w:highlight w:val="none"/>
        </w:rPr>
        <w:t>（由本单位承担工程/提供服务），或者提供其他残疾人福利性单位制造的</w:t>
      </w:r>
      <w:r>
        <w:rPr>
          <w:rFonts w:hint="eastAsia" w:ascii="宋体" w:hAnsi="宋体" w:cs="宋体"/>
          <w:color w:val="auto"/>
          <w:sz w:val="24"/>
          <w:highlight w:val="none"/>
          <w:lang w:val="en-US" w:eastAsia="zh-CN"/>
        </w:rPr>
        <w:t>服务</w:t>
      </w:r>
      <w:r>
        <w:rPr>
          <w:rFonts w:hint="eastAsia" w:ascii="宋体" w:hAnsi="宋体" w:eastAsia="宋体" w:cs="宋体"/>
          <w:color w:val="auto"/>
          <w:sz w:val="24"/>
          <w:highlight w:val="none"/>
        </w:rPr>
        <w:t>（不包括使用非残疾人福利性单位注册商标的货物）。</w:t>
      </w:r>
    </w:p>
    <w:p w14:paraId="6E39FA89">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p>
    <w:p w14:paraId="6771E805">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14:paraId="54A7982B">
      <w:pPr>
        <w:shd w:val="clear"/>
        <w:rPr>
          <w:rFonts w:hint="eastAsia" w:ascii="宋体" w:hAnsi="宋体" w:eastAsia="宋体" w:cs="宋体"/>
          <w:color w:val="auto"/>
          <w:sz w:val="24"/>
          <w:highlight w:val="none"/>
        </w:rPr>
      </w:pPr>
    </w:p>
    <w:p w14:paraId="589CA503">
      <w:pPr>
        <w:shd w:val="clea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2DD4F34D">
      <w:pPr>
        <w:shd w:val="clear"/>
        <w:rPr>
          <w:rFonts w:hint="eastAsia" w:ascii="宋体" w:hAnsi="宋体" w:eastAsia="宋体" w:cs="宋体"/>
          <w:color w:val="auto"/>
          <w:sz w:val="24"/>
          <w:highlight w:val="none"/>
        </w:rPr>
      </w:pPr>
    </w:p>
    <w:p w14:paraId="4038629C">
      <w:pPr>
        <w:shd w:val="clea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7E6DC83B">
      <w:pPr>
        <w:shd w:val="clear"/>
        <w:rPr>
          <w:rFonts w:hint="eastAsia" w:ascii="宋体" w:hAnsi="宋体" w:eastAsia="宋体" w:cs="宋体"/>
          <w:color w:val="auto"/>
          <w:sz w:val="24"/>
          <w:highlight w:val="none"/>
        </w:rPr>
      </w:pPr>
    </w:p>
    <w:p w14:paraId="7E45CEA6">
      <w:pPr>
        <w:shd w:val="clear"/>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单位名称（盖章）：</w:t>
      </w:r>
    </w:p>
    <w:p w14:paraId="50306620">
      <w:pPr>
        <w:shd w:val="clear"/>
        <w:rPr>
          <w:rFonts w:hint="eastAsia" w:ascii="宋体" w:hAnsi="宋体" w:eastAsia="宋体" w:cs="宋体"/>
          <w:color w:val="auto"/>
          <w:sz w:val="24"/>
          <w:highlight w:val="none"/>
        </w:rPr>
      </w:pPr>
    </w:p>
    <w:p w14:paraId="498E3CCC">
      <w:pPr>
        <w:shd w:val="clear"/>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p>
    <w:p w14:paraId="48AC229B">
      <w:pPr>
        <w:shd w:val="clear"/>
        <w:rPr>
          <w:rFonts w:hint="eastAsia" w:ascii="宋体" w:hAnsi="宋体" w:eastAsia="宋体" w:cs="宋体"/>
          <w:color w:val="auto"/>
          <w:sz w:val="24"/>
          <w:highlight w:val="none"/>
        </w:rPr>
      </w:pPr>
    </w:p>
    <w:p w14:paraId="132A2915">
      <w:pPr>
        <w:pStyle w:val="40"/>
        <w:shd w:val="clear"/>
        <w:snapToGrid w:val="0"/>
        <w:spacing w:beforeLines="50"/>
        <w:jc w:val="center"/>
        <w:rPr>
          <w:rFonts w:hint="eastAsia" w:ascii="宋体" w:hAnsi="宋体" w:eastAsia="宋体" w:cs="宋体"/>
          <w:b/>
          <w:color w:val="auto"/>
          <w:sz w:val="24"/>
          <w:highlight w:val="none"/>
        </w:rPr>
      </w:pPr>
    </w:p>
    <w:p w14:paraId="5A0DF7AE">
      <w:pPr>
        <w:widowControl/>
        <w:shd w:val="clea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44D6A94A">
      <w:pPr>
        <w:pStyle w:val="424"/>
        <w:numPr>
          <w:ilvl w:val="0"/>
          <w:numId w:val="16"/>
        </w:numPr>
        <w:shd w:val="clear"/>
        <w:spacing w:line="360" w:lineRule="auto"/>
        <w:ind w:left="1276" w:hanging="1276" w:firstLineChars="0"/>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响应承诺书</w:t>
      </w:r>
    </w:p>
    <w:p w14:paraId="4A2FAA33">
      <w:pPr>
        <w:shd w:val="clear"/>
        <w:rPr>
          <w:rFonts w:hint="eastAsia" w:ascii="宋体" w:hAnsi="宋体" w:eastAsia="宋体" w:cs="宋体"/>
          <w:color w:val="auto"/>
          <w:szCs w:val="21"/>
          <w:highlight w:val="none"/>
        </w:rPr>
      </w:pPr>
    </w:p>
    <w:p w14:paraId="4507BC3F">
      <w:pPr>
        <w:shd w:val="clea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响应承诺书</w:t>
      </w:r>
    </w:p>
    <w:p w14:paraId="636780CA">
      <w:pPr>
        <w:shd w:val="clea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致：</w:t>
      </w:r>
      <w:r>
        <w:rPr>
          <w:rFonts w:hint="eastAsia" w:ascii="宋体" w:hAnsi="宋体" w:cs="宋体"/>
          <w:color w:val="auto"/>
          <w:sz w:val="24"/>
          <w:highlight w:val="none"/>
          <w:lang w:eastAsia="zh-CN"/>
        </w:rPr>
        <w:t>（采购人名称）</w:t>
      </w:r>
    </w:p>
    <w:p w14:paraId="4DFC269A">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我方在此声明，我方以下事项进行承诺：</w:t>
      </w:r>
    </w:p>
    <w:p w14:paraId="51A8BE20">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 在本次</w:t>
      </w:r>
      <w:r>
        <w:rPr>
          <w:rFonts w:hint="eastAsia" w:ascii="宋体" w:hAnsi="宋体" w:cs="宋体"/>
          <w:color w:val="auto"/>
          <w:sz w:val="24"/>
          <w:highlight w:val="none"/>
          <w:lang w:eastAsia="zh-CN"/>
        </w:rPr>
        <w:t>磋商</w:t>
      </w:r>
      <w:r>
        <w:rPr>
          <w:rFonts w:hint="eastAsia" w:ascii="宋体" w:hAnsi="宋体" w:eastAsia="宋体" w:cs="宋体"/>
          <w:color w:val="auto"/>
          <w:sz w:val="24"/>
          <w:highlight w:val="none"/>
        </w:rPr>
        <w:t>中我公司无与其他供应商相互串通，或与采购人串通的行为；</w:t>
      </w:r>
    </w:p>
    <w:p w14:paraId="5EC561DE">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 在本次</w:t>
      </w:r>
      <w:r>
        <w:rPr>
          <w:rFonts w:hint="eastAsia" w:ascii="宋体" w:hAnsi="宋体" w:cs="宋体"/>
          <w:color w:val="auto"/>
          <w:sz w:val="24"/>
          <w:highlight w:val="none"/>
          <w:lang w:eastAsia="zh-CN"/>
        </w:rPr>
        <w:t>磋商</w:t>
      </w:r>
      <w:r>
        <w:rPr>
          <w:rFonts w:hint="eastAsia" w:ascii="宋体" w:hAnsi="宋体" w:eastAsia="宋体" w:cs="宋体"/>
          <w:color w:val="auto"/>
          <w:sz w:val="24"/>
          <w:highlight w:val="none"/>
        </w:rPr>
        <w:t>中我公司无向采购人或评审小组成员行贿的手段谋取成交的行为；</w:t>
      </w:r>
    </w:p>
    <w:p w14:paraId="06192E11">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 在本次</w:t>
      </w:r>
      <w:r>
        <w:rPr>
          <w:rFonts w:hint="eastAsia" w:ascii="宋体" w:hAnsi="宋体" w:cs="宋体"/>
          <w:color w:val="auto"/>
          <w:sz w:val="24"/>
          <w:highlight w:val="none"/>
          <w:lang w:eastAsia="zh-CN"/>
        </w:rPr>
        <w:t>磋商</w:t>
      </w:r>
      <w:r>
        <w:rPr>
          <w:rFonts w:hint="eastAsia" w:ascii="宋体" w:hAnsi="宋体" w:eastAsia="宋体" w:cs="宋体"/>
          <w:color w:val="auto"/>
          <w:sz w:val="24"/>
          <w:highlight w:val="none"/>
        </w:rPr>
        <w:t>中我公司无出借或借用资质行为、在响应文件中所附资料（业绩、项目负责人资料等）无弄虚作假；</w:t>
      </w:r>
    </w:p>
    <w:p w14:paraId="291DE5AE">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 我公司没有处于被责令停产、停业、</w:t>
      </w:r>
      <w:r>
        <w:rPr>
          <w:rFonts w:hint="eastAsia" w:ascii="宋体" w:hAnsi="宋体" w:cs="宋体"/>
          <w:color w:val="auto"/>
          <w:sz w:val="24"/>
          <w:highlight w:val="none"/>
          <w:lang w:eastAsia="zh-CN"/>
        </w:rPr>
        <w:t>磋商</w:t>
      </w:r>
      <w:r>
        <w:rPr>
          <w:rFonts w:hint="eastAsia" w:ascii="宋体" w:hAnsi="宋体" w:eastAsia="宋体" w:cs="宋体"/>
          <w:color w:val="auto"/>
          <w:sz w:val="24"/>
          <w:highlight w:val="none"/>
        </w:rPr>
        <w:t>资格被取消状态；</w:t>
      </w:r>
    </w:p>
    <w:p w14:paraId="57E35EB5">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（5）我公司不采用非法手段获取证据进行质疑、投诉，在质疑、投诉过程中不提供虚假情况或进行恶意质疑、投诉。</w:t>
      </w:r>
    </w:p>
    <w:p w14:paraId="42BC94E0">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上述承诺内容如有不实，我公司愿意承担由此造成的一切法律责任，并承诺以</w:t>
      </w:r>
      <w:r>
        <w:rPr>
          <w:rFonts w:hint="eastAsia" w:ascii="宋体" w:hAnsi="宋体" w:cs="宋体"/>
          <w:color w:val="auto"/>
          <w:sz w:val="24"/>
          <w:highlight w:val="none"/>
          <w:lang w:eastAsia="zh-CN"/>
        </w:rPr>
        <w:t>磋商</w:t>
      </w:r>
      <w:r>
        <w:rPr>
          <w:rFonts w:hint="eastAsia" w:ascii="宋体" w:hAnsi="宋体" w:eastAsia="宋体" w:cs="宋体"/>
          <w:color w:val="auto"/>
          <w:sz w:val="24"/>
          <w:highlight w:val="none"/>
        </w:rPr>
        <w:t>保证金赔偿给采购人造成的损失。</w:t>
      </w:r>
    </w:p>
    <w:p w14:paraId="16E14FB3">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07ADEAFF">
      <w:pPr>
        <w:shd w:val="clear"/>
        <w:spacing w:line="360" w:lineRule="auto"/>
        <w:ind w:firstLine="480" w:firstLineChars="200"/>
        <w:rPr>
          <w:rFonts w:hint="eastAsia" w:ascii="宋体" w:hAnsi="宋体" w:eastAsia="宋体" w:cs="宋体"/>
          <w:color w:val="auto"/>
          <w:sz w:val="24"/>
          <w:highlight w:val="none"/>
        </w:rPr>
      </w:pPr>
    </w:p>
    <w:p w14:paraId="58E44CD3">
      <w:pPr>
        <w:keepNext w:val="0"/>
        <w:keepLines w:val="0"/>
        <w:pageBreakBefore w:val="0"/>
        <w:widowControl w:val="0"/>
        <w:shd w:val="clear"/>
        <w:kinsoku/>
        <w:wordWrap/>
        <w:overflowPunct/>
        <w:topLinePunct w:val="0"/>
        <w:autoSpaceDE/>
        <w:autoSpaceDN/>
        <w:bidi w:val="0"/>
        <w:adjustRightInd/>
        <w:snapToGrid/>
        <w:spacing w:line="480" w:lineRule="auto"/>
        <w:ind w:firstLine="42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供应商（盖章）：</w:t>
      </w:r>
    </w:p>
    <w:p w14:paraId="183991E2">
      <w:pPr>
        <w:keepNext w:val="0"/>
        <w:keepLines w:val="0"/>
        <w:pageBreakBefore w:val="0"/>
        <w:widowControl w:val="0"/>
        <w:shd w:val="clear"/>
        <w:kinsoku/>
        <w:wordWrap/>
        <w:overflowPunct/>
        <w:topLinePunct w:val="0"/>
        <w:autoSpaceDE/>
        <w:autoSpaceDN/>
        <w:bidi w:val="0"/>
        <w:adjustRightInd/>
        <w:snapToGrid/>
        <w:spacing w:line="480" w:lineRule="auto"/>
        <w:ind w:firstLine="42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法定代表人或授权委托代理人（签字或盖章）：</w:t>
      </w:r>
    </w:p>
    <w:p w14:paraId="353BEE17">
      <w:pPr>
        <w:keepNext w:val="0"/>
        <w:keepLines w:val="0"/>
        <w:pageBreakBefore w:val="0"/>
        <w:widowControl w:val="0"/>
        <w:shd w:val="clear"/>
        <w:kinsoku/>
        <w:wordWrap/>
        <w:overflowPunct/>
        <w:topLinePunct w:val="0"/>
        <w:autoSpaceDE/>
        <w:autoSpaceDN/>
        <w:bidi w:val="0"/>
        <w:adjustRightInd/>
        <w:snapToGrid/>
        <w:spacing w:line="480" w:lineRule="auto"/>
        <w:ind w:firstLine="425"/>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lang w:eastAsia="zh-CN"/>
        </w:rPr>
        <w:t>：</w:t>
      </w:r>
    </w:p>
    <w:p w14:paraId="17E33737">
      <w:pPr>
        <w:pStyle w:val="40"/>
        <w:shd w:val="clear"/>
        <w:snapToGrid w:val="0"/>
        <w:spacing w:beforeLines="50"/>
        <w:rPr>
          <w:rFonts w:hint="eastAsia" w:ascii="宋体" w:hAnsi="宋体" w:eastAsia="宋体" w:cs="宋体"/>
          <w:color w:val="auto"/>
          <w:sz w:val="24"/>
          <w:szCs w:val="24"/>
          <w:highlight w:val="none"/>
        </w:rPr>
      </w:pPr>
    </w:p>
    <w:p w14:paraId="4896C20B">
      <w:pPr>
        <w:widowControl/>
        <w:shd w:val="clear"/>
        <w:jc w:val="left"/>
        <w:rPr>
          <w:rFonts w:hint="eastAsia" w:ascii="宋体" w:hAnsi="宋体" w:eastAsia="宋体" w:cs="宋体"/>
          <w:color w:val="auto"/>
          <w:sz w:val="24"/>
          <w:highlight w:val="none"/>
        </w:rPr>
      </w:pPr>
    </w:p>
    <w:p w14:paraId="140AAA5A">
      <w:pPr>
        <w:shd w:val="clear"/>
        <w:adjustRightInd w:val="0"/>
        <w:spacing w:line="360" w:lineRule="atLeast"/>
        <w:jc w:val="left"/>
        <w:textAlignment w:val="baseline"/>
        <w:rPr>
          <w:rFonts w:hint="eastAsia" w:ascii="宋体" w:hAnsi="宋体" w:eastAsia="宋体" w:cs="宋体"/>
          <w:b/>
          <w:color w:val="auto"/>
          <w:sz w:val="30"/>
          <w:szCs w:val="30"/>
          <w:highlight w:val="none"/>
        </w:rPr>
      </w:pPr>
      <w:r>
        <w:rPr>
          <w:rFonts w:hint="eastAsia" w:ascii="宋体" w:hAnsi="宋体" w:eastAsia="宋体" w:cs="宋体"/>
          <w:b/>
          <w:color w:val="auto"/>
          <w:spacing w:val="20"/>
          <w:sz w:val="24"/>
          <w:highlight w:val="none"/>
        </w:rPr>
        <w:br w:type="page"/>
      </w:r>
    </w:p>
    <w:p w14:paraId="3F2BB532">
      <w:pPr>
        <w:pStyle w:val="424"/>
        <w:numPr>
          <w:ilvl w:val="0"/>
          <w:numId w:val="16"/>
        </w:numPr>
        <w:shd w:val="clear"/>
        <w:spacing w:line="360" w:lineRule="auto"/>
        <w:ind w:left="1276" w:hanging="1276" w:firstLineChars="0"/>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技术偏离表</w:t>
      </w:r>
    </w:p>
    <w:p w14:paraId="30B6B2B1">
      <w:pPr>
        <w:keepNext w:val="0"/>
        <w:keepLines w:val="0"/>
        <w:pageBreakBefore w:val="0"/>
        <w:widowControl w:val="0"/>
        <w:shd w:val="clear"/>
        <w:kinsoku/>
        <w:wordWrap/>
        <w:overflowPunct/>
        <w:topLinePunct w:val="0"/>
        <w:autoSpaceDE/>
        <w:autoSpaceDN/>
        <w:bidi w:val="0"/>
        <w:adjustRightInd/>
        <w:snapToGrid/>
        <w:spacing w:after="240"/>
        <w:ind w:firstLine="0"/>
        <w:textAlignment w:val="auto"/>
        <w:rPr>
          <w:rFonts w:hint="eastAsia" w:ascii="宋体" w:hAnsi="宋体" w:eastAsia="宋体" w:cs="宋体"/>
          <w:color w:val="auto"/>
          <w:highlight w:val="none"/>
        </w:rPr>
      </w:pPr>
    </w:p>
    <w:p w14:paraId="29407E6D">
      <w:pPr>
        <w:keepNext w:val="0"/>
        <w:keepLines w:val="0"/>
        <w:pageBreakBefore w:val="0"/>
        <w:widowControl w:val="0"/>
        <w:shd w:val="clear"/>
        <w:kinsoku/>
        <w:wordWrap/>
        <w:overflowPunct/>
        <w:topLinePunct w:val="0"/>
        <w:autoSpaceDE/>
        <w:autoSpaceDN/>
        <w:bidi w:val="0"/>
        <w:adjustRightInd/>
        <w:snapToGrid/>
        <w:spacing w:after="240"/>
        <w:ind w:firstLine="0"/>
        <w:textAlignment w:val="auto"/>
        <w:rPr>
          <w:rFonts w:hint="eastAsia" w:ascii="宋体" w:hAnsi="宋体" w:eastAsia="宋体" w:cs="宋体"/>
          <w:color w:val="auto"/>
          <w:highlight w:val="none"/>
        </w:rPr>
      </w:pPr>
      <w:r>
        <w:rPr>
          <w:rFonts w:hint="eastAsia" w:ascii="宋体" w:hAnsi="宋体" w:eastAsia="宋体" w:cs="宋体"/>
          <w:color w:val="auto"/>
          <w:highlight w:val="none"/>
        </w:rPr>
        <w:t>供应商名称：</w:t>
      </w:r>
    </w:p>
    <w:tbl>
      <w:tblPr>
        <w:tblStyle w:val="73"/>
        <w:tblW w:w="94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56"/>
        <w:gridCol w:w="2007"/>
        <w:gridCol w:w="1284"/>
        <w:gridCol w:w="1284"/>
        <w:gridCol w:w="2487"/>
      </w:tblGrid>
      <w:tr w14:paraId="389E6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356" w:type="dxa"/>
          </w:tcPr>
          <w:p w14:paraId="1A274B66">
            <w:pPr>
              <w:shd w:val="clear"/>
              <w:spacing w:line="400" w:lineRule="exact"/>
              <w:jc w:val="center"/>
              <w:rPr>
                <w:rFonts w:hint="eastAsia" w:ascii="宋体" w:hAnsi="宋体" w:eastAsia="宋体" w:cs="宋体"/>
                <w:color w:val="auto"/>
                <w:highlight w:val="none"/>
              </w:rPr>
            </w:pPr>
            <w:r>
              <w:rPr>
                <w:rFonts w:hint="eastAsia" w:ascii="宋体" w:hAnsi="宋体" w:cs="宋体"/>
                <w:color w:val="auto"/>
                <w:highlight w:val="none"/>
                <w:lang w:eastAsia="zh-CN"/>
              </w:rPr>
              <w:t>磋商</w:t>
            </w:r>
            <w:r>
              <w:rPr>
                <w:rFonts w:hint="eastAsia" w:ascii="宋体" w:hAnsi="宋体" w:eastAsia="宋体" w:cs="宋体"/>
                <w:color w:val="auto"/>
                <w:highlight w:val="none"/>
              </w:rPr>
              <w:t>文件条目号</w:t>
            </w:r>
          </w:p>
        </w:tc>
        <w:tc>
          <w:tcPr>
            <w:tcW w:w="2007" w:type="dxa"/>
          </w:tcPr>
          <w:p w14:paraId="78076F25">
            <w:pPr>
              <w:shd w:val="clear"/>
              <w:spacing w:line="4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技术条款要求</w:t>
            </w:r>
          </w:p>
        </w:tc>
        <w:tc>
          <w:tcPr>
            <w:tcW w:w="1284" w:type="dxa"/>
          </w:tcPr>
          <w:p w14:paraId="31F83222">
            <w:pPr>
              <w:shd w:val="clear"/>
              <w:spacing w:line="4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完全响应</w:t>
            </w:r>
          </w:p>
        </w:tc>
        <w:tc>
          <w:tcPr>
            <w:tcW w:w="1284" w:type="dxa"/>
          </w:tcPr>
          <w:p w14:paraId="02DAE71E">
            <w:pPr>
              <w:shd w:val="clear"/>
              <w:spacing w:line="4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有偏离</w:t>
            </w:r>
          </w:p>
        </w:tc>
        <w:tc>
          <w:tcPr>
            <w:tcW w:w="2487" w:type="dxa"/>
          </w:tcPr>
          <w:p w14:paraId="122897E1">
            <w:pPr>
              <w:shd w:val="clear"/>
              <w:spacing w:line="4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偏离简述</w:t>
            </w:r>
          </w:p>
        </w:tc>
      </w:tr>
      <w:tr w14:paraId="3EEEA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356" w:type="dxa"/>
          </w:tcPr>
          <w:p w14:paraId="76DFFF2E">
            <w:pPr>
              <w:shd w:val="clear"/>
              <w:spacing w:line="400" w:lineRule="exact"/>
              <w:rPr>
                <w:rFonts w:hint="eastAsia" w:ascii="宋体" w:hAnsi="宋体" w:eastAsia="宋体" w:cs="宋体"/>
                <w:color w:val="auto"/>
                <w:highlight w:val="none"/>
              </w:rPr>
            </w:pPr>
          </w:p>
        </w:tc>
        <w:tc>
          <w:tcPr>
            <w:tcW w:w="2007" w:type="dxa"/>
          </w:tcPr>
          <w:p w14:paraId="6C4E1F1B">
            <w:pPr>
              <w:shd w:val="clear"/>
              <w:spacing w:line="400" w:lineRule="exact"/>
              <w:rPr>
                <w:rFonts w:hint="eastAsia" w:ascii="宋体" w:hAnsi="宋体" w:eastAsia="宋体" w:cs="宋体"/>
                <w:color w:val="auto"/>
                <w:highlight w:val="none"/>
              </w:rPr>
            </w:pPr>
          </w:p>
        </w:tc>
        <w:tc>
          <w:tcPr>
            <w:tcW w:w="1284" w:type="dxa"/>
          </w:tcPr>
          <w:p w14:paraId="27D060A5">
            <w:pPr>
              <w:shd w:val="clear"/>
              <w:spacing w:line="400" w:lineRule="exact"/>
              <w:rPr>
                <w:rFonts w:hint="eastAsia" w:ascii="宋体" w:hAnsi="宋体" w:eastAsia="宋体" w:cs="宋体"/>
                <w:color w:val="auto"/>
                <w:highlight w:val="none"/>
              </w:rPr>
            </w:pPr>
          </w:p>
        </w:tc>
        <w:tc>
          <w:tcPr>
            <w:tcW w:w="1284" w:type="dxa"/>
          </w:tcPr>
          <w:p w14:paraId="39ED986F">
            <w:pPr>
              <w:shd w:val="clear"/>
              <w:spacing w:line="400" w:lineRule="exact"/>
              <w:rPr>
                <w:rFonts w:hint="eastAsia" w:ascii="宋体" w:hAnsi="宋体" w:eastAsia="宋体" w:cs="宋体"/>
                <w:color w:val="auto"/>
                <w:highlight w:val="none"/>
              </w:rPr>
            </w:pPr>
          </w:p>
        </w:tc>
        <w:tc>
          <w:tcPr>
            <w:tcW w:w="2487" w:type="dxa"/>
          </w:tcPr>
          <w:p w14:paraId="680F5C42">
            <w:pPr>
              <w:shd w:val="clear"/>
              <w:spacing w:line="400" w:lineRule="exact"/>
              <w:rPr>
                <w:rFonts w:hint="eastAsia" w:ascii="宋体" w:hAnsi="宋体" w:eastAsia="宋体" w:cs="宋体"/>
                <w:color w:val="auto"/>
                <w:highlight w:val="none"/>
              </w:rPr>
            </w:pPr>
          </w:p>
        </w:tc>
      </w:tr>
      <w:tr w14:paraId="1C238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356" w:type="dxa"/>
          </w:tcPr>
          <w:p w14:paraId="60814661">
            <w:pPr>
              <w:shd w:val="clear"/>
              <w:spacing w:line="400" w:lineRule="exact"/>
              <w:rPr>
                <w:rFonts w:hint="eastAsia" w:ascii="宋体" w:hAnsi="宋体" w:eastAsia="宋体" w:cs="宋体"/>
                <w:color w:val="auto"/>
                <w:highlight w:val="none"/>
              </w:rPr>
            </w:pPr>
          </w:p>
        </w:tc>
        <w:tc>
          <w:tcPr>
            <w:tcW w:w="2007" w:type="dxa"/>
          </w:tcPr>
          <w:p w14:paraId="4ACD3636">
            <w:pPr>
              <w:shd w:val="clear"/>
              <w:spacing w:line="400" w:lineRule="exact"/>
              <w:rPr>
                <w:rFonts w:hint="eastAsia" w:ascii="宋体" w:hAnsi="宋体" w:eastAsia="宋体" w:cs="宋体"/>
                <w:color w:val="auto"/>
                <w:highlight w:val="none"/>
              </w:rPr>
            </w:pPr>
          </w:p>
        </w:tc>
        <w:tc>
          <w:tcPr>
            <w:tcW w:w="1284" w:type="dxa"/>
          </w:tcPr>
          <w:p w14:paraId="10BC0CD5">
            <w:pPr>
              <w:shd w:val="clear"/>
              <w:spacing w:line="400" w:lineRule="exact"/>
              <w:rPr>
                <w:rFonts w:hint="eastAsia" w:ascii="宋体" w:hAnsi="宋体" w:eastAsia="宋体" w:cs="宋体"/>
                <w:color w:val="auto"/>
                <w:highlight w:val="none"/>
              </w:rPr>
            </w:pPr>
          </w:p>
        </w:tc>
        <w:tc>
          <w:tcPr>
            <w:tcW w:w="1284" w:type="dxa"/>
          </w:tcPr>
          <w:p w14:paraId="1FA44C34">
            <w:pPr>
              <w:shd w:val="clear"/>
              <w:spacing w:line="400" w:lineRule="exact"/>
              <w:rPr>
                <w:rFonts w:hint="eastAsia" w:ascii="宋体" w:hAnsi="宋体" w:eastAsia="宋体" w:cs="宋体"/>
                <w:color w:val="auto"/>
                <w:highlight w:val="none"/>
              </w:rPr>
            </w:pPr>
          </w:p>
        </w:tc>
        <w:tc>
          <w:tcPr>
            <w:tcW w:w="2487" w:type="dxa"/>
          </w:tcPr>
          <w:p w14:paraId="0C429F40">
            <w:pPr>
              <w:shd w:val="clear"/>
              <w:spacing w:line="400" w:lineRule="exact"/>
              <w:rPr>
                <w:rFonts w:hint="eastAsia" w:ascii="宋体" w:hAnsi="宋体" w:eastAsia="宋体" w:cs="宋体"/>
                <w:color w:val="auto"/>
                <w:highlight w:val="none"/>
              </w:rPr>
            </w:pPr>
          </w:p>
        </w:tc>
      </w:tr>
      <w:tr w14:paraId="62B10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356" w:type="dxa"/>
          </w:tcPr>
          <w:p w14:paraId="5B64DE0C">
            <w:pPr>
              <w:shd w:val="clear"/>
              <w:spacing w:line="400" w:lineRule="exact"/>
              <w:rPr>
                <w:rFonts w:hint="eastAsia" w:ascii="宋体" w:hAnsi="宋体" w:eastAsia="宋体" w:cs="宋体"/>
                <w:color w:val="auto"/>
                <w:highlight w:val="none"/>
              </w:rPr>
            </w:pPr>
          </w:p>
        </w:tc>
        <w:tc>
          <w:tcPr>
            <w:tcW w:w="2007" w:type="dxa"/>
          </w:tcPr>
          <w:p w14:paraId="426FA044">
            <w:pPr>
              <w:shd w:val="clear"/>
              <w:spacing w:line="400" w:lineRule="exact"/>
              <w:rPr>
                <w:rFonts w:hint="eastAsia" w:ascii="宋体" w:hAnsi="宋体" w:eastAsia="宋体" w:cs="宋体"/>
                <w:color w:val="auto"/>
                <w:highlight w:val="none"/>
              </w:rPr>
            </w:pPr>
          </w:p>
        </w:tc>
        <w:tc>
          <w:tcPr>
            <w:tcW w:w="1284" w:type="dxa"/>
          </w:tcPr>
          <w:p w14:paraId="77CCEBB6">
            <w:pPr>
              <w:shd w:val="clear"/>
              <w:spacing w:line="400" w:lineRule="exact"/>
              <w:rPr>
                <w:rFonts w:hint="eastAsia" w:ascii="宋体" w:hAnsi="宋体" w:eastAsia="宋体" w:cs="宋体"/>
                <w:color w:val="auto"/>
                <w:highlight w:val="none"/>
              </w:rPr>
            </w:pPr>
          </w:p>
        </w:tc>
        <w:tc>
          <w:tcPr>
            <w:tcW w:w="1284" w:type="dxa"/>
          </w:tcPr>
          <w:p w14:paraId="522D6909">
            <w:pPr>
              <w:shd w:val="clear"/>
              <w:spacing w:line="400" w:lineRule="exact"/>
              <w:rPr>
                <w:rFonts w:hint="eastAsia" w:ascii="宋体" w:hAnsi="宋体" w:eastAsia="宋体" w:cs="宋体"/>
                <w:color w:val="auto"/>
                <w:highlight w:val="none"/>
              </w:rPr>
            </w:pPr>
          </w:p>
        </w:tc>
        <w:tc>
          <w:tcPr>
            <w:tcW w:w="2487" w:type="dxa"/>
          </w:tcPr>
          <w:p w14:paraId="53452AA9">
            <w:pPr>
              <w:shd w:val="clear"/>
              <w:spacing w:line="400" w:lineRule="exact"/>
              <w:rPr>
                <w:rFonts w:hint="eastAsia" w:ascii="宋体" w:hAnsi="宋体" w:eastAsia="宋体" w:cs="宋体"/>
                <w:color w:val="auto"/>
                <w:highlight w:val="none"/>
              </w:rPr>
            </w:pPr>
          </w:p>
        </w:tc>
      </w:tr>
      <w:tr w14:paraId="55AA9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356" w:type="dxa"/>
          </w:tcPr>
          <w:p w14:paraId="25665DFD">
            <w:pPr>
              <w:shd w:val="clear"/>
              <w:spacing w:line="400" w:lineRule="exact"/>
              <w:rPr>
                <w:rFonts w:hint="eastAsia" w:ascii="宋体" w:hAnsi="宋体" w:eastAsia="宋体" w:cs="宋体"/>
                <w:color w:val="auto"/>
                <w:highlight w:val="none"/>
              </w:rPr>
            </w:pPr>
          </w:p>
        </w:tc>
        <w:tc>
          <w:tcPr>
            <w:tcW w:w="2007" w:type="dxa"/>
          </w:tcPr>
          <w:p w14:paraId="71B18EA5">
            <w:pPr>
              <w:shd w:val="clear"/>
              <w:spacing w:line="400" w:lineRule="exact"/>
              <w:rPr>
                <w:rFonts w:hint="eastAsia" w:ascii="宋体" w:hAnsi="宋体" w:eastAsia="宋体" w:cs="宋体"/>
                <w:color w:val="auto"/>
                <w:highlight w:val="none"/>
              </w:rPr>
            </w:pPr>
          </w:p>
        </w:tc>
        <w:tc>
          <w:tcPr>
            <w:tcW w:w="1284" w:type="dxa"/>
          </w:tcPr>
          <w:p w14:paraId="5C3B4F93">
            <w:pPr>
              <w:shd w:val="clear"/>
              <w:spacing w:line="400" w:lineRule="exact"/>
              <w:rPr>
                <w:rFonts w:hint="eastAsia" w:ascii="宋体" w:hAnsi="宋体" w:eastAsia="宋体" w:cs="宋体"/>
                <w:color w:val="auto"/>
                <w:highlight w:val="none"/>
              </w:rPr>
            </w:pPr>
          </w:p>
        </w:tc>
        <w:tc>
          <w:tcPr>
            <w:tcW w:w="1284" w:type="dxa"/>
          </w:tcPr>
          <w:p w14:paraId="247CDF72">
            <w:pPr>
              <w:shd w:val="clear"/>
              <w:spacing w:line="400" w:lineRule="exact"/>
              <w:rPr>
                <w:rFonts w:hint="eastAsia" w:ascii="宋体" w:hAnsi="宋体" w:eastAsia="宋体" w:cs="宋体"/>
                <w:color w:val="auto"/>
                <w:highlight w:val="none"/>
              </w:rPr>
            </w:pPr>
          </w:p>
        </w:tc>
        <w:tc>
          <w:tcPr>
            <w:tcW w:w="2487" w:type="dxa"/>
          </w:tcPr>
          <w:p w14:paraId="606A5E77">
            <w:pPr>
              <w:shd w:val="clear"/>
              <w:spacing w:line="400" w:lineRule="exact"/>
              <w:rPr>
                <w:rFonts w:hint="eastAsia" w:ascii="宋体" w:hAnsi="宋体" w:eastAsia="宋体" w:cs="宋体"/>
                <w:color w:val="auto"/>
                <w:highlight w:val="none"/>
              </w:rPr>
            </w:pPr>
          </w:p>
        </w:tc>
      </w:tr>
      <w:tr w14:paraId="02EB5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356" w:type="dxa"/>
          </w:tcPr>
          <w:p w14:paraId="522DBB35">
            <w:pPr>
              <w:shd w:val="clear"/>
              <w:spacing w:line="400" w:lineRule="exact"/>
              <w:rPr>
                <w:rFonts w:hint="eastAsia" w:ascii="宋体" w:hAnsi="宋体" w:eastAsia="宋体" w:cs="宋体"/>
                <w:color w:val="auto"/>
                <w:highlight w:val="none"/>
              </w:rPr>
            </w:pPr>
          </w:p>
        </w:tc>
        <w:tc>
          <w:tcPr>
            <w:tcW w:w="2007" w:type="dxa"/>
          </w:tcPr>
          <w:p w14:paraId="5E9EECBA">
            <w:pPr>
              <w:shd w:val="clear"/>
              <w:spacing w:line="400" w:lineRule="exact"/>
              <w:rPr>
                <w:rFonts w:hint="eastAsia" w:ascii="宋体" w:hAnsi="宋体" w:eastAsia="宋体" w:cs="宋体"/>
                <w:color w:val="auto"/>
                <w:highlight w:val="none"/>
              </w:rPr>
            </w:pPr>
          </w:p>
        </w:tc>
        <w:tc>
          <w:tcPr>
            <w:tcW w:w="1284" w:type="dxa"/>
          </w:tcPr>
          <w:p w14:paraId="6B86B182">
            <w:pPr>
              <w:shd w:val="clear"/>
              <w:spacing w:line="400" w:lineRule="exact"/>
              <w:rPr>
                <w:rFonts w:hint="eastAsia" w:ascii="宋体" w:hAnsi="宋体" w:eastAsia="宋体" w:cs="宋体"/>
                <w:color w:val="auto"/>
                <w:highlight w:val="none"/>
              </w:rPr>
            </w:pPr>
          </w:p>
        </w:tc>
        <w:tc>
          <w:tcPr>
            <w:tcW w:w="1284" w:type="dxa"/>
          </w:tcPr>
          <w:p w14:paraId="6034819F">
            <w:pPr>
              <w:shd w:val="clear"/>
              <w:spacing w:line="400" w:lineRule="exact"/>
              <w:rPr>
                <w:rFonts w:hint="eastAsia" w:ascii="宋体" w:hAnsi="宋体" w:eastAsia="宋体" w:cs="宋体"/>
                <w:color w:val="auto"/>
                <w:highlight w:val="none"/>
              </w:rPr>
            </w:pPr>
          </w:p>
        </w:tc>
        <w:tc>
          <w:tcPr>
            <w:tcW w:w="2487" w:type="dxa"/>
          </w:tcPr>
          <w:p w14:paraId="6A8166DF">
            <w:pPr>
              <w:shd w:val="clear"/>
              <w:spacing w:line="400" w:lineRule="exact"/>
              <w:rPr>
                <w:rFonts w:hint="eastAsia" w:ascii="宋体" w:hAnsi="宋体" w:eastAsia="宋体" w:cs="宋体"/>
                <w:color w:val="auto"/>
                <w:highlight w:val="none"/>
              </w:rPr>
            </w:pPr>
          </w:p>
        </w:tc>
      </w:tr>
      <w:tr w14:paraId="08A20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356" w:type="dxa"/>
          </w:tcPr>
          <w:p w14:paraId="595F42FB">
            <w:pPr>
              <w:shd w:val="clear"/>
              <w:spacing w:line="400" w:lineRule="exact"/>
              <w:rPr>
                <w:rFonts w:hint="eastAsia" w:ascii="宋体" w:hAnsi="宋体" w:eastAsia="宋体" w:cs="宋体"/>
                <w:color w:val="auto"/>
                <w:highlight w:val="none"/>
              </w:rPr>
            </w:pPr>
          </w:p>
        </w:tc>
        <w:tc>
          <w:tcPr>
            <w:tcW w:w="2007" w:type="dxa"/>
          </w:tcPr>
          <w:p w14:paraId="60D90CD9">
            <w:pPr>
              <w:shd w:val="clear"/>
              <w:spacing w:line="400" w:lineRule="exact"/>
              <w:rPr>
                <w:rFonts w:hint="eastAsia" w:ascii="宋体" w:hAnsi="宋体" w:eastAsia="宋体" w:cs="宋体"/>
                <w:bCs/>
                <w:color w:val="auto"/>
                <w:highlight w:val="none"/>
              </w:rPr>
            </w:pPr>
          </w:p>
        </w:tc>
        <w:tc>
          <w:tcPr>
            <w:tcW w:w="1284" w:type="dxa"/>
          </w:tcPr>
          <w:p w14:paraId="15C9EDE3">
            <w:pPr>
              <w:shd w:val="clear"/>
              <w:spacing w:line="400" w:lineRule="exact"/>
              <w:rPr>
                <w:rFonts w:hint="eastAsia" w:ascii="宋体" w:hAnsi="宋体" w:eastAsia="宋体" w:cs="宋体"/>
                <w:color w:val="auto"/>
                <w:highlight w:val="none"/>
              </w:rPr>
            </w:pPr>
          </w:p>
        </w:tc>
        <w:tc>
          <w:tcPr>
            <w:tcW w:w="1284" w:type="dxa"/>
          </w:tcPr>
          <w:p w14:paraId="3B71B27F">
            <w:pPr>
              <w:shd w:val="clear"/>
              <w:spacing w:line="400" w:lineRule="exact"/>
              <w:rPr>
                <w:rFonts w:hint="eastAsia" w:ascii="宋体" w:hAnsi="宋体" w:eastAsia="宋体" w:cs="宋体"/>
                <w:color w:val="auto"/>
                <w:highlight w:val="none"/>
              </w:rPr>
            </w:pPr>
          </w:p>
        </w:tc>
        <w:tc>
          <w:tcPr>
            <w:tcW w:w="2487" w:type="dxa"/>
          </w:tcPr>
          <w:p w14:paraId="60BE4AC3">
            <w:pPr>
              <w:shd w:val="clear"/>
              <w:spacing w:line="400" w:lineRule="exact"/>
              <w:rPr>
                <w:rFonts w:hint="eastAsia" w:ascii="宋体" w:hAnsi="宋体" w:eastAsia="宋体" w:cs="宋体"/>
                <w:color w:val="auto"/>
                <w:highlight w:val="none"/>
              </w:rPr>
            </w:pPr>
          </w:p>
        </w:tc>
      </w:tr>
      <w:tr w14:paraId="0ED4A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356" w:type="dxa"/>
          </w:tcPr>
          <w:p w14:paraId="579FDB9A">
            <w:pPr>
              <w:shd w:val="clear"/>
              <w:spacing w:line="400" w:lineRule="exact"/>
              <w:rPr>
                <w:rFonts w:hint="eastAsia" w:ascii="宋体" w:hAnsi="宋体" w:eastAsia="宋体" w:cs="宋体"/>
                <w:color w:val="auto"/>
                <w:highlight w:val="none"/>
              </w:rPr>
            </w:pPr>
          </w:p>
        </w:tc>
        <w:tc>
          <w:tcPr>
            <w:tcW w:w="2007" w:type="dxa"/>
          </w:tcPr>
          <w:p w14:paraId="79DA4AC8">
            <w:pPr>
              <w:shd w:val="clear"/>
              <w:spacing w:line="400" w:lineRule="exact"/>
              <w:rPr>
                <w:rFonts w:hint="eastAsia" w:ascii="宋体" w:hAnsi="宋体" w:eastAsia="宋体" w:cs="宋体"/>
                <w:bCs/>
                <w:color w:val="auto"/>
                <w:highlight w:val="none"/>
              </w:rPr>
            </w:pPr>
          </w:p>
        </w:tc>
        <w:tc>
          <w:tcPr>
            <w:tcW w:w="1284" w:type="dxa"/>
          </w:tcPr>
          <w:p w14:paraId="23D9DB33">
            <w:pPr>
              <w:shd w:val="clear"/>
              <w:spacing w:line="400" w:lineRule="exact"/>
              <w:rPr>
                <w:rFonts w:hint="eastAsia" w:ascii="宋体" w:hAnsi="宋体" w:eastAsia="宋体" w:cs="宋体"/>
                <w:color w:val="auto"/>
                <w:highlight w:val="none"/>
              </w:rPr>
            </w:pPr>
          </w:p>
        </w:tc>
        <w:tc>
          <w:tcPr>
            <w:tcW w:w="1284" w:type="dxa"/>
          </w:tcPr>
          <w:p w14:paraId="48DD8C31">
            <w:pPr>
              <w:shd w:val="clear"/>
              <w:spacing w:line="400" w:lineRule="exact"/>
              <w:rPr>
                <w:rFonts w:hint="eastAsia" w:ascii="宋体" w:hAnsi="宋体" w:eastAsia="宋体" w:cs="宋体"/>
                <w:color w:val="auto"/>
                <w:highlight w:val="none"/>
              </w:rPr>
            </w:pPr>
          </w:p>
        </w:tc>
        <w:tc>
          <w:tcPr>
            <w:tcW w:w="2487" w:type="dxa"/>
          </w:tcPr>
          <w:p w14:paraId="652A093B">
            <w:pPr>
              <w:shd w:val="clear"/>
              <w:spacing w:line="400" w:lineRule="exact"/>
              <w:rPr>
                <w:rFonts w:hint="eastAsia" w:ascii="宋体" w:hAnsi="宋体" w:eastAsia="宋体" w:cs="宋体"/>
                <w:color w:val="auto"/>
                <w:highlight w:val="none"/>
              </w:rPr>
            </w:pPr>
          </w:p>
        </w:tc>
      </w:tr>
    </w:tbl>
    <w:p w14:paraId="064B11E2">
      <w:pPr>
        <w:keepNext w:val="0"/>
        <w:keepLines w:val="0"/>
        <w:pageBreakBefore w:val="0"/>
        <w:widowControl w:val="0"/>
        <w:shd w:val="clear"/>
        <w:kinsoku/>
        <w:wordWrap/>
        <w:overflowPunct/>
        <w:topLinePunct w:val="0"/>
        <w:autoSpaceDE/>
        <w:autoSpaceDN/>
        <w:bidi w:val="0"/>
        <w:adjustRightInd/>
        <w:snapToGrid/>
        <w:spacing w:line="480" w:lineRule="auto"/>
        <w:ind w:firstLine="42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供应商（盖章）：</w:t>
      </w:r>
    </w:p>
    <w:p w14:paraId="1B9E6E63">
      <w:pPr>
        <w:keepNext w:val="0"/>
        <w:keepLines w:val="0"/>
        <w:pageBreakBefore w:val="0"/>
        <w:widowControl w:val="0"/>
        <w:shd w:val="clear"/>
        <w:kinsoku/>
        <w:wordWrap/>
        <w:overflowPunct/>
        <w:topLinePunct w:val="0"/>
        <w:autoSpaceDE/>
        <w:autoSpaceDN/>
        <w:bidi w:val="0"/>
        <w:adjustRightInd/>
        <w:snapToGrid/>
        <w:spacing w:line="480" w:lineRule="auto"/>
        <w:ind w:firstLine="42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法定代表人或授权委托代理人（签字或盖章）：</w:t>
      </w:r>
    </w:p>
    <w:p w14:paraId="6293EACA">
      <w:pPr>
        <w:keepNext w:val="0"/>
        <w:keepLines w:val="0"/>
        <w:pageBreakBefore w:val="0"/>
        <w:widowControl w:val="0"/>
        <w:shd w:val="clear"/>
        <w:kinsoku/>
        <w:wordWrap/>
        <w:overflowPunct/>
        <w:topLinePunct w:val="0"/>
        <w:autoSpaceDE/>
        <w:autoSpaceDN/>
        <w:bidi w:val="0"/>
        <w:adjustRightInd/>
        <w:snapToGrid/>
        <w:spacing w:line="480" w:lineRule="auto"/>
        <w:ind w:firstLine="425"/>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lang w:eastAsia="zh-CN"/>
        </w:rPr>
        <w:t>：</w:t>
      </w:r>
    </w:p>
    <w:p w14:paraId="1FEBD991">
      <w:pPr>
        <w:pStyle w:val="3"/>
        <w:shd w:val="clear"/>
        <w:outlineLvl w:val="9"/>
        <w:rPr>
          <w:rFonts w:hint="eastAsia"/>
          <w:color w:val="auto"/>
          <w:highlight w:val="none"/>
          <w:lang w:eastAsia="zh-CN"/>
        </w:rPr>
      </w:pPr>
    </w:p>
    <w:p w14:paraId="569639DB">
      <w:pPr>
        <w:shd w:val="clear"/>
        <w:snapToGrid w:val="0"/>
        <w:spacing w:afterLines="50"/>
        <w:ind w:left="850" w:hanging="850" w:hangingChars="405"/>
        <w:rPr>
          <w:rFonts w:hint="eastAsia" w:ascii="宋体" w:hAnsi="宋体" w:eastAsia="宋体" w:cs="宋体"/>
          <w:color w:val="auto"/>
          <w:highlight w:val="none"/>
        </w:rPr>
      </w:pPr>
      <w:r>
        <w:rPr>
          <w:rFonts w:hint="eastAsia" w:ascii="宋体" w:hAnsi="宋体" w:eastAsia="宋体" w:cs="宋体"/>
          <w:color w:val="auto"/>
          <w:highlight w:val="none"/>
        </w:rPr>
        <w:t>注：1.</w:t>
      </w:r>
      <w:r>
        <w:rPr>
          <w:rFonts w:hint="eastAsia" w:ascii="宋体" w:hAnsi="宋体" w:eastAsia="宋体" w:cs="宋体"/>
          <w:color w:val="auto"/>
          <w:highlight w:val="none"/>
        </w:rPr>
        <w:tab/>
      </w:r>
      <w:r>
        <w:rPr>
          <w:rFonts w:hint="eastAsia" w:ascii="宋体" w:hAnsi="宋体" w:eastAsia="宋体" w:cs="宋体"/>
          <w:color w:val="auto"/>
          <w:highlight w:val="none"/>
        </w:rPr>
        <w:t>对完全响应的条目在本表相应列中标注“O”。对有偏离的条目在本表相应列中标注“正偏离”或“负偏离”。仅可在“完全响应”及“有偏离”中选一标注，同时，当且仅当选取“有偏离”栏中加以标注后，才能在“偏离简述”栏中加以说明。</w:t>
      </w:r>
    </w:p>
    <w:p w14:paraId="2167BC11">
      <w:pPr>
        <w:shd w:val="clear"/>
        <w:tabs>
          <w:tab w:val="left" w:pos="1200"/>
        </w:tabs>
        <w:snapToGrid w:val="0"/>
        <w:spacing w:afterLines="50"/>
        <w:ind w:left="850" w:leftChars="203" w:hanging="424" w:hangingChars="202"/>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rPr>
        <w:tab/>
      </w:r>
      <w:r>
        <w:rPr>
          <w:rFonts w:hint="eastAsia" w:ascii="宋体" w:hAnsi="宋体" w:eastAsia="宋体" w:cs="宋体"/>
          <w:color w:val="auto"/>
          <w:highlight w:val="none"/>
        </w:rPr>
        <w:t>正偏离是指应答的条件高于</w:t>
      </w:r>
      <w:r>
        <w:rPr>
          <w:rFonts w:hint="eastAsia" w:ascii="宋体" w:hAnsi="宋体" w:cs="宋体"/>
          <w:color w:val="auto"/>
          <w:highlight w:val="none"/>
          <w:lang w:eastAsia="zh-CN"/>
        </w:rPr>
        <w:t>磋商</w:t>
      </w:r>
      <w:r>
        <w:rPr>
          <w:rFonts w:hint="eastAsia" w:ascii="宋体" w:hAnsi="宋体" w:eastAsia="宋体" w:cs="宋体"/>
          <w:color w:val="auto"/>
          <w:highlight w:val="none"/>
        </w:rPr>
        <w:t>文件要求，负偏离是指应答的条件低于</w:t>
      </w:r>
      <w:r>
        <w:rPr>
          <w:rFonts w:hint="eastAsia" w:ascii="宋体" w:hAnsi="宋体" w:cs="宋体"/>
          <w:color w:val="auto"/>
          <w:highlight w:val="none"/>
          <w:lang w:eastAsia="zh-CN"/>
        </w:rPr>
        <w:t>磋商</w:t>
      </w:r>
      <w:r>
        <w:rPr>
          <w:rFonts w:hint="eastAsia" w:ascii="宋体" w:hAnsi="宋体" w:eastAsia="宋体" w:cs="宋体"/>
          <w:color w:val="auto"/>
          <w:highlight w:val="none"/>
        </w:rPr>
        <w:t>文件要求。</w:t>
      </w:r>
    </w:p>
    <w:p w14:paraId="2141F6B6">
      <w:pPr>
        <w:shd w:val="clear"/>
        <w:tabs>
          <w:tab w:val="left" w:pos="1200"/>
        </w:tabs>
        <w:snapToGrid w:val="0"/>
        <w:spacing w:afterLines="50"/>
        <w:ind w:left="850" w:leftChars="203" w:hanging="424" w:hangingChars="202"/>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rPr>
        <w:tab/>
      </w:r>
      <w:r>
        <w:rPr>
          <w:rFonts w:hint="eastAsia" w:ascii="宋体" w:hAnsi="宋体" w:eastAsia="宋体" w:cs="宋体"/>
          <w:color w:val="auto"/>
          <w:highlight w:val="none"/>
        </w:rPr>
        <w:t>供应商须按照用户需求书逐条完整填写响应表。如果未完整填写响应表的各项内容则视作供应商已经对</w:t>
      </w:r>
      <w:r>
        <w:rPr>
          <w:rFonts w:hint="eastAsia" w:ascii="宋体" w:hAnsi="宋体" w:cs="宋体"/>
          <w:color w:val="auto"/>
          <w:highlight w:val="none"/>
          <w:lang w:eastAsia="zh-CN"/>
        </w:rPr>
        <w:t>磋商</w:t>
      </w:r>
      <w:r>
        <w:rPr>
          <w:rFonts w:hint="eastAsia" w:ascii="宋体" w:hAnsi="宋体" w:eastAsia="宋体" w:cs="宋体"/>
          <w:color w:val="auto"/>
          <w:highlight w:val="none"/>
        </w:rPr>
        <w:t>文件相关要求和内容完全理解并同意，其报价为在此基础上的完全价格。</w:t>
      </w:r>
    </w:p>
    <w:p w14:paraId="5CAC3242">
      <w:pPr>
        <w:shd w:val="clear"/>
        <w:tabs>
          <w:tab w:val="left" w:pos="1200"/>
        </w:tabs>
        <w:snapToGrid w:val="0"/>
        <w:spacing w:afterLines="50"/>
        <w:ind w:left="850" w:leftChars="203" w:hanging="424" w:hangingChars="202"/>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eastAsia="宋体" w:cs="宋体"/>
          <w:color w:val="auto"/>
          <w:highlight w:val="none"/>
        </w:rPr>
        <w:tab/>
      </w:r>
      <w:r>
        <w:rPr>
          <w:rFonts w:hint="eastAsia" w:ascii="宋体" w:hAnsi="宋体" w:eastAsia="宋体" w:cs="宋体"/>
          <w:color w:val="auto"/>
          <w:highlight w:val="none"/>
        </w:rPr>
        <w:t>在采购人与成交供应商签订合同时，如成交供应商未在响应文件“响应表”中列出偏离说明，无论即将发生或已发生任何情形，均视为完全符合</w:t>
      </w:r>
      <w:r>
        <w:rPr>
          <w:rFonts w:hint="eastAsia" w:ascii="宋体" w:hAnsi="宋体" w:cs="宋体"/>
          <w:color w:val="auto"/>
          <w:highlight w:val="none"/>
          <w:lang w:eastAsia="zh-CN"/>
        </w:rPr>
        <w:t>磋商</w:t>
      </w:r>
      <w:r>
        <w:rPr>
          <w:rFonts w:hint="eastAsia" w:ascii="宋体" w:hAnsi="宋体" w:eastAsia="宋体" w:cs="宋体"/>
          <w:color w:val="auto"/>
          <w:highlight w:val="none"/>
        </w:rPr>
        <w:t>文件要求，并写入合同。若成交供应商在合同签订前，以上述事项为借口而不履行合同签订手续及执行合同，则视作拒绝与采购人签订合同。</w:t>
      </w:r>
    </w:p>
    <w:p w14:paraId="050BE0B0">
      <w:pPr>
        <w:shd w:val="clea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3364403C">
      <w:pPr>
        <w:pStyle w:val="424"/>
        <w:numPr>
          <w:ilvl w:val="0"/>
          <w:numId w:val="16"/>
        </w:numPr>
        <w:shd w:val="clear"/>
        <w:spacing w:line="360" w:lineRule="auto"/>
        <w:ind w:left="1276" w:hanging="1276" w:firstLineChars="0"/>
        <w:outlineLvl w:val="1"/>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服务方案</w:t>
      </w:r>
    </w:p>
    <w:p w14:paraId="06A813AC">
      <w:pPr>
        <w:shd w:val="clear"/>
        <w:spacing w:beforeLines="50"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1、对项目的理解、重难点分析及合理化建议</w:t>
      </w:r>
    </w:p>
    <w:p w14:paraId="0A9760D5">
      <w:pPr>
        <w:shd w:val="clear"/>
        <w:spacing w:beforeLines="50"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2、建设方案与技术措施</w:t>
      </w:r>
    </w:p>
    <w:p w14:paraId="4F9A1545">
      <w:pPr>
        <w:shd w:val="clear"/>
        <w:spacing w:beforeLines="50"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3、质量管理体系与措施</w:t>
      </w:r>
    </w:p>
    <w:p w14:paraId="2234060D">
      <w:pPr>
        <w:shd w:val="clear"/>
        <w:spacing w:beforeLines="50"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4、环境保护安全管理体系与措施</w:t>
      </w:r>
    </w:p>
    <w:p w14:paraId="2D32906F">
      <w:pPr>
        <w:shd w:val="clear"/>
        <w:spacing w:beforeLines="50"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5、工程进度计划与保证措施</w:t>
      </w:r>
    </w:p>
    <w:p w14:paraId="33E17E5D">
      <w:pPr>
        <w:shd w:val="clear"/>
        <w:spacing w:beforeLines="50"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①工期承诺</w:t>
      </w:r>
    </w:p>
    <w:p w14:paraId="638684BC">
      <w:pPr>
        <w:shd w:val="clear"/>
        <w:spacing w:beforeLines="50"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②进度计划与保证措施</w:t>
      </w:r>
    </w:p>
    <w:p w14:paraId="51F80E5B">
      <w:pPr>
        <w:shd w:val="clear"/>
        <w:spacing w:beforeLines="50"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6、资源配备计划</w:t>
      </w:r>
    </w:p>
    <w:p w14:paraId="240F43AC">
      <w:pPr>
        <w:shd w:val="clear"/>
        <w:spacing w:beforeLines="50"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7、项目管理机构配置</w:t>
      </w:r>
    </w:p>
    <w:p w14:paraId="09475605">
      <w:pPr>
        <w:shd w:val="clear"/>
        <w:spacing w:beforeLines="50" w:line="440" w:lineRule="exact"/>
        <w:rPr>
          <w:rFonts w:hint="eastAsia" w:ascii="宋体" w:hAnsi="宋体" w:eastAsia="宋体" w:cs="宋体"/>
          <w:bCs/>
          <w:color w:val="auto"/>
          <w:szCs w:val="21"/>
          <w:highlight w:val="none"/>
        </w:rPr>
      </w:pPr>
    </w:p>
    <w:p w14:paraId="4ED6578B">
      <w:pPr>
        <w:pStyle w:val="424"/>
        <w:numPr>
          <w:ilvl w:val="0"/>
          <w:numId w:val="0"/>
        </w:numPr>
        <w:shd w:val="clear"/>
        <w:spacing w:line="360" w:lineRule="auto"/>
        <w:ind w:leftChars="0"/>
        <w:outlineLvl w:val="9"/>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附表：</w:t>
      </w:r>
    </w:p>
    <w:p w14:paraId="602A623E">
      <w:pPr>
        <w:outlineLvl w:val="9"/>
        <w:rPr>
          <w:rFonts w:hint="eastAsia" w:ascii="黑体" w:hAnsi="宋体" w:eastAsia="黑体"/>
          <w:color w:val="auto"/>
          <w:sz w:val="27"/>
          <w:szCs w:val="21"/>
          <w:highlight w:val="none"/>
        </w:rPr>
      </w:pPr>
      <w:r>
        <w:rPr>
          <w:rFonts w:hint="eastAsia" w:ascii="黑体" w:hAnsi="宋体" w:eastAsia="黑体"/>
          <w:color w:val="auto"/>
          <w:sz w:val="27"/>
          <w:szCs w:val="21"/>
          <w:highlight w:val="none"/>
        </w:rPr>
        <w:t>附表一：拟投入本标段的主要施工设备表</w:t>
      </w:r>
    </w:p>
    <w:p w14:paraId="5507C58E">
      <w:pPr>
        <w:jc w:val="left"/>
        <w:outlineLvl w:val="9"/>
        <w:rPr>
          <w:rFonts w:hint="eastAsia" w:ascii="宋体" w:hAnsi="宋体"/>
          <w:color w:val="auto"/>
          <w:szCs w:val="21"/>
          <w:highlight w:val="none"/>
        </w:rPr>
      </w:pPr>
    </w:p>
    <w:tbl>
      <w:tblPr>
        <w:tblStyle w:val="73"/>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7"/>
        <w:gridCol w:w="1432"/>
        <w:gridCol w:w="838"/>
        <w:gridCol w:w="1229"/>
        <w:gridCol w:w="795"/>
        <w:gridCol w:w="843"/>
        <w:gridCol w:w="955"/>
        <w:gridCol w:w="955"/>
        <w:gridCol w:w="956"/>
        <w:gridCol w:w="806"/>
      </w:tblGrid>
      <w:tr w14:paraId="71407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vAlign w:val="center"/>
          </w:tcPr>
          <w:p w14:paraId="2632BB0B">
            <w:pPr>
              <w:spacing w:line="360" w:lineRule="auto"/>
              <w:jc w:val="center"/>
              <w:outlineLvl w:val="9"/>
              <w:rPr>
                <w:rFonts w:hint="eastAsia" w:ascii="宋体" w:hAnsi="宋体"/>
                <w:color w:val="auto"/>
                <w:szCs w:val="21"/>
                <w:highlight w:val="none"/>
              </w:rPr>
            </w:pPr>
            <w:r>
              <w:rPr>
                <w:rFonts w:hint="eastAsia" w:ascii="宋体" w:hAnsi="宋体"/>
                <w:color w:val="auto"/>
                <w:szCs w:val="21"/>
                <w:highlight w:val="none"/>
              </w:rPr>
              <w:t>序号</w:t>
            </w:r>
          </w:p>
        </w:tc>
        <w:tc>
          <w:tcPr>
            <w:tcW w:w="1432" w:type="dxa"/>
            <w:tcBorders>
              <w:top w:val="single" w:color="000000" w:sz="4" w:space="0"/>
              <w:left w:val="single" w:color="000000" w:sz="4" w:space="0"/>
              <w:bottom w:val="single" w:color="000000" w:sz="4" w:space="0"/>
              <w:right w:val="single" w:color="000000" w:sz="4" w:space="0"/>
            </w:tcBorders>
            <w:vAlign w:val="center"/>
          </w:tcPr>
          <w:p w14:paraId="033E6267">
            <w:pPr>
              <w:spacing w:line="360" w:lineRule="auto"/>
              <w:jc w:val="center"/>
              <w:outlineLvl w:val="9"/>
              <w:rPr>
                <w:rFonts w:hint="eastAsia" w:ascii="宋体" w:hAnsi="宋体"/>
                <w:color w:val="auto"/>
                <w:szCs w:val="21"/>
                <w:highlight w:val="none"/>
              </w:rPr>
            </w:pPr>
            <w:r>
              <w:rPr>
                <w:rFonts w:hint="eastAsia" w:ascii="宋体" w:hAnsi="宋体"/>
                <w:color w:val="auto"/>
                <w:szCs w:val="21"/>
                <w:highlight w:val="none"/>
              </w:rPr>
              <w:t>设备名称</w:t>
            </w:r>
          </w:p>
        </w:tc>
        <w:tc>
          <w:tcPr>
            <w:tcW w:w="838" w:type="dxa"/>
            <w:tcBorders>
              <w:top w:val="single" w:color="000000" w:sz="4" w:space="0"/>
              <w:left w:val="single" w:color="000000" w:sz="4" w:space="0"/>
              <w:bottom w:val="single" w:color="000000" w:sz="4" w:space="0"/>
              <w:right w:val="single" w:color="000000" w:sz="4" w:space="0"/>
            </w:tcBorders>
            <w:vAlign w:val="center"/>
          </w:tcPr>
          <w:p w14:paraId="0B51AEE3">
            <w:pPr>
              <w:spacing w:line="360" w:lineRule="auto"/>
              <w:jc w:val="center"/>
              <w:outlineLvl w:val="9"/>
              <w:rPr>
                <w:rFonts w:hint="eastAsia" w:ascii="宋体" w:hAnsi="宋体"/>
                <w:color w:val="auto"/>
                <w:szCs w:val="21"/>
                <w:highlight w:val="none"/>
              </w:rPr>
            </w:pPr>
            <w:r>
              <w:rPr>
                <w:rFonts w:hint="eastAsia" w:ascii="宋体" w:hAnsi="宋体"/>
                <w:color w:val="auto"/>
                <w:szCs w:val="21"/>
                <w:highlight w:val="none"/>
              </w:rPr>
              <w:t>型号规格</w:t>
            </w:r>
          </w:p>
        </w:tc>
        <w:tc>
          <w:tcPr>
            <w:tcW w:w="1229" w:type="dxa"/>
            <w:tcBorders>
              <w:top w:val="single" w:color="000000" w:sz="4" w:space="0"/>
              <w:left w:val="single" w:color="000000" w:sz="4" w:space="0"/>
              <w:bottom w:val="single" w:color="000000" w:sz="4" w:space="0"/>
              <w:right w:val="single" w:color="000000" w:sz="4" w:space="0"/>
            </w:tcBorders>
            <w:vAlign w:val="center"/>
          </w:tcPr>
          <w:p w14:paraId="57AEE70C">
            <w:pPr>
              <w:spacing w:line="360" w:lineRule="auto"/>
              <w:jc w:val="center"/>
              <w:outlineLvl w:val="9"/>
              <w:rPr>
                <w:rFonts w:hint="eastAsia" w:ascii="宋体" w:hAnsi="宋体"/>
                <w:color w:val="auto"/>
                <w:szCs w:val="21"/>
                <w:highlight w:val="none"/>
              </w:rPr>
            </w:pPr>
            <w:r>
              <w:rPr>
                <w:rFonts w:hint="eastAsia" w:ascii="宋体" w:hAnsi="宋体"/>
                <w:color w:val="auto"/>
                <w:szCs w:val="21"/>
                <w:highlight w:val="none"/>
              </w:rPr>
              <w:t>数量</w:t>
            </w:r>
          </w:p>
        </w:tc>
        <w:tc>
          <w:tcPr>
            <w:tcW w:w="795" w:type="dxa"/>
            <w:tcBorders>
              <w:top w:val="single" w:color="000000" w:sz="4" w:space="0"/>
              <w:left w:val="single" w:color="000000" w:sz="4" w:space="0"/>
              <w:bottom w:val="single" w:color="000000" w:sz="4" w:space="0"/>
              <w:right w:val="single" w:color="000000" w:sz="4" w:space="0"/>
            </w:tcBorders>
            <w:vAlign w:val="center"/>
          </w:tcPr>
          <w:p w14:paraId="6BE2AB1D">
            <w:pPr>
              <w:spacing w:line="360" w:lineRule="auto"/>
              <w:jc w:val="center"/>
              <w:outlineLvl w:val="9"/>
              <w:rPr>
                <w:rFonts w:hint="eastAsia" w:ascii="宋体" w:hAnsi="宋体"/>
                <w:color w:val="auto"/>
                <w:szCs w:val="21"/>
                <w:highlight w:val="none"/>
              </w:rPr>
            </w:pPr>
            <w:r>
              <w:rPr>
                <w:rFonts w:hint="eastAsia" w:ascii="宋体" w:hAnsi="宋体"/>
                <w:color w:val="auto"/>
                <w:szCs w:val="21"/>
                <w:highlight w:val="none"/>
              </w:rPr>
              <w:t>国别产地</w:t>
            </w:r>
          </w:p>
        </w:tc>
        <w:tc>
          <w:tcPr>
            <w:tcW w:w="843" w:type="dxa"/>
            <w:tcBorders>
              <w:top w:val="single" w:color="000000" w:sz="4" w:space="0"/>
              <w:left w:val="single" w:color="000000" w:sz="4" w:space="0"/>
              <w:bottom w:val="single" w:color="000000" w:sz="4" w:space="0"/>
              <w:right w:val="single" w:color="000000" w:sz="4" w:space="0"/>
            </w:tcBorders>
            <w:vAlign w:val="center"/>
          </w:tcPr>
          <w:p w14:paraId="71CB5A70">
            <w:pPr>
              <w:spacing w:line="360" w:lineRule="auto"/>
              <w:jc w:val="center"/>
              <w:outlineLvl w:val="9"/>
              <w:rPr>
                <w:rFonts w:hint="eastAsia" w:ascii="宋体" w:hAnsi="宋体"/>
                <w:color w:val="auto"/>
                <w:szCs w:val="21"/>
                <w:highlight w:val="none"/>
              </w:rPr>
            </w:pPr>
            <w:r>
              <w:rPr>
                <w:rFonts w:hint="eastAsia" w:ascii="宋体" w:hAnsi="宋体"/>
                <w:color w:val="auto"/>
                <w:szCs w:val="21"/>
                <w:highlight w:val="none"/>
              </w:rPr>
              <w:t>制造年份</w:t>
            </w:r>
          </w:p>
        </w:tc>
        <w:tc>
          <w:tcPr>
            <w:tcW w:w="955" w:type="dxa"/>
            <w:tcBorders>
              <w:top w:val="single" w:color="000000" w:sz="4" w:space="0"/>
              <w:left w:val="single" w:color="000000" w:sz="4" w:space="0"/>
              <w:bottom w:val="single" w:color="000000" w:sz="4" w:space="0"/>
              <w:right w:val="single" w:color="000000" w:sz="4" w:space="0"/>
            </w:tcBorders>
            <w:vAlign w:val="center"/>
          </w:tcPr>
          <w:p w14:paraId="215971E7">
            <w:pPr>
              <w:spacing w:line="360" w:lineRule="auto"/>
              <w:jc w:val="center"/>
              <w:outlineLvl w:val="9"/>
              <w:rPr>
                <w:rFonts w:hint="eastAsia" w:ascii="宋体" w:hAnsi="宋体"/>
                <w:color w:val="auto"/>
                <w:szCs w:val="21"/>
                <w:highlight w:val="none"/>
              </w:rPr>
            </w:pPr>
            <w:r>
              <w:rPr>
                <w:rFonts w:hint="eastAsia" w:ascii="宋体" w:hAnsi="宋体"/>
                <w:color w:val="auto"/>
                <w:szCs w:val="21"/>
                <w:highlight w:val="none"/>
              </w:rPr>
              <w:t>额定功率（KW）</w:t>
            </w:r>
          </w:p>
        </w:tc>
        <w:tc>
          <w:tcPr>
            <w:tcW w:w="955" w:type="dxa"/>
            <w:tcBorders>
              <w:top w:val="single" w:color="000000" w:sz="4" w:space="0"/>
              <w:left w:val="single" w:color="000000" w:sz="4" w:space="0"/>
              <w:bottom w:val="single" w:color="000000" w:sz="4" w:space="0"/>
              <w:right w:val="single" w:color="000000" w:sz="4" w:space="0"/>
            </w:tcBorders>
            <w:vAlign w:val="center"/>
          </w:tcPr>
          <w:p w14:paraId="7F735E17">
            <w:pPr>
              <w:spacing w:line="360" w:lineRule="auto"/>
              <w:jc w:val="center"/>
              <w:outlineLvl w:val="9"/>
              <w:rPr>
                <w:rFonts w:hint="eastAsia" w:ascii="宋体" w:hAnsi="宋体"/>
                <w:color w:val="auto"/>
                <w:szCs w:val="21"/>
                <w:highlight w:val="none"/>
              </w:rPr>
            </w:pPr>
            <w:r>
              <w:rPr>
                <w:rFonts w:hint="eastAsia" w:ascii="宋体" w:hAnsi="宋体"/>
                <w:color w:val="auto"/>
                <w:szCs w:val="21"/>
                <w:highlight w:val="none"/>
              </w:rPr>
              <w:t>生产能力</w:t>
            </w:r>
          </w:p>
        </w:tc>
        <w:tc>
          <w:tcPr>
            <w:tcW w:w="956" w:type="dxa"/>
            <w:tcBorders>
              <w:top w:val="single" w:color="000000" w:sz="4" w:space="0"/>
              <w:left w:val="single" w:color="000000" w:sz="4" w:space="0"/>
              <w:bottom w:val="single" w:color="000000" w:sz="4" w:space="0"/>
              <w:right w:val="single" w:color="000000" w:sz="4" w:space="0"/>
            </w:tcBorders>
            <w:vAlign w:val="center"/>
          </w:tcPr>
          <w:p w14:paraId="07ED9AE2">
            <w:pPr>
              <w:spacing w:line="360" w:lineRule="auto"/>
              <w:jc w:val="center"/>
              <w:outlineLvl w:val="9"/>
              <w:rPr>
                <w:rFonts w:hint="eastAsia" w:ascii="宋体" w:hAnsi="宋体"/>
                <w:color w:val="auto"/>
                <w:szCs w:val="21"/>
                <w:highlight w:val="none"/>
              </w:rPr>
            </w:pPr>
            <w:r>
              <w:rPr>
                <w:rFonts w:hint="eastAsia" w:ascii="宋体" w:hAnsi="宋体"/>
                <w:color w:val="auto"/>
                <w:szCs w:val="21"/>
                <w:highlight w:val="none"/>
              </w:rPr>
              <w:t>用于施工部位</w:t>
            </w:r>
          </w:p>
        </w:tc>
        <w:tc>
          <w:tcPr>
            <w:tcW w:w="806" w:type="dxa"/>
            <w:tcBorders>
              <w:top w:val="single" w:color="000000" w:sz="4" w:space="0"/>
              <w:left w:val="single" w:color="000000" w:sz="4" w:space="0"/>
              <w:bottom w:val="single" w:color="000000" w:sz="4" w:space="0"/>
              <w:right w:val="single" w:color="000000" w:sz="4" w:space="0"/>
            </w:tcBorders>
            <w:vAlign w:val="center"/>
          </w:tcPr>
          <w:p w14:paraId="415B93C3">
            <w:pPr>
              <w:spacing w:line="360" w:lineRule="auto"/>
              <w:jc w:val="center"/>
              <w:outlineLvl w:val="9"/>
              <w:rPr>
                <w:rFonts w:hint="eastAsia" w:ascii="宋体" w:hAnsi="宋体"/>
                <w:color w:val="auto"/>
                <w:szCs w:val="21"/>
                <w:highlight w:val="none"/>
              </w:rPr>
            </w:pPr>
            <w:r>
              <w:rPr>
                <w:rFonts w:hint="eastAsia" w:ascii="宋体" w:hAnsi="宋体"/>
                <w:color w:val="auto"/>
                <w:szCs w:val="21"/>
                <w:highlight w:val="none"/>
              </w:rPr>
              <w:t>备注</w:t>
            </w:r>
          </w:p>
        </w:tc>
      </w:tr>
      <w:tr w14:paraId="0238B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51A87876">
            <w:pPr>
              <w:spacing w:line="360" w:lineRule="auto"/>
              <w:outlineLvl w:val="9"/>
              <w:rPr>
                <w:rFonts w:hint="eastAsia" w:ascii="宋体" w:hAnsi="宋体"/>
                <w:color w:val="auto"/>
                <w:szCs w:val="21"/>
                <w:highlight w:val="none"/>
              </w:rPr>
            </w:pPr>
          </w:p>
        </w:tc>
        <w:tc>
          <w:tcPr>
            <w:tcW w:w="1432" w:type="dxa"/>
            <w:tcBorders>
              <w:top w:val="single" w:color="000000" w:sz="4" w:space="0"/>
              <w:left w:val="single" w:color="000000" w:sz="4" w:space="0"/>
              <w:bottom w:val="single" w:color="000000" w:sz="4" w:space="0"/>
              <w:right w:val="single" w:color="000000" w:sz="4" w:space="0"/>
            </w:tcBorders>
          </w:tcPr>
          <w:p w14:paraId="4722195D">
            <w:pPr>
              <w:spacing w:line="360" w:lineRule="auto"/>
              <w:outlineLvl w:val="9"/>
              <w:rPr>
                <w:rFonts w:hint="eastAsia" w:ascii="宋体" w:hAnsi="宋体"/>
                <w:color w:val="auto"/>
                <w:szCs w:val="21"/>
                <w:highlight w:val="none"/>
              </w:rPr>
            </w:pPr>
          </w:p>
        </w:tc>
        <w:tc>
          <w:tcPr>
            <w:tcW w:w="838" w:type="dxa"/>
            <w:tcBorders>
              <w:top w:val="single" w:color="000000" w:sz="4" w:space="0"/>
              <w:left w:val="single" w:color="000000" w:sz="4" w:space="0"/>
              <w:bottom w:val="single" w:color="000000" w:sz="4" w:space="0"/>
              <w:right w:val="single" w:color="000000" w:sz="4" w:space="0"/>
            </w:tcBorders>
          </w:tcPr>
          <w:p w14:paraId="0233DE1B">
            <w:pPr>
              <w:spacing w:line="360" w:lineRule="auto"/>
              <w:outlineLvl w:val="9"/>
              <w:rPr>
                <w:rFonts w:hint="eastAsia" w:ascii="宋体" w:hAnsi="宋体"/>
                <w:color w:val="auto"/>
                <w:szCs w:val="21"/>
                <w:highlight w:val="none"/>
              </w:rPr>
            </w:pPr>
          </w:p>
        </w:tc>
        <w:tc>
          <w:tcPr>
            <w:tcW w:w="1229" w:type="dxa"/>
            <w:tcBorders>
              <w:top w:val="single" w:color="000000" w:sz="4" w:space="0"/>
              <w:left w:val="single" w:color="000000" w:sz="4" w:space="0"/>
              <w:bottom w:val="single" w:color="000000" w:sz="4" w:space="0"/>
              <w:right w:val="single" w:color="000000" w:sz="4" w:space="0"/>
            </w:tcBorders>
          </w:tcPr>
          <w:p w14:paraId="1ADC52B4">
            <w:pPr>
              <w:spacing w:line="360" w:lineRule="auto"/>
              <w:outlineLvl w:val="9"/>
              <w:rPr>
                <w:rFonts w:hint="eastAsia" w:ascii="宋体" w:hAnsi="宋体"/>
                <w:color w:val="auto"/>
                <w:szCs w:val="21"/>
                <w:highlight w:val="none"/>
              </w:rPr>
            </w:pPr>
          </w:p>
        </w:tc>
        <w:tc>
          <w:tcPr>
            <w:tcW w:w="795" w:type="dxa"/>
            <w:tcBorders>
              <w:top w:val="single" w:color="000000" w:sz="4" w:space="0"/>
              <w:left w:val="single" w:color="000000" w:sz="4" w:space="0"/>
              <w:bottom w:val="single" w:color="000000" w:sz="4" w:space="0"/>
              <w:right w:val="single" w:color="000000" w:sz="4" w:space="0"/>
            </w:tcBorders>
          </w:tcPr>
          <w:p w14:paraId="115D9345">
            <w:pPr>
              <w:spacing w:line="360" w:lineRule="auto"/>
              <w:outlineLvl w:val="9"/>
              <w:rPr>
                <w:rFonts w:hint="eastAsia" w:ascii="宋体" w:hAnsi="宋体"/>
                <w:color w:val="auto"/>
                <w:szCs w:val="21"/>
                <w:highlight w:val="none"/>
              </w:rPr>
            </w:pPr>
          </w:p>
        </w:tc>
        <w:tc>
          <w:tcPr>
            <w:tcW w:w="843" w:type="dxa"/>
            <w:tcBorders>
              <w:top w:val="single" w:color="000000" w:sz="4" w:space="0"/>
              <w:left w:val="single" w:color="000000" w:sz="4" w:space="0"/>
              <w:bottom w:val="single" w:color="000000" w:sz="4" w:space="0"/>
              <w:right w:val="single" w:color="000000" w:sz="4" w:space="0"/>
            </w:tcBorders>
          </w:tcPr>
          <w:p w14:paraId="4DE77A4F">
            <w:pPr>
              <w:spacing w:line="360" w:lineRule="auto"/>
              <w:outlineLvl w:val="9"/>
              <w:rPr>
                <w:rFonts w:hint="eastAsia" w:ascii="宋体" w:hAnsi="宋体"/>
                <w:color w:val="auto"/>
                <w:szCs w:val="21"/>
                <w:highlight w:val="none"/>
              </w:rPr>
            </w:pPr>
          </w:p>
        </w:tc>
        <w:tc>
          <w:tcPr>
            <w:tcW w:w="955" w:type="dxa"/>
            <w:tcBorders>
              <w:top w:val="single" w:color="000000" w:sz="4" w:space="0"/>
              <w:left w:val="single" w:color="000000" w:sz="4" w:space="0"/>
              <w:bottom w:val="single" w:color="000000" w:sz="4" w:space="0"/>
              <w:right w:val="single" w:color="000000" w:sz="4" w:space="0"/>
            </w:tcBorders>
          </w:tcPr>
          <w:p w14:paraId="444C0409">
            <w:pPr>
              <w:spacing w:line="360" w:lineRule="auto"/>
              <w:outlineLvl w:val="9"/>
              <w:rPr>
                <w:rFonts w:hint="eastAsia" w:ascii="宋体" w:hAnsi="宋体"/>
                <w:color w:val="auto"/>
                <w:szCs w:val="21"/>
                <w:highlight w:val="none"/>
              </w:rPr>
            </w:pPr>
          </w:p>
        </w:tc>
        <w:tc>
          <w:tcPr>
            <w:tcW w:w="955" w:type="dxa"/>
            <w:tcBorders>
              <w:top w:val="single" w:color="000000" w:sz="4" w:space="0"/>
              <w:left w:val="single" w:color="000000" w:sz="4" w:space="0"/>
              <w:bottom w:val="single" w:color="000000" w:sz="4" w:space="0"/>
              <w:right w:val="single" w:color="000000" w:sz="4" w:space="0"/>
            </w:tcBorders>
          </w:tcPr>
          <w:p w14:paraId="3343B738">
            <w:pPr>
              <w:spacing w:line="360" w:lineRule="auto"/>
              <w:jc w:val="left"/>
              <w:outlineLvl w:val="9"/>
              <w:rPr>
                <w:rFonts w:hint="eastAsia" w:ascii="宋体" w:hAnsi="宋体"/>
                <w:color w:val="auto"/>
                <w:szCs w:val="21"/>
                <w:highlight w:val="none"/>
              </w:rPr>
            </w:pPr>
          </w:p>
        </w:tc>
        <w:tc>
          <w:tcPr>
            <w:tcW w:w="956" w:type="dxa"/>
            <w:tcBorders>
              <w:top w:val="single" w:color="000000" w:sz="4" w:space="0"/>
              <w:left w:val="single" w:color="000000" w:sz="4" w:space="0"/>
              <w:bottom w:val="single" w:color="000000" w:sz="4" w:space="0"/>
              <w:right w:val="single" w:color="000000" w:sz="4" w:space="0"/>
            </w:tcBorders>
          </w:tcPr>
          <w:p w14:paraId="47D8B30A">
            <w:pPr>
              <w:spacing w:line="360" w:lineRule="auto"/>
              <w:jc w:val="left"/>
              <w:outlineLvl w:val="9"/>
              <w:rPr>
                <w:rFonts w:hint="eastAsia" w:ascii="宋体" w:hAnsi="宋体"/>
                <w:color w:val="auto"/>
                <w:szCs w:val="21"/>
                <w:highlight w:val="none"/>
              </w:rPr>
            </w:pPr>
          </w:p>
        </w:tc>
        <w:tc>
          <w:tcPr>
            <w:tcW w:w="806" w:type="dxa"/>
            <w:tcBorders>
              <w:top w:val="single" w:color="000000" w:sz="4" w:space="0"/>
              <w:left w:val="single" w:color="000000" w:sz="4" w:space="0"/>
              <w:bottom w:val="single" w:color="000000" w:sz="4" w:space="0"/>
              <w:right w:val="single" w:color="000000" w:sz="4" w:space="0"/>
            </w:tcBorders>
          </w:tcPr>
          <w:p w14:paraId="5F595C59">
            <w:pPr>
              <w:spacing w:line="360" w:lineRule="auto"/>
              <w:jc w:val="left"/>
              <w:outlineLvl w:val="9"/>
              <w:rPr>
                <w:rFonts w:hint="eastAsia" w:ascii="宋体" w:hAnsi="宋体"/>
                <w:color w:val="auto"/>
                <w:szCs w:val="21"/>
                <w:highlight w:val="none"/>
              </w:rPr>
            </w:pPr>
          </w:p>
        </w:tc>
      </w:tr>
      <w:tr w14:paraId="22DEBA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5560E0E4">
            <w:pPr>
              <w:spacing w:line="360" w:lineRule="auto"/>
              <w:outlineLvl w:val="9"/>
              <w:rPr>
                <w:rFonts w:hint="eastAsia" w:ascii="宋体" w:hAnsi="宋体"/>
                <w:color w:val="auto"/>
                <w:szCs w:val="21"/>
                <w:highlight w:val="none"/>
              </w:rPr>
            </w:pPr>
          </w:p>
        </w:tc>
        <w:tc>
          <w:tcPr>
            <w:tcW w:w="1432" w:type="dxa"/>
            <w:tcBorders>
              <w:top w:val="single" w:color="000000" w:sz="4" w:space="0"/>
              <w:left w:val="single" w:color="000000" w:sz="4" w:space="0"/>
              <w:bottom w:val="single" w:color="000000" w:sz="4" w:space="0"/>
              <w:right w:val="single" w:color="000000" w:sz="4" w:space="0"/>
            </w:tcBorders>
          </w:tcPr>
          <w:p w14:paraId="00A06AD1">
            <w:pPr>
              <w:spacing w:line="360" w:lineRule="auto"/>
              <w:outlineLvl w:val="9"/>
              <w:rPr>
                <w:rFonts w:hint="eastAsia" w:ascii="宋体" w:hAnsi="宋体"/>
                <w:color w:val="auto"/>
                <w:szCs w:val="21"/>
                <w:highlight w:val="none"/>
              </w:rPr>
            </w:pPr>
          </w:p>
        </w:tc>
        <w:tc>
          <w:tcPr>
            <w:tcW w:w="838" w:type="dxa"/>
            <w:tcBorders>
              <w:top w:val="single" w:color="000000" w:sz="4" w:space="0"/>
              <w:left w:val="single" w:color="000000" w:sz="4" w:space="0"/>
              <w:bottom w:val="single" w:color="000000" w:sz="4" w:space="0"/>
              <w:right w:val="single" w:color="000000" w:sz="4" w:space="0"/>
            </w:tcBorders>
          </w:tcPr>
          <w:p w14:paraId="252E9231">
            <w:pPr>
              <w:spacing w:line="360" w:lineRule="auto"/>
              <w:outlineLvl w:val="9"/>
              <w:rPr>
                <w:rFonts w:hint="eastAsia" w:ascii="宋体" w:hAnsi="宋体"/>
                <w:color w:val="auto"/>
                <w:szCs w:val="21"/>
                <w:highlight w:val="none"/>
              </w:rPr>
            </w:pPr>
          </w:p>
        </w:tc>
        <w:tc>
          <w:tcPr>
            <w:tcW w:w="1229" w:type="dxa"/>
            <w:tcBorders>
              <w:top w:val="single" w:color="000000" w:sz="4" w:space="0"/>
              <w:left w:val="single" w:color="000000" w:sz="4" w:space="0"/>
              <w:bottom w:val="single" w:color="000000" w:sz="4" w:space="0"/>
              <w:right w:val="single" w:color="000000" w:sz="4" w:space="0"/>
            </w:tcBorders>
          </w:tcPr>
          <w:p w14:paraId="06AB3979">
            <w:pPr>
              <w:spacing w:line="360" w:lineRule="auto"/>
              <w:outlineLvl w:val="9"/>
              <w:rPr>
                <w:rFonts w:hint="eastAsia" w:ascii="宋体" w:hAnsi="宋体"/>
                <w:color w:val="auto"/>
                <w:szCs w:val="21"/>
                <w:highlight w:val="none"/>
              </w:rPr>
            </w:pPr>
          </w:p>
        </w:tc>
        <w:tc>
          <w:tcPr>
            <w:tcW w:w="795" w:type="dxa"/>
            <w:tcBorders>
              <w:top w:val="single" w:color="000000" w:sz="4" w:space="0"/>
              <w:left w:val="single" w:color="000000" w:sz="4" w:space="0"/>
              <w:bottom w:val="single" w:color="000000" w:sz="4" w:space="0"/>
              <w:right w:val="single" w:color="000000" w:sz="4" w:space="0"/>
            </w:tcBorders>
          </w:tcPr>
          <w:p w14:paraId="71C88380">
            <w:pPr>
              <w:spacing w:line="360" w:lineRule="auto"/>
              <w:outlineLvl w:val="9"/>
              <w:rPr>
                <w:rFonts w:hint="eastAsia" w:ascii="宋体" w:hAnsi="宋体"/>
                <w:color w:val="auto"/>
                <w:szCs w:val="21"/>
                <w:highlight w:val="none"/>
              </w:rPr>
            </w:pPr>
          </w:p>
        </w:tc>
        <w:tc>
          <w:tcPr>
            <w:tcW w:w="843" w:type="dxa"/>
            <w:tcBorders>
              <w:top w:val="single" w:color="000000" w:sz="4" w:space="0"/>
              <w:left w:val="single" w:color="000000" w:sz="4" w:space="0"/>
              <w:bottom w:val="single" w:color="000000" w:sz="4" w:space="0"/>
              <w:right w:val="single" w:color="000000" w:sz="4" w:space="0"/>
            </w:tcBorders>
          </w:tcPr>
          <w:p w14:paraId="3469B1F6">
            <w:pPr>
              <w:spacing w:line="360" w:lineRule="auto"/>
              <w:outlineLvl w:val="9"/>
              <w:rPr>
                <w:rFonts w:hint="eastAsia" w:ascii="宋体" w:hAnsi="宋体"/>
                <w:color w:val="auto"/>
                <w:szCs w:val="21"/>
                <w:highlight w:val="none"/>
              </w:rPr>
            </w:pPr>
          </w:p>
        </w:tc>
        <w:tc>
          <w:tcPr>
            <w:tcW w:w="955" w:type="dxa"/>
            <w:tcBorders>
              <w:top w:val="single" w:color="000000" w:sz="4" w:space="0"/>
              <w:left w:val="single" w:color="000000" w:sz="4" w:space="0"/>
              <w:bottom w:val="single" w:color="000000" w:sz="4" w:space="0"/>
              <w:right w:val="single" w:color="000000" w:sz="4" w:space="0"/>
            </w:tcBorders>
          </w:tcPr>
          <w:p w14:paraId="55DCEE2D">
            <w:pPr>
              <w:spacing w:line="360" w:lineRule="auto"/>
              <w:outlineLvl w:val="9"/>
              <w:rPr>
                <w:rFonts w:hint="eastAsia" w:ascii="宋体" w:hAnsi="宋体"/>
                <w:color w:val="auto"/>
                <w:szCs w:val="21"/>
                <w:highlight w:val="none"/>
              </w:rPr>
            </w:pPr>
          </w:p>
        </w:tc>
        <w:tc>
          <w:tcPr>
            <w:tcW w:w="955" w:type="dxa"/>
            <w:tcBorders>
              <w:top w:val="single" w:color="000000" w:sz="4" w:space="0"/>
              <w:left w:val="single" w:color="000000" w:sz="4" w:space="0"/>
              <w:bottom w:val="single" w:color="000000" w:sz="4" w:space="0"/>
              <w:right w:val="single" w:color="000000" w:sz="4" w:space="0"/>
            </w:tcBorders>
          </w:tcPr>
          <w:p w14:paraId="17AA1CF3">
            <w:pPr>
              <w:spacing w:line="360" w:lineRule="auto"/>
              <w:jc w:val="left"/>
              <w:outlineLvl w:val="9"/>
              <w:rPr>
                <w:rFonts w:hint="eastAsia" w:ascii="宋体" w:hAnsi="宋体"/>
                <w:color w:val="auto"/>
                <w:szCs w:val="21"/>
                <w:highlight w:val="none"/>
              </w:rPr>
            </w:pPr>
          </w:p>
        </w:tc>
        <w:tc>
          <w:tcPr>
            <w:tcW w:w="956" w:type="dxa"/>
            <w:tcBorders>
              <w:top w:val="single" w:color="000000" w:sz="4" w:space="0"/>
              <w:left w:val="single" w:color="000000" w:sz="4" w:space="0"/>
              <w:bottom w:val="single" w:color="000000" w:sz="4" w:space="0"/>
              <w:right w:val="single" w:color="000000" w:sz="4" w:space="0"/>
            </w:tcBorders>
          </w:tcPr>
          <w:p w14:paraId="74255FA1">
            <w:pPr>
              <w:spacing w:line="360" w:lineRule="auto"/>
              <w:jc w:val="left"/>
              <w:outlineLvl w:val="9"/>
              <w:rPr>
                <w:rFonts w:hint="eastAsia" w:ascii="宋体" w:hAnsi="宋体"/>
                <w:color w:val="auto"/>
                <w:szCs w:val="21"/>
                <w:highlight w:val="none"/>
              </w:rPr>
            </w:pPr>
          </w:p>
        </w:tc>
        <w:tc>
          <w:tcPr>
            <w:tcW w:w="806" w:type="dxa"/>
            <w:tcBorders>
              <w:top w:val="single" w:color="000000" w:sz="4" w:space="0"/>
              <w:left w:val="single" w:color="000000" w:sz="4" w:space="0"/>
              <w:bottom w:val="single" w:color="000000" w:sz="4" w:space="0"/>
              <w:right w:val="single" w:color="000000" w:sz="4" w:space="0"/>
            </w:tcBorders>
          </w:tcPr>
          <w:p w14:paraId="58D29D05">
            <w:pPr>
              <w:spacing w:line="360" w:lineRule="auto"/>
              <w:jc w:val="left"/>
              <w:outlineLvl w:val="9"/>
              <w:rPr>
                <w:rFonts w:hint="eastAsia" w:ascii="宋体" w:hAnsi="宋体"/>
                <w:color w:val="auto"/>
                <w:szCs w:val="21"/>
                <w:highlight w:val="none"/>
              </w:rPr>
            </w:pPr>
          </w:p>
        </w:tc>
      </w:tr>
      <w:tr w14:paraId="319C5D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55AAAF51">
            <w:pPr>
              <w:spacing w:line="360" w:lineRule="auto"/>
              <w:outlineLvl w:val="9"/>
              <w:rPr>
                <w:rFonts w:hint="eastAsia" w:ascii="宋体" w:hAnsi="宋体"/>
                <w:color w:val="auto"/>
                <w:szCs w:val="21"/>
                <w:highlight w:val="none"/>
              </w:rPr>
            </w:pPr>
          </w:p>
        </w:tc>
        <w:tc>
          <w:tcPr>
            <w:tcW w:w="1432" w:type="dxa"/>
            <w:tcBorders>
              <w:top w:val="single" w:color="000000" w:sz="4" w:space="0"/>
              <w:left w:val="single" w:color="000000" w:sz="4" w:space="0"/>
              <w:bottom w:val="single" w:color="000000" w:sz="4" w:space="0"/>
              <w:right w:val="single" w:color="000000" w:sz="4" w:space="0"/>
            </w:tcBorders>
          </w:tcPr>
          <w:p w14:paraId="1014A7CC">
            <w:pPr>
              <w:spacing w:line="360" w:lineRule="auto"/>
              <w:outlineLvl w:val="9"/>
              <w:rPr>
                <w:rFonts w:hint="eastAsia" w:ascii="宋体" w:hAnsi="宋体"/>
                <w:color w:val="auto"/>
                <w:szCs w:val="21"/>
                <w:highlight w:val="none"/>
              </w:rPr>
            </w:pPr>
          </w:p>
        </w:tc>
        <w:tc>
          <w:tcPr>
            <w:tcW w:w="838" w:type="dxa"/>
            <w:tcBorders>
              <w:top w:val="single" w:color="000000" w:sz="4" w:space="0"/>
              <w:left w:val="single" w:color="000000" w:sz="4" w:space="0"/>
              <w:bottom w:val="single" w:color="000000" w:sz="4" w:space="0"/>
              <w:right w:val="single" w:color="000000" w:sz="4" w:space="0"/>
            </w:tcBorders>
          </w:tcPr>
          <w:p w14:paraId="0375E9C5">
            <w:pPr>
              <w:spacing w:line="360" w:lineRule="auto"/>
              <w:outlineLvl w:val="9"/>
              <w:rPr>
                <w:rFonts w:hint="eastAsia" w:ascii="宋体" w:hAnsi="宋体"/>
                <w:color w:val="auto"/>
                <w:szCs w:val="21"/>
                <w:highlight w:val="none"/>
              </w:rPr>
            </w:pPr>
          </w:p>
        </w:tc>
        <w:tc>
          <w:tcPr>
            <w:tcW w:w="1229" w:type="dxa"/>
            <w:tcBorders>
              <w:top w:val="single" w:color="000000" w:sz="4" w:space="0"/>
              <w:left w:val="single" w:color="000000" w:sz="4" w:space="0"/>
              <w:bottom w:val="single" w:color="000000" w:sz="4" w:space="0"/>
              <w:right w:val="single" w:color="000000" w:sz="4" w:space="0"/>
            </w:tcBorders>
          </w:tcPr>
          <w:p w14:paraId="5D95E7EE">
            <w:pPr>
              <w:spacing w:line="360" w:lineRule="auto"/>
              <w:outlineLvl w:val="9"/>
              <w:rPr>
                <w:rFonts w:hint="eastAsia" w:ascii="宋体" w:hAnsi="宋体"/>
                <w:color w:val="auto"/>
                <w:szCs w:val="21"/>
                <w:highlight w:val="none"/>
              </w:rPr>
            </w:pPr>
          </w:p>
        </w:tc>
        <w:tc>
          <w:tcPr>
            <w:tcW w:w="795" w:type="dxa"/>
            <w:tcBorders>
              <w:top w:val="single" w:color="000000" w:sz="4" w:space="0"/>
              <w:left w:val="single" w:color="000000" w:sz="4" w:space="0"/>
              <w:bottom w:val="single" w:color="000000" w:sz="4" w:space="0"/>
              <w:right w:val="single" w:color="000000" w:sz="4" w:space="0"/>
            </w:tcBorders>
          </w:tcPr>
          <w:p w14:paraId="5AEF8C98">
            <w:pPr>
              <w:spacing w:line="360" w:lineRule="auto"/>
              <w:outlineLvl w:val="9"/>
              <w:rPr>
                <w:rFonts w:hint="eastAsia" w:ascii="宋体" w:hAnsi="宋体"/>
                <w:color w:val="auto"/>
                <w:szCs w:val="21"/>
                <w:highlight w:val="none"/>
              </w:rPr>
            </w:pPr>
          </w:p>
        </w:tc>
        <w:tc>
          <w:tcPr>
            <w:tcW w:w="843" w:type="dxa"/>
            <w:tcBorders>
              <w:top w:val="single" w:color="000000" w:sz="4" w:space="0"/>
              <w:left w:val="single" w:color="000000" w:sz="4" w:space="0"/>
              <w:bottom w:val="single" w:color="000000" w:sz="4" w:space="0"/>
              <w:right w:val="single" w:color="000000" w:sz="4" w:space="0"/>
            </w:tcBorders>
          </w:tcPr>
          <w:p w14:paraId="32F19C14">
            <w:pPr>
              <w:spacing w:line="360" w:lineRule="auto"/>
              <w:outlineLvl w:val="9"/>
              <w:rPr>
                <w:rFonts w:hint="eastAsia" w:ascii="宋体" w:hAnsi="宋体"/>
                <w:color w:val="auto"/>
                <w:szCs w:val="21"/>
                <w:highlight w:val="none"/>
              </w:rPr>
            </w:pPr>
          </w:p>
        </w:tc>
        <w:tc>
          <w:tcPr>
            <w:tcW w:w="955" w:type="dxa"/>
            <w:tcBorders>
              <w:top w:val="single" w:color="000000" w:sz="4" w:space="0"/>
              <w:left w:val="single" w:color="000000" w:sz="4" w:space="0"/>
              <w:bottom w:val="single" w:color="000000" w:sz="4" w:space="0"/>
              <w:right w:val="single" w:color="000000" w:sz="4" w:space="0"/>
            </w:tcBorders>
          </w:tcPr>
          <w:p w14:paraId="79FD8494">
            <w:pPr>
              <w:spacing w:line="360" w:lineRule="auto"/>
              <w:outlineLvl w:val="9"/>
              <w:rPr>
                <w:rFonts w:hint="eastAsia" w:ascii="宋体" w:hAnsi="宋体"/>
                <w:color w:val="auto"/>
                <w:szCs w:val="21"/>
                <w:highlight w:val="none"/>
              </w:rPr>
            </w:pPr>
          </w:p>
        </w:tc>
        <w:tc>
          <w:tcPr>
            <w:tcW w:w="955" w:type="dxa"/>
            <w:tcBorders>
              <w:top w:val="single" w:color="000000" w:sz="4" w:space="0"/>
              <w:left w:val="single" w:color="000000" w:sz="4" w:space="0"/>
              <w:bottom w:val="single" w:color="000000" w:sz="4" w:space="0"/>
              <w:right w:val="single" w:color="000000" w:sz="4" w:space="0"/>
            </w:tcBorders>
          </w:tcPr>
          <w:p w14:paraId="0DD40F64">
            <w:pPr>
              <w:spacing w:line="360" w:lineRule="auto"/>
              <w:jc w:val="left"/>
              <w:outlineLvl w:val="9"/>
              <w:rPr>
                <w:rFonts w:hint="eastAsia" w:ascii="宋体" w:hAnsi="宋体"/>
                <w:color w:val="auto"/>
                <w:szCs w:val="21"/>
                <w:highlight w:val="none"/>
              </w:rPr>
            </w:pPr>
          </w:p>
        </w:tc>
        <w:tc>
          <w:tcPr>
            <w:tcW w:w="956" w:type="dxa"/>
            <w:tcBorders>
              <w:top w:val="single" w:color="000000" w:sz="4" w:space="0"/>
              <w:left w:val="single" w:color="000000" w:sz="4" w:space="0"/>
              <w:bottom w:val="single" w:color="000000" w:sz="4" w:space="0"/>
              <w:right w:val="single" w:color="000000" w:sz="4" w:space="0"/>
            </w:tcBorders>
          </w:tcPr>
          <w:p w14:paraId="1B5F18EA">
            <w:pPr>
              <w:spacing w:line="360" w:lineRule="auto"/>
              <w:jc w:val="left"/>
              <w:outlineLvl w:val="9"/>
              <w:rPr>
                <w:rFonts w:hint="eastAsia" w:ascii="宋体" w:hAnsi="宋体"/>
                <w:color w:val="auto"/>
                <w:szCs w:val="21"/>
                <w:highlight w:val="none"/>
              </w:rPr>
            </w:pPr>
          </w:p>
        </w:tc>
        <w:tc>
          <w:tcPr>
            <w:tcW w:w="806" w:type="dxa"/>
            <w:tcBorders>
              <w:top w:val="single" w:color="000000" w:sz="4" w:space="0"/>
              <w:left w:val="single" w:color="000000" w:sz="4" w:space="0"/>
              <w:bottom w:val="single" w:color="000000" w:sz="4" w:space="0"/>
              <w:right w:val="single" w:color="000000" w:sz="4" w:space="0"/>
            </w:tcBorders>
          </w:tcPr>
          <w:p w14:paraId="2A4B9B95">
            <w:pPr>
              <w:spacing w:line="360" w:lineRule="auto"/>
              <w:jc w:val="left"/>
              <w:outlineLvl w:val="9"/>
              <w:rPr>
                <w:rFonts w:hint="eastAsia" w:ascii="宋体" w:hAnsi="宋体"/>
                <w:color w:val="auto"/>
                <w:szCs w:val="21"/>
                <w:highlight w:val="none"/>
              </w:rPr>
            </w:pPr>
          </w:p>
        </w:tc>
      </w:tr>
      <w:tr w14:paraId="2FBE7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56AA7EDB">
            <w:pPr>
              <w:spacing w:line="360" w:lineRule="auto"/>
              <w:outlineLvl w:val="9"/>
              <w:rPr>
                <w:rFonts w:hint="eastAsia" w:ascii="宋体" w:hAnsi="宋体"/>
                <w:color w:val="auto"/>
                <w:szCs w:val="21"/>
                <w:highlight w:val="none"/>
              </w:rPr>
            </w:pPr>
          </w:p>
        </w:tc>
        <w:tc>
          <w:tcPr>
            <w:tcW w:w="1432" w:type="dxa"/>
            <w:tcBorders>
              <w:top w:val="single" w:color="000000" w:sz="4" w:space="0"/>
              <w:left w:val="single" w:color="000000" w:sz="4" w:space="0"/>
              <w:bottom w:val="single" w:color="000000" w:sz="4" w:space="0"/>
              <w:right w:val="single" w:color="000000" w:sz="4" w:space="0"/>
            </w:tcBorders>
          </w:tcPr>
          <w:p w14:paraId="65D18E2B">
            <w:pPr>
              <w:spacing w:line="360" w:lineRule="auto"/>
              <w:outlineLvl w:val="9"/>
              <w:rPr>
                <w:rFonts w:hint="eastAsia" w:ascii="宋体" w:hAnsi="宋体"/>
                <w:color w:val="auto"/>
                <w:szCs w:val="21"/>
                <w:highlight w:val="none"/>
              </w:rPr>
            </w:pPr>
          </w:p>
        </w:tc>
        <w:tc>
          <w:tcPr>
            <w:tcW w:w="838" w:type="dxa"/>
            <w:tcBorders>
              <w:top w:val="single" w:color="000000" w:sz="4" w:space="0"/>
              <w:left w:val="single" w:color="000000" w:sz="4" w:space="0"/>
              <w:bottom w:val="single" w:color="000000" w:sz="4" w:space="0"/>
              <w:right w:val="single" w:color="000000" w:sz="4" w:space="0"/>
            </w:tcBorders>
          </w:tcPr>
          <w:p w14:paraId="3347F611">
            <w:pPr>
              <w:spacing w:line="360" w:lineRule="auto"/>
              <w:outlineLvl w:val="9"/>
              <w:rPr>
                <w:rFonts w:hint="eastAsia" w:ascii="宋体" w:hAnsi="宋体"/>
                <w:color w:val="auto"/>
                <w:szCs w:val="21"/>
                <w:highlight w:val="none"/>
              </w:rPr>
            </w:pPr>
          </w:p>
        </w:tc>
        <w:tc>
          <w:tcPr>
            <w:tcW w:w="1229" w:type="dxa"/>
            <w:tcBorders>
              <w:top w:val="single" w:color="000000" w:sz="4" w:space="0"/>
              <w:left w:val="single" w:color="000000" w:sz="4" w:space="0"/>
              <w:bottom w:val="single" w:color="000000" w:sz="4" w:space="0"/>
              <w:right w:val="single" w:color="000000" w:sz="4" w:space="0"/>
            </w:tcBorders>
          </w:tcPr>
          <w:p w14:paraId="6AB7B9F9">
            <w:pPr>
              <w:spacing w:line="360" w:lineRule="auto"/>
              <w:outlineLvl w:val="9"/>
              <w:rPr>
                <w:rFonts w:hint="eastAsia" w:ascii="宋体" w:hAnsi="宋体"/>
                <w:color w:val="auto"/>
                <w:szCs w:val="21"/>
                <w:highlight w:val="none"/>
              </w:rPr>
            </w:pPr>
          </w:p>
        </w:tc>
        <w:tc>
          <w:tcPr>
            <w:tcW w:w="795" w:type="dxa"/>
            <w:tcBorders>
              <w:top w:val="single" w:color="000000" w:sz="4" w:space="0"/>
              <w:left w:val="single" w:color="000000" w:sz="4" w:space="0"/>
              <w:bottom w:val="single" w:color="000000" w:sz="4" w:space="0"/>
              <w:right w:val="single" w:color="000000" w:sz="4" w:space="0"/>
            </w:tcBorders>
          </w:tcPr>
          <w:p w14:paraId="25667075">
            <w:pPr>
              <w:spacing w:line="360" w:lineRule="auto"/>
              <w:outlineLvl w:val="9"/>
              <w:rPr>
                <w:rFonts w:hint="eastAsia" w:ascii="宋体" w:hAnsi="宋体"/>
                <w:color w:val="auto"/>
                <w:szCs w:val="21"/>
                <w:highlight w:val="none"/>
              </w:rPr>
            </w:pPr>
          </w:p>
        </w:tc>
        <w:tc>
          <w:tcPr>
            <w:tcW w:w="843" w:type="dxa"/>
            <w:tcBorders>
              <w:top w:val="single" w:color="000000" w:sz="4" w:space="0"/>
              <w:left w:val="single" w:color="000000" w:sz="4" w:space="0"/>
              <w:bottom w:val="single" w:color="000000" w:sz="4" w:space="0"/>
              <w:right w:val="single" w:color="000000" w:sz="4" w:space="0"/>
            </w:tcBorders>
          </w:tcPr>
          <w:p w14:paraId="65F4FAAA">
            <w:pPr>
              <w:spacing w:line="360" w:lineRule="auto"/>
              <w:outlineLvl w:val="9"/>
              <w:rPr>
                <w:rFonts w:hint="eastAsia" w:ascii="宋体" w:hAnsi="宋体"/>
                <w:color w:val="auto"/>
                <w:szCs w:val="21"/>
                <w:highlight w:val="none"/>
              </w:rPr>
            </w:pPr>
          </w:p>
        </w:tc>
        <w:tc>
          <w:tcPr>
            <w:tcW w:w="955" w:type="dxa"/>
            <w:tcBorders>
              <w:top w:val="single" w:color="000000" w:sz="4" w:space="0"/>
              <w:left w:val="single" w:color="000000" w:sz="4" w:space="0"/>
              <w:bottom w:val="single" w:color="000000" w:sz="4" w:space="0"/>
              <w:right w:val="single" w:color="000000" w:sz="4" w:space="0"/>
            </w:tcBorders>
          </w:tcPr>
          <w:p w14:paraId="02413483">
            <w:pPr>
              <w:spacing w:line="360" w:lineRule="auto"/>
              <w:outlineLvl w:val="9"/>
              <w:rPr>
                <w:rFonts w:hint="eastAsia" w:ascii="宋体" w:hAnsi="宋体"/>
                <w:color w:val="auto"/>
                <w:szCs w:val="21"/>
                <w:highlight w:val="none"/>
              </w:rPr>
            </w:pPr>
          </w:p>
        </w:tc>
        <w:tc>
          <w:tcPr>
            <w:tcW w:w="955" w:type="dxa"/>
            <w:tcBorders>
              <w:top w:val="single" w:color="000000" w:sz="4" w:space="0"/>
              <w:left w:val="single" w:color="000000" w:sz="4" w:space="0"/>
              <w:bottom w:val="single" w:color="000000" w:sz="4" w:space="0"/>
              <w:right w:val="single" w:color="000000" w:sz="4" w:space="0"/>
            </w:tcBorders>
          </w:tcPr>
          <w:p w14:paraId="1A883685">
            <w:pPr>
              <w:spacing w:line="360" w:lineRule="auto"/>
              <w:jc w:val="left"/>
              <w:outlineLvl w:val="9"/>
              <w:rPr>
                <w:rFonts w:hint="eastAsia" w:ascii="宋体" w:hAnsi="宋体"/>
                <w:color w:val="auto"/>
                <w:szCs w:val="21"/>
                <w:highlight w:val="none"/>
              </w:rPr>
            </w:pPr>
          </w:p>
        </w:tc>
        <w:tc>
          <w:tcPr>
            <w:tcW w:w="956" w:type="dxa"/>
            <w:tcBorders>
              <w:top w:val="single" w:color="000000" w:sz="4" w:space="0"/>
              <w:left w:val="single" w:color="000000" w:sz="4" w:space="0"/>
              <w:bottom w:val="single" w:color="000000" w:sz="4" w:space="0"/>
              <w:right w:val="single" w:color="000000" w:sz="4" w:space="0"/>
            </w:tcBorders>
          </w:tcPr>
          <w:p w14:paraId="76A0573E">
            <w:pPr>
              <w:spacing w:line="360" w:lineRule="auto"/>
              <w:jc w:val="left"/>
              <w:outlineLvl w:val="9"/>
              <w:rPr>
                <w:rFonts w:hint="eastAsia" w:ascii="宋体" w:hAnsi="宋体"/>
                <w:color w:val="auto"/>
                <w:szCs w:val="21"/>
                <w:highlight w:val="none"/>
              </w:rPr>
            </w:pPr>
          </w:p>
        </w:tc>
        <w:tc>
          <w:tcPr>
            <w:tcW w:w="806" w:type="dxa"/>
            <w:tcBorders>
              <w:top w:val="single" w:color="000000" w:sz="4" w:space="0"/>
              <w:left w:val="single" w:color="000000" w:sz="4" w:space="0"/>
              <w:bottom w:val="single" w:color="000000" w:sz="4" w:space="0"/>
              <w:right w:val="single" w:color="000000" w:sz="4" w:space="0"/>
            </w:tcBorders>
          </w:tcPr>
          <w:p w14:paraId="003FEEF2">
            <w:pPr>
              <w:spacing w:line="360" w:lineRule="auto"/>
              <w:jc w:val="left"/>
              <w:outlineLvl w:val="9"/>
              <w:rPr>
                <w:rFonts w:hint="eastAsia" w:ascii="宋体" w:hAnsi="宋体"/>
                <w:color w:val="auto"/>
                <w:szCs w:val="21"/>
                <w:highlight w:val="none"/>
              </w:rPr>
            </w:pPr>
          </w:p>
        </w:tc>
      </w:tr>
    </w:tbl>
    <w:p w14:paraId="4DC5DE79">
      <w:pPr>
        <w:pStyle w:val="424"/>
        <w:numPr>
          <w:ilvl w:val="0"/>
          <w:numId w:val="0"/>
        </w:numPr>
        <w:shd w:val="clear"/>
        <w:spacing w:line="360" w:lineRule="auto"/>
        <w:ind w:leftChars="0"/>
        <w:outlineLvl w:val="9"/>
        <w:rPr>
          <w:rFonts w:hint="eastAsia" w:ascii="宋体" w:hAnsi="宋体" w:cs="宋体"/>
          <w:b/>
          <w:color w:val="auto"/>
          <w:sz w:val="24"/>
          <w:highlight w:val="none"/>
          <w:lang w:val="en-US" w:eastAsia="zh-CN"/>
        </w:rPr>
      </w:pPr>
    </w:p>
    <w:p w14:paraId="52699E75">
      <w:pPr>
        <w:pStyle w:val="424"/>
        <w:numPr>
          <w:ilvl w:val="0"/>
          <w:numId w:val="0"/>
        </w:numPr>
        <w:shd w:val="clear"/>
        <w:spacing w:line="360" w:lineRule="auto"/>
        <w:ind w:leftChars="0"/>
        <w:outlineLvl w:val="9"/>
        <w:rPr>
          <w:rFonts w:hint="eastAsia" w:ascii="宋体" w:hAnsi="宋体" w:cs="宋体"/>
          <w:b/>
          <w:color w:val="auto"/>
          <w:sz w:val="24"/>
          <w:highlight w:val="none"/>
          <w:lang w:val="en-US" w:eastAsia="zh-CN"/>
        </w:rPr>
      </w:pPr>
    </w:p>
    <w:p w14:paraId="39F10B0A">
      <w:pPr>
        <w:pStyle w:val="424"/>
        <w:numPr>
          <w:ilvl w:val="0"/>
          <w:numId w:val="0"/>
        </w:numPr>
        <w:shd w:val="clear"/>
        <w:spacing w:line="360" w:lineRule="auto"/>
        <w:ind w:leftChars="0"/>
        <w:outlineLvl w:val="9"/>
        <w:rPr>
          <w:rFonts w:hint="eastAsia" w:ascii="宋体" w:hAnsi="宋体" w:cs="宋体"/>
          <w:b/>
          <w:color w:val="auto"/>
          <w:sz w:val="24"/>
          <w:highlight w:val="none"/>
          <w:lang w:val="en-US" w:eastAsia="zh-CN"/>
        </w:rPr>
      </w:pPr>
    </w:p>
    <w:p w14:paraId="52D7FF13">
      <w:pPr>
        <w:pStyle w:val="424"/>
        <w:numPr>
          <w:ilvl w:val="0"/>
          <w:numId w:val="0"/>
        </w:numPr>
        <w:shd w:val="clear"/>
        <w:spacing w:line="360" w:lineRule="auto"/>
        <w:ind w:leftChars="0"/>
        <w:outlineLvl w:val="9"/>
        <w:rPr>
          <w:rFonts w:hint="eastAsia" w:ascii="宋体" w:hAnsi="宋体" w:cs="宋体"/>
          <w:b/>
          <w:color w:val="auto"/>
          <w:sz w:val="24"/>
          <w:highlight w:val="none"/>
          <w:lang w:val="en-US" w:eastAsia="zh-CN"/>
        </w:rPr>
      </w:pPr>
    </w:p>
    <w:p w14:paraId="72EC420E">
      <w:pPr>
        <w:pStyle w:val="424"/>
        <w:numPr>
          <w:ilvl w:val="0"/>
          <w:numId w:val="0"/>
        </w:numPr>
        <w:shd w:val="clear"/>
        <w:spacing w:line="360" w:lineRule="auto"/>
        <w:ind w:leftChars="0"/>
        <w:outlineLvl w:val="9"/>
        <w:rPr>
          <w:rFonts w:hint="eastAsia" w:ascii="宋体" w:hAnsi="宋体" w:cs="宋体"/>
          <w:b/>
          <w:color w:val="auto"/>
          <w:sz w:val="24"/>
          <w:highlight w:val="none"/>
          <w:lang w:val="en-US" w:eastAsia="zh-CN"/>
        </w:rPr>
      </w:pPr>
    </w:p>
    <w:p w14:paraId="4ED72517">
      <w:pPr>
        <w:pStyle w:val="424"/>
        <w:numPr>
          <w:ilvl w:val="0"/>
          <w:numId w:val="0"/>
        </w:numPr>
        <w:shd w:val="clear"/>
        <w:spacing w:line="360" w:lineRule="auto"/>
        <w:ind w:leftChars="0"/>
        <w:outlineLvl w:val="9"/>
        <w:rPr>
          <w:rFonts w:hint="eastAsia" w:ascii="宋体" w:hAnsi="宋体" w:cs="宋体"/>
          <w:b/>
          <w:color w:val="auto"/>
          <w:sz w:val="24"/>
          <w:highlight w:val="none"/>
          <w:lang w:val="en-US" w:eastAsia="zh-CN"/>
        </w:rPr>
      </w:pPr>
    </w:p>
    <w:p w14:paraId="78AEC3DE">
      <w:pPr>
        <w:outlineLvl w:val="9"/>
        <w:rPr>
          <w:rFonts w:hint="eastAsia" w:ascii="黑体" w:hAnsi="宋体" w:eastAsia="黑体"/>
          <w:color w:val="auto"/>
          <w:sz w:val="27"/>
          <w:szCs w:val="21"/>
          <w:highlight w:val="none"/>
        </w:rPr>
      </w:pPr>
      <w:r>
        <w:rPr>
          <w:rFonts w:hint="eastAsia" w:ascii="黑体" w:hAnsi="宋体" w:eastAsia="黑体"/>
          <w:color w:val="auto"/>
          <w:sz w:val="27"/>
          <w:szCs w:val="21"/>
          <w:highlight w:val="none"/>
        </w:rPr>
        <w:t>附表二：拟配备本标段的试验和检测仪器设备表</w:t>
      </w:r>
    </w:p>
    <w:p w14:paraId="639D1747">
      <w:pPr>
        <w:jc w:val="left"/>
        <w:outlineLvl w:val="9"/>
        <w:rPr>
          <w:rFonts w:hint="eastAsia" w:ascii="宋体" w:hAnsi="宋体"/>
          <w:color w:val="auto"/>
          <w:szCs w:val="21"/>
          <w:highlight w:val="none"/>
        </w:rPr>
      </w:pPr>
    </w:p>
    <w:tbl>
      <w:tblPr>
        <w:tblStyle w:val="73"/>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4"/>
        <w:gridCol w:w="1051"/>
        <w:gridCol w:w="1216"/>
        <w:gridCol w:w="886"/>
        <w:gridCol w:w="1229"/>
        <w:gridCol w:w="873"/>
        <w:gridCol w:w="1051"/>
        <w:gridCol w:w="1053"/>
        <w:gridCol w:w="1053"/>
      </w:tblGrid>
      <w:tr w14:paraId="0C9F9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vAlign w:val="center"/>
          </w:tcPr>
          <w:p w14:paraId="1C92F3E9">
            <w:pPr>
              <w:spacing w:line="360" w:lineRule="auto"/>
              <w:jc w:val="center"/>
              <w:outlineLvl w:val="9"/>
              <w:rPr>
                <w:rFonts w:hint="eastAsia" w:ascii="宋体" w:hAnsi="宋体"/>
                <w:color w:val="auto"/>
                <w:szCs w:val="21"/>
                <w:highlight w:val="none"/>
              </w:rPr>
            </w:pPr>
            <w:r>
              <w:rPr>
                <w:rFonts w:hint="eastAsia" w:ascii="宋体" w:hAnsi="宋体"/>
                <w:color w:val="auto"/>
                <w:szCs w:val="21"/>
                <w:highlight w:val="none"/>
              </w:rPr>
              <w:t>序号</w:t>
            </w:r>
          </w:p>
        </w:tc>
        <w:tc>
          <w:tcPr>
            <w:tcW w:w="1051" w:type="dxa"/>
            <w:tcBorders>
              <w:top w:val="single" w:color="000000" w:sz="4" w:space="0"/>
              <w:left w:val="single" w:color="000000" w:sz="4" w:space="0"/>
              <w:bottom w:val="single" w:color="000000" w:sz="4" w:space="0"/>
              <w:right w:val="single" w:color="000000" w:sz="4" w:space="0"/>
            </w:tcBorders>
            <w:vAlign w:val="center"/>
          </w:tcPr>
          <w:p w14:paraId="4CA3E173">
            <w:pPr>
              <w:spacing w:line="360" w:lineRule="auto"/>
              <w:jc w:val="center"/>
              <w:outlineLvl w:val="9"/>
              <w:rPr>
                <w:rFonts w:hint="eastAsia" w:ascii="宋体" w:hAnsi="宋体"/>
                <w:color w:val="auto"/>
                <w:szCs w:val="21"/>
                <w:highlight w:val="none"/>
              </w:rPr>
            </w:pPr>
            <w:r>
              <w:rPr>
                <w:rFonts w:hint="eastAsia" w:ascii="宋体" w:hAnsi="宋体"/>
                <w:color w:val="auto"/>
                <w:szCs w:val="21"/>
                <w:highlight w:val="none"/>
              </w:rPr>
              <w:t>仪器设备名称</w:t>
            </w:r>
          </w:p>
        </w:tc>
        <w:tc>
          <w:tcPr>
            <w:tcW w:w="1216" w:type="dxa"/>
            <w:tcBorders>
              <w:top w:val="single" w:color="000000" w:sz="4" w:space="0"/>
              <w:left w:val="single" w:color="000000" w:sz="4" w:space="0"/>
              <w:bottom w:val="single" w:color="000000" w:sz="4" w:space="0"/>
              <w:right w:val="single" w:color="000000" w:sz="4" w:space="0"/>
            </w:tcBorders>
            <w:vAlign w:val="center"/>
          </w:tcPr>
          <w:p w14:paraId="460CCE45">
            <w:pPr>
              <w:spacing w:line="360" w:lineRule="auto"/>
              <w:jc w:val="center"/>
              <w:outlineLvl w:val="9"/>
              <w:rPr>
                <w:rFonts w:hint="eastAsia" w:ascii="宋体" w:hAnsi="宋体"/>
                <w:color w:val="auto"/>
                <w:szCs w:val="21"/>
                <w:highlight w:val="none"/>
              </w:rPr>
            </w:pPr>
            <w:r>
              <w:rPr>
                <w:rFonts w:hint="eastAsia" w:ascii="宋体" w:hAnsi="宋体"/>
                <w:color w:val="auto"/>
                <w:szCs w:val="21"/>
                <w:highlight w:val="none"/>
              </w:rPr>
              <w:t>型号规格</w:t>
            </w:r>
          </w:p>
        </w:tc>
        <w:tc>
          <w:tcPr>
            <w:tcW w:w="886" w:type="dxa"/>
            <w:tcBorders>
              <w:top w:val="single" w:color="000000" w:sz="4" w:space="0"/>
              <w:left w:val="single" w:color="000000" w:sz="4" w:space="0"/>
              <w:bottom w:val="single" w:color="000000" w:sz="4" w:space="0"/>
              <w:right w:val="single" w:color="000000" w:sz="4" w:space="0"/>
            </w:tcBorders>
            <w:vAlign w:val="center"/>
          </w:tcPr>
          <w:p w14:paraId="74521091">
            <w:pPr>
              <w:spacing w:line="360" w:lineRule="auto"/>
              <w:jc w:val="center"/>
              <w:outlineLvl w:val="9"/>
              <w:rPr>
                <w:rFonts w:hint="eastAsia" w:ascii="宋体" w:hAnsi="宋体"/>
                <w:color w:val="auto"/>
                <w:szCs w:val="21"/>
                <w:highlight w:val="none"/>
              </w:rPr>
            </w:pPr>
            <w:r>
              <w:rPr>
                <w:rFonts w:hint="eastAsia" w:ascii="宋体" w:hAnsi="宋体"/>
                <w:color w:val="auto"/>
                <w:szCs w:val="21"/>
                <w:highlight w:val="none"/>
              </w:rPr>
              <w:t>数量</w:t>
            </w:r>
          </w:p>
        </w:tc>
        <w:tc>
          <w:tcPr>
            <w:tcW w:w="1229" w:type="dxa"/>
            <w:tcBorders>
              <w:top w:val="single" w:color="000000" w:sz="4" w:space="0"/>
              <w:left w:val="single" w:color="000000" w:sz="4" w:space="0"/>
              <w:bottom w:val="single" w:color="000000" w:sz="4" w:space="0"/>
              <w:right w:val="single" w:color="000000" w:sz="4" w:space="0"/>
            </w:tcBorders>
            <w:vAlign w:val="center"/>
          </w:tcPr>
          <w:p w14:paraId="0B529346">
            <w:pPr>
              <w:spacing w:line="360" w:lineRule="auto"/>
              <w:jc w:val="center"/>
              <w:outlineLvl w:val="9"/>
              <w:rPr>
                <w:rFonts w:hint="eastAsia" w:ascii="宋体" w:hAnsi="宋体"/>
                <w:color w:val="auto"/>
                <w:szCs w:val="21"/>
                <w:highlight w:val="none"/>
              </w:rPr>
            </w:pPr>
            <w:r>
              <w:rPr>
                <w:rFonts w:hint="eastAsia" w:ascii="宋体" w:hAnsi="宋体"/>
                <w:color w:val="auto"/>
                <w:szCs w:val="21"/>
                <w:highlight w:val="none"/>
              </w:rPr>
              <w:t>国别产地</w:t>
            </w:r>
          </w:p>
        </w:tc>
        <w:tc>
          <w:tcPr>
            <w:tcW w:w="873" w:type="dxa"/>
            <w:tcBorders>
              <w:top w:val="single" w:color="000000" w:sz="4" w:space="0"/>
              <w:left w:val="single" w:color="000000" w:sz="4" w:space="0"/>
              <w:bottom w:val="single" w:color="000000" w:sz="4" w:space="0"/>
              <w:right w:val="single" w:color="000000" w:sz="4" w:space="0"/>
            </w:tcBorders>
            <w:vAlign w:val="center"/>
          </w:tcPr>
          <w:p w14:paraId="79E89CFF">
            <w:pPr>
              <w:spacing w:line="360" w:lineRule="auto"/>
              <w:jc w:val="center"/>
              <w:outlineLvl w:val="9"/>
              <w:rPr>
                <w:rFonts w:hint="eastAsia" w:ascii="宋体" w:hAnsi="宋体"/>
                <w:color w:val="auto"/>
                <w:szCs w:val="21"/>
                <w:highlight w:val="none"/>
              </w:rPr>
            </w:pPr>
            <w:r>
              <w:rPr>
                <w:rFonts w:hint="eastAsia" w:ascii="宋体" w:hAnsi="宋体"/>
                <w:color w:val="auto"/>
                <w:szCs w:val="21"/>
                <w:highlight w:val="none"/>
              </w:rPr>
              <w:t>制造年份</w:t>
            </w:r>
          </w:p>
        </w:tc>
        <w:tc>
          <w:tcPr>
            <w:tcW w:w="1051" w:type="dxa"/>
            <w:tcBorders>
              <w:top w:val="single" w:color="000000" w:sz="4" w:space="0"/>
              <w:left w:val="single" w:color="000000" w:sz="4" w:space="0"/>
              <w:bottom w:val="single" w:color="000000" w:sz="4" w:space="0"/>
              <w:right w:val="single" w:color="000000" w:sz="4" w:space="0"/>
            </w:tcBorders>
            <w:vAlign w:val="center"/>
          </w:tcPr>
          <w:p w14:paraId="6BDBE828">
            <w:pPr>
              <w:spacing w:line="360" w:lineRule="auto"/>
              <w:jc w:val="center"/>
              <w:outlineLvl w:val="9"/>
              <w:rPr>
                <w:rFonts w:hint="eastAsia" w:ascii="宋体" w:hAnsi="宋体"/>
                <w:color w:val="auto"/>
                <w:szCs w:val="21"/>
                <w:highlight w:val="none"/>
              </w:rPr>
            </w:pPr>
            <w:r>
              <w:rPr>
                <w:rFonts w:hint="eastAsia" w:ascii="宋体" w:hAnsi="宋体"/>
                <w:color w:val="auto"/>
                <w:szCs w:val="21"/>
                <w:highlight w:val="none"/>
              </w:rPr>
              <w:t>已使用台数</w:t>
            </w:r>
          </w:p>
        </w:tc>
        <w:tc>
          <w:tcPr>
            <w:tcW w:w="1053" w:type="dxa"/>
            <w:tcBorders>
              <w:top w:val="single" w:color="000000" w:sz="4" w:space="0"/>
              <w:left w:val="single" w:color="000000" w:sz="4" w:space="0"/>
              <w:bottom w:val="single" w:color="000000" w:sz="4" w:space="0"/>
              <w:right w:val="single" w:color="000000" w:sz="4" w:space="0"/>
            </w:tcBorders>
            <w:vAlign w:val="center"/>
          </w:tcPr>
          <w:p w14:paraId="6E663ABE">
            <w:pPr>
              <w:spacing w:line="360" w:lineRule="auto"/>
              <w:jc w:val="center"/>
              <w:outlineLvl w:val="9"/>
              <w:rPr>
                <w:rFonts w:hint="eastAsia" w:ascii="宋体" w:hAnsi="宋体"/>
                <w:color w:val="auto"/>
                <w:szCs w:val="21"/>
                <w:highlight w:val="none"/>
              </w:rPr>
            </w:pPr>
            <w:r>
              <w:rPr>
                <w:rFonts w:hint="eastAsia" w:ascii="宋体" w:hAnsi="宋体"/>
                <w:color w:val="auto"/>
                <w:szCs w:val="21"/>
                <w:highlight w:val="none"/>
              </w:rPr>
              <w:t>用途</w:t>
            </w:r>
          </w:p>
        </w:tc>
        <w:tc>
          <w:tcPr>
            <w:tcW w:w="1053" w:type="dxa"/>
            <w:tcBorders>
              <w:top w:val="single" w:color="000000" w:sz="4" w:space="0"/>
              <w:left w:val="single" w:color="000000" w:sz="4" w:space="0"/>
              <w:bottom w:val="single" w:color="000000" w:sz="4" w:space="0"/>
              <w:right w:val="single" w:color="000000" w:sz="4" w:space="0"/>
            </w:tcBorders>
            <w:vAlign w:val="center"/>
          </w:tcPr>
          <w:p w14:paraId="62E880BC">
            <w:pPr>
              <w:spacing w:line="360" w:lineRule="auto"/>
              <w:jc w:val="center"/>
              <w:outlineLvl w:val="9"/>
              <w:rPr>
                <w:rFonts w:hint="eastAsia" w:ascii="宋体" w:hAnsi="宋体"/>
                <w:color w:val="auto"/>
                <w:szCs w:val="21"/>
                <w:highlight w:val="none"/>
              </w:rPr>
            </w:pPr>
            <w:r>
              <w:rPr>
                <w:rFonts w:hint="eastAsia" w:ascii="宋体" w:hAnsi="宋体"/>
                <w:color w:val="auto"/>
                <w:szCs w:val="21"/>
                <w:highlight w:val="none"/>
              </w:rPr>
              <w:t>备注</w:t>
            </w:r>
          </w:p>
        </w:tc>
      </w:tr>
      <w:tr w14:paraId="5A563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60FAA697">
            <w:pPr>
              <w:spacing w:line="360" w:lineRule="auto"/>
              <w:outlineLvl w:val="9"/>
              <w:rPr>
                <w:rFonts w:hint="eastAsia" w:ascii="宋体" w:hAnsi="宋体"/>
                <w:color w:val="auto"/>
                <w:szCs w:val="21"/>
                <w:highlight w:val="none"/>
              </w:rPr>
            </w:pPr>
          </w:p>
        </w:tc>
        <w:tc>
          <w:tcPr>
            <w:tcW w:w="1051" w:type="dxa"/>
            <w:tcBorders>
              <w:top w:val="single" w:color="000000" w:sz="4" w:space="0"/>
              <w:left w:val="single" w:color="000000" w:sz="4" w:space="0"/>
              <w:bottom w:val="single" w:color="000000" w:sz="4" w:space="0"/>
              <w:right w:val="single" w:color="000000" w:sz="4" w:space="0"/>
            </w:tcBorders>
          </w:tcPr>
          <w:p w14:paraId="0AD5D13D">
            <w:pPr>
              <w:spacing w:line="360" w:lineRule="auto"/>
              <w:outlineLvl w:val="9"/>
              <w:rPr>
                <w:rFonts w:hint="eastAsia" w:ascii="宋体" w:hAnsi="宋体"/>
                <w:color w:val="auto"/>
                <w:szCs w:val="21"/>
                <w:highlight w:val="none"/>
              </w:rPr>
            </w:pPr>
          </w:p>
        </w:tc>
        <w:tc>
          <w:tcPr>
            <w:tcW w:w="1216" w:type="dxa"/>
            <w:tcBorders>
              <w:top w:val="single" w:color="000000" w:sz="4" w:space="0"/>
              <w:left w:val="single" w:color="000000" w:sz="4" w:space="0"/>
              <w:bottom w:val="single" w:color="000000" w:sz="4" w:space="0"/>
              <w:right w:val="single" w:color="000000" w:sz="4" w:space="0"/>
            </w:tcBorders>
          </w:tcPr>
          <w:p w14:paraId="47C8D798">
            <w:pPr>
              <w:spacing w:line="360" w:lineRule="auto"/>
              <w:outlineLvl w:val="9"/>
              <w:rPr>
                <w:rFonts w:hint="eastAsia" w:ascii="宋体" w:hAnsi="宋体"/>
                <w:color w:val="auto"/>
                <w:szCs w:val="21"/>
                <w:highlight w:val="none"/>
              </w:rPr>
            </w:pPr>
          </w:p>
        </w:tc>
        <w:tc>
          <w:tcPr>
            <w:tcW w:w="886" w:type="dxa"/>
            <w:tcBorders>
              <w:top w:val="single" w:color="000000" w:sz="4" w:space="0"/>
              <w:left w:val="single" w:color="000000" w:sz="4" w:space="0"/>
              <w:bottom w:val="single" w:color="000000" w:sz="4" w:space="0"/>
              <w:right w:val="single" w:color="000000" w:sz="4" w:space="0"/>
            </w:tcBorders>
          </w:tcPr>
          <w:p w14:paraId="7F03B22A">
            <w:pPr>
              <w:spacing w:line="360" w:lineRule="auto"/>
              <w:outlineLvl w:val="9"/>
              <w:rPr>
                <w:rFonts w:hint="eastAsia" w:ascii="宋体" w:hAnsi="宋体"/>
                <w:color w:val="auto"/>
                <w:szCs w:val="21"/>
                <w:highlight w:val="none"/>
              </w:rPr>
            </w:pPr>
          </w:p>
        </w:tc>
        <w:tc>
          <w:tcPr>
            <w:tcW w:w="1229" w:type="dxa"/>
            <w:tcBorders>
              <w:top w:val="single" w:color="000000" w:sz="4" w:space="0"/>
              <w:left w:val="single" w:color="000000" w:sz="4" w:space="0"/>
              <w:bottom w:val="single" w:color="000000" w:sz="4" w:space="0"/>
              <w:right w:val="single" w:color="000000" w:sz="4" w:space="0"/>
            </w:tcBorders>
          </w:tcPr>
          <w:p w14:paraId="4BD6EE31">
            <w:pPr>
              <w:spacing w:line="360" w:lineRule="auto"/>
              <w:outlineLvl w:val="9"/>
              <w:rPr>
                <w:rFonts w:hint="eastAsia" w:ascii="宋体" w:hAnsi="宋体"/>
                <w:color w:val="auto"/>
                <w:szCs w:val="21"/>
                <w:highlight w:val="none"/>
              </w:rPr>
            </w:pPr>
          </w:p>
        </w:tc>
        <w:tc>
          <w:tcPr>
            <w:tcW w:w="873" w:type="dxa"/>
            <w:tcBorders>
              <w:top w:val="single" w:color="000000" w:sz="4" w:space="0"/>
              <w:left w:val="single" w:color="000000" w:sz="4" w:space="0"/>
              <w:bottom w:val="single" w:color="000000" w:sz="4" w:space="0"/>
              <w:right w:val="single" w:color="000000" w:sz="4" w:space="0"/>
            </w:tcBorders>
          </w:tcPr>
          <w:p w14:paraId="0F7CAE3D">
            <w:pPr>
              <w:spacing w:line="360" w:lineRule="auto"/>
              <w:outlineLvl w:val="9"/>
              <w:rPr>
                <w:rFonts w:hint="eastAsia" w:ascii="宋体" w:hAnsi="宋体"/>
                <w:color w:val="auto"/>
                <w:szCs w:val="21"/>
                <w:highlight w:val="none"/>
              </w:rPr>
            </w:pPr>
          </w:p>
        </w:tc>
        <w:tc>
          <w:tcPr>
            <w:tcW w:w="1051" w:type="dxa"/>
            <w:tcBorders>
              <w:top w:val="single" w:color="000000" w:sz="4" w:space="0"/>
              <w:left w:val="single" w:color="000000" w:sz="4" w:space="0"/>
              <w:bottom w:val="single" w:color="000000" w:sz="4" w:space="0"/>
              <w:right w:val="single" w:color="000000" w:sz="4" w:space="0"/>
            </w:tcBorders>
          </w:tcPr>
          <w:p w14:paraId="3D3504DF">
            <w:pPr>
              <w:spacing w:line="360" w:lineRule="auto"/>
              <w:jc w:val="left"/>
              <w:outlineLvl w:val="9"/>
              <w:rPr>
                <w:rFonts w:hint="eastAsia" w:ascii="宋体" w:hAnsi="宋体"/>
                <w:color w:val="auto"/>
                <w:szCs w:val="21"/>
                <w:highlight w:val="none"/>
              </w:rPr>
            </w:pPr>
          </w:p>
        </w:tc>
        <w:tc>
          <w:tcPr>
            <w:tcW w:w="1053" w:type="dxa"/>
            <w:tcBorders>
              <w:top w:val="single" w:color="000000" w:sz="4" w:space="0"/>
              <w:left w:val="single" w:color="000000" w:sz="4" w:space="0"/>
              <w:bottom w:val="single" w:color="000000" w:sz="4" w:space="0"/>
              <w:right w:val="single" w:color="000000" w:sz="4" w:space="0"/>
            </w:tcBorders>
          </w:tcPr>
          <w:p w14:paraId="3608A705">
            <w:pPr>
              <w:spacing w:line="360" w:lineRule="auto"/>
              <w:jc w:val="left"/>
              <w:outlineLvl w:val="9"/>
              <w:rPr>
                <w:rFonts w:hint="eastAsia" w:ascii="宋体" w:hAnsi="宋体"/>
                <w:color w:val="auto"/>
                <w:szCs w:val="21"/>
                <w:highlight w:val="none"/>
              </w:rPr>
            </w:pPr>
          </w:p>
        </w:tc>
        <w:tc>
          <w:tcPr>
            <w:tcW w:w="1053" w:type="dxa"/>
            <w:tcBorders>
              <w:top w:val="single" w:color="000000" w:sz="4" w:space="0"/>
              <w:left w:val="single" w:color="000000" w:sz="4" w:space="0"/>
              <w:bottom w:val="single" w:color="000000" w:sz="4" w:space="0"/>
              <w:right w:val="single" w:color="000000" w:sz="4" w:space="0"/>
            </w:tcBorders>
          </w:tcPr>
          <w:p w14:paraId="04FC33A7">
            <w:pPr>
              <w:spacing w:line="360" w:lineRule="auto"/>
              <w:jc w:val="left"/>
              <w:outlineLvl w:val="9"/>
              <w:rPr>
                <w:rFonts w:hint="eastAsia" w:ascii="宋体" w:hAnsi="宋体"/>
                <w:color w:val="auto"/>
                <w:szCs w:val="21"/>
                <w:highlight w:val="none"/>
              </w:rPr>
            </w:pPr>
          </w:p>
        </w:tc>
      </w:tr>
      <w:tr w14:paraId="497D1F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377E979A">
            <w:pPr>
              <w:spacing w:line="360" w:lineRule="auto"/>
              <w:outlineLvl w:val="9"/>
              <w:rPr>
                <w:rFonts w:hint="eastAsia" w:ascii="宋体" w:hAnsi="宋体"/>
                <w:color w:val="auto"/>
                <w:szCs w:val="21"/>
                <w:highlight w:val="none"/>
              </w:rPr>
            </w:pPr>
          </w:p>
        </w:tc>
        <w:tc>
          <w:tcPr>
            <w:tcW w:w="1051" w:type="dxa"/>
            <w:tcBorders>
              <w:top w:val="single" w:color="000000" w:sz="4" w:space="0"/>
              <w:left w:val="single" w:color="000000" w:sz="4" w:space="0"/>
              <w:bottom w:val="single" w:color="000000" w:sz="4" w:space="0"/>
              <w:right w:val="single" w:color="000000" w:sz="4" w:space="0"/>
            </w:tcBorders>
          </w:tcPr>
          <w:p w14:paraId="0E8AB4DB">
            <w:pPr>
              <w:spacing w:line="360" w:lineRule="auto"/>
              <w:outlineLvl w:val="9"/>
              <w:rPr>
                <w:rFonts w:hint="eastAsia" w:ascii="宋体" w:hAnsi="宋体"/>
                <w:color w:val="auto"/>
                <w:szCs w:val="21"/>
                <w:highlight w:val="none"/>
              </w:rPr>
            </w:pPr>
          </w:p>
        </w:tc>
        <w:tc>
          <w:tcPr>
            <w:tcW w:w="1216" w:type="dxa"/>
            <w:tcBorders>
              <w:top w:val="single" w:color="000000" w:sz="4" w:space="0"/>
              <w:left w:val="single" w:color="000000" w:sz="4" w:space="0"/>
              <w:bottom w:val="single" w:color="000000" w:sz="4" w:space="0"/>
              <w:right w:val="single" w:color="000000" w:sz="4" w:space="0"/>
            </w:tcBorders>
          </w:tcPr>
          <w:p w14:paraId="7A48FB17">
            <w:pPr>
              <w:spacing w:line="360" w:lineRule="auto"/>
              <w:outlineLvl w:val="9"/>
              <w:rPr>
                <w:rFonts w:hint="eastAsia" w:ascii="宋体" w:hAnsi="宋体"/>
                <w:color w:val="auto"/>
                <w:szCs w:val="21"/>
                <w:highlight w:val="none"/>
              </w:rPr>
            </w:pPr>
          </w:p>
        </w:tc>
        <w:tc>
          <w:tcPr>
            <w:tcW w:w="886" w:type="dxa"/>
            <w:tcBorders>
              <w:top w:val="single" w:color="000000" w:sz="4" w:space="0"/>
              <w:left w:val="single" w:color="000000" w:sz="4" w:space="0"/>
              <w:bottom w:val="single" w:color="000000" w:sz="4" w:space="0"/>
              <w:right w:val="single" w:color="000000" w:sz="4" w:space="0"/>
            </w:tcBorders>
          </w:tcPr>
          <w:p w14:paraId="5CD590C6">
            <w:pPr>
              <w:spacing w:line="360" w:lineRule="auto"/>
              <w:outlineLvl w:val="9"/>
              <w:rPr>
                <w:rFonts w:hint="eastAsia" w:ascii="宋体" w:hAnsi="宋体"/>
                <w:color w:val="auto"/>
                <w:szCs w:val="21"/>
                <w:highlight w:val="none"/>
              </w:rPr>
            </w:pPr>
          </w:p>
        </w:tc>
        <w:tc>
          <w:tcPr>
            <w:tcW w:w="1229" w:type="dxa"/>
            <w:tcBorders>
              <w:top w:val="single" w:color="000000" w:sz="4" w:space="0"/>
              <w:left w:val="single" w:color="000000" w:sz="4" w:space="0"/>
              <w:bottom w:val="single" w:color="000000" w:sz="4" w:space="0"/>
              <w:right w:val="single" w:color="000000" w:sz="4" w:space="0"/>
            </w:tcBorders>
          </w:tcPr>
          <w:p w14:paraId="081FD9AB">
            <w:pPr>
              <w:spacing w:line="360" w:lineRule="auto"/>
              <w:outlineLvl w:val="9"/>
              <w:rPr>
                <w:rFonts w:hint="eastAsia" w:ascii="宋体" w:hAnsi="宋体"/>
                <w:color w:val="auto"/>
                <w:szCs w:val="21"/>
                <w:highlight w:val="none"/>
              </w:rPr>
            </w:pPr>
          </w:p>
        </w:tc>
        <w:tc>
          <w:tcPr>
            <w:tcW w:w="873" w:type="dxa"/>
            <w:tcBorders>
              <w:top w:val="single" w:color="000000" w:sz="4" w:space="0"/>
              <w:left w:val="single" w:color="000000" w:sz="4" w:space="0"/>
              <w:bottom w:val="single" w:color="000000" w:sz="4" w:space="0"/>
              <w:right w:val="single" w:color="000000" w:sz="4" w:space="0"/>
            </w:tcBorders>
          </w:tcPr>
          <w:p w14:paraId="48EE3183">
            <w:pPr>
              <w:spacing w:line="360" w:lineRule="auto"/>
              <w:outlineLvl w:val="9"/>
              <w:rPr>
                <w:rFonts w:hint="eastAsia" w:ascii="宋体" w:hAnsi="宋体"/>
                <w:color w:val="auto"/>
                <w:szCs w:val="21"/>
                <w:highlight w:val="none"/>
              </w:rPr>
            </w:pPr>
          </w:p>
        </w:tc>
        <w:tc>
          <w:tcPr>
            <w:tcW w:w="1051" w:type="dxa"/>
            <w:tcBorders>
              <w:top w:val="single" w:color="000000" w:sz="4" w:space="0"/>
              <w:left w:val="single" w:color="000000" w:sz="4" w:space="0"/>
              <w:bottom w:val="single" w:color="000000" w:sz="4" w:space="0"/>
              <w:right w:val="single" w:color="000000" w:sz="4" w:space="0"/>
            </w:tcBorders>
          </w:tcPr>
          <w:p w14:paraId="74EE57DC">
            <w:pPr>
              <w:spacing w:line="360" w:lineRule="auto"/>
              <w:jc w:val="left"/>
              <w:outlineLvl w:val="9"/>
              <w:rPr>
                <w:rFonts w:hint="eastAsia" w:ascii="宋体" w:hAnsi="宋体"/>
                <w:color w:val="auto"/>
                <w:szCs w:val="21"/>
                <w:highlight w:val="none"/>
              </w:rPr>
            </w:pPr>
          </w:p>
        </w:tc>
        <w:tc>
          <w:tcPr>
            <w:tcW w:w="1053" w:type="dxa"/>
            <w:tcBorders>
              <w:top w:val="single" w:color="000000" w:sz="4" w:space="0"/>
              <w:left w:val="single" w:color="000000" w:sz="4" w:space="0"/>
              <w:bottom w:val="single" w:color="000000" w:sz="4" w:space="0"/>
              <w:right w:val="single" w:color="000000" w:sz="4" w:space="0"/>
            </w:tcBorders>
          </w:tcPr>
          <w:p w14:paraId="76AD9AFD">
            <w:pPr>
              <w:spacing w:line="360" w:lineRule="auto"/>
              <w:jc w:val="left"/>
              <w:outlineLvl w:val="9"/>
              <w:rPr>
                <w:rFonts w:hint="eastAsia" w:ascii="宋体" w:hAnsi="宋体"/>
                <w:color w:val="auto"/>
                <w:szCs w:val="21"/>
                <w:highlight w:val="none"/>
              </w:rPr>
            </w:pPr>
          </w:p>
        </w:tc>
        <w:tc>
          <w:tcPr>
            <w:tcW w:w="1053" w:type="dxa"/>
            <w:tcBorders>
              <w:top w:val="single" w:color="000000" w:sz="4" w:space="0"/>
              <w:left w:val="single" w:color="000000" w:sz="4" w:space="0"/>
              <w:bottom w:val="single" w:color="000000" w:sz="4" w:space="0"/>
              <w:right w:val="single" w:color="000000" w:sz="4" w:space="0"/>
            </w:tcBorders>
          </w:tcPr>
          <w:p w14:paraId="7D1FD6B7">
            <w:pPr>
              <w:spacing w:line="360" w:lineRule="auto"/>
              <w:jc w:val="left"/>
              <w:outlineLvl w:val="9"/>
              <w:rPr>
                <w:rFonts w:hint="eastAsia" w:ascii="宋体" w:hAnsi="宋体"/>
                <w:color w:val="auto"/>
                <w:szCs w:val="21"/>
                <w:highlight w:val="none"/>
              </w:rPr>
            </w:pPr>
          </w:p>
        </w:tc>
      </w:tr>
      <w:tr w14:paraId="7F0D4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6031E076">
            <w:pPr>
              <w:spacing w:line="360" w:lineRule="auto"/>
              <w:outlineLvl w:val="9"/>
              <w:rPr>
                <w:rFonts w:hint="eastAsia" w:ascii="宋体" w:hAnsi="宋体"/>
                <w:color w:val="auto"/>
                <w:szCs w:val="21"/>
                <w:highlight w:val="none"/>
              </w:rPr>
            </w:pPr>
          </w:p>
        </w:tc>
        <w:tc>
          <w:tcPr>
            <w:tcW w:w="1051" w:type="dxa"/>
            <w:tcBorders>
              <w:top w:val="single" w:color="000000" w:sz="4" w:space="0"/>
              <w:left w:val="single" w:color="000000" w:sz="4" w:space="0"/>
              <w:bottom w:val="single" w:color="000000" w:sz="4" w:space="0"/>
              <w:right w:val="single" w:color="000000" w:sz="4" w:space="0"/>
            </w:tcBorders>
          </w:tcPr>
          <w:p w14:paraId="747CEB53">
            <w:pPr>
              <w:spacing w:line="360" w:lineRule="auto"/>
              <w:outlineLvl w:val="9"/>
              <w:rPr>
                <w:rFonts w:hint="eastAsia" w:ascii="宋体" w:hAnsi="宋体"/>
                <w:color w:val="auto"/>
                <w:szCs w:val="21"/>
                <w:highlight w:val="none"/>
              </w:rPr>
            </w:pPr>
          </w:p>
        </w:tc>
        <w:tc>
          <w:tcPr>
            <w:tcW w:w="1216" w:type="dxa"/>
            <w:tcBorders>
              <w:top w:val="single" w:color="000000" w:sz="4" w:space="0"/>
              <w:left w:val="single" w:color="000000" w:sz="4" w:space="0"/>
              <w:bottom w:val="single" w:color="000000" w:sz="4" w:space="0"/>
              <w:right w:val="single" w:color="000000" w:sz="4" w:space="0"/>
            </w:tcBorders>
          </w:tcPr>
          <w:p w14:paraId="775CD4E5">
            <w:pPr>
              <w:spacing w:line="360" w:lineRule="auto"/>
              <w:outlineLvl w:val="9"/>
              <w:rPr>
                <w:rFonts w:hint="eastAsia" w:ascii="宋体" w:hAnsi="宋体"/>
                <w:color w:val="auto"/>
                <w:szCs w:val="21"/>
                <w:highlight w:val="none"/>
              </w:rPr>
            </w:pPr>
          </w:p>
        </w:tc>
        <w:tc>
          <w:tcPr>
            <w:tcW w:w="886" w:type="dxa"/>
            <w:tcBorders>
              <w:top w:val="single" w:color="000000" w:sz="4" w:space="0"/>
              <w:left w:val="single" w:color="000000" w:sz="4" w:space="0"/>
              <w:bottom w:val="single" w:color="000000" w:sz="4" w:space="0"/>
              <w:right w:val="single" w:color="000000" w:sz="4" w:space="0"/>
            </w:tcBorders>
          </w:tcPr>
          <w:p w14:paraId="3F605E3C">
            <w:pPr>
              <w:spacing w:line="360" w:lineRule="auto"/>
              <w:outlineLvl w:val="9"/>
              <w:rPr>
                <w:rFonts w:hint="eastAsia" w:ascii="宋体" w:hAnsi="宋体"/>
                <w:color w:val="auto"/>
                <w:szCs w:val="21"/>
                <w:highlight w:val="none"/>
              </w:rPr>
            </w:pPr>
          </w:p>
        </w:tc>
        <w:tc>
          <w:tcPr>
            <w:tcW w:w="1229" w:type="dxa"/>
            <w:tcBorders>
              <w:top w:val="single" w:color="000000" w:sz="4" w:space="0"/>
              <w:left w:val="single" w:color="000000" w:sz="4" w:space="0"/>
              <w:bottom w:val="single" w:color="000000" w:sz="4" w:space="0"/>
              <w:right w:val="single" w:color="000000" w:sz="4" w:space="0"/>
            </w:tcBorders>
          </w:tcPr>
          <w:p w14:paraId="6F0C062D">
            <w:pPr>
              <w:spacing w:line="360" w:lineRule="auto"/>
              <w:outlineLvl w:val="9"/>
              <w:rPr>
                <w:rFonts w:hint="eastAsia" w:ascii="宋体" w:hAnsi="宋体"/>
                <w:color w:val="auto"/>
                <w:szCs w:val="21"/>
                <w:highlight w:val="none"/>
              </w:rPr>
            </w:pPr>
          </w:p>
        </w:tc>
        <w:tc>
          <w:tcPr>
            <w:tcW w:w="873" w:type="dxa"/>
            <w:tcBorders>
              <w:top w:val="single" w:color="000000" w:sz="4" w:space="0"/>
              <w:left w:val="single" w:color="000000" w:sz="4" w:space="0"/>
              <w:bottom w:val="single" w:color="000000" w:sz="4" w:space="0"/>
              <w:right w:val="single" w:color="000000" w:sz="4" w:space="0"/>
            </w:tcBorders>
          </w:tcPr>
          <w:p w14:paraId="3B55D925">
            <w:pPr>
              <w:spacing w:line="360" w:lineRule="auto"/>
              <w:outlineLvl w:val="9"/>
              <w:rPr>
                <w:rFonts w:hint="eastAsia" w:ascii="宋体" w:hAnsi="宋体"/>
                <w:color w:val="auto"/>
                <w:szCs w:val="21"/>
                <w:highlight w:val="none"/>
              </w:rPr>
            </w:pPr>
          </w:p>
        </w:tc>
        <w:tc>
          <w:tcPr>
            <w:tcW w:w="1051" w:type="dxa"/>
            <w:tcBorders>
              <w:top w:val="single" w:color="000000" w:sz="4" w:space="0"/>
              <w:left w:val="single" w:color="000000" w:sz="4" w:space="0"/>
              <w:bottom w:val="single" w:color="000000" w:sz="4" w:space="0"/>
              <w:right w:val="single" w:color="000000" w:sz="4" w:space="0"/>
            </w:tcBorders>
          </w:tcPr>
          <w:p w14:paraId="67783063">
            <w:pPr>
              <w:spacing w:line="360" w:lineRule="auto"/>
              <w:jc w:val="left"/>
              <w:outlineLvl w:val="9"/>
              <w:rPr>
                <w:rFonts w:hint="eastAsia" w:ascii="宋体" w:hAnsi="宋体"/>
                <w:color w:val="auto"/>
                <w:szCs w:val="21"/>
                <w:highlight w:val="none"/>
              </w:rPr>
            </w:pPr>
          </w:p>
        </w:tc>
        <w:tc>
          <w:tcPr>
            <w:tcW w:w="1053" w:type="dxa"/>
            <w:tcBorders>
              <w:top w:val="single" w:color="000000" w:sz="4" w:space="0"/>
              <w:left w:val="single" w:color="000000" w:sz="4" w:space="0"/>
              <w:bottom w:val="single" w:color="000000" w:sz="4" w:space="0"/>
              <w:right w:val="single" w:color="000000" w:sz="4" w:space="0"/>
            </w:tcBorders>
          </w:tcPr>
          <w:p w14:paraId="08E53EE7">
            <w:pPr>
              <w:spacing w:line="360" w:lineRule="auto"/>
              <w:jc w:val="left"/>
              <w:outlineLvl w:val="9"/>
              <w:rPr>
                <w:rFonts w:hint="eastAsia" w:ascii="宋体" w:hAnsi="宋体"/>
                <w:color w:val="auto"/>
                <w:szCs w:val="21"/>
                <w:highlight w:val="none"/>
              </w:rPr>
            </w:pPr>
          </w:p>
        </w:tc>
        <w:tc>
          <w:tcPr>
            <w:tcW w:w="1053" w:type="dxa"/>
            <w:tcBorders>
              <w:top w:val="single" w:color="000000" w:sz="4" w:space="0"/>
              <w:left w:val="single" w:color="000000" w:sz="4" w:space="0"/>
              <w:bottom w:val="single" w:color="000000" w:sz="4" w:space="0"/>
              <w:right w:val="single" w:color="000000" w:sz="4" w:space="0"/>
            </w:tcBorders>
          </w:tcPr>
          <w:p w14:paraId="5DAADDD6">
            <w:pPr>
              <w:spacing w:line="360" w:lineRule="auto"/>
              <w:jc w:val="left"/>
              <w:outlineLvl w:val="9"/>
              <w:rPr>
                <w:rFonts w:hint="eastAsia" w:ascii="宋体" w:hAnsi="宋体"/>
                <w:color w:val="auto"/>
                <w:szCs w:val="21"/>
                <w:highlight w:val="none"/>
              </w:rPr>
            </w:pPr>
          </w:p>
        </w:tc>
      </w:tr>
    </w:tbl>
    <w:p w14:paraId="62F5F3C3">
      <w:pPr>
        <w:pStyle w:val="424"/>
        <w:numPr>
          <w:ilvl w:val="0"/>
          <w:numId w:val="0"/>
        </w:numPr>
        <w:shd w:val="clear"/>
        <w:spacing w:line="360" w:lineRule="auto"/>
        <w:ind w:leftChars="0"/>
        <w:outlineLvl w:val="9"/>
        <w:rPr>
          <w:rFonts w:hint="eastAsia" w:ascii="宋体" w:hAnsi="宋体" w:cs="宋体"/>
          <w:b/>
          <w:color w:val="auto"/>
          <w:sz w:val="24"/>
          <w:highlight w:val="none"/>
          <w:lang w:val="en-US" w:eastAsia="zh-CN"/>
        </w:rPr>
      </w:pPr>
    </w:p>
    <w:p w14:paraId="2C855B82">
      <w:pPr>
        <w:outlineLvl w:val="9"/>
        <w:rPr>
          <w:rFonts w:hint="eastAsia" w:ascii="黑体" w:hAnsi="宋体" w:eastAsia="黑体"/>
          <w:color w:val="auto"/>
          <w:sz w:val="27"/>
          <w:szCs w:val="21"/>
          <w:highlight w:val="none"/>
        </w:rPr>
      </w:pPr>
      <w:r>
        <w:rPr>
          <w:rFonts w:hint="eastAsia" w:ascii="黑体" w:hAnsi="宋体" w:eastAsia="黑体"/>
          <w:color w:val="auto"/>
          <w:sz w:val="27"/>
          <w:szCs w:val="21"/>
          <w:highlight w:val="none"/>
        </w:rPr>
        <w:t>附表三：劳动力计划表</w:t>
      </w:r>
    </w:p>
    <w:p w14:paraId="13145203">
      <w:pPr>
        <w:jc w:val="left"/>
        <w:outlineLvl w:val="9"/>
        <w:rPr>
          <w:rFonts w:hint="eastAsia" w:ascii="宋体" w:hAnsi="宋体"/>
          <w:color w:val="auto"/>
          <w:szCs w:val="21"/>
          <w:highlight w:val="none"/>
        </w:rPr>
      </w:pPr>
    </w:p>
    <w:p w14:paraId="0D9AF105">
      <w:pPr>
        <w:ind w:firstLine="6720" w:firstLineChars="3200"/>
        <w:jc w:val="left"/>
        <w:outlineLvl w:val="9"/>
        <w:rPr>
          <w:rFonts w:hint="eastAsia" w:ascii="宋体" w:hAnsi="宋体"/>
          <w:color w:val="auto"/>
          <w:szCs w:val="21"/>
          <w:highlight w:val="none"/>
        </w:rPr>
      </w:pPr>
      <w:r>
        <w:rPr>
          <w:rFonts w:hint="eastAsia" w:ascii="宋体" w:hAnsi="宋体"/>
          <w:color w:val="auto"/>
          <w:szCs w:val="21"/>
          <w:highlight w:val="none"/>
        </w:rPr>
        <w:t>单位：人</w:t>
      </w:r>
    </w:p>
    <w:tbl>
      <w:tblPr>
        <w:tblStyle w:val="73"/>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8"/>
        <w:gridCol w:w="1194"/>
        <w:gridCol w:w="1194"/>
        <w:gridCol w:w="1194"/>
        <w:gridCol w:w="1194"/>
        <w:gridCol w:w="1194"/>
        <w:gridCol w:w="1196"/>
        <w:gridCol w:w="1042"/>
      </w:tblGrid>
      <w:tr w14:paraId="4D721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vAlign w:val="center"/>
          </w:tcPr>
          <w:p w14:paraId="0C1CFB93">
            <w:pPr>
              <w:spacing w:line="360" w:lineRule="auto"/>
              <w:jc w:val="center"/>
              <w:outlineLvl w:val="9"/>
              <w:rPr>
                <w:rFonts w:hint="eastAsia" w:ascii="宋体" w:hAnsi="宋体"/>
                <w:color w:val="auto"/>
                <w:szCs w:val="21"/>
                <w:highlight w:val="none"/>
              </w:rPr>
            </w:pPr>
            <w:r>
              <w:rPr>
                <w:rFonts w:hint="eastAsia" w:ascii="宋体" w:hAnsi="宋体"/>
                <w:color w:val="auto"/>
                <w:szCs w:val="21"/>
                <w:highlight w:val="none"/>
              </w:rPr>
              <w:t>工种</w:t>
            </w:r>
          </w:p>
        </w:tc>
        <w:tc>
          <w:tcPr>
            <w:tcW w:w="8208" w:type="dxa"/>
            <w:gridSpan w:val="7"/>
            <w:tcBorders>
              <w:top w:val="single" w:color="000000" w:sz="4" w:space="0"/>
              <w:left w:val="single" w:color="000000" w:sz="4" w:space="0"/>
              <w:bottom w:val="single" w:color="000000" w:sz="4" w:space="0"/>
              <w:right w:val="single" w:color="000000" w:sz="4" w:space="0"/>
            </w:tcBorders>
            <w:vAlign w:val="center"/>
          </w:tcPr>
          <w:p w14:paraId="4EEBF711">
            <w:pPr>
              <w:spacing w:line="360" w:lineRule="auto"/>
              <w:jc w:val="center"/>
              <w:outlineLvl w:val="9"/>
              <w:rPr>
                <w:rFonts w:hint="eastAsia" w:ascii="宋体" w:hAnsi="宋体"/>
                <w:color w:val="auto"/>
                <w:szCs w:val="21"/>
                <w:highlight w:val="none"/>
              </w:rPr>
            </w:pPr>
            <w:r>
              <w:rPr>
                <w:rFonts w:hint="eastAsia" w:ascii="宋体" w:hAnsi="宋体"/>
                <w:color w:val="auto"/>
                <w:szCs w:val="21"/>
                <w:highlight w:val="none"/>
              </w:rPr>
              <w:t>按工程施工阶段投入劳动力情况</w:t>
            </w:r>
          </w:p>
        </w:tc>
      </w:tr>
      <w:tr w14:paraId="524BF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2D02184B">
            <w:pPr>
              <w:spacing w:line="360" w:lineRule="auto"/>
              <w:outlineLvl w:val="9"/>
              <w:rPr>
                <w:rFonts w:hint="eastAsia" w:ascii="宋体" w:hAnsi="宋体"/>
                <w:color w:val="auto"/>
                <w:szCs w:val="21"/>
                <w:highlight w:val="none"/>
              </w:rPr>
            </w:pPr>
          </w:p>
        </w:tc>
        <w:tc>
          <w:tcPr>
            <w:tcW w:w="1194" w:type="dxa"/>
            <w:tcBorders>
              <w:top w:val="single" w:color="000000" w:sz="4" w:space="0"/>
              <w:left w:val="single" w:color="000000" w:sz="4" w:space="0"/>
              <w:bottom w:val="single" w:color="000000" w:sz="4" w:space="0"/>
              <w:right w:val="single" w:color="000000" w:sz="4" w:space="0"/>
            </w:tcBorders>
          </w:tcPr>
          <w:p w14:paraId="446AB8AE">
            <w:pPr>
              <w:spacing w:line="360" w:lineRule="auto"/>
              <w:outlineLvl w:val="9"/>
              <w:rPr>
                <w:rFonts w:hint="eastAsia" w:ascii="宋体" w:hAnsi="宋体"/>
                <w:color w:val="auto"/>
                <w:szCs w:val="21"/>
                <w:highlight w:val="none"/>
              </w:rPr>
            </w:pPr>
          </w:p>
        </w:tc>
        <w:tc>
          <w:tcPr>
            <w:tcW w:w="1194" w:type="dxa"/>
            <w:tcBorders>
              <w:top w:val="single" w:color="000000" w:sz="4" w:space="0"/>
              <w:left w:val="single" w:color="000000" w:sz="4" w:space="0"/>
              <w:bottom w:val="single" w:color="000000" w:sz="4" w:space="0"/>
              <w:right w:val="single" w:color="000000" w:sz="4" w:space="0"/>
            </w:tcBorders>
          </w:tcPr>
          <w:p w14:paraId="4D3BD755">
            <w:pPr>
              <w:spacing w:line="360" w:lineRule="auto"/>
              <w:outlineLvl w:val="9"/>
              <w:rPr>
                <w:rFonts w:hint="eastAsia" w:ascii="宋体" w:hAnsi="宋体"/>
                <w:color w:val="auto"/>
                <w:szCs w:val="21"/>
                <w:highlight w:val="none"/>
              </w:rPr>
            </w:pPr>
          </w:p>
        </w:tc>
        <w:tc>
          <w:tcPr>
            <w:tcW w:w="1194" w:type="dxa"/>
            <w:tcBorders>
              <w:top w:val="single" w:color="000000" w:sz="4" w:space="0"/>
              <w:left w:val="single" w:color="000000" w:sz="4" w:space="0"/>
              <w:bottom w:val="single" w:color="000000" w:sz="4" w:space="0"/>
              <w:right w:val="single" w:color="000000" w:sz="4" w:space="0"/>
            </w:tcBorders>
          </w:tcPr>
          <w:p w14:paraId="0BC0B5D8">
            <w:pPr>
              <w:spacing w:line="360" w:lineRule="auto"/>
              <w:outlineLvl w:val="9"/>
              <w:rPr>
                <w:rFonts w:hint="eastAsia" w:ascii="宋体" w:hAnsi="宋体"/>
                <w:color w:val="auto"/>
                <w:szCs w:val="21"/>
                <w:highlight w:val="none"/>
              </w:rPr>
            </w:pPr>
          </w:p>
        </w:tc>
        <w:tc>
          <w:tcPr>
            <w:tcW w:w="1194" w:type="dxa"/>
            <w:tcBorders>
              <w:top w:val="single" w:color="000000" w:sz="4" w:space="0"/>
              <w:left w:val="single" w:color="000000" w:sz="4" w:space="0"/>
              <w:bottom w:val="single" w:color="000000" w:sz="4" w:space="0"/>
              <w:right w:val="single" w:color="000000" w:sz="4" w:space="0"/>
            </w:tcBorders>
          </w:tcPr>
          <w:p w14:paraId="7B0CCA66">
            <w:pPr>
              <w:spacing w:line="360" w:lineRule="auto"/>
              <w:outlineLvl w:val="9"/>
              <w:rPr>
                <w:rFonts w:hint="eastAsia" w:ascii="宋体" w:hAnsi="宋体"/>
                <w:color w:val="auto"/>
                <w:szCs w:val="21"/>
                <w:highlight w:val="none"/>
              </w:rPr>
            </w:pPr>
          </w:p>
        </w:tc>
        <w:tc>
          <w:tcPr>
            <w:tcW w:w="1194" w:type="dxa"/>
            <w:tcBorders>
              <w:top w:val="single" w:color="000000" w:sz="4" w:space="0"/>
              <w:left w:val="single" w:color="000000" w:sz="4" w:space="0"/>
              <w:bottom w:val="single" w:color="000000" w:sz="4" w:space="0"/>
              <w:right w:val="single" w:color="000000" w:sz="4" w:space="0"/>
            </w:tcBorders>
          </w:tcPr>
          <w:p w14:paraId="34BDAE54">
            <w:pPr>
              <w:spacing w:line="360" w:lineRule="auto"/>
              <w:jc w:val="left"/>
              <w:outlineLvl w:val="9"/>
              <w:rPr>
                <w:rFonts w:hint="eastAsia" w:ascii="宋体" w:hAnsi="宋体"/>
                <w:color w:val="auto"/>
                <w:szCs w:val="21"/>
                <w:highlight w:val="none"/>
              </w:rPr>
            </w:pPr>
          </w:p>
        </w:tc>
        <w:tc>
          <w:tcPr>
            <w:tcW w:w="1196" w:type="dxa"/>
            <w:tcBorders>
              <w:top w:val="single" w:color="000000" w:sz="4" w:space="0"/>
              <w:left w:val="single" w:color="000000" w:sz="4" w:space="0"/>
              <w:bottom w:val="single" w:color="000000" w:sz="4" w:space="0"/>
              <w:right w:val="single" w:color="000000" w:sz="4" w:space="0"/>
            </w:tcBorders>
          </w:tcPr>
          <w:p w14:paraId="6BD5AF58">
            <w:pPr>
              <w:spacing w:line="360" w:lineRule="auto"/>
              <w:jc w:val="left"/>
              <w:outlineLvl w:val="9"/>
              <w:rPr>
                <w:rFonts w:hint="eastAsia" w:ascii="宋体" w:hAnsi="宋体"/>
                <w:color w:val="auto"/>
                <w:szCs w:val="21"/>
                <w:highlight w:val="none"/>
              </w:rPr>
            </w:pPr>
          </w:p>
        </w:tc>
        <w:tc>
          <w:tcPr>
            <w:tcW w:w="1042" w:type="dxa"/>
            <w:tcBorders>
              <w:top w:val="single" w:color="000000" w:sz="4" w:space="0"/>
              <w:left w:val="single" w:color="000000" w:sz="4" w:space="0"/>
              <w:bottom w:val="single" w:color="000000" w:sz="4" w:space="0"/>
              <w:right w:val="single" w:color="000000" w:sz="4" w:space="0"/>
            </w:tcBorders>
          </w:tcPr>
          <w:p w14:paraId="7FB4B335">
            <w:pPr>
              <w:spacing w:line="360" w:lineRule="auto"/>
              <w:jc w:val="left"/>
              <w:outlineLvl w:val="9"/>
              <w:rPr>
                <w:rFonts w:hint="eastAsia" w:ascii="宋体" w:hAnsi="宋体"/>
                <w:color w:val="auto"/>
                <w:szCs w:val="21"/>
                <w:highlight w:val="none"/>
              </w:rPr>
            </w:pPr>
          </w:p>
        </w:tc>
      </w:tr>
      <w:tr w14:paraId="6ED1D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481CEB87">
            <w:pPr>
              <w:spacing w:line="360" w:lineRule="auto"/>
              <w:outlineLvl w:val="9"/>
              <w:rPr>
                <w:rFonts w:hint="eastAsia" w:ascii="宋体" w:hAnsi="宋体"/>
                <w:color w:val="auto"/>
                <w:szCs w:val="21"/>
                <w:highlight w:val="none"/>
              </w:rPr>
            </w:pPr>
          </w:p>
        </w:tc>
        <w:tc>
          <w:tcPr>
            <w:tcW w:w="1194" w:type="dxa"/>
            <w:tcBorders>
              <w:top w:val="single" w:color="000000" w:sz="4" w:space="0"/>
              <w:left w:val="single" w:color="000000" w:sz="4" w:space="0"/>
              <w:bottom w:val="single" w:color="000000" w:sz="4" w:space="0"/>
              <w:right w:val="single" w:color="000000" w:sz="4" w:space="0"/>
            </w:tcBorders>
          </w:tcPr>
          <w:p w14:paraId="188463ED">
            <w:pPr>
              <w:spacing w:line="360" w:lineRule="auto"/>
              <w:outlineLvl w:val="9"/>
              <w:rPr>
                <w:rFonts w:hint="eastAsia" w:ascii="宋体" w:hAnsi="宋体"/>
                <w:color w:val="auto"/>
                <w:szCs w:val="21"/>
                <w:highlight w:val="none"/>
              </w:rPr>
            </w:pPr>
          </w:p>
        </w:tc>
        <w:tc>
          <w:tcPr>
            <w:tcW w:w="1194" w:type="dxa"/>
            <w:tcBorders>
              <w:top w:val="single" w:color="000000" w:sz="4" w:space="0"/>
              <w:left w:val="single" w:color="000000" w:sz="4" w:space="0"/>
              <w:bottom w:val="single" w:color="000000" w:sz="4" w:space="0"/>
              <w:right w:val="single" w:color="000000" w:sz="4" w:space="0"/>
            </w:tcBorders>
          </w:tcPr>
          <w:p w14:paraId="29FA3252">
            <w:pPr>
              <w:spacing w:line="360" w:lineRule="auto"/>
              <w:outlineLvl w:val="9"/>
              <w:rPr>
                <w:rFonts w:hint="eastAsia" w:ascii="宋体" w:hAnsi="宋体"/>
                <w:color w:val="auto"/>
                <w:szCs w:val="21"/>
                <w:highlight w:val="none"/>
              </w:rPr>
            </w:pPr>
          </w:p>
        </w:tc>
        <w:tc>
          <w:tcPr>
            <w:tcW w:w="1194" w:type="dxa"/>
            <w:tcBorders>
              <w:top w:val="single" w:color="000000" w:sz="4" w:space="0"/>
              <w:left w:val="single" w:color="000000" w:sz="4" w:space="0"/>
              <w:bottom w:val="single" w:color="000000" w:sz="4" w:space="0"/>
              <w:right w:val="single" w:color="000000" w:sz="4" w:space="0"/>
            </w:tcBorders>
          </w:tcPr>
          <w:p w14:paraId="7E69489B">
            <w:pPr>
              <w:spacing w:line="360" w:lineRule="auto"/>
              <w:outlineLvl w:val="9"/>
              <w:rPr>
                <w:rFonts w:hint="eastAsia" w:ascii="宋体" w:hAnsi="宋体"/>
                <w:color w:val="auto"/>
                <w:szCs w:val="21"/>
                <w:highlight w:val="none"/>
              </w:rPr>
            </w:pPr>
          </w:p>
        </w:tc>
        <w:tc>
          <w:tcPr>
            <w:tcW w:w="1194" w:type="dxa"/>
            <w:tcBorders>
              <w:top w:val="single" w:color="000000" w:sz="4" w:space="0"/>
              <w:left w:val="single" w:color="000000" w:sz="4" w:space="0"/>
              <w:bottom w:val="single" w:color="000000" w:sz="4" w:space="0"/>
              <w:right w:val="single" w:color="000000" w:sz="4" w:space="0"/>
            </w:tcBorders>
          </w:tcPr>
          <w:p w14:paraId="281353D4">
            <w:pPr>
              <w:spacing w:line="360" w:lineRule="auto"/>
              <w:outlineLvl w:val="9"/>
              <w:rPr>
                <w:rFonts w:hint="eastAsia" w:ascii="宋体" w:hAnsi="宋体"/>
                <w:color w:val="auto"/>
                <w:szCs w:val="21"/>
                <w:highlight w:val="none"/>
              </w:rPr>
            </w:pPr>
          </w:p>
        </w:tc>
        <w:tc>
          <w:tcPr>
            <w:tcW w:w="1194" w:type="dxa"/>
            <w:tcBorders>
              <w:top w:val="single" w:color="000000" w:sz="4" w:space="0"/>
              <w:left w:val="single" w:color="000000" w:sz="4" w:space="0"/>
              <w:bottom w:val="single" w:color="000000" w:sz="4" w:space="0"/>
              <w:right w:val="single" w:color="000000" w:sz="4" w:space="0"/>
            </w:tcBorders>
          </w:tcPr>
          <w:p w14:paraId="0883A6B0">
            <w:pPr>
              <w:spacing w:line="360" w:lineRule="auto"/>
              <w:jc w:val="left"/>
              <w:outlineLvl w:val="9"/>
              <w:rPr>
                <w:rFonts w:hint="eastAsia" w:ascii="宋体" w:hAnsi="宋体"/>
                <w:color w:val="auto"/>
                <w:szCs w:val="21"/>
                <w:highlight w:val="none"/>
              </w:rPr>
            </w:pPr>
          </w:p>
        </w:tc>
        <w:tc>
          <w:tcPr>
            <w:tcW w:w="1196" w:type="dxa"/>
            <w:tcBorders>
              <w:top w:val="single" w:color="000000" w:sz="4" w:space="0"/>
              <w:left w:val="single" w:color="000000" w:sz="4" w:space="0"/>
              <w:bottom w:val="single" w:color="000000" w:sz="4" w:space="0"/>
              <w:right w:val="single" w:color="000000" w:sz="4" w:space="0"/>
            </w:tcBorders>
          </w:tcPr>
          <w:p w14:paraId="3D9E6A08">
            <w:pPr>
              <w:spacing w:line="360" w:lineRule="auto"/>
              <w:jc w:val="left"/>
              <w:outlineLvl w:val="9"/>
              <w:rPr>
                <w:rFonts w:hint="eastAsia" w:ascii="宋体" w:hAnsi="宋体"/>
                <w:color w:val="auto"/>
                <w:szCs w:val="21"/>
                <w:highlight w:val="none"/>
              </w:rPr>
            </w:pPr>
          </w:p>
        </w:tc>
        <w:tc>
          <w:tcPr>
            <w:tcW w:w="1042" w:type="dxa"/>
            <w:tcBorders>
              <w:top w:val="single" w:color="000000" w:sz="4" w:space="0"/>
              <w:left w:val="single" w:color="000000" w:sz="4" w:space="0"/>
              <w:bottom w:val="single" w:color="000000" w:sz="4" w:space="0"/>
              <w:right w:val="single" w:color="000000" w:sz="4" w:space="0"/>
            </w:tcBorders>
          </w:tcPr>
          <w:p w14:paraId="01568250">
            <w:pPr>
              <w:spacing w:line="360" w:lineRule="auto"/>
              <w:jc w:val="left"/>
              <w:outlineLvl w:val="9"/>
              <w:rPr>
                <w:rFonts w:hint="eastAsia" w:ascii="宋体" w:hAnsi="宋体"/>
                <w:color w:val="auto"/>
                <w:szCs w:val="21"/>
                <w:highlight w:val="none"/>
              </w:rPr>
            </w:pPr>
          </w:p>
        </w:tc>
      </w:tr>
      <w:tr w14:paraId="22B0F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0405F9FE">
            <w:pPr>
              <w:spacing w:line="360" w:lineRule="auto"/>
              <w:outlineLvl w:val="9"/>
              <w:rPr>
                <w:rFonts w:hint="eastAsia" w:ascii="宋体" w:hAnsi="宋体"/>
                <w:color w:val="auto"/>
                <w:szCs w:val="21"/>
                <w:highlight w:val="none"/>
              </w:rPr>
            </w:pPr>
          </w:p>
        </w:tc>
        <w:tc>
          <w:tcPr>
            <w:tcW w:w="1194" w:type="dxa"/>
            <w:tcBorders>
              <w:top w:val="single" w:color="000000" w:sz="4" w:space="0"/>
              <w:left w:val="single" w:color="000000" w:sz="4" w:space="0"/>
              <w:bottom w:val="single" w:color="000000" w:sz="4" w:space="0"/>
              <w:right w:val="single" w:color="000000" w:sz="4" w:space="0"/>
            </w:tcBorders>
          </w:tcPr>
          <w:p w14:paraId="74544748">
            <w:pPr>
              <w:spacing w:line="360" w:lineRule="auto"/>
              <w:outlineLvl w:val="9"/>
              <w:rPr>
                <w:rFonts w:hint="eastAsia" w:ascii="宋体" w:hAnsi="宋体"/>
                <w:color w:val="auto"/>
                <w:szCs w:val="21"/>
                <w:highlight w:val="none"/>
              </w:rPr>
            </w:pPr>
          </w:p>
        </w:tc>
        <w:tc>
          <w:tcPr>
            <w:tcW w:w="1194" w:type="dxa"/>
            <w:tcBorders>
              <w:top w:val="single" w:color="000000" w:sz="4" w:space="0"/>
              <w:left w:val="single" w:color="000000" w:sz="4" w:space="0"/>
              <w:bottom w:val="single" w:color="000000" w:sz="4" w:space="0"/>
              <w:right w:val="single" w:color="000000" w:sz="4" w:space="0"/>
            </w:tcBorders>
          </w:tcPr>
          <w:p w14:paraId="603F9655">
            <w:pPr>
              <w:spacing w:line="360" w:lineRule="auto"/>
              <w:outlineLvl w:val="9"/>
              <w:rPr>
                <w:rFonts w:hint="eastAsia" w:ascii="宋体" w:hAnsi="宋体"/>
                <w:color w:val="auto"/>
                <w:szCs w:val="21"/>
                <w:highlight w:val="none"/>
              </w:rPr>
            </w:pPr>
          </w:p>
        </w:tc>
        <w:tc>
          <w:tcPr>
            <w:tcW w:w="1194" w:type="dxa"/>
            <w:tcBorders>
              <w:top w:val="single" w:color="000000" w:sz="4" w:space="0"/>
              <w:left w:val="single" w:color="000000" w:sz="4" w:space="0"/>
              <w:bottom w:val="single" w:color="000000" w:sz="4" w:space="0"/>
              <w:right w:val="single" w:color="000000" w:sz="4" w:space="0"/>
            </w:tcBorders>
          </w:tcPr>
          <w:p w14:paraId="02771A6B">
            <w:pPr>
              <w:spacing w:line="360" w:lineRule="auto"/>
              <w:outlineLvl w:val="9"/>
              <w:rPr>
                <w:rFonts w:hint="eastAsia" w:ascii="宋体" w:hAnsi="宋体"/>
                <w:color w:val="auto"/>
                <w:szCs w:val="21"/>
                <w:highlight w:val="none"/>
              </w:rPr>
            </w:pPr>
          </w:p>
        </w:tc>
        <w:tc>
          <w:tcPr>
            <w:tcW w:w="1194" w:type="dxa"/>
            <w:tcBorders>
              <w:top w:val="single" w:color="000000" w:sz="4" w:space="0"/>
              <w:left w:val="single" w:color="000000" w:sz="4" w:space="0"/>
              <w:bottom w:val="single" w:color="000000" w:sz="4" w:space="0"/>
              <w:right w:val="single" w:color="000000" w:sz="4" w:space="0"/>
            </w:tcBorders>
          </w:tcPr>
          <w:p w14:paraId="2E3D1EB0">
            <w:pPr>
              <w:spacing w:line="360" w:lineRule="auto"/>
              <w:outlineLvl w:val="9"/>
              <w:rPr>
                <w:rFonts w:hint="eastAsia" w:ascii="宋体" w:hAnsi="宋体"/>
                <w:color w:val="auto"/>
                <w:szCs w:val="21"/>
                <w:highlight w:val="none"/>
              </w:rPr>
            </w:pPr>
          </w:p>
        </w:tc>
        <w:tc>
          <w:tcPr>
            <w:tcW w:w="1194" w:type="dxa"/>
            <w:tcBorders>
              <w:top w:val="single" w:color="000000" w:sz="4" w:space="0"/>
              <w:left w:val="single" w:color="000000" w:sz="4" w:space="0"/>
              <w:bottom w:val="single" w:color="000000" w:sz="4" w:space="0"/>
              <w:right w:val="single" w:color="000000" w:sz="4" w:space="0"/>
            </w:tcBorders>
          </w:tcPr>
          <w:p w14:paraId="79CF1908">
            <w:pPr>
              <w:spacing w:line="360" w:lineRule="auto"/>
              <w:jc w:val="left"/>
              <w:outlineLvl w:val="9"/>
              <w:rPr>
                <w:rFonts w:hint="eastAsia" w:ascii="宋体" w:hAnsi="宋体"/>
                <w:color w:val="auto"/>
                <w:szCs w:val="21"/>
                <w:highlight w:val="none"/>
              </w:rPr>
            </w:pPr>
          </w:p>
        </w:tc>
        <w:tc>
          <w:tcPr>
            <w:tcW w:w="1196" w:type="dxa"/>
            <w:tcBorders>
              <w:top w:val="single" w:color="000000" w:sz="4" w:space="0"/>
              <w:left w:val="single" w:color="000000" w:sz="4" w:space="0"/>
              <w:bottom w:val="single" w:color="000000" w:sz="4" w:space="0"/>
              <w:right w:val="single" w:color="000000" w:sz="4" w:space="0"/>
            </w:tcBorders>
          </w:tcPr>
          <w:p w14:paraId="1900499C">
            <w:pPr>
              <w:spacing w:line="360" w:lineRule="auto"/>
              <w:jc w:val="left"/>
              <w:outlineLvl w:val="9"/>
              <w:rPr>
                <w:rFonts w:hint="eastAsia" w:ascii="宋体" w:hAnsi="宋体"/>
                <w:color w:val="auto"/>
                <w:szCs w:val="21"/>
                <w:highlight w:val="none"/>
              </w:rPr>
            </w:pPr>
          </w:p>
        </w:tc>
        <w:tc>
          <w:tcPr>
            <w:tcW w:w="1042" w:type="dxa"/>
            <w:tcBorders>
              <w:top w:val="single" w:color="000000" w:sz="4" w:space="0"/>
              <w:left w:val="single" w:color="000000" w:sz="4" w:space="0"/>
              <w:bottom w:val="single" w:color="000000" w:sz="4" w:space="0"/>
              <w:right w:val="single" w:color="000000" w:sz="4" w:space="0"/>
            </w:tcBorders>
          </w:tcPr>
          <w:p w14:paraId="3B14A955">
            <w:pPr>
              <w:spacing w:line="360" w:lineRule="auto"/>
              <w:jc w:val="left"/>
              <w:outlineLvl w:val="9"/>
              <w:rPr>
                <w:rFonts w:hint="eastAsia" w:ascii="宋体" w:hAnsi="宋体"/>
                <w:color w:val="auto"/>
                <w:szCs w:val="21"/>
                <w:highlight w:val="none"/>
              </w:rPr>
            </w:pPr>
          </w:p>
        </w:tc>
      </w:tr>
    </w:tbl>
    <w:p w14:paraId="5B16FA6E">
      <w:pPr>
        <w:pStyle w:val="424"/>
        <w:numPr>
          <w:ilvl w:val="0"/>
          <w:numId w:val="0"/>
        </w:numPr>
        <w:shd w:val="clear"/>
        <w:spacing w:line="360" w:lineRule="auto"/>
        <w:ind w:leftChars="0"/>
        <w:outlineLvl w:val="9"/>
        <w:rPr>
          <w:rFonts w:hint="eastAsia" w:ascii="宋体" w:hAnsi="宋体" w:cs="宋体"/>
          <w:b/>
          <w:color w:val="auto"/>
          <w:sz w:val="24"/>
          <w:highlight w:val="none"/>
          <w:lang w:val="en-US" w:eastAsia="zh-CN"/>
        </w:rPr>
      </w:pPr>
    </w:p>
    <w:p w14:paraId="5CCE29D8">
      <w:pPr>
        <w:pStyle w:val="424"/>
        <w:numPr>
          <w:ilvl w:val="0"/>
          <w:numId w:val="0"/>
        </w:numPr>
        <w:shd w:val="clear"/>
        <w:spacing w:line="360" w:lineRule="auto"/>
        <w:ind w:leftChars="0"/>
        <w:outlineLvl w:val="9"/>
        <w:rPr>
          <w:rFonts w:hint="eastAsia" w:ascii="宋体" w:hAnsi="宋体" w:cs="宋体"/>
          <w:b/>
          <w:color w:val="auto"/>
          <w:sz w:val="24"/>
          <w:highlight w:val="none"/>
          <w:lang w:val="en-US" w:eastAsia="zh-CN"/>
        </w:rPr>
      </w:pPr>
    </w:p>
    <w:p w14:paraId="037EE588">
      <w:pPr>
        <w:outlineLvl w:val="9"/>
        <w:rPr>
          <w:rFonts w:hint="eastAsia" w:ascii="黑体" w:hAnsi="宋体" w:eastAsia="黑体"/>
          <w:color w:val="auto"/>
          <w:sz w:val="27"/>
          <w:szCs w:val="21"/>
          <w:highlight w:val="none"/>
        </w:rPr>
      </w:pPr>
      <w:r>
        <w:rPr>
          <w:rFonts w:hint="eastAsia" w:ascii="黑体" w:hAnsi="宋体" w:eastAsia="黑体"/>
          <w:color w:val="auto"/>
          <w:sz w:val="27"/>
          <w:szCs w:val="21"/>
          <w:highlight w:val="none"/>
        </w:rPr>
        <w:t>附表四：计划开、竣工日期和施工进度网络图</w:t>
      </w:r>
    </w:p>
    <w:p w14:paraId="3638340D">
      <w:pPr>
        <w:spacing w:line="360" w:lineRule="auto"/>
        <w:ind w:firstLine="420" w:firstLineChars="200"/>
        <w:jc w:val="left"/>
        <w:outlineLvl w:val="9"/>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供应商</w:t>
      </w:r>
      <w:r>
        <w:rPr>
          <w:rFonts w:hint="eastAsia" w:ascii="宋体" w:hAnsi="宋体"/>
          <w:color w:val="auto"/>
          <w:szCs w:val="21"/>
          <w:highlight w:val="none"/>
        </w:rPr>
        <w:t>应递交施工进度网络图或施工进度表，说明按</w:t>
      </w:r>
      <w:r>
        <w:rPr>
          <w:rFonts w:hint="eastAsia" w:ascii="宋体" w:hAnsi="宋体"/>
          <w:color w:val="auto"/>
          <w:szCs w:val="21"/>
          <w:highlight w:val="none"/>
          <w:lang w:eastAsia="zh-CN"/>
        </w:rPr>
        <w:t>竞争性磋商文件</w:t>
      </w:r>
      <w:r>
        <w:rPr>
          <w:rFonts w:hint="eastAsia" w:ascii="宋体" w:hAnsi="宋体"/>
          <w:color w:val="auto"/>
          <w:szCs w:val="21"/>
          <w:highlight w:val="none"/>
        </w:rPr>
        <w:t>要求的计划工期进行施工的各个关键日期。</w:t>
      </w:r>
    </w:p>
    <w:p w14:paraId="25319F8E">
      <w:pPr>
        <w:spacing w:line="360" w:lineRule="auto"/>
        <w:ind w:firstLine="420" w:firstLineChars="200"/>
        <w:jc w:val="left"/>
        <w:outlineLvl w:val="9"/>
        <w:rPr>
          <w:rFonts w:hint="eastAsia" w:ascii="宋体" w:hAnsi="宋体"/>
          <w:color w:val="auto"/>
          <w:szCs w:val="21"/>
          <w:highlight w:val="none"/>
        </w:rPr>
      </w:pPr>
      <w:r>
        <w:rPr>
          <w:rFonts w:hint="eastAsia" w:ascii="宋体" w:hAnsi="宋体"/>
          <w:color w:val="auto"/>
          <w:szCs w:val="21"/>
          <w:highlight w:val="none"/>
        </w:rPr>
        <w:t>2.施工进度表可采用网络图（或横道图）表示。</w:t>
      </w:r>
    </w:p>
    <w:p w14:paraId="028B94AA">
      <w:pPr>
        <w:pStyle w:val="424"/>
        <w:numPr>
          <w:ilvl w:val="0"/>
          <w:numId w:val="0"/>
        </w:numPr>
        <w:shd w:val="clear"/>
        <w:spacing w:line="360" w:lineRule="auto"/>
        <w:ind w:leftChars="0"/>
        <w:outlineLvl w:val="9"/>
        <w:rPr>
          <w:rFonts w:hint="eastAsia" w:ascii="宋体" w:hAnsi="宋体" w:cs="宋体"/>
          <w:b/>
          <w:color w:val="auto"/>
          <w:sz w:val="24"/>
          <w:highlight w:val="none"/>
          <w:lang w:val="en-US" w:eastAsia="zh-CN"/>
        </w:rPr>
      </w:pPr>
    </w:p>
    <w:p w14:paraId="2C0D10E8">
      <w:pPr>
        <w:pStyle w:val="424"/>
        <w:numPr>
          <w:ilvl w:val="0"/>
          <w:numId w:val="0"/>
        </w:numPr>
        <w:shd w:val="clear"/>
        <w:spacing w:line="360" w:lineRule="auto"/>
        <w:ind w:leftChars="0"/>
        <w:outlineLvl w:val="9"/>
        <w:rPr>
          <w:rFonts w:hint="eastAsia" w:ascii="宋体" w:hAnsi="宋体" w:cs="宋体"/>
          <w:b/>
          <w:color w:val="auto"/>
          <w:sz w:val="24"/>
          <w:highlight w:val="none"/>
          <w:lang w:val="en-US" w:eastAsia="zh-CN"/>
        </w:rPr>
      </w:pPr>
    </w:p>
    <w:p w14:paraId="7BC2D357">
      <w:pPr>
        <w:outlineLvl w:val="9"/>
        <w:rPr>
          <w:rFonts w:hint="eastAsia" w:ascii="黑体" w:hAnsi="宋体" w:eastAsia="黑体"/>
          <w:color w:val="auto"/>
          <w:sz w:val="25"/>
          <w:szCs w:val="21"/>
          <w:highlight w:val="none"/>
        </w:rPr>
      </w:pPr>
      <w:r>
        <w:rPr>
          <w:rFonts w:hint="eastAsia" w:ascii="黑体" w:hAnsi="宋体" w:eastAsia="黑体"/>
          <w:color w:val="auto"/>
          <w:sz w:val="25"/>
          <w:szCs w:val="21"/>
          <w:highlight w:val="none"/>
        </w:rPr>
        <w:t>附表五：施工总平面图</w:t>
      </w:r>
    </w:p>
    <w:p w14:paraId="7C3298C1">
      <w:pPr>
        <w:spacing w:line="360" w:lineRule="auto"/>
        <w:ind w:firstLine="420" w:firstLineChars="200"/>
        <w:jc w:val="left"/>
        <w:outlineLvl w:val="9"/>
        <w:rPr>
          <w:rFonts w:hint="eastAsia" w:ascii="宋体" w:hAnsi="宋体"/>
          <w:color w:val="auto"/>
          <w:szCs w:val="21"/>
          <w:highlight w:val="none"/>
        </w:rPr>
      </w:pPr>
      <w:r>
        <w:rPr>
          <w:rFonts w:hint="eastAsia" w:ascii="宋体" w:hAnsi="宋体"/>
          <w:color w:val="auto"/>
          <w:szCs w:val="21"/>
          <w:highlight w:val="none"/>
          <w:lang w:eastAsia="zh-CN"/>
        </w:rPr>
        <w:t>供应商</w:t>
      </w:r>
      <w:r>
        <w:rPr>
          <w:rFonts w:hint="eastAsia" w:ascii="宋体" w:hAnsi="宋体"/>
          <w:color w:val="auto"/>
          <w:szCs w:val="21"/>
          <w:highlight w:val="none"/>
        </w:rPr>
        <w:t>应递交一份施工总平面图，绘出现场临时设施布置图表并附文字说明，说明临时设施、加工车间、现场办公、设备及仓储、供电、供水、卫生、生活、道路、消防等设施的情况和布置。</w:t>
      </w:r>
    </w:p>
    <w:p w14:paraId="6DA4075D">
      <w:pPr>
        <w:pStyle w:val="424"/>
        <w:numPr>
          <w:ilvl w:val="0"/>
          <w:numId w:val="0"/>
        </w:numPr>
        <w:shd w:val="clear"/>
        <w:spacing w:line="360" w:lineRule="auto"/>
        <w:ind w:leftChars="0"/>
        <w:outlineLvl w:val="9"/>
        <w:rPr>
          <w:rFonts w:hint="eastAsia" w:ascii="宋体" w:hAnsi="宋体" w:cs="宋体"/>
          <w:b/>
          <w:color w:val="auto"/>
          <w:sz w:val="24"/>
          <w:highlight w:val="none"/>
          <w:lang w:val="en-US" w:eastAsia="zh-CN"/>
        </w:rPr>
      </w:pPr>
    </w:p>
    <w:p w14:paraId="78A57F0B">
      <w:pPr>
        <w:pStyle w:val="424"/>
        <w:numPr>
          <w:ilvl w:val="0"/>
          <w:numId w:val="0"/>
        </w:numPr>
        <w:shd w:val="clear"/>
        <w:spacing w:line="360" w:lineRule="auto"/>
        <w:ind w:leftChars="0"/>
        <w:outlineLvl w:val="9"/>
        <w:rPr>
          <w:rFonts w:hint="eastAsia" w:ascii="宋体" w:hAnsi="宋体" w:cs="宋体"/>
          <w:b/>
          <w:color w:val="auto"/>
          <w:sz w:val="24"/>
          <w:highlight w:val="none"/>
          <w:lang w:val="en-US" w:eastAsia="zh-CN"/>
        </w:rPr>
      </w:pPr>
    </w:p>
    <w:p w14:paraId="299E0774">
      <w:pPr>
        <w:pStyle w:val="424"/>
        <w:numPr>
          <w:ilvl w:val="0"/>
          <w:numId w:val="0"/>
        </w:numPr>
        <w:shd w:val="clear"/>
        <w:spacing w:line="360" w:lineRule="auto"/>
        <w:ind w:leftChars="0"/>
        <w:outlineLvl w:val="9"/>
        <w:rPr>
          <w:rFonts w:hint="eastAsia" w:ascii="宋体" w:hAnsi="宋体" w:cs="宋体"/>
          <w:b/>
          <w:color w:val="auto"/>
          <w:sz w:val="24"/>
          <w:highlight w:val="none"/>
          <w:lang w:val="en-US" w:eastAsia="zh-CN"/>
        </w:rPr>
      </w:pPr>
    </w:p>
    <w:p w14:paraId="5B5CA5E6">
      <w:pPr>
        <w:jc w:val="center"/>
        <w:outlineLvl w:val="9"/>
        <w:rPr>
          <w:rFonts w:hint="eastAsia" w:ascii="黑体" w:hAnsi="宋体" w:eastAsia="黑体"/>
          <w:color w:val="auto"/>
          <w:sz w:val="24"/>
          <w:highlight w:val="none"/>
        </w:rPr>
      </w:pPr>
      <w:r>
        <w:rPr>
          <w:rFonts w:hint="eastAsia" w:ascii="黑体" w:hAnsi="宋体" w:eastAsia="黑体"/>
          <w:color w:val="auto"/>
          <w:sz w:val="24"/>
          <w:highlight w:val="none"/>
        </w:rPr>
        <w:t>项目负责人简历表</w:t>
      </w:r>
    </w:p>
    <w:p w14:paraId="0C554D7D">
      <w:pPr>
        <w:spacing w:line="420" w:lineRule="exact"/>
        <w:ind w:firstLine="420" w:firstLineChars="200"/>
        <w:jc w:val="left"/>
        <w:outlineLvl w:val="9"/>
        <w:rPr>
          <w:rFonts w:hint="eastAsia" w:ascii="宋体" w:hAnsi="宋体"/>
          <w:color w:val="auto"/>
          <w:szCs w:val="21"/>
          <w:highlight w:val="none"/>
        </w:rPr>
      </w:pPr>
      <w:r>
        <w:rPr>
          <w:rFonts w:hint="eastAsia" w:ascii="宋体" w:hAnsi="宋体"/>
          <w:color w:val="auto"/>
          <w:szCs w:val="21"/>
          <w:highlight w:val="none"/>
        </w:rPr>
        <w:t>项目负责人应附建造师执业资格证书、注册证书、安全生产考核合格证书、身份证、职称证、学历证、养老保险扫描件及未担任其他在建建设工程项目项目负责人的承诺书，管理过的项目业绩须附合同协议书和竣工验收备案登记表扫描件。类似项目限于以项目负责人身份参与的项目。</w:t>
      </w:r>
    </w:p>
    <w:tbl>
      <w:tblPr>
        <w:tblStyle w:val="73"/>
        <w:tblW w:w="953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491"/>
        <w:gridCol w:w="1165"/>
        <w:gridCol w:w="1273"/>
        <w:gridCol w:w="1428"/>
        <w:gridCol w:w="1041"/>
        <w:gridCol w:w="1024"/>
        <w:gridCol w:w="1197"/>
        <w:gridCol w:w="1184"/>
      </w:tblGrid>
      <w:tr w14:paraId="70FBC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1225" w:type="dxa"/>
            <w:gridSpan w:val="2"/>
            <w:tcBorders>
              <w:top w:val="single" w:color="auto" w:sz="4" w:space="0"/>
              <w:left w:val="single" w:color="auto" w:sz="4" w:space="0"/>
              <w:bottom w:val="single" w:color="auto" w:sz="4" w:space="0"/>
              <w:right w:val="single" w:color="auto" w:sz="4" w:space="0"/>
            </w:tcBorders>
            <w:vAlign w:val="center"/>
          </w:tcPr>
          <w:p w14:paraId="3F8A5B39">
            <w:pPr>
              <w:jc w:val="center"/>
              <w:outlineLvl w:val="9"/>
              <w:rPr>
                <w:rFonts w:hint="eastAsia" w:ascii="宋体" w:hAnsi="宋体"/>
                <w:color w:val="auto"/>
                <w:szCs w:val="21"/>
                <w:highlight w:val="none"/>
              </w:rPr>
            </w:pPr>
            <w:r>
              <w:rPr>
                <w:rFonts w:hint="eastAsia" w:ascii="宋体" w:hAnsi="宋体"/>
                <w:color w:val="auto"/>
                <w:szCs w:val="21"/>
                <w:highlight w:val="none"/>
              </w:rPr>
              <w:t>姓  名</w:t>
            </w:r>
          </w:p>
        </w:tc>
        <w:tc>
          <w:tcPr>
            <w:tcW w:w="1165" w:type="dxa"/>
            <w:tcBorders>
              <w:top w:val="single" w:color="auto" w:sz="4" w:space="0"/>
              <w:left w:val="single" w:color="auto" w:sz="4" w:space="0"/>
              <w:bottom w:val="single" w:color="auto" w:sz="4" w:space="0"/>
              <w:right w:val="single" w:color="auto" w:sz="4" w:space="0"/>
            </w:tcBorders>
            <w:vAlign w:val="center"/>
          </w:tcPr>
          <w:p w14:paraId="39DA76FE">
            <w:pPr>
              <w:jc w:val="center"/>
              <w:outlineLvl w:val="9"/>
              <w:rPr>
                <w:rFonts w:hint="eastAsia" w:ascii="宋体" w:hAnsi="宋体"/>
                <w:color w:val="auto"/>
                <w:szCs w:val="21"/>
                <w:highlight w:val="none"/>
              </w:rPr>
            </w:pPr>
          </w:p>
        </w:tc>
        <w:tc>
          <w:tcPr>
            <w:tcW w:w="1273" w:type="dxa"/>
            <w:tcBorders>
              <w:top w:val="single" w:color="auto" w:sz="4" w:space="0"/>
              <w:left w:val="single" w:color="auto" w:sz="4" w:space="0"/>
              <w:bottom w:val="single" w:color="auto" w:sz="4" w:space="0"/>
              <w:right w:val="single" w:color="auto" w:sz="4" w:space="0"/>
            </w:tcBorders>
            <w:vAlign w:val="center"/>
          </w:tcPr>
          <w:p w14:paraId="0D13CD96">
            <w:pPr>
              <w:jc w:val="center"/>
              <w:outlineLvl w:val="9"/>
              <w:rPr>
                <w:rFonts w:hint="eastAsia" w:ascii="宋体" w:hAnsi="宋体"/>
                <w:color w:val="auto"/>
                <w:szCs w:val="21"/>
                <w:highlight w:val="none"/>
              </w:rPr>
            </w:pPr>
            <w:r>
              <w:rPr>
                <w:rFonts w:hint="eastAsia" w:ascii="宋体" w:hAnsi="宋体"/>
                <w:color w:val="auto"/>
                <w:szCs w:val="21"/>
                <w:highlight w:val="none"/>
              </w:rPr>
              <w:t>年  龄</w:t>
            </w:r>
          </w:p>
        </w:tc>
        <w:tc>
          <w:tcPr>
            <w:tcW w:w="1428" w:type="dxa"/>
            <w:tcBorders>
              <w:top w:val="single" w:color="auto" w:sz="4" w:space="0"/>
              <w:left w:val="single" w:color="auto" w:sz="4" w:space="0"/>
              <w:bottom w:val="single" w:color="auto" w:sz="4" w:space="0"/>
              <w:right w:val="single" w:color="auto" w:sz="4" w:space="0"/>
            </w:tcBorders>
            <w:vAlign w:val="center"/>
          </w:tcPr>
          <w:p w14:paraId="4BC2A8C4">
            <w:pPr>
              <w:jc w:val="center"/>
              <w:outlineLvl w:val="9"/>
              <w:rPr>
                <w:rFonts w:hint="eastAsia" w:ascii="宋体" w:hAnsi="宋体"/>
                <w:color w:val="auto"/>
                <w:szCs w:val="21"/>
                <w:highlight w:val="none"/>
              </w:rPr>
            </w:pPr>
          </w:p>
        </w:tc>
        <w:tc>
          <w:tcPr>
            <w:tcW w:w="2065" w:type="dxa"/>
            <w:gridSpan w:val="2"/>
            <w:tcBorders>
              <w:top w:val="single" w:color="auto" w:sz="4" w:space="0"/>
              <w:left w:val="single" w:color="auto" w:sz="4" w:space="0"/>
              <w:bottom w:val="single" w:color="auto" w:sz="4" w:space="0"/>
              <w:right w:val="single" w:color="auto" w:sz="4" w:space="0"/>
            </w:tcBorders>
            <w:vAlign w:val="center"/>
          </w:tcPr>
          <w:p w14:paraId="05D146AA">
            <w:pPr>
              <w:jc w:val="center"/>
              <w:outlineLvl w:val="9"/>
              <w:rPr>
                <w:rFonts w:hint="eastAsia" w:ascii="宋体" w:hAnsi="宋体"/>
                <w:color w:val="auto"/>
                <w:szCs w:val="21"/>
                <w:highlight w:val="none"/>
              </w:rPr>
            </w:pPr>
            <w:r>
              <w:rPr>
                <w:rFonts w:hint="eastAsia" w:ascii="宋体" w:hAnsi="宋体"/>
                <w:color w:val="auto"/>
                <w:szCs w:val="21"/>
                <w:highlight w:val="none"/>
              </w:rPr>
              <w:t>学历</w:t>
            </w:r>
          </w:p>
        </w:tc>
        <w:tc>
          <w:tcPr>
            <w:tcW w:w="2381" w:type="dxa"/>
            <w:gridSpan w:val="2"/>
            <w:tcBorders>
              <w:top w:val="single" w:color="auto" w:sz="4" w:space="0"/>
              <w:left w:val="single" w:color="auto" w:sz="4" w:space="0"/>
              <w:bottom w:val="single" w:color="auto" w:sz="4" w:space="0"/>
              <w:right w:val="single" w:color="auto" w:sz="4" w:space="0"/>
            </w:tcBorders>
            <w:vAlign w:val="center"/>
          </w:tcPr>
          <w:p w14:paraId="4890AAF8">
            <w:pPr>
              <w:jc w:val="center"/>
              <w:outlineLvl w:val="9"/>
              <w:rPr>
                <w:rFonts w:hint="eastAsia" w:ascii="宋体" w:hAnsi="宋体"/>
                <w:color w:val="auto"/>
                <w:szCs w:val="21"/>
                <w:highlight w:val="none"/>
              </w:rPr>
            </w:pPr>
          </w:p>
        </w:tc>
      </w:tr>
      <w:tr w14:paraId="146DC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1225" w:type="dxa"/>
            <w:gridSpan w:val="2"/>
            <w:tcBorders>
              <w:top w:val="single" w:color="auto" w:sz="4" w:space="0"/>
              <w:left w:val="single" w:color="auto" w:sz="4" w:space="0"/>
              <w:bottom w:val="single" w:color="auto" w:sz="4" w:space="0"/>
              <w:right w:val="single" w:color="auto" w:sz="4" w:space="0"/>
            </w:tcBorders>
            <w:vAlign w:val="center"/>
          </w:tcPr>
          <w:p w14:paraId="05809807">
            <w:pPr>
              <w:jc w:val="center"/>
              <w:outlineLvl w:val="9"/>
              <w:rPr>
                <w:rFonts w:hint="eastAsia" w:ascii="宋体" w:hAnsi="宋体"/>
                <w:color w:val="auto"/>
                <w:szCs w:val="21"/>
                <w:highlight w:val="none"/>
              </w:rPr>
            </w:pPr>
            <w:r>
              <w:rPr>
                <w:rFonts w:hint="eastAsia" w:ascii="宋体" w:hAnsi="宋体"/>
                <w:color w:val="auto"/>
                <w:szCs w:val="21"/>
                <w:highlight w:val="none"/>
              </w:rPr>
              <w:t>职  称</w:t>
            </w:r>
          </w:p>
        </w:tc>
        <w:tc>
          <w:tcPr>
            <w:tcW w:w="1165" w:type="dxa"/>
            <w:tcBorders>
              <w:top w:val="single" w:color="auto" w:sz="4" w:space="0"/>
              <w:left w:val="single" w:color="auto" w:sz="4" w:space="0"/>
              <w:bottom w:val="single" w:color="auto" w:sz="4" w:space="0"/>
              <w:right w:val="single" w:color="auto" w:sz="4" w:space="0"/>
            </w:tcBorders>
            <w:vAlign w:val="center"/>
          </w:tcPr>
          <w:p w14:paraId="3154EE6E">
            <w:pPr>
              <w:jc w:val="center"/>
              <w:outlineLvl w:val="9"/>
              <w:rPr>
                <w:rFonts w:hint="eastAsia" w:ascii="宋体" w:hAnsi="宋体"/>
                <w:color w:val="auto"/>
                <w:szCs w:val="21"/>
                <w:highlight w:val="none"/>
              </w:rPr>
            </w:pPr>
          </w:p>
        </w:tc>
        <w:tc>
          <w:tcPr>
            <w:tcW w:w="1273" w:type="dxa"/>
            <w:tcBorders>
              <w:top w:val="single" w:color="auto" w:sz="4" w:space="0"/>
              <w:left w:val="single" w:color="auto" w:sz="4" w:space="0"/>
              <w:bottom w:val="single" w:color="auto" w:sz="4" w:space="0"/>
              <w:right w:val="single" w:color="auto" w:sz="4" w:space="0"/>
            </w:tcBorders>
            <w:vAlign w:val="center"/>
          </w:tcPr>
          <w:p w14:paraId="224BBA0B">
            <w:pPr>
              <w:jc w:val="center"/>
              <w:outlineLvl w:val="9"/>
              <w:rPr>
                <w:rFonts w:hint="eastAsia" w:ascii="宋体" w:hAnsi="宋体"/>
                <w:color w:val="auto"/>
                <w:szCs w:val="21"/>
                <w:highlight w:val="none"/>
              </w:rPr>
            </w:pPr>
            <w:r>
              <w:rPr>
                <w:rFonts w:hint="eastAsia" w:ascii="宋体" w:hAnsi="宋体"/>
                <w:color w:val="auto"/>
                <w:szCs w:val="21"/>
                <w:highlight w:val="none"/>
              </w:rPr>
              <w:t>职  务</w:t>
            </w:r>
          </w:p>
        </w:tc>
        <w:tc>
          <w:tcPr>
            <w:tcW w:w="1428" w:type="dxa"/>
            <w:tcBorders>
              <w:top w:val="single" w:color="auto" w:sz="4" w:space="0"/>
              <w:left w:val="single" w:color="auto" w:sz="4" w:space="0"/>
              <w:bottom w:val="single" w:color="auto" w:sz="4" w:space="0"/>
              <w:right w:val="single" w:color="auto" w:sz="4" w:space="0"/>
            </w:tcBorders>
            <w:vAlign w:val="center"/>
          </w:tcPr>
          <w:p w14:paraId="4E2D07CB">
            <w:pPr>
              <w:jc w:val="center"/>
              <w:outlineLvl w:val="9"/>
              <w:rPr>
                <w:rFonts w:hint="eastAsia" w:ascii="宋体" w:hAnsi="宋体"/>
                <w:color w:val="auto"/>
                <w:szCs w:val="21"/>
                <w:highlight w:val="none"/>
              </w:rPr>
            </w:pPr>
          </w:p>
        </w:tc>
        <w:tc>
          <w:tcPr>
            <w:tcW w:w="2065" w:type="dxa"/>
            <w:gridSpan w:val="2"/>
            <w:tcBorders>
              <w:top w:val="single" w:color="auto" w:sz="4" w:space="0"/>
              <w:left w:val="single" w:color="auto" w:sz="4" w:space="0"/>
              <w:bottom w:val="single" w:color="auto" w:sz="4" w:space="0"/>
              <w:right w:val="single" w:color="auto" w:sz="4" w:space="0"/>
            </w:tcBorders>
            <w:vAlign w:val="center"/>
          </w:tcPr>
          <w:p w14:paraId="3090E1BF">
            <w:pPr>
              <w:jc w:val="center"/>
              <w:outlineLvl w:val="9"/>
              <w:rPr>
                <w:rFonts w:hint="eastAsia" w:ascii="宋体" w:hAnsi="宋体"/>
                <w:color w:val="auto"/>
                <w:szCs w:val="21"/>
                <w:highlight w:val="none"/>
              </w:rPr>
            </w:pPr>
            <w:r>
              <w:rPr>
                <w:rFonts w:hint="eastAsia" w:ascii="宋体" w:hAnsi="宋体"/>
                <w:color w:val="auto"/>
                <w:szCs w:val="21"/>
                <w:highlight w:val="none"/>
              </w:rPr>
              <w:t>拟在本工程任职</w:t>
            </w:r>
          </w:p>
        </w:tc>
        <w:tc>
          <w:tcPr>
            <w:tcW w:w="2381" w:type="dxa"/>
            <w:gridSpan w:val="2"/>
            <w:tcBorders>
              <w:top w:val="single" w:color="auto" w:sz="4" w:space="0"/>
              <w:left w:val="single" w:color="auto" w:sz="4" w:space="0"/>
              <w:bottom w:val="single" w:color="auto" w:sz="4" w:space="0"/>
              <w:right w:val="single" w:color="auto" w:sz="4" w:space="0"/>
            </w:tcBorders>
            <w:vAlign w:val="center"/>
          </w:tcPr>
          <w:p w14:paraId="41311E8C">
            <w:pPr>
              <w:jc w:val="center"/>
              <w:outlineLvl w:val="9"/>
              <w:rPr>
                <w:rFonts w:hint="eastAsia" w:ascii="宋体" w:hAnsi="宋体"/>
                <w:color w:val="auto"/>
                <w:szCs w:val="21"/>
                <w:highlight w:val="none"/>
              </w:rPr>
            </w:pPr>
            <w:r>
              <w:rPr>
                <w:rFonts w:hint="eastAsia" w:ascii="宋体" w:hAnsi="宋体"/>
                <w:color w:val="auto"/>
                <w:szCs w:val="21"/>
                <w:highlight w:val="none"/>
              </w:rPr>
              <w:t>项目负责人</w:t>
            </w:r>
          </w:p>
        </w:tc>
      </w:tr>
      <w:tr w14:paraId="7C354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663" w:type="dxa"/>
            <w:gridSpan w:val="4"/>
            <w:tcBorders>
              <w:top w:val="single" w:color="auto" w:sz="4" w:space="0"/>
              <w:left w:val="single" w:color="auto" w:sz="4" w:space="0"/>
              <w:bottom w:val="single" w:color="auto" w:sz="4" w:space="0"/>
              <w:right w:val="single" w:color="auto" w:sz="4" w:space="0"/>
            </w:tcBorders>
            <w:vAlign w:val="center"/>
          </w:tcPr>
          <w:p w14:paraId="52DC3CF6">
            <w:pPr>
              <w:jc w:val="center"/>
              <w:outlineLvl w:val="9"/>
              <w:rPr>
                <w:rFonts w:hint="eastAsia" w:ascii="宋体" w:hAnsi="宋体"/>
                <w:color w:val="auto"/>
                <w:szCs w:val="21"/>
                <w:highlight w:val="none"/>
              </w:rPr>
            </w:pPr>
            <w:r>
              <w:rPr>
                <w:rFonts w:hint="eastAsia" w:ascii="宋体" w:hAnsi="宋体"/>
                <w:color w:val="auto"/>
                <w:szCs w:val="21"/>
                <w:highlight w:val="none"/>
              </w:rPr>
              <w:t>注册建造师执业资格等级</w:t>
            </w:r>
          </w:p>
        </w:tc>
        <w:tc>
          <w:tcPr>
            <w:tcW w:w="1428" w:type="dxa"/>
            <w:tcBorders>
              <w:top w:val="single" w:color="auto" w:sz="4" w:space="0"/>
              <w:left w:val="single" w:color="auto" w:sz="4" w:space="0"/>
              <w:bottom w:val="single" w:color="auto" w:sz="4" w:space="0"/>
              <w:right w:val="single" w:color="auto" w:sz="4" w:space="0"/>
            </w:tcBorders>
            <w:vAlign w:val="center"/>
          </w:tcPr>
          <w:p w14:paraId="661B9AA8">
            <w:pPr>
              <w:jc w:val="center"/>
              <w:outlineLvl w:val="9"/>
              <w:rPr>
                <w:rFonts w:hint="eastAsia" w:ascii="宋体" w:hAnsi="宋体"/>
                <w:color w:val="auto"/>
                <w:szCs w:val="21"/>
                <w:highlight w:val="none"/>
              </w:rPr>
            </w:pPr>
            <w:r>
              <w:rPr>
                <w:rFonts w:hint="eastAsia" w:ascii="宋体" w:hAnsi="宋体"/>
                <w:color w:val="auto"/>
                <w:szCs w:val="21"/>
                <w:highlight w:val="none"/>
              </w:rPr>
              <w:t xml:space="preserve">      级</w:t>
            </w:r>
          </w:p>
        </w:tc>
        <w:tc>
          <w:tcPr>
            <w:tcW w:w="2065" w:type="dxa"/>
            <w:gridSpan w:val="2"/>
            <w:tcBorders>
              <w:top w:val="single" w:color="auto" w:sz="4" w:space="0"/>
              <w:left w:val="single" w:color="auto" w:sz="4" w:space="0"/>
              <w:bottom w:val="single" w:color="auto" w:sz="4" w:space="0"/>
              <w:right w:val="single" w:color="auto" w:sz="4" w:space="0"/>
            </w:tcBorders>
            <w:vAlign w:val="center"/>
          </w:tcPr>
          <w:p w14:paraId="4C091172">
            <w:pPr>
              <w:jc w:val="center"/>
              <w:outlineLvl w:val="9"/>
              <w:rPr>
                <w:rFonts w:hint="eastAsia" w:ascii="宋体" w:hAnsi="宋体"/>
                <w:color w:val="auto"/>
                <w:szCs w:val="21"/>
                <w:highlight w:val="none"/>
              </w:rPr>
            </w:pPr>
            <w:r>
              <w:rPr>
                <w:rFonts w:hint="eastAsia" w:ascii="宋体" w:hAnsi="宋体"/>
                <w:color w:val="auto"/>
                <w:szCs w:val="21"/>
                <w:highlight w:val="none"/>
              </w:rPr>
              <w:t>建造师专业</w:t>
            </w:r>
          </w:p>
        </w:tc>
        <w:tc>
          <w:tcPr>
            <w:tcW w:w="2381" w:type="dxa"/>
            <w:gridSpan w:val="2"/>
            <w:tcBorders>
              <w:top w:val="single" w:color="auto" w:sz="4" w:space="0"/>
              <w:left w:val="single" w:color="auto" w:sz="4" w:space="0"/>
              <w:bottom w:val="single" w:color="auto" w:sz="4" w:space="0"/>
              <w:right w:val="single" w:color="auto" w:sz="4" w:space="0"/>
            </w:tcBorders>
            <w:vAlign w:val="center"/>
          </w:tcPr>
          <w:p w14:paraId="12EF2A45">
            <w:pPr>
              <w:jc w:val="center"/>
              <w:outlineLvl w:val="9"/>
              <w:rPr>
                <w:rFonts w:hint="eastAsia" w:ascii="宋体" w:hAnsi="宋体"/>
                <w:color w:val="auto"/>
                <w:szCs w:val="21"/>
                <w:highlight w:val="none"/>
              </w:rPr>
            </w:pPr>
          </w:p>
        </w:tc>
      </w:tr>
      <w:tr w14:paraId="2E0EF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663" w:type="dxa"/>
            <w:gridSpan w:val="4"/>
            <w:tcBorders>
              <w:top w:val="single" w:color="auto" w:sz="4" w:space="0"/>
              <w:left w:val="single" w:color="auto" w:sz="4" w:space="0"/>
              <w:bottom w:val="single" w:color="auto" w:sz="4" w:space="0"/>
              <w:right w:val="single" w:color="auto" w:sz="4" w:space="0"/>
            </w:tcBorders>
            <w:vAlign w:val="center"/>
          </w:tcPr>
          <w:p w14:paraId="225C1277">
            <w:pPr>
              <w:jc w:val="center"/>
              <w:outlineLvl w:val="9"/>
              <w:rPr>
                <w:rFonts w:hint="eastAsia" w:ascii="宋体" w:hAnsi="宋体"/>
                <w:color w:val="auto"/>
                <w:szCs w:val="21"/>
                <w:highlight w:val="none"/>
              </w:rPr>
            </w:pPr>
            <w:r>
              <w:rPr>
                <w:rFonts w:hint="eastAsia" w:ascii="宋体" w:hAnsi="宋体"/>
                <w:color w:val="auto"/>
                <w:szCs w:val="21"/>
                <w:highlight w:val="none"/>
              </w:rPr>
              <w:t>安全生产考核合格证书</w:t>
            </w:r>
          </w:p>
        </w:tc>
        <w:tc>
          <w:tcPr>
            <w:tcW w:w="1428" w:type="dxa"/>
            <w:tcBorders>
              <w:top w:val="single" w:color="auto" w:sz="4" w:space="0"/>
              <w:left w:val="single" w:color="auto" w:sz="4" w:space="0"/>
              <w:bottom w:val="single" w:color="auto" w:sz="4" w:space="0"/>
              <w:right w:val="single" w:color="auto" w:sz="4" w:space="0"/>
            </w:tcBorders>
            <w:vAlign w:val="center"/>
          </w:tcPr>
          <w:p w14:paraId="413D26CA">
            <w:pPr>
              <w:jc w:val="center"/>
              <w:outlineLvl w:val="9"/>
              <w:rPr>
                <w:rFonts w:hint="eastAsia" w:ascii="宋体" w:hAnsi="宋体"/>
                <w:color w:val="auto"/>
                <w:szCs w:val="21"/>
                <w:highlight w:val="none"/>
              </w:rPr>
            </w:pPr>
          </w:p>
        </w:tc>
        <w:tc>
          <w:tcPr>
            <w:tcW w:w="2065" w:type="dxa"/>
            <w:gridSpan w:val="2"/>
            <w:tcBorders>
              <w:top w:val="single" w:color="auto" w:sz="4" w:space="0"/>
              <w:left w:val="single" w:color="auto" w:sz="4" w:space="0"/>
              <w:bottom w:val="single" w:color="auto" w:sz="4" w:space="0"/>
              <w:right w:val="single" w:color="auto" w:sz="4" w:space="0"/>
            </w:tcBorders>
            <w:vAlign w:val="center"/>
          </w:tcPr>
          <w:p w14:paraId="6205D8C4">
            <w:pPr>
              <w:jc w:val="center"/>
              <w:outlineLvl w:val="9"/>
              <w:rPr>
                <w:rFonts w:hint="eastAsia" w:ascii="宋体" w:hAnsi="宋体"/>
                <w:color w:val="auto"/>
                <w:szCs w:val="21"/>
                <w:highlight w:val="none"/>
              </w:rPr>
            </w:pPr>
            <w:r>
              <w:rPr>
                <w:rFonts w:hint="eastAsia" w:ascii="宋体" w:hAnsi="宋体"/>
                <w:color w:val="auto"/>
                <w:szCs w:val="21"/>
                <w:highlight w:val="none"/>
              </w:rPr>
              <w:t>注册单位</w:t>
            </w:r>
          </w:p>
        </w:tc>
        <w:tc>
          <w:tcPr>
            <w:tcW w:w="2381" w:type="dxa"/>
            <w:gridSpan w:val="2"/>
            <w:tcBorders>
              <w:top w:val="single" w:color="auto" w:sz="4" w:space="0"/>
              <w:left w:val="single" w:color="auto" w:sz="4" w:space="0"/>
              <w:bottom w:val="single" w:color="auto" w:sz="4" w:space="0"/>
              <w:right w:val="single" w:color="auto" w:sz="4" w:space="0"/>
            </w:tcBorders>
            <w:vAlign w:val="center"/>
          </w:tcPr>
          <w:p w14:paraId="1559B8B0">
            <w:pPr>
              <w:jc w:val="center"/>
              <w:outlineLvl w:val="9"/>
              <w:rPr>
                <w:rFonts w:hint="eastAsia" w:ascii="宋体" w:hAnsi="宋体"/>
                <w:color w:val="auto"/>
                <w:szCs w:val="21"/>
                <w:highlight w:val="none"/>
              </w:rPr>
            </w:pPr>
          </w:p>
        </w:tc>
      </w:tr>
      <w:tr w14:paraId="77BF1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1225" w:type="dxa"/>
            <w:gridSpan w:val="2"/>
            <w:tcBorders>
              <w:top w:val="single" w:color="auto" w:sz="4" w:space="0"/>
              <w:left w:val="single" w:color="auto" w:sz="4" w:space="0"/>
              <w:bottom w:val="single" w:color="auto" w:sz="4" w:space="0"/>
              <w:right w:val="single" w:color="auto" w:sz="4" w:space="0"/>
            </w:tcBorders>
            <w:vAlign w:val="center"/>
          </w:tcPr>
          <w:p w14:paraId="0F38DE5D">
            <w:pPr>
              <w:jc w:val="center"/>
              <w:outlineLvl w:val="9"/>
              <w:rPr>
                <w:rFonts w:hint="eastAsia" w:ascii="宋体" w:hAnsi="宋体"/>
                <w:color w:val="auto"/>
                <w:szCs w:val="21"/>
                <w:highlight w:val="none"/>
              </w:rPr>
            </w:pPr>
            <w:r>
              <w:rPr>
                <w:rFonts w:hint="eastAsia" w:ascii="宋体" w:hAnsi="宋体"/>
                <w:color w:val="auto"/>
                <w:szCs w:val="21"/>
                <w:highlight w:val="none"/>
              </w:rPr>
              <w:t>毕业学校</w:t>
            </w:r>
          </w:p>
        </w:tc>
        <w:tc>
          <w:tcPr>
            <w:tcW w:w="8312" w:type="dxa"/>
            <w:gridSpan w:val="7"/>
            <w:tcBorders>
              <w:top w:val="single" w:color="auto" w:sz="4" w:space="0"/>
              <w:left w:val="single" w:color="auto" w:sz="4" w:space="0"/>
              <w:bottom w:val="single" w:color="auto" w:sz="4" w:space="0"/>
              <w:right w:val="single" w:color="auto" w:sz="4" w:space="0"/>
            </w:tcBorders>
            <w:vAlign w:val="center"/>
          </w:tcPr>
          <w:p w14:paraId="13B73D80">
            <w:pPr>
              <w:ind w:firstLine="840" w:firstLineChars="400"/>
              <w:outlineLvl w:val="9"/>
              <w:rPr>
                <w:rFonts w:hint="eastAsia" w:ascii="宋体" w:hAnsi="宋体"/>
                <w:color w:val="auto"/>
                <w:szCs w:val="21"/>
                <w:highlight w:val="none"/>
              </w:rPr>
            </w:pPr>
            <w:r>
              <w:rPr>
                <w:rFonts w:hint="eastAsia" w:ascii="宋体" w:hAnsi="宋体"/>
                <w:color w:val="auto"/>
                <w:szCs w:val="21"/>
                <w:highlight w:val="none"/>
              </w:rPr>
              <w:t>年毕业于                  学校            专业</w:t>
            </w:r>
          </w:p>
        </w:tc>
      </w:tr>
      <w:tr w14:paraId="6A69D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9537" w:type="dxa"/>
            <w:gridSpan w:val="9"/>
            <w:tcBorders>
              <w:top w:val="single" w:color="auto" w:sz="4" w:space="0"/>
              <w:left w:val="single" w:color="auto" w:sz="4" w:space="0"/>
              <w:bottom w:val="single" w:color="auto" w:sz="4" w:space="0"/>
              <w:right w:val="single" w:color="auto" w:sz="4" w:space="0"/>
            </w:tcBorders>
            <w:vAlign w:val="center"/>
          </w:tcPr>
          <w:p w14:paraId="78A198A4">
            <w:pPr>
              <w:jc w:val="center"/>
              <w:outlineLvl w:val="9"/>
              <w:rPr>
                <w:rFonts w:hint="eastAsia" w:ascii="宋体" w:hAnsi="宋体"/>
                <w:color w:val="auto"/>
                <w:szCs w:val="21"/>
                <w:highlight w:val="none"/>
              </w:rPr>
            </w:pPr>
            <w:r>
              <w:rPr>
                <w:rFonts w:hint="eastAsia" w:ascii="宋体" w:hAnsi="宋体"/>
                <w:color w:val="auto"/>
                <w:szCs w:val="21"/>
                <w:highlight w:val="none"/>
              </w:rPr>
              <w:t>主要工作经历</w:t>
            </w:r>
          </w:p>
        </w:tc>
      </w:tr>
      <w:tr w14:paraId="68C09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trPr>
        <w:tc>
          <w:tcPr>
            <w:tcW w:w="734" w:type="dxa"/>
            <w:tcBorders>
              <w:top w:val="single" w:color="auto" w:sz="4" w:space="0"/>
              <w:left w:val="single" w:color="auto" w:sz="4" w:space="0"/>
              <w:bottom w:val="single" w:color="auto" w:sz="4" w:space="0"/>
              <w:right w:val="single" w:color="auto" w:sz="4" w:space="0"/>
            </w:tcBorders>
            <w:vAlign w:val="center"/>
          </w:tcPr>
          <w:p w14:paraId="78ACFE89">
            <w:pPr>
              <w:jc w:val="center"/>
              <w:outlineLvl w:val="9"/>
              <w:rPr>
                <w:rFonts w:hint="eastAsia" w:ascii="宋体" w:hAnsi="宋体"/>
                <w:color w:val="auto"/>
                <w:szCs w:val="21"/>
                <w:highlight w:val="none"/>
              </w:rPr>
            </w:pPr>
            <w:r>
              <w:rPr>
                <w:rFonts w:hint="eastAsia" w:ascii="宋体" w:hAnsi="宋体"/>
                <w:color w:val="auto"/>
                <w:szCs w:val="21"/>
                <w:highlight w:val="none"/>
              </w:rPr>
              <w:t>序号</w:t>
            </w:r>
          </w:p>
        </w:tc>
        <w:tc>
          <w:tcPr>
            <w:tcW w:w="1656" w:type="dxa"/>
            <w:gridSpan w:val="2"/>
            <w:tcBorders>
              <w:top w:val="single" w:color="auto" w:sz="4" w:space="0"/>
              <w:left w:val="single" w:color="auto" w:sz="4" w:space="0"/>
              <w:bottom w:val="single" w:color="auto" w:sz="4" w:space="0"/>
              <w:right w:val="single" w:color="auto" w:sz="4" w:space="0"/>
            </w:tcBorders>
            <w:vAlign w:val="center"/>
          </w:tcPr>
          <w:p w14:paraId="1FADD398">
            <w:pPr>
              <w:jc w:val="center"/>
              <w:outlineLvl w:val="9"/>
              <w:rPr>
                <w:rFonts w:hint="eastAsia" w:ascii="宋体" w:hAnsi="宋体"/>
                <w:color w:val="auto"/>
                <w:szCs w:val="21"/>
                <w:highlight w:val="none"/>
              </w:rPr>
            </w:pPr>
            <w:r>
              <w:rPr>
                <w:rFonts w:hint="eastAsia" w:ascii="宋体" w:hAnsi="宋体"/>
                <w:color w:val="auto"/>
                <w:szCs w:val="21"/>
                <w:highlight w:val="none"/>
              </w:rPr>
              <w:t>参加过的类似项目名称</w:t>
            </w:r>
          </w:p>
        </w:tc>
        <w:tc>
          <w:tcPr>
            <w:tcW w:w="1273" w:type="dxa"/>
            <w:tcBorders>
              <w:top w:val="single" w:color="auto" w:sz="4" w:space="0"/>
              <w:left w:val="single" w:color="auto" w:sz="4" w:space="0"/>
              <w:bottom w:val="single" w:color="auto" w:sz="4" w:space="0"/>
              <w:right w:val="single" w:color="auto" w:sz="4" w:space="0"/>
            </w:tcBorders>
            <w:vAlign w:val="center"/>
          </w:tcPr>
          <w:p w14:paraId="6A9B3194">
            <w:pPr>
              <w:pStyle w:val="20"/>
              <w:spacing w:line="360" w:lineRule="auto"/>
              <w:ind w:firstLine="0"/>
              <w:jc w:val="center"/>
              <w:outlineLvl w:val="9"/>
              <w:rPr>
                <w:rFonts w:hint="eastAsia" w:ascii="宋体" w:hAnsi="宋体"/>
                <w:color w:val="auto"/>
                <w:kern w:val="2"/>
                <w:sz w:val="21"/>
                <w:szCs w:val="21"/>
                <w:highlight w:val="none"/>
              </w:rPr>
            </w:pPr>
            <w:r>
              <w:rPr>
                <w:rFonts w:hint="eastAsia" w:ascii="宋体" w:hAnsi="宋体"/>
                <w:color w:val="auto"/>
                <w:kern w:val="2"/>
                <w:sz w:val="21"/>
                <w:szCs w:val="21"/>
                <w:highlight w:val="none"/>
              </w:rPr>
              <w:t>项目地址</w:t>
            </w:r>
          </w:p>
        </w:tc>
        <w:tc>
          <w:tcPr>
            <w:tcW w:w="1428" w:type="dxa"/>
            <w:tcBorders>
              <w:top w:val="single" w:color="auto" w:sz="4" w:space="0"/>
              <w:left w:val="single" w:color="auto" w:sz="4" w:space="0"/>
              <w:bottom w:val="single" w:color="auto" w:sz="4" w:space="0"/>
              <w:right w:val="single" w:color="auto" w:sz="4" w:space="0"/>
            </w:tcBorders>
            <w:vAlign w:val="center"/>
          </w:tcPr>
          <w:p w14:paraId="5EC9DFEB">
            <w:pPr>
              <w:pStyle w:val="20"/>
              <w:spacing w:line="360" w:lineRule="auto"/>
              <w:ind w:firstLine="0"/>
              <w:jc w:val="center"/>
              <w:outlineLvl w:val="9"/>
              <w:rPr>
                <w:rFonts w:hint="eastAsia" w:ascii="宋体" w:hAnsi="宋体"/>
                <w:color w:val="auto"/>
                <w:kern w:val="2"/>
                <w:sz w:val="21"/>
                <w:szCs w:val="21"/>
                <w:highlight w:val="none"/>
              </w:rPr>
            </w:pPr>
            <w:r>
              <w:rPr>
                <w:rFonts w:hint="eastAsia" w:ascii="宋体" w:hAnsi="宋体"/>
                <w:color w:val="auto"/>
                <w:kern w:val="2"/>
                <w:sz w:val="21"/>
                <w:szCs w:val="21"/>
                <w:highlight w:val="none"/>
              </w:rPr>
              <w:t>业主名称</w:t>
            </w:r>
          </w:p>
        </w:tc>
        <w:tc>
          <w:tcPr>
            <w:tcW w:w="1041" w:type="dxa"/>
            <w:tcBorders>
              <w:top w:val="single" w:color="auto" w:sz="4" w:space="0"/>
              <w:left w:val="single" w:color="auto" w:sz="4" w:space="0"/>
              <w:bottom w:val="single" w:color="auto" w:sz="4" w:space="0"/>
              <w:right w:val="single" w:color="auto" w:sz="4" w:space="0"/>
            </w:tcBorders>
            <w:vAlign w:val="center"/>
          </w:tcPr>
          <w:p w14:paraId="01A01C75">
            <w:pPr>
              <w:pStyle w:val="20"/>
              <w:spacing w:line="360" w:lineRule="auto"/>
              <w:ind w:firstLine="0"/>
              <w:jc w:val="center"/>
              <w:outlineLvl w:val="9"/>
              <w:rPr>
                <w:rFonts w:hint="eastAsia" w:ascii="宋体" w:hAnsi="宋体"/>
                <w:color w:val="auto"/>
                <w:kern w:val="2"/>
                <w:sz w:val="21"/>
                <w:szCs w:val="21"/>
                <w:highlight w:val="none"/>
              </w:rPr>
            </w:pPr>
            <w:r>
              <w:rPr>
                <w:rFonts w:hint="eastAsia" w:ascii="宋体" w:hAnsi="宋体"/>
                <w:color w:val="auto"/>
                <w:kern w:val="2"/>
                <w:sz w:val="21"/>
                <w:szCs w:val="21"/>
                <w:highlight w:val="none"/>
              </w:rPr>
              <w:t>联系人姓名及电话</w:t>
            </w:r>
          </w:p>
        </w:tc>
        <w:tc>
          <w:tcPr>
            <w:tcW w:w="1024" w:type="dxa"/>
            <w:tcBorders>
              <w:top w:val="single" w:color="auto" w:sz="4" w:space="0"/>
              <w:left w:val="single" w:color="auto" w:sz="4" w:space="0"/>
              <w:bottom w:val="single" w:color="auto" w:sz="4" w:space="0"/>
              <w:right w:val="single" w:color="auto" w:sz="4" w:space="0"/>
            </w:tcBorders>
            <w:vAlign w:val="center"/>
          </w:tcPr>
          <w:p w14:paraId="76705F0F">
            <w:pPr>
              <w:pStyle w:val="20"/>
              <w:spacing w:line="360" w:lineRule="auto"/>
              <w:ind w:firstLine="0"/>
              <w:jc w:val="center"/>
              <w:outlineLvl w:val="9"/>
              <w:rPr>
                <w:rFonts w:hint="eastAsia" w:ascii="宋体" w:hAnsi="宋体"/>
                <w:color w:val="auto"/>
                <w:kern w:val="2"/>
                <w:sz w:val="21"/>
                <w:szCs w:val="21"/>
                <w:highlight w:val="none"/>
              </w:rPr>
            </w:pPr>
            <w:r>
              <w:rPr>
                <w:rFonts w:hint="eastAsia" w:ascii="宋体" w:hAnsi="宋体"/>
                <w:color w:val="auto"/>
                <w:kern w:val="2"/>
                <w:sz w:val="21"/>
                <w:szCs w:val="21"/>
                <w:highlight w:val="none"/>
              </w:rPr>
              <w:t>合同金额</w:t>
            </w:r>
          </w:p>
        </w:tc>
        <w:tc>
          <w:tcPr>
            <w:tcW w:w="1197" w:type="dxa"/>
            <w:tcBorders>
              <w:top w:val="single" w:color="auto" w:sz="4" w:space="0"/>
              <w:left w:val="single" w:color="auto" w:sz="4" w:space="0"/>
              <w:bottom w:val="single" w:color="auto" w:sz="4" w:space="0"/>
              <w:right w:val="single" w:color="auto" w:sz="4" w:space="0"/>
            </w:tcBorders>
            <w:vAlign w:val="center"/>
          </w:tcPr>
          <w:p w14:paraId="4FFBC93F">
            <w:pPr>
              <w:pStyle w:val="20"/>
              <w:spacing w:line="360" w:lineRule="auto"/>
              <w:ind w:firstLine="0"/>
              <w:jc w:val="center"/>
              <w:outlineLvl w:val="9"/>
              <w:rPr>
                <w:rFonts w:hint="eastAsia" w:ascii="宋体" w:hAnsi="宋体"/>
                <w:color w:val="auto"/>
                <w:kern w:val="2"/>
                <w:sz w:val="21"/>
                <w:szCs w:val="21"/>
                <w:highlight w:val="none"/>
              </w:rPr>
            </w:pPr>
            <w:r>
              <w:rPr>
                <w:rFonts w:hint="eastAsia" w:ascii="宋体" w:hAnsi="宋体"/>
                <w:color w:val="auto"/>
                <w:kern w:val="2"/>
                <w:sz w:val="21"/>
                <w:szCs w:val="21"/>
                <w:highlight w:val="none"/>
              </w:rPr>
              <w:t>完成时间</w:t>
            </w:r>
          </w:p>
        </w:tc>
        <w:tc>
          <w:tcPr>
            <w:tcW w:w="1184" w:type="dxa"/>
            <w:tcBorders>
              <w:top w:val="single" w:color="auto" w:sz="4" w:space="0"/>
              <w:left w:val="single" w:color="auto" w:sz="4" w:space="0"/>
              <w:bottom w:val="single" w:color="auto" w:sz="4" w:space="0"/>
              <w:right w:val="single" w:color="auto" w:sz="4" w:space="0"/>
            </w:tcBorders>
            <w:vAlign w:val="center"/>
          </w:tcPr>
          <w:p w14:paraId="09645294">
            <w:pPr>
              <w:jc w:val="center"/>
              <w:outlineLvl w:val="9"/>
              <w:rPr>
                <w:rFonts w:hint="eastAsia" w:ascii="宋体" w:hAnsi="宋体"/>
                <w:color w:val="auto"/>
                <w:szCs w:val="21"/>
                <w:highlight w:val="none"/>
              </w:rPr>
            </w:pPr>
            <w:r>
              <w:rPr>
                <w:rFonts w:hint="eastAsia" w:ascii="宋体" w:hAnsi="宋体"/>
                <w:color w:val="auto"/>
                <w:szCs w:val="21"/>
                <w:highlight w:val="none"/>
              </w:rPr>
              <w:t>在项目中担任何种职务</w:t>
            </w:r>
          </w:p>
        </w:tc>
      </w:tr>
      <w:tr w14:paraId="0EACA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734" w:type="dxa"/>
            <w:tcBorders>
              <w:top w:val="single" w:color="auto" w:sz="4" w:space="0"/>
              <w:left w:val="single" w:color="auto" w:sz="4" w:space="0"/>
              <w:bottom w:val="single" w:color="auto" w:sz="4" w:space="0"/>
              <w:right w:val="single" w:color="auto" w:sz="4" w:space="0"/>
            </w:tcBorders>
            <w:vAlign w:val="center"/>
          </w:tcPr>
          <w:p w14:paraId="40AD2FC2">
            <w:pPr>
              <w:jc w:val="center"/>
              <w:outlineLvl w:val="9"/>
              <w:rPr>
                <w:rFonts w:hint="eastAsia" w:ascii="宋体" w:hAnsi="宋体"/>
                <w:color w:val="auto"/>
                <w:szCs w:val="21"/>
                <w:highlight w:val="none"/>
              </w:rPr>
            </w:pPr>
          </w:p>
        </w:tc>
        <w:tc>
          <w:tcPr>
            <w:tcW w:w="1656" w:type="dxa"/>
            <w:gridSpan w:val="2"/>
            <w:tcBorders>
              <w:top w:val="single" w:color="auto" w:sz="4" w:space="0"/>
              <w:left w:val="single" w:color="auto" w:sz="4" w:space="0"/>
              <w:bottom w:val="single" w:color="auto" w:sz="4" w:space="0"/>
              <w:right w:val="single" w:color="auto" w:sz="4" w:space="0"/>
            </w:tcBorders>
            <w:vAlign w:val="center"/>
          </w:tcPr>
          <w:p w14:paraId="4F0E01F0">
            <w:pPr>
              <w:jc w:val="center"/>
              <w:outlineLvl w:val="9"/>
              <w:rPr>
                <w:rFonts w:hint="eastAsia" w:ascii="宋体" w:hAnsi="宋体"/>
                <w:color w:val="auto"/>
                <w:szCs w:val="21"/>
                <w:highlight w:val="none"/>
              </w:rPr>
            </w:pPr>
          </w:p>
        </w:tc>
        <w:tc>
          <w:tcPr>
            <w:tcW w:w="1273" w:type="dxa"/>
            <w:tcBorders>
              <w:top w:val="single" w:color="auto" w:sz="4" w:space="0"/>
              <w:left w:val="single" w:color="auto" w:sz="4" w:space="0"/>
              <w:bottom w:val="single" w:color="auto" w:sz="4" w:space="0"/>
              <w:right w:val="single" w:color="auto" w:sz="4" w:space="0"/>
            </w:tcBorders>
            <w:vAlign w:val="center"/>
          </w:tcPr>
          <w:p w14:paraId="676D3392">
            <w:pPr>
              <w:jc w:val="center"/>
              <w:outlineLvl w:val="9"/>
              <w:rPr>
                <w:rFonts w:hint="eastAsia" w:ascii="宋体" w:hAnsi="宋体"/>
                <w:color w:val="auto"/>
                <w:szCs w:val="21"/>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63604AA5">
            <w:pPr>
              <w:jc w:val="center"/>
              <w:outlineLvl w:val="9"/>
              <w:rPr>
                <w:rFonts w:hint="eastAsia" w:ascii="宋体" w:hAnsi="宋体"/>
                <w:color w:val="auto"/>
                <w:szCs w:val="21"/>
                <w:highlight w:val="none"/>
              </w:rPr>
            </w:pPr>
          </w:p>
        </w:tc>
        <w:tc>
          <w:tcPr>
            <w:tcW w:w="1041" w:type="dxa"/>
            <w:tcBorders>
              <w:top w:val="single" w:color="auto" w:sz="4" w:space="0"/>
              <w:left w:val="single" w:color="auto" w:sz="4" w:space="0"/>
              <w:bottom w:val="single" w:color="auto" w:sz="4" w:space="0"/>
              <w:right w:val="single" w:color="auto" w:sz="4" w:space="0"/>
            </w:tcBorders>
            <w:vAlign w:val="center"/>
          </w:tcPr>
          <w:p w14:paraId="001C7749">
            <w:pPr>
              <w:jc w:val="center"/>
              <w:outlineLvl w:val="9"/>
              <w:rPr>
                <w:rFonts w:hint="eastAsia" w:ascii="宋体" w:hAnsi="宋体"/>
                <w:color w:val="auto"/>
                <w:szCs w:val="21"/>
                <w:highlight w:val="none"/>
              </w:rPr>
            </w:pPr>
          </w:p>
        </w:tc>
        <w:tc>
          <w:tcPr>
            <w:tcW w:w="1024" w:type="dxa"/>
            <w:tcBorders>
              <w:top w:val="single" w:color="auto" w:sz="4" w:space="0"/>
              <w:left w:val="single" w:color="auto" w:sz="4" w:space="0"/>
              <w:bottom w:val="single" w:color="auto" w:sz="4" w:space="0"/>
              <w:right w:val="single" w:color="auto" w:sz="4" w:space="0"/>
            </w:tcBorders>
            <w:vAlign w:val="center"/>
          </w:tcPr>
          <w:p w14:paraId="5F18C8BD">
            <w:pPr>
              <w:jc w:val="center"/>
              <w:outlineLvl w:val="9"/>
              <w:rPr>
                <w:rFonts w:hint="eastAsia" w:ascii="宋体" w:hAnsi="宋体"/>
                <w:color w:val="auto"/>
                <w:szCs w:val="21"/>
                <w:highlight w:val="none"/>
              </w:rPr>
            </w:pPr>
          </w:p>
        </w:tc>
        <w:tc>
          <w:tcPr>
            <w:tcW w:w="1197" w:type="dxa"/>
            <w:tcBorders>
              <w:top w:val="single" w:color="auto" w:sz="4" w:space="0"/>
              <w:left w:val="single" w:color="auto" w:sz="4" w:space="0"/>
              <w:bottom w:val="single" w:color="auto" w:sz="4" w:space="0"/>
              <w:right w:val="single" w:color="auto" w:sz="4" w:space="0"/>
            </w:tcBorders>
            <w:vAlign w:val="center"/>
          </w:tcPr>
          <w:p w14:paraId="54D9F4B8">
            <w:pPr>
              <w:jc w:val="center"/>
              <w:outlineLvl w:val="9"/>
              <w:rPr>
                <w:rFonts w:hint="eastAsia" w:ascii="宋体" w:hAnsi="宋体"/>
                <w:color w:val="auto"/>
                <w:szCs w:val="21"/>
                <w:highlight w:val="none"/>
              </w:rPr>
            </w:pPr>
          </w:p>
        </w:tc>
        <w:tc>
          <w:tcPr>
            <w:tcW w:w="1184" w:type="dxa"/>
            <w:tcBorders>
              <w:top w:val="single" w:color="auto" w:sz="4" w:space="0"/>
              <w:left w:val="single" w:color="auto" w:sz="4" w:space="0"/>
              <w:bottom w:val="single" w:color="auto" w:sz="4" w:space="0"/>
              <w:right w:val="single" w:color="auto" w:sz="4" w:space="0"/>
            </w:tcBorders>
            <w:vAlign w:val="center"/>
          </w:tcPr>
          <w:p w14:paraId="488E1AF3">
            <w:pPr>
              <w:jc w:val="center"/>
              <w:outlineLvl w:val="9"/>
              <w:rPr>
                <w:rFonts w:hint="eastAsia" w:ascii="宋体" w:hAnsi="宋体"/>
                <w:color w:val="auto"/>
                <w:szCs w:val="21"/>
                <w:highlight w:val="none"/>
              </w:rPr>
            </w:pPr>
          </w:p>
        </w:tc>
      </w:tr>
      <w:tr w14:paraId="7420E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734" w:type="dxa"/>
            <w:tcBorders>
              <w:top w:val="single" w:color="auto" w:sz="4" w:space="0"/>
              <w:left w:val="single" w:color="auto" w:sz="4" w:space="0"/>
              <w:bottom w:val="single" w:color="auto" w:sz="4" w:space="0"/>
              <w:right w:val="single" w:color="auto" w:sz="4" w:space="0"/>
            </w:tcBorders>
            <w:vAlign w:val="center"/>
          </w:tcPr>
          <w:p w14:paraId="10F0844D">
            <w:pPr>
              <w:jc w:val="center"/>
              <w:outlineLvl w:val="9"/>
              <w:rPr>
                <w:rFonts w:hint="eastAsia" w:ascii="宋体" w:hAnsi="宋体"/>
                <w:color w:val="auto"/>
                <w:szCs w:val="21"/>
                <w:highlight w:val="none"/>
              </w:rPr>
            </w:pPr>
          </w:p>
        </w:tc>
        <w:tc>
          <w:tcPr>
            <w:tcW w:w="1656" w:type="dxa"/>
            <w:gridSpan w:val="2"/>
            <w:tcBorders>
              <w:top w:val="single" w:color="auto" w:sz="4" w:space="0"/>
              <w:left w:val="single" w:color="auto" w:sz="4" w:space="0"/>
              <w:bottom w:val="single" w:color="auto" w:sz="4" w:space="0"/>
              <w:right w:val="single" w:color="auto" w:sz="4" w:space="0"/>
            </w:tcBorders>
            <w:vAlign w:val="center"/>
          </w:tcPr>
          <w:p w14:paraId="761032CB">
            <w:pPr>
              <w:jc w:val="center"/>
              <w:outlineLvl w:val="9"/>
              <w:rPr>
                <w:rFonts w:hint="eastAsia" w:ascii="宋体" w:hAnsi="宋体"/>
                <w:color w:val="auto"/>
                <w:szCs w:val="21"/>
                <w:highlight w:val="none"/>
              </w:rPr>
            </w:pPr>
          </w:p>
        </w:tc>
        <w:tc>
          <w:tcPr>
            <w:tcW w:w="1273" w:type="dxa"/>
            <w:tcBorders>
              <w:top w:val="single" w:color="auto" w:sz="4" w:space="0"/>
              <w:left w:val="single" w:color="auto" w:sz="4" w:space="0"/>
              <w:bottom w:val="single" w:color="auto" w:sz="4" w:space="0"/>
              <w:right w:val="single" w:color="auto" w:sz="4" w:space="0"/>
            </w:tcBorders>
            <w:vAlign w:val="center"/>
          </w:tcPr>
          <w:p w14:paraId="6679981F">
            <w:pPr>
              <w:jc w:val="center"/>
              <w:outlineLvl w:val="9"/>
              <w:rPr>
                <w:rFonts w:hint="eastAsia" w:ascii="宋体" w:hAnsi="宋体"/>
                <w:color w:val="auto"/>
                <w:szCs w:val="21"/>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61CDB932">
            <w:pPr>
              <w:jc w:val="center"/>
              <w:outlineLvl w:val="9"/>
              <w:rPr>
                <w:rFonts w:hint="eastAsia" w:ascii="宋体" w:hAnsi="宋体"/>
                <w:color w:val="auto"/>
                <w:szCs w:val="21"/>
                <w:highlight w:val="none"/>
              </w:rPr>
            </w:pPr>
          </w:p>
        </w:tc>
        <w:tc>
          <w:tcPr>
            <w:tcW w:w="1041" w:type="dxa"/>
            <w:tcBorders>
              <w:top w:val="single" w:color="auto" w:sz="4" w:space="0"/>
              <w:left w:val="single" w:color="auto" w:sz="4" w:space="0"/>
              <w:bottom w:val="single" w:color="auto" w:sz="4" w:space="0"/>
              <w:right w:val="single" w:color="auto" w:sz="4" w:space="0"/>
            </w:tcBorders>
            <w:vAlign w:val="center"/>
          </w:tcPr>
          <w:p w14:paraId="2C46AE7F">
            <w:pPr>
              <w:jc w:val="center"/>
              <w:outlineLvl w:val="9"/>
              <w:rPr>
                <w:rFonts w:hint="eastAsia" w:ascii="宋体" w:hAnsi="宋体"/>
                <w:color w:val="auto"/>
                <w:szCs w:val="21"/>
                <w:highlight w:val="none"/>
              </w:rPr>
            </w:pPr>
          </w:p>
        </w:tc>
        <w:tc>
          <w:tcPr>
            <w:tcW w:w="1024" w:type="dxa"/>
            <w:tcBorders>
              <w:top w:val="single" w:color="auto" w:sz="4" w:space="0"/>
              <w:left w:val="single" w:color="auto" w:sz="4" w:space="0"/>
              <w:bottom w:val="single" w:color="auto" w:sz="4" w:space="0"/>
              <w:right w:val="single" w:color="auto" w:sz="4" w:space="0"/>
            </w:tcBorders>
            <w:vAlign w:val="center"/>
          </w:tcPr>
          <w:p w14:paraId="2EA1173A">
            <w:pPr>
              <w:jc w:val="center"/>
              <w:outlineLvl w:val="9"/>
              <w:rPr>
                <w:rFonts w:hint="eastAsia" w:ascii="宋体" w:hAnsi="宋体"/>
                <w:color w:val="auto"/>
                <w:szCs w:val="21"/>
                <w:highlight w:val="none"/>
              </w:rPr>
            </w:pPr>
          </w:p>
        </w:tc>
        <w:tc>
          <w:tcPr>
            <w:tcW w:w="1197" w:type="dxa"/>
            <w:tcBorders>
              <w:top w:val="single" w:color="auto" w:sz="4" w:space="0"/>
              <w:left w:val="single" w:color="auto" w:sz="4" w:space="0"/>
              <w:bottom w:val="single" w:color="auto" w:sz="4" w:space="0"/>
              <w:right w:val="single" w:color="auto" w:sz="4" w:space="0"/>
            </w:tcBorders>
            <w:vAlign w:val="center"/>
          </w:tcPr>
          <w:p w14:paraId="7504E4C8">
            <w:pPr>
              <w:jc w:val="center"/>
              <w:outlineLvl w:val="9"/>
              <w:rPr>
                <w:rFonts w:hint="eastAsia" w:ascii="宋体" w:hAnsi="宋体"/>
                <w:color w:val="auto"/>
                <w:szCs w:val="21"/>
                <w:highlight w:val="none"/>
              </w:rPr>
            </w:pPr>
          </w:p>
        </w:tc>
        <w:tc>
          <w:tcPr>
            <w:tcW w:w="1184" w:type="dxa"/>
            <w:tcBorders>
              <w:top w:val="single" w:color="auto" w:sz="4" w:space="0"/>
              <w:left w:val="single" w:color="auto" w:sz="4" w:space="0"/>
              <w:bottom w:val="single" w:color="auto" w:sz="4" w:space="0"/>
              <w:right w:val="single" w:color="auto" w:sz="4" w:space="0"/>
            </w:tcBorders>
            <w:vAlign w:val="center"/>
          </w:tcPr>
          <w:p w14:paraId="57C9CF41">
            <w:pPr>
              <w:jc w:val="center"/>
              <w:outlineLvl w:val="9"/>
              <w:rPr>
                <w:rFonts w:hint="eastAsia" w:ascii="宋体" w:hAnsi="宋体"/>
                <w:color w:val="auto"/>
                <w:szCs w:val="21"/>
                <w:highlight w:val="none"/>
              </w:rPr>
            </w:pPr>
          </w:p>
        </w:tc>
      </w:tr>
    </w:tbl>
    <w:p w14:paraId="6096A9F2">
      <w:pPr>
        <w:pStyle w:val="424"/>
        <w:numPr>
          <w:ilvl w:val="0"/>
          <w:numId w:val="0"/>
        </w:numPr>
        <w:shd w:val="clear"/>
        <w:tabs>
          <w:tab w:val="left" w:pos="1353"/>
        </w:tabs>
        <w:spacing w:line="360" w:lineRule="auto"/>
        <w:ind w:leftChars="0"/>
        <w:outlineLvl w:val="9"/>
        <w:rPr>
          <w:rFonts w:hint="eastAsia" w:ascii="宋体" w:hAnsi="宋体" w:cs="宋体"/>
          <w:b/>
          <w:color w:val="auto"/>
          <w:sz w:val="24"/>
          <w:highlight w:val="none"/>
          <w:lang w:val="en-US" w:eastAsia="zh-CN"/>
        </w:rPr>
      </w:pPr>
    </w:p>
    <w:p w14:paraId="5197C81C">
      <w:pPr>
        <w:pStyle w:val="424"/>
        <w:numPr>
          <w:ilvl w:val="0"/>
          <w:numId w:val="0"/>
        </w:numPr>
        <w:shd w:val="clear"/>
        <w:tabs>
          <w:tab w:val="left" w:pos="1353"/>
        </w:tabs>
        <w:spacing w:line="360" w:lineRule="auto"/>
        <w:ind w:leftChars="0"/>
        <w:outlineLvl w:val="9"/>
        <w:rPr>
          <w:rFonts w:hint="eastAsia" w:ascii="宋体" w:hAnsi="宋体" w:cs="宋体"/>
          <w:b/>
          <w:color w:val="auto"/>
          <w:sz w:val="24"/>
          <w:highlight w:val="none"/>
          <w:lang w:val="en-US" w:eastAsia="zh-CN"/>
        </w:rPr>
      </w:pPr>
    </w:p>
    <w:p w14:paraId="2CC2FEF5">
      <w:pPr>
        <w:outlineLvl w:val="9"/>
        <w:rPr>
          <w:rFonts w:hint="eastAsia" w:ascii="宋体" w:hAnsi="宋体" w:eastAsia="宋体" w:cs="宋体"/>
          <w:b w:val="0"/>
          <w:color w:val="auto"/>
          <w:sz w:val="30"/>
          <w:szCs w:val="30"/>
          <w:highlight w:val="none"/>
        </w:rPr>
      </w:pPr>
      <w:r>
        <w:rPr>
          <w:rFonts w:hint="eastAsia" w:ascii="宋体" w:hAnsi="宋体" w:eastAsia="宋体" w:cs="宋体"/>
          <w:b w:val="0"/>
          <w:color w:val="auto"/>
          <w:sz w:val="30"/>
          <w:szCs w:val="30"/>
          <w:highlight w:val="none"/>
        </w:rPr>
        <w:br w:type="page"/>
      </w:r>
    </w:p>
    <w:p w14:paraId="02FEFF7A">
      <w:pPr>
        <w:jc w:val="center"/>
        <w:outlineLvl w:val="9"/>
        <w:rPr>
          <w:rFonts w:hint="eastAsia" w:ascii="黑体" w:hAnsi="宋体" w:eastAsia="黑体" w:cs="Times New Roman"/>
          <w:color w:val="auto"/>
          <w:sz w:val="24"/>
          <w:highlight w:val="none"/>
        </w:rPr>
      </w:pPr>
      <w:r>
        <w:rPr>
          <w:rFonts w:hint="eastAsia" w:ascii="黑体" w:hAnsi="宋体" w:eastAsia="黑体" w:cs="Times New Roman"/>
          <w:color w:val="auto"/>
          <w:sz w:val="24"/>
          <w:highlight w:val="none"/>
        </w:rPr>
        <w:t>项目</w:t>
      </w:r>
      <w:r>
        <w:rPr>
          <w:rFonts w:hint="eastAsia" w:ascii="黑体" w:hAnsi="宋体" w:eastAsia="黑体" w:cs="Times New Roman"/>
          <w:color w:val="auto"/>
          <w:sz w:val="24"/>
          <w:highlight w:val="none"/>
          <w:lang w:val="en-US" w:eastAsia="zh-CN"/>
        </w:rPr>
        <w:t>施工项目经理</w:t>
      </w:r>
      <w:r>
        <w:rPr>
          <w:rFonts w:hint="eastAsia" w:ascii="黑体" w:hAnsi="宋体" w:eastAsia="黑体" w:cs="Times New Roman"/>
          <w:color w:val="auto"/>
          <w:sz w:val="24"/>
          <w:highlight w:val="none"/>
        </w:rPr>
        <w:t>未在建承诺书</w:t>
      </w:r>
    </w:p>
    <w:p w14:paraId="7E42869A">
      <w:pPr>
        <w:outlineLvl w:val="9"/>
        <w:rPr>
          <w:rFonts w:hint="eastAsia" w:ascii="宋体" w:hAnsi="宋体" w:eastAsia="宋体" w:cs="宋体"/>
          <w:color w:val="auto"/>
          <w:sz w:val="20"/>
          <w:highlight w:val="none"/>
        </w:rPr>
      </w:pPr>
    </w:p>
    <w:p w14:paraId="7525B77B">
      <w:pPr>
        <w:jc w:val="center"/>
        <w:outlineLvl w:val="9"/>
        <w:rPr>
          <w:rFonts w:hint="eastAsia" w:ascii="宋体" w:hAnsi="宋体" w:eastAsia="宋体" w:cs="宋体"/>
          <w:color w:val="auto"/>
          <w:sz w:val="28"/>
          <w:highlight w:val="none"/>
        </w:rPr>
      </w:pPr>
      <w:r>
        <w:rPr>
          <w:rFonts w:hint="eastAsia" w:ascii="宋体" w:hAnsi="宋体" w:eastAsia="宋体" w:cs="宋体"/>
          <w:color w:val="auto"/>
          <w:sz w:val="28"/>
          <w:highlight w:val="none"/>
        </w:rPr>
        <w:t>承诺书</w:t>
      </w:r>
    </w:p>
    <w:p w14:paraId="2C124A3E">
      <w:pPr>
        <w:spacing w:after="312" w:afterLines="100" w:line="48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采购人</w:t>
      </w:r>
      <w:r>
        <w:rPr>
          <w:rFonts w:hint="eastAsia" w:ascii="宋体" w:hAnsi="宋体" w:eastAsia="宋体" w:cs="宋体"/>
          <w:color w:val="auto"/>
          <w:szCs w:val="21"/>
          <w:highlight w:val="none"/>
        </w:rPr>
        <w:t>名称）：</w:t>
      </w:r>
    </w:p>
    <w:p w14:paraId="09DE61BF">
      <w:pPr>
        <w:spacing w:line="48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我方在此声明，我方拟派往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（项目名称）（以下简称“本工程”）的</w:t>
      </w:r>
      <w:r>
        <w:rPr>
          <w:rFonts w:hint="eastAsia" w:ascii="宋体" w:hAnsi="宋体" w:cs="宋体"/>
          <w:color w:val="auto"/>
          <w:szCs w:val="21"/>
          <w:highlight w:val="none"/>
          <w:lang w:eastAsia="zh-CN"/>
        </w:rPr>
        <w:t>施工项目经理</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（姓名</w:t>
      </w:r>
      <w:r>
        <w:rPr>
          <w:rFonts w:hint="eastAsia" w:ascii="宋体" w:hAnsi="宋体" w:cs="宋体"/>
          <w:color w:val="auto"/>
          <w:szCs w:val="21"/>
          <w:highlight w:val="none"/>
          <w:lang w:val="en-US" w:eastAsia="zh-CN"/>
        </w:rPr>
        <w:t>和证书编号</w:t>
      </w:r>
      <w:r>
        <w:rPr>
          <w:rFonts w:hint="eastAsia" w:ascii="宋体" w:hAnsi="宋体" w:eastAsia="宋体" w:cs="宋体"/>
          <w:color w:val="auto"/>
          <w:szCs w:val="21"/>
          <w:highlight w:val="none"/>
        </w:rPr>
        <w:t>）现阶段没有担任任何在建建设工程项目的项目经理。</w:t>
      </w:r>
    </w:p>
    <w:p w14:paraId="506BC009">
      <w:pPr>
        <w:spacing w:line="48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我方保证上述信息的真实和准确，并愿意承担因我方就此弄虚作假所引起的一切法律后果。</w:t>
      </w:r>
    </w:p>
    <w:p w14:paraId="026A8BB7">
      <w:pPr>
        <w:spacing w:line="440" w:lineRule="exact"/>
        <w:ind w:firstLine="420" w:firstLineChars="200"/>
        <w:rPr>
          <w:rFonts w:hint="eastAsia" w:ascii="宋体" w:hAnsi="宋体" w:eastAsia="宋体" w:cs="宋体"/>
          <w:color w:val="auto"/>
          <w:szCs w:val="21"/>
          <w:highlight w:val="none"/>
        </w:rPr>
      </w:pPr>
    </w:p>
    <w:p w14:paraId="1612E2FD">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特此承诺。</w:t>
      </w:r>
    </w:p>
    <w:p w14:paraId="5F4CED1C">
      <w:pPr>
        <w:spacing w:line="440" w:lineRule="exact"/>
        <w:ind w:firstLine="420" w:firstLineChars="200"/>
        <w:rPr>
          <w:rFonts w:hint="eastAsia" w:ascii="宋体" w:hAnsi="宋体" w:eastAsia="宋体" w:cs="宋体"/>
          <w:color w:val="auto"/>
          <w:szCs w:val="21"/>
          <w:highlight w:val="none"/>
        </w:rPr>
      </w:pPr>
    </w:p>
    <w:p w14:paraId="16B2BE0D">
      <w:pPr>
        <w:spacing w:line="440" w:lineRule="exact"/>
        <w:ind w:firstLine="420" w:firstLineChars="200"/>
        <w:rPr>
          <w:rFonts w:hint="eastAsia" w:ascii="宋体" w:hAnsi="宋体" w:eastAsia="宋体" w:cs="宋体"/>
          <w:color w:val="auto"/>
          <w:szCs w:val="21"/>
          <w:highlight w:val="none"/>
        </w:rPr>
      </w:pPr>
    </w:p>
    <w:p w14:paraId="76419BF0">
      <w:pPr>
        <w:spacing w:line="440" w:lineRule="exact"/>
        <w:ind w:firstLine="420" w:firstLineChars="200"/>
        <w:rPr>
          <w:rFonts w:hint="eastAsia" w:ascii="宋体" w:hAnsi="宋体" w:eastAsia="宋体" w:cs="宋体"/>
          <w:color w:val="auto"/>
          <w:szCs w:val="21"/>
          <w:highlight w:val="none"/>
        </w:rPr>
      </w:pPr>
    </w:p>
    <w:p w14:paraId="131B382C">
      <w:pPr>
        <w:spacing w:line="440" w:lineRule="exact"/>
        <w:ind w:firstLine="420" w:firstLineChars="200"/>
        <w:rPr>
          <w:rFonts w:hint="eastAsia" w:ascii="宋体" w:hAnsi="宋体" w:eastAsia="宋体" w:cs="宋体"/>
          <w:color w:val="auto"/>
          <w:szCs w:val="21"/>
          <w:highlight w:val="none"/>
        </w:rPr>
      </w:pPr>
    </w:p>
    <w:p w14:paraId="115BC48F">
      <w:pPr>
        <w:pStyle w:val="442"/>
        <w:spacing w:line="480" w:lineRule="auto"/>
        <w:ind w:firstLine="0"/>
        <w:rPr>
          <w:rFonts w:hint="eastAsia" w:ascii="宋体" w:hAnsi="宋体" w:eastAsia="宋体" w:cs="宋体"/>
          <w:color w:val="auto"/>
          <w:szCs w:val="21"/>
          <w:highlight w:val="none"/>
          <w:u w:val="single"/>
        </w:rPr>
      </w:pPr>
      <w:r>
        <w:rPr>
          <w:rFonts w:hint="eastAsia" w:ascii="宋体" w:hAnsi="宋体" w:cs="宋体"/>
          <w:color w:val="auto"/>
          <w:szCs w:val="21"/>
          <w:highlight w:val="none"/>
          <w:lang w:val="en-US" w:eastAsia="zh-CN"/>
        </w:rPr>
        <w:t>供应商</w:t>
      </w:r>
      <w:r>
        <w:rPr>
          <w:rFonts w:hint="eastAsia" w:ascii="宋体" w:hAnsi="宋体" w:eastAsia="宋体" w:cs="宋体"/>
          <w:color w:val="auto"/>
          <w:szCs w:val="21"/>
          <w:highlight w:val="none"/>
        </w:rPr>
        <w:t>（</w:t>
      </w:r>
      <w:r>
        <w:rPr>
          <w:rFonts w:hint="eastAsia" w:ascii="宋体" w:hAnsi="宋体" w:cs="宋体"/>
          <w:color w:val="auto"/>
          <w:szCs w:val="21"/>
          <w:highlight w:val="none"/>
          <w:lang w:eastAsia="zh-CN"/>
        </w:rPr>
        <w:t>盖章</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p>
    <w:p w14:paraId="2D7F8617">
      <w:pPr>
        <w:pStyle w:val="442"/>
        <w:spacing w:line="480" w:lineRule="auto"/>
        <w:ind w:firstLine="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法定代表人或授权委托代理人（</w:t>
      </w:r>
      <w:r>
        <w:rPr>
          <w:rFonts w:hint="eastAsia" w:ascii="宋体" w:hAnsi="宋体" w:cs="宋体"/>
          <w:color w:val="auto"/>
          <w:szCs w:val="21"/>
          <w:highlight w:val="none"/>
          <w:lang w:eastAsia="zh-CN"/>
        </w:rPr>
        <w:t>签字或盖章</w:t>
      </w:r>
      <w:r>
        <w:rPr>
          <w:rFonts w:hint="eastAsia" w:ascii="宋体" w:hAnsi="宋体" w:eastAsia="宋体" w:cs="宋体"/>
          <w:color w:val="auto"/>
          <w:szCs w:val="21"/>
          <w:highlight w:val="none"/>
        </w:rPr>
        <w:t>）：___________</w:t>
      </w:r>
    </w:p>
    <w:p w14:paraId="4A90CD25">
      <w:pPr>
        <w:pStyle w:val="442"/>
        <w:spacing w:line="480" w:lineRule="auto"/>
        <w:ind w:firstLine="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2F883035">
      <w:pPr>
        <w:snapToGrid w:val="0"/>
        <w:spacing w:line="360" w:lineRule="auto"/>
        <w:ind w:firstLine="422" w:firstLineChars="200"/>
        <w:jc w:val="left"/>
        <w:rPr>
          <w:rFonts w:hint="eastAsia" w:ascii="宋体" w:hAnsi="宋体" w:eastAsia="宋体" w:cs="宋体"/>
          <w:b/>
          <w:color w:val="auto"/>
          <w:highlight w:val="none"/>
        </w:rPr>
      </w:pPr>
    </w:p>
    <w:p w14:paraId="4CA069FD">
      <w:pPr>
        <w:snapToGrid w:val="0"/>
        <w:spacing w:line="360" w:lineRule="auto"/>
        <w:ind w:firstLine="422" w:firstLineChars="200"/>
        <w:jc w:val="left"/>
        <w:rPr>
          <w:rFonts w:hint="eastAsia" w:ascii="宋体" w:hAnsi="宋体" w:eastAsia="宋体" w:cs="宋体"/>
          <w:b/>
          <w:color w:val="auto"/>
          <w:highlight w:val="none"/>
        </w:rPr>
      </w:pPr>
    </w:p>
    <w:p w14:paraId="7322FECC">
      <w:pPr>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br w:type="page"/>
      </w:r>
    </w:p>
    <w:p w14:paraId="66A25345">
      <w:pPr>
        <w:pStyle w:val="424"/>
        <w:numPr>
          <w:ilvl w:val="0"/>
          <w:numId w:val="0"/>
        </w:numPr>
        <w:shd w:val="clear"/>
        <w:tabs>
          <w:tab w:val="left" w:pos="1353"/>
        </w:tabs>
        <w:spacing w:line="360" w:lineRule="auto"/>
        <w:ind w:leftChars="0"/>
        <w:outlineLvl w:val="9"/>
        <w:rPr>
          <w:rFonts w:hint="eastAsia" w:ascii="宋体" w:hAnsi="宋体" w:cs="宋体"/>
          <w:b/>
          <w:color w:val="auto"/>
          <w:sz w:val="24"/>
          <w:highlight w:val="none"/>
          <w:lang w:val="en-US" w:eastAsia="zh-CN"/>
        </w:rPr>
      </w:pPr>
    </w:p>
    <w:p w14:paraId="626E1493">
      <w:pPr>
        <w:pStyle w:val="424"/>
        <w:numPr>
          <w:ilvl w:val="0"/>
          <w:numId w:val="0"/>
        </w:numPr>
        <w:shd w:val="clear"/>
        <w:tabs>
          <w:tab w:val="left" w:pos="1353"/>
        </w:tabs>
        <w:spacing w:line="360" w:lineRule="auto"/>
        <w:ind w:leftChars="0"/>
        <w:jc w:val="center"/>
        <w:outlineLvl w:val="9"/>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项目管理机构组成表</w:t>
      </w:r>
    </w:p>
    <w:p w14:paraId="0405D964">
      <w:pPr>
        <w:spacing w:line="15" w:lineRule="auto"/>
        <w:rPr>
          <w:rFonts w:ascii="Arial"/>
          <w:color w:val="auto"/>
          <w:sz w:val="2"/>
          <w:highlight w:val="none"/>
        </w:rPr>
      </w:pPr>
    </w:p>
    <w:tbl>
      <w:tblPr>
        <w:tblStyle w:val="445"/>
        <w:tblW w:w="9366" w:type="dxa"/>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8"/>
        <w:gridCol w:w="725"/>
        <w:gridCol w:w="888"/>
        <w:gridCol w:w="1449"/>
        <w:gridCol w:w="899"/>
        <w:gridCol w:w="1079"/>
        <w:gridCol w:w="899"/>
        <w:gridCol w:w="1712"/>
        <w:gridCol w:w="997"/>
      </w:tblGrid>
      <w:tr w14:paraId="5EE00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trPr>
        <w:tc>
          <w:tcPr>
            <w:tcW w:w="718" w:type="dxa"/>
            <w:vMerge w:val="restart"/>
            <w:tcBorders>
              <w:bottom w:val="nil"/>
            </w:tcBorders>
            <w:vAlign w:val="top"/>
          </w:tcPr>
          <w:p w14:paraId="2146C996">
            <w:pPr>
              <w:spacing w:line="304" w:lineRule="auto"/>
              <w:rPr>
                <w:rFonts w:ascii="Arial"/>
                <w:color w:val="auto"/>
                <w:sz w:val="21"/>
                <w:highlight w:val="none"/>
              </w:rPr>
            </w:pPr>
          </w:p>
          <w:p w14:paraId="5E31025C">
            <w:pPr>
              <w:pStyle w:val="444"/>
              <w:spacing w:before="72" w:line="220" w:lineRule="auto"/>
              <w:ind w:left="141"/>
              <w:rPr>
                <w:color w:val="auto"/>
                <w:sz w:val="22"/>
                <w:szCs w:val="22"/>
                <w:highlight w:val="none"/>
              </w:rPr>
            </w:pPr>
            <w:r>
              <w:rPr>
                <w:color w:val="auto"/>
                <w:spacing w:val="-3"/>
                <w:sz w:val="22"/>
                <w:szCs w:val="22"/>
                <w:highlight w:val="none"/>
              </w:rPr>
              <w:t>职务</w:t>
            </w:r>
          </w:p>
        </w:tc>
        <w:tc>
          <w:tcPr>
            <w:tcW w:w="725" w:type="dxa"/>
            <w:vMerge w:val="restart"/>
            <w:tcBorders>
              <w:bottom w:val="nil"/>
            </w:tcBorders>
            <w:vAlign w:val="top"/>
          </w:tcPr>
          <w:p w14:paraId="4605767A">
            <w:pPr>
              <w:spacing w:line="304" w:lineRule="auto"/>
              <w:rPr>
                <w:rFonts w:ascii="Arial"/>
                <w:color w:val="auto"/>
                <w:sz w:val="21"/>
                <w:highlight w:val="none"/>
              </w:rPr>
            </w:pPr>
          </w:p>
          <w:p w14:paraId="686CF184">
            <w:pPr>
              <w:pStyle w:val="444"/>
              <w:spacing w:before="72" w:line="220" w:lineRule="auto"/>
              <w:ind w:left="142"/>
              <w:rPr>
                <w:color w:val="auto"/>
                <w:sz w:val="22"/>
                <w:szCs w:val="22"/>
                <w:highlight w:val="none"/>
              </w:rPr>
            </w:pPr>
            <w:r>
              <w:rPr>
                <w:color w:val="auto"/>
                <w:spacing w:val="-3"/>
                <w:sz w:val="22"/>
                <w:szCs w:val="22"/>
                <w:highlight w:val="none"/>
              </w:rPr>
              <w:t>姓名</w:t>
            </w:r>
          </w:p>
        </w:tc>
        <w:tc>
          <w:tcPr>
            <w:tcW w:w="888" w:type="dxa"/>
            <w:vMerge w:val="restart"/>
            <w:tcBorders>
              <w:bottom w:val="nil"/>
            </w:tcBorders>
            <w:vAlign w:val="top"/>
          </w:tcPr>
          <w:p w14:paraId="4C409FC3">
            <w:pPr>
              <w:spacing w:line="304" w:lineRule="auto"/>
              <w:rPr>
                <w:rFonts w:ascii="Arial"/>
                <w:color w:val="auto"/>
                <w:sz w:val="21"/>
                <w:highlight w:val="none"/>
              </w:rPr>
            </w:pPr>
          </w:p>
          <w:p w14:paraId="4306240E">
            <w:pPr>
              <w:pStyle w:val="444"/>
              <w:spacing w:before="72" w:line="222" w:lineRule="auto"/>
              <w:ind w:left="225"/>
              <w:rPr>
                <w:color w:val="auto"/>
                <w:sz w:val="22"/>
                <w:szCs w:val="22"/>
                <w:highlight w:val="none"/>
              </w:rPr>
            </w:pPr>
            <w:r>
              <w:rPr>
                <w:color w:val="auto"/>
                <w:spacing w:val="-3"/>
                <w:sz w:val="22"/>
                <w:szCs w:val="22"/>
                <w:highlight w:val="none"/>
              </w:rPr>
              <w:t>职称</w:t>
            </w:r>
          </w:p>
        </w:tc>
        <w:tc>
          <w:tcPr>
            <w:tcW w:w="6038" w:type="dxa"/>
            <w:gridSpan w:val="5"/>
            <w:vAlign w:val="top"/>
          </w:tcPr>
          <w:p w14:paraId="39B9F2EA">
            <w:pPr>
              <w:pStyle w:val="444"/>
              <w:spacing w:before="126" w:line="220" w:lineRule="auto"/>
              <w:ind w:left="2034"/>
              <w:rPr>
                <w:color w:val="auto"/>
                <w:sz w:val="22"/>
                <w:szCs w:val="22"/>
                <w:highlight w:val="none"/>
              </w:rPr>
            </w:pPr>
            <w:r>
              <w:rPr>
                <w:color w:val="auto"/>
                <w:spacing w:val="-1"/>
                <w:sz w:val="22"/>
                <w:szCs w:val="22"/>
                <w:highlight w:val="none"/>
              </w:rPr>
              <w:t>执业或职业资格证明</w:t>
            </w:r>
          </w:p>
        </w:tc>
        <w:tc>
          <w:tcPr>
            <w:tcW w:w="997" w:type="dxa"/>
            <w:vMerge w:val="restart"/>
            <w:tcBorders>
              <w:bottom w:val="nil"/>
            </w:tcBorders>
            <w:vAlign w:val="top"/>
          </w:tcPr>
          <w:p w14:paraId="27844CB4">
            <w:pPr>
              <w:spacing w:line="305" w:lineRule="auto"/>
              <w:rPr>
                <w:rFonts w:ascii="Arial"/>
                <w:color w:val="auto"/>
                <w:sz w:val="21"/>
                <w:highlight w:val="none"/>
              </w:rPr>
            </w:pPr>
          </w:p>
          <w:p w14:paraId="1779E4F2">
            <w:pPr>
              <w:pStyle w:val="444"/>
              <w:spacing w:before="71" w:line="221" w:lineRule="auto"/>
              <w:ind w:left="287"/>
              <w:rPr>
                <w:color w:val="auto"/>
                <w:sz w:val="22"/>
                <w:szCs w:val="22"/>
                <w:highlight w:val="none"/>
              </w:rPr>
            </w:pPr>
            <w:r>
              <w:rPr>
                <w:color w:val="auto"/>
                <w:spacing w:val="-3"/>
                <w:sz w:val="22"/>
                <w:szCs w:val="22"/>
                <w:highlight w:val="none"/>
              </w:rPr>
              <w:t>备注</w:t>
            </w:r>
          </w:p>
        </w:tc>
      </w:tr>
      <w:tr w14:paraId="4E179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718" w:type="dxa"/>
            <w:vMerge w:val="continue"/>
            <w:tcBorders>
              <w:top w:val="nil"/>
            </w:tcBorders>
            <w:vAlign w:val="top"/>
          </w:tcPr>
          <w:p w14:paraId="0EE1671A">
            <w:pPr>
              <w:rPr>
                <w:rFonts w:ascii="Arial"/>
                <w:color w:val="auto"/>
                <w:sz w:val="21"/>
                <w:highlight w:val="none"/>
              </w:rPr>
            </w:pPr>
          </w:p>
        </w:tc>
        <w:tc>
          <w:tcPr>
            <w:tcW w:w="725" w:type="dxa"/>
            <w:vMerge w:val="continue"/>
            <w:tcBorders>
              <w:top w:val="nil"/>
            </w:tcBorders>
            <w:vAlign w:val="top"/>
          </w:tcPr>
          <w:p w14:paraId="666B64A5">
            <w:pPr>
              <w:rPr>
                <w:rFonts w:ascii="Arial"/>
                <w:color w:val="auto"/>
                <w:sz w:val="21"/>
                <w:highlight w:val="none"/>
              </w:rPr>
            </w:pPr>
          </w:p>
        </w:tc>
        <w:tc>
          <w:tcPr>
            <w:tcW w:w="888" w:type="dxa"/>
            <w:vMerge w:val="continue"/>
            <w:tcBorders>
              <w:top w:val="nil"/>
            </w:tcBorders>
            <w:vAlign w:val="top"/>
          </w:tcPr>
          <w:p w14:paraId="66B5B792">
            <w:pPr>
              <w:rPr>
                <w:rFonts w:ascii="Arial"/>
                <w:color w:val="auto"/>
                <w:sz w:val="21"/>
                <w:highlight w:val="none"/>
              </w:rPr>
            </w:pPr>
          </w:p>
        </w:tc>
        <w:tc>
          <w:tcPr>
            <w:tcW w:w="1449" w:type="dxa"/>
            <w:vAlign w:val="top"/>
          </w:tcPr>
          <w:p w14:paraId="0013724A">
            <w:pPr>
              <w:pStyle w:val="444"/>
              <w:spacing w:before="63" w:line="219" w:lineRule="auto"/>
              <w:ind w:left="287"/>
              <w:rPr>
                <w:color w:val="auto"/>
                <w:sz w:val="22"/>
                <w:szCs w:val="22"/>
                <w:highlight w:val="none"/>
              </w:rPr>
            </w:pPr>
            <w:r>
              <w:rPr>
                <w:color w:val="auto"/>
                <w:spacing w:val="-2"/>
                <w:sz w:val="22"/>
                <w:szCs w:val="22"/>
                <w:highlight w:val="none"/>
              </w:rPr>
              <w:t>证书名称</w:t>
            </w:r>
          </w:p>
        </w:tc>
        <w:tc>
          <w:tcPr>
            <w:tcW w:w="899" w:type="dxa"/>
            <w:vAlign w:val="top"/>
          </w:tcPr>
          <w:p w14:paraId="38269FE9">
            <w:pPr>
              <w:pStyle w:val="444"/>
              <w:spacing w:before="63" w:line="220" w:lineRule="auto"/>
              <w:ind w:left="237"/>
              <w:rPr>
                <w:color w:val="auto"/>
                <w:sz w:val="22"/>
                <w:szCs w:val="22"/>
                <w:highlight w:val="none"/>
              </w:rPr>
            </w:pPr>
            <w:r>
              <w:rPr>
                <w:color w:val="auto"/>
                <w:spacing w:val="-4"/>
                <w:sz w:val="22"/>
                <w:szCs w:val="22"/>
                <w:highlight w:val="none"/>
              </w:rPr>
              <w:t>级别</w:t>
            </w:r>
          </w:p>
        </w:tc>
        <w:tc>
          <w:tcPr>
            <w:tcW w:w="1079" w:type="dxa"/>
            <w:vAlign w:val="top"/>
          </w:tcPr>
          <w:p w14:paraId="0F3023E8">
            <w:pPr>
              <w:pStyle w:val="444"/>
              <w:spacing w:before="63" w:line="221" w:lineRule="auto"/>
              <w:ind w:left="324"/>
              <w:rPr>
                <w:color w:val="auto"/>
                <w:sz w:val="22"/>
                <w:szCs w:val="22"/>
                <w:highlight w:val="none"/>
              </w:rPr>
            </w:pPr>
            <w:r>
              <w:rPr>
                <w:color w:val="auto"/>
                <w:spacing w:val="-3"/>
                <w:sz w:val="22"/>
                <w:szCs w:val="22"/>
                <w:highlight w:val="none"/>
              </w:rPr>
              <w:t>证号</w:t>
            </w:r>
          </w:p>
        </w:tc>
        <w:tc>
          <w:tcPr>
            <w:tcW w:w="899" w:type="dxa"/>
            <w:vAlign w:val="top"/>
          </w:tcPr>
          <w:p w14:paraId="16E05B13">
            <w:pPr>
              <w:pStyle w:val="444"/>
              <w:spacing w:before="63" w:line="220" w:lineRule="auto"/>
              <w:ind w:left="236"/>
              <w:rPr>
                <w:color w:val="auto"/>
                <w:sz w:val="22"/>
                <w:szCs w:val="22"/>
                <w:highlight w:val="none"/>
              </w:rPr>
            </w:pPr>
            <w:r>
              <w:rPr>
                <w:color w:val="auto"/>
                <w:spacing w:val="-3"/>
                <w:sz w:val="22"/>
                <w:szCs w:val="22"/>
                <w:highlight w:val="none"/>
              </w:rPr>
              <w:t>专业</w:t>
            </w:r>
          </w:p>
        </w:tc>
        <w:tc>
          <w:tcPr>
            <w:tcW w:w="1712" w:type="dxa"/>
            <w:vAlign w:val="top"/>
          </w:tcPr>
          <w:p w14:paraId="14ADDD56">
            <w:pPr>
              <w:pStyle w:val="444"/>
              <w:spacing w:before="62" w:line="220" w:lineRule="auto"/>
              <w:ind w:left="424"/>
              <w:rPr>
                <w:rFonts w:hint="default" w:eastAsia="宋体"/>
                <w:color w:val="auto"/>
                <w:sz w:val="22"/>
                <w:szCs w:val="22"/>
                <w:highlight w:val="none"/>
                <w:lang w:val="en-US" w:eastAsia="zh-CN"/>
              </w:rPr>
            </w:pPr>
            <w:r>
              <w:rPr>
                <w:rFonts w:hint="eastAsia"/>
                <w:color w:val="auto"/>
                <w:spacing w:val="-2"/>
                <w:sz w:val="22"/>
                <w:szCs w:val="22"/>
                <w:highlight w:val="none"/>
                <w:lang w:val="en-US" w:eastAsia="zh-CN"/>
              </w:rPr>
              <w:t>拟委派岗位</w:t>
            </w:r>
          </w:p>
        </w:tc>
        <w:tc>
          <w:tcPr>
            <w:tcW w:w="997" w:type="dxa"/>
            <w:vMerge w:val="continue"/>
            <w:tcBorders>
              <w:top w:val="nil"/>
            </w:tcBorders>
            <w:vAlign w:val="top"/>
          </w:tcPr>
          <w:p w14:paraId="251D5AC0">
            <w:pPr>
              <w:rPr>
                <w:rFonts w:ascii="Arial"/>
                <w:color w:val="auto"/>
                <w:sz w:val="21"/>
                <w:highlight w:val="none"/>
              </w:rPr>
            </w:pPr>
          </w:p>
        </w:tc>
      </w:tr>
      <w:tr w14:paraId="780BA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8" w:hRule="atLeast"/>
        </w:trPr>
        <w:tc>
          <w:tcPr>
            <w:tcW w:w="718" w:type="dxa"/>
            <w:vAlign w:val="top"/>
          </w:tcPr>
          <w:p w14:paraId="2EE83E5F">
            <w:pPr>
              <w:rPr>
                <w:rFonts w:ascii="Arial"/>
                <w:color w:val="auto"/>
                <w:sz w:val="21"/>
                <w:highlight w:val="none"/>
              </w:rPr>
            </w:pPr>
          </w:p>
        </w:tc>
        <w:tc>
          <w:tcPr>
            <w:tcW w:w="725" w:type="dxa"/>
            <w:vAlign w:val="top"/>
          </w:tcPr>
          <w:p w14:paraId="5D8069B8">
            <w:pPr>
              <w:rPr>
                <w:rFonts w:ascii="Arial"/>
                <w:color w:val="auto"/>
                <w:sz w:val="21"/>
                <w:highlight w:val="none"/>
              </w:rPr>
            </w:pPr>
          </w:p>
        </w:tc>
        <w:tc>
          <w:tcPr>
            <w:tcW w:w="888" w:type="dxa"/>
            <w:vAlign w:val="top"/>
          </w:tcPr>
          <w:p w14:paraId="76995A71">
            <w:pPr>
              <w:rPr>
                <w:rFonts w:ascii="Arial"/>
                <w:color w:val="auto"/>
                <w:sz w:val="21"/>
                <w:highlight w:val="none"/>
              </w:rPr>
            </w:pPr>
          </w:p>
        </w:tc>
        <w:tc>
          <w:tcPr>
            <w:tcW w:w="1449" w:type="dxa"/>
            <w:vAlign w:val="top"/>
          </w:tcPr>
          <w:p w14:paraId="6AA3B781">
            <w:pPr>
              <w:rPr>
                <w:rFonts w:ascii="Arial"/>
                <w:color w:val="auto"/>
                <w:sz w:val="21"/>
                <w:highlight w:val="none"/>
              </w:rPr>
            </w:pPr>
          </w:p>
        </w:tc>
        <w:tc>
          <w:tcPr>
            <w:tcW w:w="899" w:type="dxa"/>
            <w:vAlign w:val="top"/>
          </w:tcPr>
          <w:p w14:paraId="04001E5E">
            <w:pPr>
              <w:rPr>
                <w:rFonts w:ascii="Arial"/>
                <w:color w:val="auto"/>
                <w:sz w:val="21"/>
                <w:highlight w:val="none"/>
              </w:rPr>
            </w:pPr>
          </w:p>
        </w:tc>
        <w:tc>
          <w:tcPr>
            <w:tcW w:w="1079" w:type="dxa"/>
            <w:vAlign w:val="top"/>
          </w:tcPr>
          <w:p w14:paraId="7A2A92E3">
            <w:pPr>
              <w:rPr>
                <w:rFonts w:ascii="Arial"/>
                <w:color w:val="auto"/>
                <w:sz w:val="21"/>
                <w:highlight w:val="none"/>
              </w:rPr>
            </w:pPr>
          </w:p>
        </w:tc>
        <w:tc>
          <w:tcPr>
            <w:tcW w:w="899" w:type="dxa"/>
            <w:vAlign w:val="top"/>
          </w:tcPr>
          <w:p w14:paraId="44450DD2">
            <w:pPr>
              <w:rPr>
                <w:rFonts w:ascii="Arial"/>
                <w:color w:val="auto"/>
                <w:sz w:val="21"/>
                <w:highlight w:val="none"/>
              </w:rPr>
            </w:pPr>
          </w:p>
        </w:tc>
        <w:tc>
          <w:tcPr>
            <w:tcW w:w="1712" w:type="dxa"/>
            <w:vAlign w:val="top"/>
          </w:tcPr>
          <w:p w14:paraId="716179D3">
            <w:pPr>
              <w:rPr>
                <w:rFonts w:ascii="Arial"/>
                <w:color w:val="auto"/>
                <w:sz w:val="21"/>
                <w:highlight w:val="none"/>
              </w:rPr>
            </w:pPr>
          </w:p>
        </w:tc>
        <w:tc>
          <w:tcPr>
            <w:tcW w:w="997" w:type="dxa"/>
            <w:vAlign w:val="top"/>
          </w:tcPr>
          <w:p w14:paraId="50CDA094">
            <w:pPr>
              <w:rPr>
                <w:rFonts w:ascii="Arial"/>
                <w:color w:val="auto"/>
                <w:sz w:val="21"/>
                <w:highlight w:val="none"/>
              </w:rPr>
            </w:pPr>
          </w:p>
        </w:tc>
      </w:tr>
      <w:tr w14:paraId="46AFBD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8" w:hRule="atLeast"/>
        </w:trPr>
        <w:tc>
          <w:tcPr>
            <w:tcW w:w="718" w:type="dxa"/>
            <w:vAlign w:val="top"/>
          </w:tcPr>
          <w:p w14:paraId="0FDEB421">
            <w:pPr>
              <w:rPr>
                <w:rFonts w:ascii="Arial"/>
                <w:color w:val="auto"/>
                <w:sz w:val="21"/>
                <w:highlight w:val="none"/>
              </w:rPr>
            </w:pPr>
          </w:p>
        </w:tc>
        <w:tc>
          <w:tcPr>
            <w:tcW w:w="725" w:type="dxa"/>
            <w:vAlign w:val="top"/>
          </w:tcPr>
          <w:p w14:paraId="2268B215">
            <w:pPr>
              <w:rPr>
                <w:rFonts w:ascii="Arial"/>
                <w:color w:val="auto"/>
                <w:sz w:val="21"/>
                <w:highlight w:val="none"/>
              </w:rPr>
            </w:pPr>
          </w:p>
        </w:tc>
        <w:tc>
          <w:tcPr>
            <w:tcW w:w="888" w:type="dxa"/>
            <w:vAlign w:val="top"/>
          </w:tcPr>
          <w:p w14:paraId="2D25A17F">
            <w:pPr>
              <w:rPr>
                <w:rFonts w:ascii="Arial"/>
                <w:color w:val="auto"/>
                <w:sz w:val="21"/>
                <w:highlight w:val="none"/>
              </w:rPr>
            </w:pPr>
          </w:p>
        </w:tc>
        <w:tc>
          <w:tcPr>
            <w:tcW w:w="1449" w:type="dxa"/>
            <w:vAlign w:val="top"/>
          </w:tcPr>
          <w:p w14:paraId="6F114D84">
            <w:pPr>
              <w:rPr>
                <w:rFonts w:ascii="Arial"/>
                <w:color w:val="auto"/>
                <w:sz w:val="21"/>
                <w:highlight w:val="none"/>
              </w:rPr>
            </w:pPr>
          </w:p>
        </w:tc>
        <w:tc>
          <w:tcPr>
            <w:tcW w:w="899" w:type="dxa"/>
            <w:vAlign w:val="top"/>
          </w:tcPr>
          <w:p w14:paraId="76BD7BC8">
            <w:pPr>
              <w:rPr>
                <w:rFonts w:ascii="Arial"/>
                <w:color w:val="auto"/>
                <w:sz w:val="21"/>
                <w:highlight w:val="none"/>
              </w:rPr>
            </w:pPr>
          </w:p>
        </w:tc>
        <w:tc>
          <w:tcPr>
            <w:tcW w:w="1079" w:type="dxa"/>
            <w:vAlign w:val="top"/>
          </w:tcPr>
          <w:p w14:paraId="660B1415">
            <w:pPr>
              <w:rPr>
                <w:rFonts w:ascii="Arial"/>
                <w:color w:val="auto"/>
                <w:sz w:val="21"/>
                <w:highlight w:val="none"/>
              </w:rPr>
            </w:pPr>
          </w:p>
        </w:tc>
        <w:tc>
          <w:tcPr>
            <w:tcW w:w="899" w:type="dxa"/>
            <w:vAlign w:val="top"/>
          </w:tcPr>
          <w:p w14:paraId="5EB1FB30">
            <w:pPr>
              <w:rPr>
                <w:rFonts w:ascii="Arial"/>
                <w:color w:val="auto"/>
                <w:sz w:val="21"/>
                <w:highlight w:val="none"/>
              </w:rPr>
            </w:pPr>
          </w:p>
        </w:tc>
        <w:tc>
          <w:tcPr>
            <w:tcW w:w="1712" w:type="dxa"/>
            <w:vAlign w:val="top"/>
          </w:tcPr>
          <w:p w14:paraId="5E954B7B">
            <w:pPr>
              <w:rPr>
                <w:rFonts w:ascii="Arial"/>
                <w:color w:val="auto"/>
                <w:sz w:val="21"/>
                <w:highlight w:val="none"/>
              </w:rPr>
            </w:pPr>
          </w:p>
        </w:tc>
        <w:tc>
          <w:tcPr>
            <w:tcW w:w="997" w:type="dxa"/>
            <w:vAlign w:val="top"/>
          </w:tcPr>
          <w:p w14:paraId="4A4C2496">
            <w:pPr>
              <w:rPr>
                <w:rFonts w:ascii="Arial"/>
                <w:color w:val="auto"/>
                <w:sz w:val="21"/>
                <w:highlight w:val="none"/>
              </w:rPr>
            </w:pPr>
          </w:p>
        </w:tc>
      </w:tr>
      <w:tr w14:paraId="42F535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7" w:hRule="atLeast"/>
        </w:trPr>
        <w:tc>
          <w:tcPr>
            <w:tcW w:w="718" w:type="dxa"/>
            <w:vAlign w:val="top"/>
          </w:tcPr>
          <w:p w14:paraId="1F7A2E0E">
            <w:pPr>
              <w:rPr>
                <w:rFonts w:ascii="Arial"/>
                <w:color w:val="auto"/>
                <w:sz w:val="21"/>
                <w:highlight w:val="none"/>
              </w:rPr>
            </w:pPr>
          </w:p>
        </w:tc>
        <w:tc>
          <w:tcPr>
            <w:tcW w:w="725" w:type="dxa"/>
            <w:vAlign w:val="top"/>
          </w:tcPr>
          <w:p w14:paraId="7035C8AE">
            <w:pPr>
              <w:rPr>
                <w:rFonts w:ascii="Arial"/>
                <w:color w:val="auto"/>
                <w:sz w:val="21"/>
                <w:highlight w:val="none"/>
              </w:rPr>
            </w:pPr>
          </w:p>
        </w:tc>
        <w:tc>
          <w:tcPr>
            <w:tcW w:w="888" w:type="dxa"/>
            <w:vAlign w:val="top"/>
          </w:tcPr>
          <w:p w14:paraId="6B07E830">
            <w:pPr>
              <w:rPr>
                <w:rFonts w:ascii="Arial"/>
                <w:color w:val="auto"/>
                <w:sz w:val="21"/>
                <w:highlight w:val="none"/>
              </w:rPr>
            </w:pPr>
          </w:p>
        </w:tc>
        <w:tc>
          <w:tcPr>
            <w:tcW w:w="1449" w:type="dxa"/>
            <w:vAlign w:val="top"/>
          </w:tcPr>
          <w:p w14:paraId="5C110533">
            <w:pPr>
              <w:rPr>
                <w:rFonts w:ascii="Arial"/>
                <w:color w:val="auto"/>
                <w:sz w:val="21"/>
                <w:highlight w:val="none"/>
              </w:rPr>
            </w:pPr>
          </w:p>
        </w:tc>
        <w:tc>
          <w:tcPr>
            <w:tcW w:w="899" w:type="dxa"/>
            <w:vAlign w:val="top"/>
          </w:tcPr>
          <w:p w14:paraId="1A3A9A2A">
            <w:pPr>
              <w:rPr>
                <w:rFonts w:ascii="Arial"/>
                <w:color w:val="auto"/>
                <w:sz w:val="21"/>
                <w:highlight w:val="none"/>
              </w:rPr>
            </w:pPr>
          </w:p>
        </w:tc>
        <w:tc>
          <w:tcPr>
            <w:tcW w:w="1079" w:type="dxa"/>
            <w:vAlign w:val="top"/>
          </w:tcPr>
          <w:p w14:paraId="027326E3">
            <w:pPr>
              <w:rPr>
                <w:rFonts w:ascii="Arial"/>
                <w:color w:val="auto"/>
                <w:sz w:val="21"/>
                <w:highlight w:val="none"/>
              </w:rPr>
            </w:pPr>
          </w:p>
        </w:tc>
        <w:tc>
          <w:tcPr>
            <w:tcW w:w="899" w:type="dxa"/>
            <w:vAlign w:val="top"/>
          </w:tcPr>
          <w:p w14:paraId="207133A6">
            <w:pPr>
              <w:rPr>
                <w:rFonts w:ascii="Arial"/>
                <w:color w:val="auto"/>
                <w:sz w:val="21"/>
                <w:highlight w:val="none"/>
              </w:rPr>
            </w:pPr>
          </w:p>
        </w:tc>
        <w:tc>
          <w:tcPr>
            <w:tcW w:w="1712" w:type="dxa"/>
            <w:vAlign w:val="top"/>
          </w:tcPr>
          <w:p w14:paraId="709B9F1F">
            <w:pPr>
              <w:rPr>
                <w:rFonts w:ascii="Arial"/>
                <w:color w:val="auto"/>
                <w:sz w:val="21"/>
                <w:highlight w:val="none"/>
              </w:rPr>
            </w:pPr>
          </w:p>
        </w:tc>
        <w:tc>
          <w:tcPr>
            <w:tcW w:w="997" w:type="dxa"/>
            <w:vAlign w:val="top"/>
          </w:tcPr>
          <w:p w14:paraId="65C760AB">
            <w:pPr>
              <w:rPr>
                <w:rFonts w:ascii="Arial"/>
                <w:color w:val="auto"/>
                <w:sz w:val="21"/>
                <w:highlight w:val="none"/>
              </w:rPr>
            </w:pPr>
          </w:p>
        </w:tc>
      </w:tr>
      <w:tr w14:paraId="7AC8E0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8" w:hRule="atLeast"/>
        </w:trPr>
        <w:tc>
          <w:tcPr>
            <w:tcW w:w="718" w:type="dxa"/>
            <w:vAlign w:val="top"/>
          </w:tcPr>
          <w:p w14:paraId="2F8EF140">
            <w:pPr>
              <w:rPr>
                <w:rFonts w:ascii="Arial"/>
                <w:color w:val="auto"/>
                <w:sz w:val="21"/>
                <w:highlight w:val="none"/>
              </w:rPr>
            </w:pPr>
          </w:p>
        </w:tc>
        <w:tc>
          <w:tcPr>
            <w:tcW w:w="725" w:type="dxa"/>
            <w:vAlign w:val="top"/>
          </w:tcPr>
          <w:p w14:paraId="7631B208">
            <w:pPr>
              <w:rPr>
                <w:rFonts w:ascii="Arial"/>
                <w:color w:val="auto"/>
                <w:sz w:val="21"/>
                <w:highlight w:val="none"/>
              </w:rPr>
            </w:pPr>
          </w:p>
        </w:tc>
        <w:tc>
          <w:tcPr>
            <w:tcW w:w="888" w:type="dxa"/>
            <w:vAlign w:val="top"/>
          </w:tcPr>
          <w:p w14:paraId="4A8311D1">
            <w:pPr>
              <w:rPr>
                <w:rFonts w:ascii="Arial"/>
                <w:color w:val="auto"/>
                <w:sz w:val="21"/>
                <w:highlight w:val="none"/>
              </w:rPr>
            </w:pPr>
          </w:p>
        </w:tc>
        <w:tc>
          <w:tcPr>
            <w:tcW w:w="1449" w:type="dxa"/>
            <w:vAlign w:val="top"/>
          </w:tcPr>
          <w:p w14:paraId="2BF398C6">
            <w:pPr>
              <w:rPr>
                <w:rFonts w:ascii="Arial"/>
                <w:color w:val="auto"/>
                <w:sz w:val="21"/>
                <w:highlight w:val="none"/>
              </w:rPr>
            </w:pPr>
          </w:p>
        </w:tc>
        <w:tc>
          <w:tcPr>
            <w:tcW w:w="899" w:type="dxa"/>
            <w:vAlign w:val="top"/>
          </w:tcPr>
          <w:p w14:paraId="4773B804">
            <w:pPr>
              <w:rPr>
                <w:rFonts w:ascii="Arial"/>
                <w:color w:val="auto"/>
                <w:sz w:val="21"/>
                <w:highlight w:val="none"/>
              </w:rPr>
            </w:pPr>
          </w:p>
        </w:tc>
        <w:tc>
          <w:tcPr>
            <w:tcW w:w="1079" w:type="dxa"/>
            <w:vAlign w:val="top"/>
          </w:tcPr>
          <w:p w14:paraId="4FDF0F85">
            <w:pPr>
              <w:rPr>
                <w:rFonts w:ascii="Arial"/>
                <w:color w:val="auto"/>
                <w:sz w:val="21"/>
                <w:highlight w:val="none"/>
              </w:rPr>
            </w:pPr>
          </w:p>
        </w:tc>
        <w:tc>
          <w:tcPr>
            <w:tcW w:w="899" w:type="dxa"/>
            <w:vAlign w:val="top"/>
          </w:tcPr>
          <w:p w14:paraId="1A7A0325">
            <w:pPr>
              <w:rPr>
                <w:rFonts w:ascii="Arial"/>
                <w:color w:val="auto"/>
                <w:sz w:val="21"/>
                <w:highlight w:val="none"/>
              </w:rPr>
            </w:pPr>
          </w:p>
        </w:tc>
        <w:tc>
          <w:tcPr>
            <w:tcW w:w="1712" w:type="dxa"/>
            <w:vAlign w:val="top"/>
          </w:tcPr>
          <w:p w14:paraId="5ECA8C30">
            <w:pPr>
              <w:rPr>
                <w:rFonts w:ascii="Arial"/>
                <w:color w:val="auto"/>
                <w:sz w:val="21"/>
                <w:highlight w:val="none"/>
              </w:rPr>
            </w:pPr>
          </w:p>
        </w:tc>
        <w:tc>
          <w:tcPr>
            <w:tcW w:w="997" w:type="dxa"/>
            <w:vAlign w:val="top"/>
          </w:tcPr>
          <w:p w14:paraId="09C1D329">
            <w:pPr>
              <w:rPr>
                <w:rFonts w:ascii="Arial"/>
                <w:color w:val="auto"/>
                <w:sz w:val="21"/>
                <w:highlight w:val="none"/>
              </w:rPr>
            </w:pPr>
          </w:p>
        </w:tc>
      </w:tr>
      <w:tr w14:paraId="011BC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7" w:hRule="atLeast"/>
        </w:trPr>
        <w:tc>
          <w:tcPr>
            <w:tcW w:w="718" w:type="dxa"/>
            <w:vAlign w:val="top"/>
          </w:tcPr>
          <w:p w14:paraId="64D69008">
            <w:pPr>
              <w:rPr>
                <w:rFonts w:ascii="Arial"/>
                <w:color w:val="auto"/>
                <w:sz w:val="21"/>
                <w:highlight w:val="none"/>
              </w:rPr>
            </w:pPr>
          </w:p>
        </w:tc>
        <w:tc>
          <w:tcPr>
            <w:tcW w:w="725" w:type="dxa"/>
            <w:vAlign w:val="top"/>
          </w:tcPr>
          <w:p w14:paraId="03A51719">
            <w:pPr>
              <w:rPr>
                <w:rFonts w:ascii="Arial"/>
                <w:color w:val="auto"/>
                <w:sz w:val="21"/>
                <w:highlight w:val="none"/>
              </w:rPr>
            </w:pPr>
          </w:p>
        </w:tc>
        <w:tc>
          <w:tcPr>
            <w:tcW w:w="888" w:type="dxa"/>
            <w:vAlign w:val="top"/>
          </w:tcPr>
          <w:p w14:paraId="369C00D2">
            <w:pPr>
              <w:rPr>
                <w:rFonts w:ascii="Arial"/>
                <w:color w:val="auto"/>
                <w:sz w:val="21"/>
                <w:highlight w:val="none"/>
              </w:rPr>
            </w:pPr>
          </w:p>
        </w:tc>
        <w:tc>
          <w:tcPr>
            <w:tcW w:w="1449" w:type="dxa"/>
            <w:vAlign w:val="top"/>
          </w:tcPr>
          <w:p w14:paraId="488C4BCC">
            <w:pPr>
              <w:rPr>
                <w:rFonts w:ascii="Arial"/>
                <w:color w:val="auto"/>
                <w:sz w:val="21"/>
                <w:highlight w:val="none"/>
              </w:rPr>
            </w:pPr>
          </w:p>
        </w:tc>
        <w:tc>
          <w:tcPr>
            <w:tcW w:w="899" w:type="dxa"/>
            <w:vAlign w:val="top"/>
          </w:tcPr>
          <w:p w14:paraId="7C551EF5">
            <w:pPr>
              <w:rPr>
                <w:rFonts w:ascii="Arial"/>
                <w:color w:val="auto"/>
                <w:sz w:val="21"/>
                <w:highlight w:val="none"/>
              </w:rPr>
            </w:pPr>
          </w:p>
        </w:tc>
        <w:tc>
          <w:tcPr>
            <w:tcW w:w="1079" w:type="dxa"/>
            <w:vAlign w:val="top"/>
          </w:tcPr>
          <w:p w14:paraId="455EB88E">
            <w:pPr>
              <w:rPr>
                <w:rFonts w:ascii="Arial"/>
                <w:color w:val="auto"/>
                <w:sz w:val="21"/>
                <w:highlight w:val="none"/>
              </w:rPr>
            </w:pPr>
          </w:p>
        </w:tc>
        <w:tc>
          <w:tcPr>
            <w:tcW w:w="899" w:type="dxa"/>
            <w:vAlign w:val="top"/>
          </w:tcPr>
          <w:p w14:paraId="45B4C94F">
            <w:pPr>
              <w:rPr>
                <w:rFonts w:ascii="Arial"/>
                <w:color w:val="auto"/>
                <w:sz w:val="21"/>
                <w:highlight w:val="none"/>
              </w:rPr>
            </w:pPr>
          </w:p>
        </w:tc>
        <w:tc>
          <w:tcPr>
            <w:tcW w:w="1712" w:type="dxa"/>
            <w:vAlign w:val="top"/>
          </w:tcPr>
          <w:p w14:paraId="23A2F1E1">
            <w:pPr>
              <w:rPr>
                <w:rFonts w:ascii="Arial"/>
                <w:color w:val="auto"/>
                <w:sz w:val="21"/>
                <w:highlight w:val="none"/>
              </w:rPr>
            </w:pPr>
          </w:p>
        </w:tc>
        <w:tc>
          <w:tcPr>
            <w:tcW w:w="997" w:type="dxa"/>
            <w:vAlign w:val="top"/>
          </w:tcPr>
          <w:p w14:paraId="46954F22">
            <w:pPr>
              <w:rPr>
                <w:rFonts w:ascii="Arial"/>
                <w:color w:val="auto"/>
                <w:sz w:val="21"/>
                <w:highlight w:val="none"/>
              </w:rPr>
            </w:pPr>
          </w:p>
        </w:tc>
      </w:tr>
      <w:tr w14:paraId="50B90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8" w:hRule="atLeast"/>
        </w:trPr>
        <w:tc>
          <w:tcPr>
            <w:tcW w:w="718" w:type="dxa"/>
            <w:vAlign w:val="top"/>
          </w:tcPr>
          <w:p w14:paraId="7403A8ED">
            <w:pPr>
              <w:rPr>
                <w:rFonts w:ascii="Arial"/>
                <w:color w:val="auto"/>
                <w:sz w:val="21"/>
                <w:highlight w:val="none"/>
              </w:rPr>
            </w:pPr>
          </w:p>
        </w:tc>
        <w:tc>
          <w:tcPr>
            <w:tcW w:w="725" w:type="dxa"/>
            <w:vAlign w:val="top"/>
          </w:tcPr>
          <w:p w14:paraId="748B9E35">
            <w:pPr>
              <w:rPr>
                <w:rFonts w:ascii="Arial"/>
                <w:color w:val="auto"/>
                <w:sz w:val="21"/>
                <w:highlight w:val="none"/>
              </w:rPr>
            </w:pPr>
          </w:p>
        </w:tc>
        <w:tc>
          <w:tcPr>
            <w:tcW w:w="888" w:type="dxa"/>
            <w:vAlign w:val="top"/>
          </w:tcPr>
          <w:p w14:paraId="741A3B44">
            <w:pPr>
              <w:rPr>
                <w:rFonts w:ascii="Arial"/>
                <w:color w:val="auto"/>
                <w:sz w:val="21"/>
                <w:highlight w:val="none"/>
              </w:rPr>
            </w:pPr>
          </w:p>
        </w:tc>
        <w:tc>
          <w:tcPr>
            <w:tcW w:w="1449" w:type="dxa"/>
            <w:vAlign w:val="top"/>
          </w:tcPr>
          <w:p w14:paraId="697D24AB">
            <w:pPr>
              <w:rPr>
                <w:rFonts w:ascii="Arial"/>
                <w:color w:val="auto"/>
                <w:sz w:val="21"/>
                <w:highlight w:val="none"/>
              </w:rPr>
            </w:pPr>
          </w:p>
        </w:tc>
        <w:tc>
          <w:tcPr>
            <w:tcW w:w="899" w:type="dxa"/>
            <w:vAlign w:val="top"/>
          </w:tcPr>
          <w:p w14:paraId="27C4E622">
            <w:pPr>
              <w:rPr>
                <w:rFonts w:ascii="Arial"/>
                <w:color w:val="auto"/>
                <w:sz w:val="21"/>
                <w:highlight w:val="none"/>
              </w:rPr>
            </w:pPr>
          </w:p>
        </w:tc>
        <w:tc>
          <w:tcPr>
            <w:tcW w:w="1079" w:type="dxa"/>
            <w:vAlign w:val="top"/>
          </w:tcPr>
          <w:p w14:paraId="36106F78">
            <w:pPr>
              <w:rPr>
                <w:rFonts w:ascii="Arial"/>
                <w:color w:val="auto"/>
                <w:sz w:val="21"/>
                <w:highlight w:val="none"/>
              </w:rPr>
            </w:pPr>
          </w:p>
        </w:tc>
        <w:tc>
          <w:tcPr>
            <w:tcW w:w="899" w:type="dxa"/>
            <w:vAlign w:val="top"/>
          </w:tcPr>
          <w:p w14:paraId="6A7E1B44">
            <w:pPr>
              <w:rPr>
                <w:rFonts w:ascii="Arial"/>
                <w:color w:val="auto"/>
                <w:sz w:val="21"/>
                <w:highlight w:val="none"/>
              </w:rPr>
            </w:pPr>
          </w:p>
        </w:tc>
        <w:tc>
          <w:tcPr>
            <w:tcW w:w="1712" w:type="dxa"/>
            <w:vAlign w:val="top"/>
          </w:tcPr>
          <w:p w14:paraId="640850A5">
            <w:pPr>
              <w:rPr>
                <w:rFonts w:ascii="Arial"/>
                <w:color w:val="auto"/>
                <w:sz w:val="21"/>
                <w:highlight w:val="none"/>
              </w:rPr>
            </w:pPr>
          </w:p>
        </w:tc>
        <w:tc>
          <w:tcPr>
            <w:tcW w:w="997" w:type="dxa"/>
            <w:vAlign w:val="top"/>
          </w:tcPr>
          <w:p w14:paraId="4B8784D7">
            <w:pPr>
              <w:rPr>
                <w:rFonts w:ascii="Arial"/>
                <w:color w:val="auto"/>
                <w:sz w:val="21"/>
                <w:highlight w:val="none"/>
              </w:rPr>
            </w:pPr>
          </w:p>
        </w:tc>
      </w:tr>
      <w:tr w14:paraId="016765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7" w:hRule="atLeast"/>
        </w:trPr>
        <w:tc>
          <w:tcPr>
            <w:tcW w:w="718" w:type="dxa"/>
            <w:vAlign w:val="top"/>
          </w:tcPr>
          <w:p w14:paraId="5C5E1F46">
            <w:pPr>
              <w:rPr>
                <w:rFonts w:ascii="Arial"/>
                <w:color w:val="auto"/>
                <w:sz w:val="21"/>
                <w:highlight w:val="none"/>
              </w:rPr>
            </w:pPr>
          </w:p>
        </w:tc>
        <w:tc>
          <w:tcPr>
            <w:tcW w:w="725" w:type="dxa"/>
            <w:vAlign w:val="top"/>
          </w:tcPr>
          <w:p w14:paraId="5F14A320">
            <w:pPr>
              <w:rPr>
                <w:rFonts w:ascii="Arial"/>
                <w:color w:val="auto"/>
                <w:sz w:val="21"/>
                <w:highlight w:val="none"/>
              </w:rPr>
            </w:pPr>
          </w:p>
        </w:tc>
        <w:tc>
          <w:tcPr>
            <w:tcW w:w="888" w:type="dxa"/>
            <w:vAlign w:val="top"/>
          </w:tcPr>
          <w:p w14:paraId="2E44444D">
            <w:pPr>
              <w:rPr>
                <w:rFonts w:ascii="Arial"/>
                <w:color w:val="auto"/>
                <w:sz w:val="21"/>
                <w:highlight w:val="none"/>
              </w:rPr>
            </w:pPr>
          </w:p>
        </w:tc>
        <w:tc>
          <w:tcPr>
            <w:tcW w:w="1449" w:type="dxa"/>
            <w:vAlign w:val="top"/>
          </w:tcPr>
          <w:p w14:paraId="66FE34E5">
            <w:pPr>
              <w:rPr>
                <w:rFonts w:ascii="Arial"/>
                <w:color w:val="auto"/>
                <w:sz w:val="21"/>
                <w:highlight w:val="none"/>
              </w:rPr>
            </w:pPr>
          </w:p>
        </w:tc>
        <w:tc>
          <w:tcPr>
            <w:tcW w:w="899" w:type="dxa"/>
            <w:vAlign w:val="top"/>
          </w:tcPr>
          <w:p w14:paraId="5477F4B5">
            <w:pPr>
              <w:rPr>
                <w:rFonts w:ascii="Arial"/>
                <w:color w:val="auto"/>
                <w:sz w:val="21"/>
                <w:highlight w:val="none"/>
              </w:rPr>
            </w:pPr>
          </w:p>
        </w:tc>
        <w:tc>
          <w:tcPr>
            <w:tcW w:w="1079" w:type="dxa"/>
            <w:vAlign w:val="top"/>
          </w:tcPr>
          <w:p w14:paraId="60B65E74">
            <w:pPr>
              <w:rPr>
                <w:rFonts w:ascii="Arial"/>
                <w:color w:val="auto"/>
                <w:sz w:val="21"/>
                <w:highlight w:val="none"/>
              </w:rPr>
            </w:pPr>
          </w:p>
        </w:tc>
        <w:tc>
          <w:tcPr>
            <w:tcW w:w="899" w:type="dxa"/>
            <w:vAlign w:val="top"/>
          </w:tcPr>
          <w:p w14:paraId="3F635621">
            <w:pPr>
              <w:rPr>
                <w:rFonts w:ascii="Arial"/>
                <w:color w:val="auto"/>
                <w:sz w:val="21"/>
                <w:highlight w:val="none"/>
              </w:rPr>
            </w:pPr>
          </w:p>
        </w:tc>
        <w:tc>
          <w:tcPr>
            <w:tcW w:w="1712" w:type="dxa"/>
            <w:vAlign w:val="top"/>
          </w:tcPr>
          <w:p w14:paraId="0BD464D6">
            <w:pPr>
              <w:rPr>
                <w:rFonts w:ascii="Arial"/>
                <w:color w:val="auto"/>
                <w:sz w:val="21"/>
                <w:highlight w:val="none"/>
              </w:rPr>
            </w:pPr>
          </w:p>
        </w:tc>
        <w:tc>
          <w:tcPr>
            <w:tcW w:w="997" w:type="dxa"/>
            <w:vAlign w:val="top"/>
          </w:tcPr>
          <w:p w14:paraId="2FBD0434">
            <w:pPr>
              <w:rPr>
                <w:rFonts w:ascii="Arial"/>
                <w:color w:val="auto"/>
                <w:sz w:val="21"/>
                <w:highlight w:val="none"/>
              </w:rPr>
            </w:pPr>
          </w:p>
        </w:tc>
      </w:tr>
      <w:tr w14:paraId="1BD23C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8" w:hRule="atLeast"/>
        </w:trPr>
        <w:tc>
          <w:tcPr>
            <w:tcW w:w="718" w:type="dxa"/>
            <w:vAlign w:val="top"/>
          </w:tcPr>
          <w:p w14:paraId="540D2DC6">
            <w:pPr>
              <w:rPr>
                <w:rFonts w:ascii="Arial"/>
                <w:color w:val="auto"/>
                <w:sz w:val="21"/>
                <w:highlight w:val="none"/>
              </w:rPr>
            </w:pPr>
          </w:p>
        </w:tc>
        <w:tc>
          <w:tcPr>
            <w:tcW w:w="725" w:type="dxa"/>
            <w:vAlign w:val="top"/>
          </w:tcPr>
          <w:p w14:paraId="2EF7CFC5">
            <w:pPr>
              <w:rPr>
                <w:rFonts w:ascii="Arial"/>
                <w:color w:val="auto"/>
                <w:sz w:val="21"/>
                <w:highlight w:val="none"/>
              </w:rPr>
            </w:pPr>
          </w:p>
        </w:tc>
        <w:tc>
          <w:tcPr>
            <w:tcW w:w="888" w:type="dxa"/>
            <w:vAlign w:val="top"/>
          </w:tcPr>
          <w:p w14:paraId="19248F14">
            <w:pPr>
              <w:rPr>
                <w:rFonts w:ascii="Arial"/>
                <w:color w:val="auto"/>
                <w:sz w:val="21"/>
                <w:highlight w:val="none"/>
              </w:rPr>
            </w:pPr>
          </w:p>
        </w:tc>
        <w:tc>
          <w:tcPr>
            <w:tcW w:w="1449" w:type="dxa"/>
            <w:vAlign w:val="top"/>
          </w:tcPr>
          <w:p w14:paraId="0870697E">
            <w:pPr>
              <w:rPr>
                <w:rFonts w:ascii="Arial"/>
                <w:color w:val="auto"/>
                <w:sz w:val="21"/>
                <w:highlight w:val="none"/>
              </w:rPr>
            </w:pPr>
          </w:p>
        </w:tc>
        <w:tc>
          <w:tcPr>
            <w:tcW w:w="899" w:type="dxa"/>
            <w:vAlign w:val="top"/>
          </w:tcPr>
          <w:p w14:paraId="41EEC802">
            <w:pPr>
              <w:rPr>
                <w:rFonts w:ascii="Arial"/>
                <w:color w:val="auto"/>
                <w:sz w:val="21"/>
                <w:highlight w:val="none"/>
              </w:rPr>
            </w:pPr>
          </w:p>
        </w:tc>
        <w:tc>
          <w:tcPr>
            <w:tcW w:w="1079" w:type="dxa"/>
            <w:vAlign w:val="top"/>
          </w:tcPr>
          <w:p w14:paraId="762C5609">
            <w:pPr>
              <w:rPr>
                <w:rFonts w:ascii="Arial"/>
                <w:color w:val="auto"/>
                <w:sz w:val="21"/>
                <w:highlight w:val="none"/>
              </w:rPr>
            </w:pPr>
          </w:p>
        </w:tc>
        <w:tc>
          <w:tcPr>
            <w:tcW w:w="899" w:type="dxa"/>
            <w:vAlign w:val="top"/>
          </w:tcPr>
          <w:p w14:paraId="55C64010">
            <w:pPr>
              <w:rPr>
                <w:rFonts w:ascii="Arial"/>
                <w:color w:val="auto"/>
                <w:sz w:val="21"/>
                <w:highlight w:val="none"/>
              </w:rPr>
            </w:pPr>
          </w:p>
        </w:tc>
        <w:tc>
          <w:tcPr>
            <w:tcW w:w="1712" w:type="dxa"/>
            <w:vAlign w:val="top"/>
          </w:tcPr>
          <w:p w14:paraId="38F83306">
            <w:pPr>
              <w:rPr>
                <w:rFonts w:ascii="Arial"/>
                <w:color w:val="auto"/>
                <w:sz w:val="21"/>
                <w:highlight w:val="none"/>
              </w:rPr>
            </w:pPr>
          </w:p>
        </w:tc>
        <w:tc>
          <w:tcPr>
            <w:tcW w:w="997" w:type="dxa"/>
            <w:vAlign w:val="top"/>
          </w:tcPr>
          <w:p w14:paraId="56800EF4">
            <w:pPr>
              <w:rPr>
                <w:rFonts w:ascii="Arial"/>
                <w:color w:val="auto"/>
                <w:sz w:val="21"/>
                <w:highlight w:val="none"/>
              </w:rPr>
            </w:pPr>
          </w:p>
        </w:tc>
      </w:tr>
      <w:tr w14:paraId="68E3E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7" w:hRule="atLeast"/>
        </w:trPr>
        <w:tc>
          <w:tcPr>
            <w:tcW w:w="718" w:type="dxa"/>
            <w:vAlign w:val="top"/>
          </w:tcPr>
          <w:p w14:paraId="0ECF637A">
            <w:pPr>
              <w:rPr>
                <w:rFonts w:ascii="Arial"/>
                <w:color w:val="auto"/>
                <w:sz w:val="21"/>
                <w:highlight w:val="none"/>
              </w:rPr>
            </w:pPr>
          </w:p>
        </w:tc>
        <w:tc>
          <w:tcPr>
            <w:tcW w:w="725" w:type="dxa"/>
            <w:vAlign w:val="top"/>
          </w:tcPr>
          <w:p w14:paraId="062CC256">
            <w:pPr>
              <w:rPr>
                <w:rFonts w:ascii="Arial"/>
                <w:color w:val="auto"/>
                <w:sz w:val="21"/>
                <w:highlight w:val="none"/>
              </w:rPr>
            </w:pPr>
          </w:p>
        </w:tc>
        <w:tc>
          <w:tcPr>
            <w:tcW w:w="888" w:type="dxa"/>
            <w:vAlign w:val="top"/>
          </w:tcPr>
          <w:p w14:paraId="7DF2A620">
            <w:pPr>
              <w:rPr>
                <w:rFonts w:ascii="Arial"/>
                <w:color w:val="auto"/>
                <w:sz w:val="21"/>
                <w:highlight w:val="none"/>
              </w:rPr>
            </w:pPr>
          </w:p>
        </w:tc>
        <w:tc>
          <w:tcPr>
            <w:tcW w:w="1449" w:type="dxa"/>
            <w:vAlign w:val="top"/>
          </w:tcPr>
          <w:p w14:paraId="3DB5E7EE">
            <w:pPr>
              <w:rPr>
                <w:rFonts w:ascii="Arial"/>
                <w:color w:val="auto"/>
                <w:sz w:val="21"/>
                <w:highlight w:val="none"/>
              </w:rPr>
            </w:pPr>
          </w:p>
        </w:tc>
        <w:tc>
          <w:tcPr>
            <w:tcW w:w="899" w:type="dxa"/>
            <w:vAlign w:val="top"/>
          </w:tcPr>
          <w:p w14:paraId="42FAEE88">
            <w:pPr>
              <w:rPr>
                <w:rFonts w:ascii="Arial"/>
                <w:color w:val="auto"/>
                <w:sz w:val="21"/>
                <w:highlight w:val="none"/>
              </w:rPr>
            </w:pPr>
          </w:p>
        </w:tc>
        <w:tc>
          <w:tcPr>
            <w:tcW w:w="1079" w:type="dxa"/>
            <w:vAlign w:val="top"/>
          </w:tcPr>
          <w:p w14:paraId="0D247AC8">
            <w:pPr>
              <w:rPr>
                <w:rFonts w:ascii="Arial"/>
                <w:color w:val="auto"/>
                <w:sz w:val="21"/>
                <w:highlight w:val="none"/>
              </w:rPr>
            </w:pPr>
          </w:p>
        </w:tc>
        <w:tc>
          <w:tcPr>
            <w:tcW w:w="899" w:type="dxa"/>
            <w:vAlign w:val="top"/>
          </w:tcPr>
          <w:p w14:paraId="1C83C66F">
            <w:pPr>
              <w:rPr>
                <w:rFonts w:ascii="Arial"/>
                <w:color w:val="auto"/>
                <w:sz w:val="21"/>
                <w:highlight w:val="none"/>
              </w:rPr>
            </w:pPr>
          </w:p>
        </w:tc>
        <w:tc>
          <w:tcPr>
            <w:tcW w:w="1712" w:type="dxa"/>
            <w:vAlign w:val="top"/>
          </w:tcPr>
          <w:p w14:paraId="2118E9FA">
            <w:pPr>
              <w:rPr>
                <w:rFonts w:ascii="Arial"/>
                <w:color w:val="auto"/>
                <w:sz w:val="21"/>
                <w:highlight w:val="none"/>
              </w:rPr>
            </w:pPr>
          </w:p>
        </w:tc>
        <w:tc>
          <w:tcPr>
            <w:tcW w:w="997" w:type="dxa"/>
            <w:vAlign w:val="top"/>
          </w:tcPr>
          <w:p w14:paraId="028A025F">
            <w:pPr>
              <w:rPr>
                <w:rFonts w:ascii="Arial"/>
                <w:color w:val="auto"/>
                <w:sz w:val="21"/>
                <w:highlight w:val="none"/>
              </w:rPr>
            </w:pPr>
          </w:p>
        </w:tc>
      </w:tr>
      <w:tr w14:paraId="3E7E81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8" w:hRule="atLeast"/>
        </w:trPr>
        <w:tc>
          <w:tcPr>
            <w:tcW w:w="718" w:type="dxa"/>
            <w:vAlign w:val="top"/>
          </w:tcPr>
          <w:p w14:paraId="41B8BBDD">
            <w:pPr>
              <w:rPr>
                <w:rFonts w:ascii="Arial"/>
                <w:color w:val="auto"/>
                <w:sz w:val="21"/>
                <w:highlight w:val="none"/>
              </w:rPr>
            </w:pPr>
          </w:p>
        </w:tc>
        <w:tc>
          <w:tcPr>
            <w:tcW w:w="725" w:type="dxa"/>
            <w:vAlign w:val="top"/>
          </w:tcPr>
          <w:p w14:paraId="3C3A255F">
            <w:pPr>
              <w:rPr>
                <w:rFonts w:ascii="Arial"/>
                <w:color w:val="auto"/>
                <w:sz w:val="21"/>
                <w:highlight w:val="none"/>
              </w:rPr>
            </w:pPr>
          </w:p>
        </w:tc>
        <w:tc>
          <w:tcPr>
            <w:tcW w:w="888" w:type="dxa"/>
            <w:vAlign w:val="top"/>
          </w:tcPr>
          <w:p w14:paraId="41E90AF7">
            <w:pPr>
              <w:rPr>
                <w:rFonts w:ascii="Arial"/>
                <w:color w:val="auto"/>
                <w:sz w:val="21"/>
                <w:highlight w:val="none"/>
              </w:rPr>
            </w:pPr>
          </w:p>
        </w:tc>
        <w:tc>
          <w:tcPr>
            <w:tcW w:w="1449" w:type="dxa"/>
            <w:vAlign w:val="top"/>
          </w:tcPr>
          <w:p w14:paraId="10E900C4">
            <w:pPr>
              <w:rPr>
                <w:rFonts w:ascii="Arial"/>
                <w:color w:val="auto"/>
                <w:sz w:val="21"/>
                <w:highlight w:val="none"/>
              </w:rPr>
            </w:pPr>
          </w:p>
        </w:tc>
        <w:tc>
          <w:tcPr>
            <w:tcW w:w="899" w:type="dxa"/>
            <w:vAlign w:val="top"/>
          </w:tcPr>
          <w:p w14:paraId="26060E8B">
            <w:pPr>
              <w:rPr>
                <w:rFonts w:ascii="Arial"/>
                <w:color w:val="auto"/>
                <w:sz w:val="21"/>
                <w:highlight w:val="none"/>
              </w:rPr>
            </w:pPr>
          </w:p>
        </w:tc>
        <w:tc>
          <w:tcPr>
            <w:tcW w:w="1079" w:type="dxa"/>
            <w:vAlign w:val="top"/>
          </w:tcPr>
          <w:p w14:paraId="581E65C9">
            <w:pPr>
              <w:rPr>
                <w:rFonts w:ascii="Arial"/>
                <w:color w:val="auto"/>
                <w:sz w:val="21"/>
                <w:highlight w:val="none"/>
              </w:rPr>
            </w:pPr>
          </w:p>
        </w:tc>
        <w:tc>
          <w:tcPr>
            <w:tcW w:w="899" w:type="dxa"/>
            <w:vAlign w:val="top"/>
          </w:tcPr>
          <w:p w14:paraId="36CF2721">
            <w:pPr>
              <w:rPr>
                <w:rFonts w:ascii="Arial"/>
                <w:color w:val="auto"/>
                <w:sz w:val="21"/>
                <w:highlight w:val="none"/>
              </w:rPr>
            </w:pPr>
          </w:p>
        </w:tc>
        <w:tc>
          <w:tcPr>
            <w:tcW w:w="1712" w:type="dxa"/>
            <w:vAlign w:val="top"/>
          </w:tcPr>
          <w:p w14:paraId="5585E1A6">
            <w:pPr>
              <w:rPr>
                <w:rFonts w:ascii="Arial"/>
                <w:color w:val="auto"/>
                <w:sz w:val="21"/>
                <w:highlight w:val="none"/>
              </w:rPr>
            </w:pPr>
          </w:p>
        </w:tc>
        <w:tc>
          <w:tcPr>
            <w:tcW w:w="997" w:type="dxa"/>
            <w:vAlign w:val="top"/>
          </w:tcPr>
          <w:p w14:paraId="6A0F968C">
            <w:pPr>
              <w:rPr>
                <w:rFonts w:ascii="Arial"/>
                <w:color w:val="auto"/>
                <w:sz w:val="21"/>
                <w:highlight w:val="none"/>
              </w:rPr>
            </w:pPr>
          </w:p>
        </w:tc>
      </w:tr>
      <w:tr w14:paraId="1AE68C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2" w:hRule="atLeast"/>
        </w:trPr>
        <w:tc>
          <w:tcPr>
            <w:tcW w:w="718" w:type="dxa"/>
            <w:vAlign w:val="top"/>
          </w:tcPr>
          <w:p w14:paraId="4DE76614">
            <w:pPr>
              <w:rPr>
                <w:rFonts w:ascii="Arial"/>
                <w:color w:val="auto"/>
                <w:sz w:val="21"/>
                <w:highlight w:val="none"/>
              </w:rPr>
            </w:pPr>
          </w:p>
        </w:tc>
        <w:tc>
          <w:tcPr>
            <w:tcW w:w="725" w:type="dxa"/>
            <w:vAlign w:val="top"/>
          </w:tcPr>
          <w:p w14:paraId="588FF845">
            <w:pPr>
              <w:rPr>
                <w:rFonts w:ascii="Arial"/>
                <w:color w:val="auto"/>
                <w:sz w:val="21"/>
                <w:highlight w:val="none"/>
              </w:rPr>
            </w:pPr>
          </w:p>
        </w:tc>
        <w:tc>
          <w:tcPr>
            <w:tcW w:w="888" w:type="dxa"/>
            <w:vAlign w:val="top"/>
          </w:tcPr>
          <w:p w14:paraId="06E67829">
            <w:pPr>
              <w:rPr>
                <w:rFonts w:ascii="Arial"/>
                <w:color w:val="auto"/>
                <w:sz w:val="21"/>
                <w:highlight w:val="none"/>
              </w:rPr>
            </w:pPr>
          </w:p>
        </w:tc>
        <w:tc>
          <w:tcPr>
            <w:tcW w:w="1449" w:type="dxa"/>
            <w:vAlign w:val="top"/>
          </w:tcPr>
          <w:p w14:paraId="25B4548E">
            <w:pPr>
              <w:rPr>
                <w:rFonts w:ascii="Arial"/>
                <w:color w:val="auto"/>
                <w:sz w:val="21"/>
                <w:highlight w:val="none"/>
              </w:rPr>
            </w:pPr>
          </w:p>
        </w:tc>
        <w:tc>
          <w:tcPr>
            <w:tcW w:w="899" w:type="dxa"/>
            <w:vAlign w:val="top"/>
          </w:tcPr>
          <w:p w14:paraId="03D33527">
            <w:pPr>
              <w:rPr>
                <w:rFonts w:ascii="Arial"/>
                <w:color w:val="auto"/>
                <w:sz w:val="21"/>
                <w:highlight w:val="none"/>
              </w:rPr>
            </w:pPr>
          </w:p>
        </w:tc>
        <w:tc>
          <w:tcPr>
            <w:tcW w:w="1079" w:type="dxa"/>
            <w:vAlign w:val="top"/>
          </w:tcPr>
          <w:p w14:paraId="41E9A618">
            <w:pPr>
              <w:rPr>
                <w:rFonts w:ascii="Arial"/>
                <w:color w:val="auto"/>
                <w:sz w:val="21"/>
                <w:highlight w:val="none"/>
              </w:rPr>
            </w:pPr>
          </w:p>
        </w:tc>
        <w:tc>
          <w:tcPr>
            <w:tcW w:w="899" w:type="dxa"/>
            <w:vAlign w:val="top"/>
          </w:tcPr>
          <w:p w14:paraId="01236543">
            <w:pPr>
              <w:rPr>
                <w:rFonts w:ascii="Arial"/>
                <w:color w:val="auto"/>
                <w:sz w:val="21"/>
                <w:highlight w:val="none"/>
              </w:rPr>
            </w:pPr>
          </w:p>
        </w:tc>
        <w:tc>
          <w:tcPr>
            <w:tcW w:w="1712" w:type="dxa"/>
            <w:vAlign w:val="top"/>
          </w:tcPr>
          <w:p w14:paraId="34FAA180">
            <w:pPr>
              <w:rPr>
                <w:rFonts w:ascii="Arial"/>
                <w:color w:val="auto"/>
                <w:sz w:val="21"/>
                <w:highlight w:val="none"/>
              </w:rPr>
            </w:pPr>
          </w:p>
        </w:tc>
        <w:tc>
          <w:tcPr>
            <w:tcW w:w="997" w:type="dxa"/>
            <w:vAlign w:val="top"/>
          </w:tcPr>
          <w:p w14:paraId="228BCEC1">
            <w:pPr>
              <w:rPr>
                <w:rFonts w:ascii="Arial"/>
                <w:color w:val="auto"/>
                <w:sz w:val="21"/>
                <w:highlight w:val="none"/>
              </w:rPr>
            </w:pPr>
          </w:p>
        </w:tc>
      </w:tr>
    </w:tbl>
    <w:p w14:paraId="46653799">
      <w:pPr>
        <w:spacing w:before="210" w:line="219" w:lineRule="auto"/>
        <w:rPr>
          <w:rFonts w:ascii="宋体" w:hAnsi="宋体" w:eastAsia="宋体" w:cs="宋体"/>
          <w:color w:val="auto"/>
          <w:sz w:val="22"/>
          <w:szCs w:val="22"/>
          <w:highlight w:val="none"/>
        </w:rPr>
      </w:pPr>
      <w:r>
        <w:rPr>
          <w:rFonts w:ascii="宋体" w:hAnsi="宋体" w:eastAsia="宋体" w:cs="宋体"/>
          <w:color w:val="auto"/>
          <w:spacing w:val="-2"/>
          <w:sz w:val="22"/>
          <w:szCs w:val="22"/>
          <w:highlight w:val="none"/>
        </w:rPr>
        <w:t>说明：要求持证上岗的专业技术人员需提供资格证书清晰扫描件。</w:t>
      </w:r>
    </w:p>
    <w:p w14:paraId="7FB98803">
      <w:pPr>
        <w:pStyle w:val="5"/>
        <w:spacing w:line="277" w:lineRule="auto"/>
        <w:rPr>
          <w:color w:val="auto"/>
          <w:highlight w:val="none"/>
        </w:rPr>
      </w:pPr>
    </w:p>
    <w:p w14:paraId="12702030">
      <w:pPr>
        <w:pStyle w:val="424"/>
        <w:numPr>
          <w:ilvl w:val="0"/>
          <w:numId w:val="0"/>
        </w:numPr>
        <w:shd w:val="clear"/>
        <w:tabs>
          <w:tab w:val="left" w:pos="1353"/>
        </w:tabs>
        <w:spacing w:line="360" w:lineRule="auto"/>
        <w:ind w:leftChars="0"/>
        <w:jc w:val="both"/>
        <w:outlineLvl w:val="9"/>
        <w:rPr>
          <w:rFonts w:hint="default" w:ascii="宋体" w:hAnsi="宋体" w:cs="宋体"/>
          <w:b/>
          <w:color w:val="auto"/>
          <w:sz w:val="24"/>
          <w:highlight w:val="none"/>
          <w:lang w:val="en-US" w:eastAsia="zh-CN"/>
        </w:rPr>
      </w:pPr>
    </w:p>
    <w:p w14:paraId="0E209848">
      <w:pPr>
        <w:pStyle w:val="424"/>
        <w:numPr>
          <w:ilvl w:val="0"/>
          <w:numId w:val="0"/>
        </w:numPr>
        <w:shd w:val="clear"/>
        <w:tabs>
          <w:tab w:val="left" w:pos="1353"/>
        </w:tabs>
        <w:spacing w:line="360" w:lineRule="auto"/>
        <w:ind w:leftChars="0"/>
        <w:outlineLvl w:val="9"/>
        <w:rPr>
          <w:rFonts w:hint="eastAsia" w:ascii="宋体" w:hAnsi="宋体" w:cs="宋体"/>
          <w:b/>
          <w:color w:val="auto"/>
          <w:sz w:val="24"/>
          <w:highlight w:val="none"/>
          <w:lang w:val="en-US" w:eastAsia="zh-CN"/>
        </w:rPr>
      </w:pPr>
    </w:p>
    <w:p w14:paraId="280AF444">
      <w:pPr>
        <w:pStyle w:val="424"/>
        <w:numPr>
          <w:ilvl w:val="0"/>
          <w:numId w:val="0"/>
        </w:numPr>
        <w:shd w:val="clear"/>
        <w:tabs>
          <w:tab w:val="left" w:pos="1353"/>
        </w:tabs>
        <w:spacing w:line="360" w:lineRule="auto"/>
        <w:ind w:leftChars="0"/>
        <w:outlineLvl w:val="9"/>
        <w:rPr>
          <w:rFonts w:hint="eastAsia" w:ascii="宋体" w:hAnsi="宋体" w:cs="宋体"/>
          <w:b/>
          <w:color w:val="auto"/>
          <w:sz w:val="24"/>
          <w:highlight w:val="none"/>
          <w:lang w:val="en-US" w:eastAsia="zh-CN"/>
        </w:rPr>
      </w:pPr>
    </w:p>
    <w:p w14:paraId="0EC03010">
      <w:pPr>
        <w:pStyle w:val="424"/>
        <w:numPr>
          <w:ilvl w:val="0"/>
          <w:numId w:val="16"/>
        </w:numPr>
        <w:shd w:val="clear"/>
        <w:spacing w:line="360" w:lineRule="auto"/>
        <w:ind w:left="1276" w:hanging="1276" w:firstLineChars="0"/>
        <w:outlineLvl w:val="1"/>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采购</w:t>
      </w:r>
      <w:r>
        <w:rPr>
          <w:rFonts w:hint="eastAsia" w:ascii="宋体" w:hAnsi="宋体" w:eastAsia="宋体" w:cs="宋体"/>
          <w:b/>
          <w:color w:val="auto"/>
          <w:sz w:val="24"/>
          <w:highlight w:val="none"/>
        </w:rPr>
        <w:t>文件要求的承诺、声明等或</w:t>
      </w:r>
      <w:r>
        <w:rPr>
          <w:rFonts w:hint="eastAsia" w:ascii="宋体" w:hAnsi="宋体" w:cs="宋体"/>
          <w:b/>
          <w:color w:val="auto"/>
          <w:sz w:val="24"/>
          <w:highlight w:val="none"/>
          <w:lang w:val="en-US" w:eastAsia="zh-CN"/>
        </w:rPr>
        <w:t>供应商</w:t>
      </w:r>
      <w:r>
        <w:rPr>
          <w:rFonts w:hint="eastAsia" w:ascii="宋体" w:hAnsi="宋体" w:eastAsia="宋体" w:cs="宋体"/>
          <w:b/>
          <w:color w:val="auto"/>
          <w:sz w:val="24"/>
          <w:highlight w:val="none"/>
        </w:rPr>
        <w:t>认为有必要提交的其他资料（格式自拟）。</w:t>
      </w:r>
    </w:p>
    <w:p w14:paraId="54966E21">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r>
    </w:p>
    <w:p w14:paraId="2B3397DB">
      <w:pPr>
        <w:pStyle w:val="424"/>
        <w:numPr>
          <w:ilvl w:val="0"/>
          <w:numId w:val="16"/>
        </w:numPr>
        <w:shd w:val="clear"/>
        <w:spacing w:line="360" w:lineRule="auto"/>
        <w:ind w:left="1276" w:hanging="1276" w:firstLineChars="0"/>
        <w:outlineLvl w:val="1"/>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最终报价（第二次报价）表</w:t>
      </w:r>
    </w:p>
    <w:p w14:paraId="6FA9EAB8">
      <w:pPr>
        <w:shd w:val="clear"/>
        <w:spacing w:line="360" w:lineRule="auto"/>
        <w:jc w:val="center"/>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24"/>
          <w:highlight w:val="none"/>
          <w:lang w:val="en-US" w:eastAsia="zh-CN"/>
        </w:rPr>
        <w:t>最终</w:t>
      </w:r>
      <w:r>
        <w:rPr>
          <w:rFonts w:hint="eastAsia" w:ascii="宋体" w:hAnsi="宋体" w:eastAsia="宋体" w:cs="宋体"/>
          <w:b/>
          <w:bCs/>
          <w:color w:val="auto"/>
          <w:sz w:val="24"/>
          <w:highlight w:val="none"/>
        </w:rPr>
        <w:t>报价</w:t>
      </w:r>
      <w:r>
        <w:rPr>
          <w:rFonts w:hint="eastAsia" w:ascii="宋体" w:hAnsi="宋体" w:eastAsia="宋体" w:cs="宋体"/>
          <w:b/>
          <w:bCs/>
          <w:color w:val="auto"/>
          <w:sz w:val="24"/>
          <w:highlight w:val="none"/>
          <w:lang w:eastAsia="zh-CN"/>
        </w:rPr>
        <w:t>（第二次报价）</w:t>
      </w:r>
      <w:r>
        <w:rPr>
          <w:rFonts w:hint="eastAsia" w:ascii="宋体" w:hAnsi="宋体" w:eastAsia="宋体" w:cs="宋体"/>
          <w:b/>
          <w:bCs/>
          <w:color w:val="auto"/>
          <w:sz w:val="24"/>
          <w:highlight w:val="none"/>
          <w:lang w:val="en-US" w:eastAsia="zh-CN"/>
        </w:rPr>
        <w:t>表</w:t>
      </w:r>
    </w:p>
    <w:tbl>
      <w:tblPr>
        <w:tblStyle w:val="73"/>
        <w:tblW w:w="9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201"/>
        <w:gridCol w:w="7158"/>
      </w:tblGrid>
      <w:tr w14:paraId="46228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96" w:hRule="atLeast"/>
          <w:jc w:val="center"/>
        </w:trPr>
        <w:tc>
          <w:tcPr>
            <w:tcW w:w="2201" w:type="dxa"/>
            <w:vAlign w:val="center"/>
          </w:tcPr>
          <w:p w14:paraId="641DEB1B">
            <w:pPr>
              <w:shd w:val="clear"/>
              <w:ind w:left="141" w:leftChars="67" w:right="103" w:rightChars="49"/>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项目编号及</w:t>
            </w:r>
            <w:r>
              <w:rPr>
                <w:rFonts w:hint="eastAsia" w:ascii="宋体" w:hAnsi="宋体" w:cs="宋体"/>
                <w:b/>
                <w:color w:val="auto"/>
                <w:sz w:val="24"/>
                <w:highlight w:val="none"/>
                <w:lang w:val="en-US" w:eastAsia="zh-CN"/>
              </w:rPr>
              <w:t>项目</w:t>
            </w:r>
            <w:r>
              <w:rPr>
                <w:rFonts w:hint="eastAsia" w:ascii="宋体" w:hAnsi="宋体" w:eastAsia="宋体" w:cs="宋体"/>
                <w:b/>
                <w:color w:val="auto"/>
                <w:sz w:val="24"/>
                <w:highlight w:val="none"/>
              </w:rPr>
              <w:t>名称</w:t>
            </w:r>
          </w:p>
        </w:tc>
        <w:tc>
          <w:tcPr>
            <w:tcW w:w="7158" w:type="dxa"/>
            <w:vAlign w:val="center"/>
          </w:tcPr>
          <w:p w14:paraId="696599BA">
            <w:pPr>
              <w:shd w:val="clear"/>
              <w:ind w:left="189" w:leftChars="90" w:firstLine="1"/>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项目编号：</w:t>
            </w:r>
          </w:p>
          <w:p w14:paraId="3E2C49E9">
            <w:pPr>
              <w:shd w:val="clear"/>
              <w:ind w:left="189" w:leftChars="90" w:firstLine="1"/>
              <w:rPr>
                <w:rFonts w:hint="eastAsia" w:ascii="宋体" w:hAnsi="宋体" w:eastAsia="宋体" w:cs="宋体"/>
                <w:color w:val="auto"/>
                <w:sz w:val="24"/>
                <w:highlight w:val="none"/>
              </w:rPr>
            </w:pPr>
          </w:p>
          <w:p w14:paraId="71B52DB8">
            <w:pPr>
              <w:shd w:val="clear"/>
              <w:ind w:left="189" w:leftChars="90" w:firstLine="1"/>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c>
      </w:tr>
      <w:tr w14:paraId="3E1F9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49" w:hRule="atLeast"/>
          <w:jc w:val="center"/>
        </w:trPr>
        <w:tc>
          <w:tcPr>
            <w:tcW w:w="2201" w:type="dxa"/>
            <w:shd w:val="clear" w:color="auto" w:fill="auto"/>
            <w:vAlign w:val="center"/>
          </w:tcPr>
          <w:p w14:paraId="14CACA29">
            <w:pPr>
              <w:shd w:val="clear"/>
              <w:ind w:left="-13" w:leftChars="-6"/>
              <w:jc w:val="center"/>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响应总价</w:t>
            </w:r>
          </w:p>
        </w:tc>
        <w:tc>
          <w:tcPr>
            <w:tcW w:w="7158" w:type="dxa"/>
            <w:shd w:val="clear" w:color="auto" w:fill="auto"/>
            <w:vAlign w:val="center"/>
          </w:tcPr>
          <w:p w14:paraId="24889A3C">
            <w:pPr>
              <w:shd w:val="clear"/>
              <w:ind w:left="189" w:leftChars="90" w:firstLine="1"/>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小写：</w:t>
            </w:r>
          </w:p>
          <w:p w14:paraId="30528B1D">
            <w:pPr>
              <w:shd w:val="clear"/>
              <w:ind w:left="189" w:leftChars="90" w:firstLine="1"/>
              <w:rPr>
                <w:rFonts w:hint="eastAsia" w:ascii="宋体" w:hAnsi="宋体" w:eastAsia="宋体" w:cs="宋体"/>
                <w:color w:val="auto"/>
                <w:sz w:val="24"/>
                <w:highlight w:val="none"/>
                <w:lang w:val="en-US" w:eastAsia="zh-CN"/>
              </w:rPr>
            </w:pPr>
          </w:p>
          <w:p w14:paraId="2B95087F">
            <w:pPr>
              <w:shd w:val="clear"/>
              <w:ind w:left="189" w:leftChars="90" w:firstLine="1"/>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大写：</w:t>
            </w:r>
          </w:p>
          <w:p w14:paraId="6BDB9063">
            <w:pPr>
              <w:shd w:val="clear"/>
              <w:ind w:left="189" w:leftChars="90" w:firstLine="1"/>
              <w:rPr>
                <w:rFonts w:hint="eastAsia" w:ascii="宋体" w:hAnsi="宋体" w:cs="宋体"/>
                <w:b/>
                <w:bCs/>
                <w:color w:val="auto"/>
                <w:szCs w:val="21"/>
                <w:highlight w:val="none"/>
                <w:lang w:val="en-US" w:eastAsia="zh-CN"/>
              </w:rPr>
            </w:pPr>
          </w:p>
          <w:p w14:paraId="1773E214">
            <w:pPr>
              <w:shd w:val="clear"/>
              <w:ind w:left="189" w:leftChars="90" w:firstLine="1"/>
              <w:rPr>
                <w:rFonts w:hint="eastAsia" w:ascii="黑体" w:hAnsi="黑体" w:eastAsia="黑体" w:cs="黑体"/>
                <w:b w:val="0"/>
                <w:bCs w:val="0"/>
                <w:color w:val="auto"/>
                <w:szCs w:val="21"/>
                <w:highlight w:val="none"/>
                <w:lang w:val="en-US" w:eastAsia="zh-CN"/>
              </w:rPr>
            </w:pPr>
            <w:r>
              <w:rPr>
                <w:rFonts w:hint="eastAsia" w:ascii="黑体" w:hAnsi="黑体" w:eastAsia="黑体" w:cs="黑体"/>
                <w:b w:val="0"/>
                <w:bCs w:val="0"/>
                <w:color w:val="auto"/>
                <w:szCs w:val="21"/>
                <w:highlight w:val="none"/>
                <w:lang w:val="en-US" w:eastAsia="zh-CN"/>
              </w:rPr>
              <w:t>注：</w:t>
            </w:r>
          </w:p>
          <w:p w14:paraId="57B341FE">
            <w:pPr>
              <w:shd w:val="clear"/>
              <w:ind w:left="189" w:leftChars="90" w:firstLine="1"/>
              <w:rPr>
                <w:rFonts w:hint="eastAsia" w:ascii="黑体" w:hAnsi="黑体" w:eastAsia="黑体" w:cs="黑体"/>
                <w:b w:val="0"/>
                <w:bCs w:val="0"/>
                <w:color w:val="auto"/>
                <w:szCs w:val="21"/>
                <w:highlight w:val="none"/>
                <w:lang w:val="en-US" w:eastAsia="zh-CN"/>
              </w:rPr>
            </w:pPr>
            <w:r>
              <w:rPr>
                <w:rFonts w:hint="eastAsia" w:ascii="黑体" w:hAnsi="黑体" w:eastAsia="黑体" w:cs="黑体"/>
                <w:b w:val="0"/>
                <w:bCs w:val="0"/>
                <w:color w:val="auto"/>
                <w:szCs w:val="21"/>
                <w:highlight w:val="none"/>
                <w:lang w:val="en-US" w:eastAsia="zh-CN"/>
              </w:rPr>
              <w:t>（1）供应商在磋商小组规定的时间内提交最终报价的总价金额。在履行合同过程中，工程计价按照第一次报价的已标价工程量清单中的单价执行，在工程竣工结算时按照最终报价的总价金额相较于第一次报价的总价金额的优惠比例，计算竣工结算合同总价。税金、安全文明施工费、规费属于不可竞争性费用，结算时不参与下浮。</w:t>
            </w:r>
          </w:p>
          <w:p w14:paraId="24F00D62">
            <w:pPr>
              <w:shd w:val="clear"/>
              <w:ind w:left="189" w:leftChars="90" w:firstLine="1"/>
              <w:rPr>
                <w:rFonts w:hint="eastAsia" w:ascii="黑体" w:hAnsi="黑体" w:eastAsia="黑体" w:cs="黑体"/>
                <w:b w:val="0"/>
                <w:bCs w:val="0"/>
                <w:color w:val="auto"/>
                <w:szCs w:val="21"/>
                <w:highlight w:val="none"/>
                <w:lang w:val="en-US" w:eastAsia="zh-CN"/>
              </w:rPr>
            </w:pPr>
            <w:r>
              <w:rPr>
                <w:rFonts w:hint="eastAsia" w:ascii="黑体" w:hAnsi="黑体" w:eastAsia="黑体" w:cs="黑体"/>
                <w:b w:val="0"/>
                <w:bCs w:val="0"/>
                <w:color w:val="auto"/>
                <w:szCs w:val="21"/>
                <w:highlight w:val="none"/>
                <w:lang w:val="en-US" w:eastAsia="zh-CN"/>
              </w:rPr>
              <w:t>竣工结算合同总价=（最终审定的建筑安装工程费-安全文明施工费-规费-税金）×[1-（第一次报价的总价金额-最终报价的总价金额）/第一次报价的总价金额×100%]+安全文明施工费+规费+税金。</w:t>
            </w:r>
          </w:p>
          <w:p w14:paraId="08840357">
            <w:pPr>
              <w:shd w:val="clear"/>
              <w:ind w:left="189" w:leftChars="90" w:firstLine="1"/>
              <w:rPr>
                <w:rFonts w:hint="default" w:ascii="黑体" w:hAnsi="黑体" w:eastAsia="黑体" w:cs="黑体"/>
                <w:color w:val="auto"/>
                <w:sz w:val="18"/>
                <w:szCs w:val="18"/>
                <w:highlight w:val="none"/>
                <w:lang w:val="en-US" w:eastAsia="zh-CN"/>
              </w:rPr>
            </w:pPr>
            <w:r>
              <w:rPr>
                <w:rFonts w:hint="eastAsia" w:ascii="黑体" w:hAnsi="黑体" w:eastAsia="黑体" w:cs="黑体"/>
                <w:b w:val="0"/>
                <w:bCs w:val="0"/>
                <w:color w:val="auto"/>
                <w:szCs w:val="21"/>
                <w:highlight w:val="none"/>
                <w:lang w:val="en-US" w:eastAsia="zh-CN"/>
              </w:rPr>
              <w:t>（2）金额</w:t>
            </w:r>
            <w:r>
              <w:rPr>
                <w:rFonts w:hint="eastAsia" w:ascii="黑体" w:hAnsi="黑体" w:eastAsia="黑体" w:cs="黑体"/>
                <w:b w:val="0"/>
                <w:bCs w:val="0"/>
                <w:color w:val="auto"/>
                <w:szCs w:val="21"/>
                <w:highlight w:val="none"/>
              </w:rPr>
              <w:t>保留小数点后两位。响应总报价大小写如有不一致，以大写为准。</w:t>
            </w:r>
          </w:p>
        </w:tc>
      </w:tr>
      <w:tr w14:paraId="5AD8F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86" w:hRule="atLeast"/>
          <w:jc w:val="center"/>
        </w:trPr>
        <w:tc>
          <w:tcPr>
            <w:tcW w:w="2201" w:type="dxa"/>
            <w:vAlign w:val="center"/>
          </w:tcPr>
          <w:p w14:paraId="0623B964">
            <w:pPr>
              <w:shd w:val="clear"/>
              <w:ind w:left="-13" w:leftChars="-6"/>
              <w:jc w:val="center"/>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其他需要说明的事项</w:t>
            </w:r>
          </w:p>
        </w:tc>
        <w:tc>
          <w:tcPr>
            <w:tcW w:w="7158" w:type="dxa"/>
            <w:vAlign w:val="center"/>
          </w:tcPr>
          <w:p w14:paraId="471387C8">
            <w:pPr>
              <w:shd w:val="clear"/>
              <w:ind w:left="189" w:leftChars="90" w:firstLine="1"/>
              <w:rPr>
                <w:rFonts w:hint="eastAsia" w:ascii="宋体" w:hAnsi="宋体" w:eastAsia="宋体" w:cs="宋体"/>
                <w:color w:val="auto"/>
                <w:sz w:val="24"/>
                <w:highlight w:val="none"/>
              </w:rPr>
            </w:pPr>
          </w:p>
          <w:p w14:paraId="24B740AB">
            <w:pPr>
              <w:shd w:val="clear"/>
              <w:ind w:left="189" w:leftChars="90" w:firstLine="1"/>
              <w:rPr>
                <w:rFonts w:hint="eastAsia" w:ascii="宋体" w:hAnsi="宋体" w:eastAsia="宋体" w:cs="宋体"/>
                <w:color w:val="auto"/>
                <w:sz w:val="24"/>
                <w:highlight w:val="none"/>
              </w:rPr>
            </w:pPr>
          </w:p>
          <w:p w14:paraId="3CAA9862">
            <w:pPr>
              <w:shd w:val="clear"/>
              <w:ind w:left="189" w:leftChars="90" w:firstLine="1"/>
              <w:rPr>
                <w:rFonts w:hint="eastAsia" w:ascii="宋体" w:hAnsi="宋体" w:eastAsia="宋体" w:cs="宋体"/>
                <w:color w:val="auto"/>
                <w:sz w:val="24"/>
                <w:highlight w:val="none"/>
              </w:rPr>
            </w:pPr>
          </w:p>
          <w:p w14:paraId="0DBA5959">
            <w:pPr>
              <w:shd w:val="clear"/>
              <w:ind w:left="189" w:leftChars="90" w:firstLine="1"/>
              <w:rPr>
                <w:rFonts w:hint="eastAsia" w:ascii="宋体" w:hAnsi="宋体" w:eastAsia="宋体" w:cs="宋体"/>
                <w:color w:val="auto"/>
                <w:sz w:val="24"/>
                <w:highlight w:val="none"/>
              </w:rPr>
            </w:pPr>
          </w:p>
          <w:p w14:paraId="6D989240">
            <w:pPr>
              <w:shd w:val="clear"/>
              <w:ind w:left="189" w:leftChars="90" w:firstLine="1"/>
              <w:rPr>
                <w:rFonts w:hint="eastAsia" w:ascii="宋体" w:hAnsi="宋体" w:eastAsia="宋体" w:cs="宋体"/>
                <w:color w:val="auto"/>
                <w:sz w:val="24"/>
                <w:highlight w:val="none"/>
              </w:rPr>
            </w:pPr>
          </w:p>
          <w:p w14:paraId="6FE310BC">
            <w:pPr>
              <w:shd w:val="clear"/>
              <w:ind w:left="189" w:leftChars="90" w:firstLine="1"/>
              <w:rPr>
                <w:rFonts w:hint="eastAsia" w:ascii="宋体" w:hAnsi="宋体" w:eastAsia="宋体" w:cs="宋体"/>
                <w:color w:val="auto"/>
                <w:sz w:val="24"/>
                <w:highlight w:val="none"/>
              </w:rPr>
            </w:pPr>
          </w:p>
          <w:p w14:paraId="484CBD30">
            <w:pPr>
              <w:shd w:val="clear"/>
              <w:ind w:left="189" w:leftChars="90" w:firstLine="1"/>
              <w:rPr>
                <w:rFonts w:hint="eastAsia" w:ascii="宋体" w:hAnsi="宋体" w:eastAsia="宋体" w:cs="宋体"/>
                <w:color w:val="auto"/>
                <w:sz w:val="24"/>
                <w:highlight w:val="none"/>
              </w:rPr>
            </w:pPr>
          </w:p>
          <w:p w14:paraId="1E967F4F">
            <w:pPr>
              <w:shd w:val="clear"/>
              <w:ind w:left="189" w:leftChars="90" w:firstLine="1"/>
              <w:rPr>
                <w:rFonts w:hint="eastAsia" w:ascii="宋体" w:hAnsi="宋体" w:eastAsia="宋体" w:cs="宋体"/>
                <w:color w:val="auto"/>
                <w:sz w:val="24"/>
                <w:highlight w:val="none"/>
              </w:rPr>
            </w:pPr>
          </w:p>
          <w:p w14:paraId="6278156A">
            <w:pPr>
              <w:shd w:val="clear"/>
              <w:ind w:left="189" w:leftChars="90" w:firstLine="1"/>
              <w:rPr>
                <w:rFonts w:hint="eastAsia" w:ascii="宋体" w:hAnsi="宋体" w:eastAsia="宋体" w:cs="宋体"/>
                <w:color w:val="auto"/>
                <w:sz w:val="24"/>
                <w:highlight w:val="none"/>
              </w:rPr>
            </w:pPr>
          </w:p>
          <w:p w14:paraId="4314324C">
            <w:pPr>
              <w:shd w:val="clear"/>
              <w:ind w:left="189" w:leftChars="90" w:firstLine="1"/>
              <w:rPr>
                <w:rFonts w:hint="eastAsia" w:ascii="宋体" w:hAnsi="宋体" w:eastAsia="宋体" w:cs="宋体"/>
                <w:color w:val="auto"/>
                <w:sz w:val="24"/>
                <w:highlight w:val="none"/>
              </w:rPr>
            </w:pPr>
          </w:p>
          <w:p w14:paraId="09055EEA">
            <w:pPr>
              <w:shd w:val="clear"/>
              <w:ind w:left="189" w:leftChars="90" w:firstLine="1"/>
              <w:rPr>
                <w:rFonts w:hint="eastAsia" w:ascii="宋体" w:hAnsi="宋体" w:eastAsia="宋体" w:cs="宋体"/>
                <w:color w:val="auto"/>
                <w:sz w:val="24"/>
                <w:highlight w:val="none"/>
              </w:rPr>
            </w:pPr>
          </w:p>
        </w:tc>
      </w:tr>
    </w:tbl>
    <w:p w14:paraId="761C3F3A">
      <w:pPr>
        <w:pStyle w:val="40"/>
        <w:shd w:val="clear"/>
        <w:tabs>
          <w:tab w:val="left" w:pos="5580"/>
        </w:tabs>
        <w:spacing w:befor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说明：本部分格式由供应商在磋商环节提交最后报价时作为附件提交政采云平台，不需要编制在响应文件中。</w:t>
      </w:r>
    </w:p>
    <w:p w14:paraId="43D6FD8B">
      <w:pPr>
        <w:pStyle w:val="40"/>
        <w:shd w:val="clear"/>
        <w:tabs>
          <w:tab w:val="left" w:pos="5580"/>
        </w:tabs>
        <w:spacing w:before="120"/>
        <w:ind w:firstLine="720" w:firstLineChars="300"/>
        <w:rPr>
          <w:rFonts w:hint="eastAsia" w:ascii="宋体" w:hAnsi="宋体" w:eastAsia="宋体" w:cs="宋体"/>
          <w:color w:val="auto"/>
          <w:sz w:val="24"/>
          <w:highlight w:val="none"/>
          <w:u w:val="none"/>
        </w:rPr>
      </w:pPr>
    </w:p>
    <w:p w14:paraId="43A4DE8F">
      <w:pPr>
        <w:pStyle w:val="40"/>
        <w:shd w:val="clear"/>
        <w:tabs>
          <w:tab w:val="left" w:pos="5580"/>
        </w:tabs>
        <w:spacing w:before="120"/>
        <w:ind w:firstLine="720" w:firstLineChars="300"/>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供应商（盖章）：</w:t>
      </w:r>
    </w:p>
    <w:p w14:paraId="5617C990">
      <w:pPr>
        <w:pStyle w:val="40"/>
        <w:shd w:val="clear"/>
        <w:tabs>
          <w:tab w:val="left" w:pos="5580"/>
        </w:tabs>
        <w:spacing w:before="120"/>
        <w:ind w:firstLine="720" w:firstLineChars="300"/>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法定代表人或授权委托代理人（签字或盖章）：</w:t>
      </w:r>
    </w:p>
    <w:p w14:paraId="6BF7F9AE">
      <w:pPr>
        <w:pStyle w:val="40"/>
        <w:shd w:val="clear"/>
        <w:tabs>
          <w:tab w:val="left" w:pos="5580"/>
        </w:tabs>
        <w:spacing w:before="120"/>
        <w:ind w:firstLine="720" w:firstLineChars="300"/>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日期：</w:t>
      </w:r>
    </w:p>
    <w:p w14:paraId="61AE1E36">
      <w:pPr>
        <w:pStyle w:val="40"/>
        <w:shd w:val="clear"/>
        <w:tabs>
          <w:tab w:val="left" w:pos="5580"/>
        </w:tabs>
        <w:spacing w:before="120"/>
        <w:ind w:firstLine="720" w:firstLineChars="300"/>
        <w:rPr>
          <w:rFonts w:hint="eastAsia" w:ascii="宋体" w:hAnsi="宋体" w:eastAsia="宋体" w:cs="宋体"/>
          <w:color w:val="auto"/>
          <w:sz w:val="24"/>
          <w:highlight w:val="none"/>
        </w:rPr>
        <w:sectPr>
          <w:headerReference r:id="rId9" w:type="default"/>
          <w:footerReference r:id="rId10" w:type="default"/>
          <w:pgSz w:w="11906" w:h="16838"/>
          <w:pgMar w:top="1440" w:right="1247" w:bottom="1361" w:left="1247" w:header="851" w:footer="992" w:gutter="0"/>
          <w:pgNumType w:fmt="numberInDash"/>
          <w:cols w:space="720" w:num="1"/>
          <w:docGrid w:type="lines" w:linePitch="312" w:charSpace="0"/>
        </w:sectPr>
      </w:pPr>
    </w:p>
    <w:p w14:paraId="7FA1ECF2">
      <w:pPr>
        <w:pStyle w:val="424"/>
        <w:numPr>
          <w:ilvl w:val="0"/>
          <w:numId w:val="16"/>
        </w:numPr>
        <w:shd w:val="clear"/>
        <w:spacing w:line="360" w:lineRule="auto"/>
        <w:ind w:left="1276" w:hanging="1276" w:firstLineChars="0"/>
        <w:outlineLvl w:val="1"/>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其他</w:t>
      </w:r>
    </w:p>
    <w:p w14:paraId="1E2613CA">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outlineLvl w:val="9"/>
        <w:rPr>
          <w:rFonts w:hint="eastAsia" w:asciiTheme="minorEastAsia" w:hAnsiTheme="minorEastAsia" w:eastAsiaTheme="minorEastAsia" w:cstheme="minorEastAsia"/>
          <w:color w:val="auto"/>
          <w:kern w:val="0"/>
          <w:sz w:val="32"/>
          <w:szCs w:val="32"/>
          <w:highlight w:val="none"/>
        </w:rPr>
      </w:pPr>
      <w:bookmarkStart w:id="553" w:name="_Toc12263"/>
      <w:bookmarkStart w:id="554" w:name="_Toc25882"/>
      <w:r>
        <w:rPr>
          <w:rFonts w:hint="eastAsia" w:asciiTheme="minorEastAsia" w:hAnsiTheme="minorEastAsia" w:eastAsiaTheme="minorEastAsia" w:cstheme="minorEastAsia"/>
          <w:color w:val="auto"/>
          <w:kern w:val="0"/>
          <w:sz w:val="32"/>
          <w:szCs w:val="32"/>
          <w:highlight w:val="none"/>
        </w:rPr>
        <w:t>其它</w:t>
      </w:r>
      <w:bookmarkEnd w:id="553"/>
      <w:bookmarkEnd w:id="554"/>
      <w:r>
        <w:rPr>
          <w:rFonts w:hint="eastAsia" w:asciiTheme="minorEastAsia" w:hAnsiTheme="minorEastAsia" w:eastAsiaTheme="minorEastAsia" w:cstheme="minorEastAsia"/>
          <w:color w:val="auto"/>
          <w:kern w:val="0"/>
          <w:sz w:val="32"/>
          <w:szCs w:val="32"/>
          <w:highlight w:val="none"/>
        </w:rPr>
        <w:t xml:space="preserve"> </w:t>
      </w:r>
    </w:p>
    <w:p w14:paraId="186DF1C6">
      <w:pPr>
        <w:keepNext w:val="0"/>
        <w:keepLines w:val="0"/>
        <w:pageBreakBefore w:val="0"/>
        <w:shd w:val="clear"/>
        <w:kinsoku/>
        <w:wordWrap/>
        <w:overflowPunct/>
        <w:topLinePunct w:val="0"/>
        <w:autoSpaceDE/>
        <w:autoSpaceDN/>
        <w:bidi w:val="0"/>
        <w:snapToGrid w:val="0"/>
        <w:spacing w:afterLines="50"/>
        <w:textAlignment w:val="auto"/>
        <w:outlineLvl w:val="9"/>
        <w:rPr>
          <w:rFonts w:hint="eastAsia" w:asciiTheme="minorEastAsia" w:hAnsiTheme="minorEastAsia" w:eastAsiaTheme="minorEastAsia" w:cstheme="minorEastAsia"/>
          <w:color w:val="auto"/>
          <w:highlight w:val="none"/>
        </w:rPr>
      </w:pPr>
    </w:p>
    <w:p w14:paraId="51AACD2A">
      <w:pPr>
        <w:keepNext w:val="0"/>
        <w:keepLines w:val="0"/>
        <w:pageBreakBefore w:val="0"/>
        <w:shd w:val="clear"/>
        <w:kinsoku/>
        <w:wordWrap/>
        <w:overflowPunct/>
        <w:topLinePunct w:val="0"/>
        <w:autoSpaceDE/>
        <w:autoSpaceDN/>
        <w:bidi w:val="0"/>
        <w:jc w:val="center"/>
        <w:textAlignment w:val="auto"/>
        <w:outlineLvl w:val="9"/>
        <w:rPr>
          <w:rFonts w:hint="eastAsia" w:asciiTheme="minorEastAsia" w:hAnsiTheme="minorEastAsia" w:eastAsiaTheme="minorEastAsia" w:cstheme="minorEastAsia"/>
          <w:b/>
          <w:bCs/>
          <w:color w:val="auto"/>
          <w:sz w:val="28"/>
          <w:szCs w:val="28"/>
          <w:highlight w:val="none"/>
        </w:rPr>
      </w:pPr>
      <w:bookmarkStart w:id="555" w:name="_Toc15992"/>
      <w:bookmarkStart w:id="556" w:name="_Toc12998"/>
      <w:bookmarkStart w:id="557" w:name="_Toc20834"/>
      <w:bookmarkStart w:id="558" w:name="_Toc6650"/>
      <w:r>
        <w:rPr>
          <w:rFonts w:hint="eastAsia" w:asciiTheme="minorEastAsia" w:hAnsiTheme="minorEastAsia" w:eastAsiaTheme="minorEastAsia" w:cstheme="minorEastAsia"/>
          <w:b/>
          <w:bCs/>
          <w:color w:val="auto"/>
          <w:sz w:val="28"/>
          <w:szCs w:val="28"/>
          <w:highlight w:val="none"/>
        </w:rPr>
        <w:t>质疑函范本</w:t>
      </w:r>
      <w:bookmarkEnd w:id="555"/>
      <w:bookmarkEnd w:id="556"/>
      <w:bookmarkEnd w:id="557"/>
      <w:bookmarkEnd w:id="558"/>
    </w:p>
    <w:p w14:paraId="76B483AF">
      <w:pPr>
        <w:keepNext w:val="0"/>
        <w:keepLines w:val="0"/>
        <w:pageBreakBefore w:val="0"/>
        <w:shd w:val="clear"/>
        <w:kinsoku/>
        <w:wordWrap/>
        <w:overflowPunct/>
        <w:topLinePunct w:val="0"/>
        <w:autoSpaceDE/>
        <w:autoSpaceDN/>
        <w:bidi w:val="0"/>
        <w:adjustRightInd w:val="0"/>
        <w:snapToGrid w:val="0"/>
        <w:spacing w:beforeLines="100" w:line="360" w:lineRule="auto"/>
        <w:textAlignment w:val="auto"/>
        <w:outlineLvl w:val="9"/>
        <w:rPr>
          <w:rFonts w:hint="eastAsia" w:asciiTheme="minorEastAsia" w:hAnsiTheme="minorEastAsia" w:eastAsiaTheme="minorEastAsia" w:cstheme="minorEastAsia"/>
          <w:bCs/>
          <w:color w:val="auto"/>
          <w:sz w:val="24"/>
          <w:highlight w:val="none"/>
        </w:rPr>
      </w:pPr>
      <w:bookmarkStart w:id="559" w:name="_Toc20155"/>
      <w:bookmarkStart w:id="560" w:name="_Toc29756"/>
      <w:bookmarkStart w:id="561" w:name="_Toc1166"/>
      <w:bookmarkStart w:id="562" w:name="_Toc10956"/>
      <w:r>
        <w:rPr>
          <w:rFonts w:hint="eastAsia" w:asciiTheme="minorEastAsia" w:hAnsiTheme="minorEastAsia" w:eastAsiaTheme="minorEastAsia" w:cstheme="minorEastAsia"/>
          <w:bCs/>
          <w:color w:val="auto"/>
          <w:sz w:val="24"/>
          <w:highlight w:val="none"/>
        </w:rPr>
        <w:t>一、质疑供应商基本信息</w:t>
      </w:r>
      <w:bookmarkEnd w:id="559"/>
      <w:bookmarkEnd w:id="560"/>
      <w:bookmarkEnd w:id="561"/>
      <w:bookmarkEnd w:id="562"/>
    </w:p>
    <w:p w14:paraId="5A2551B5">
      <w:pPr>
        <w:keepNext w:val="0"/>
        <w:keepLines w:val="0"/>
        <w:pageBreakBefore w:val="0"/>
        <w:shd w:val="clear"/>
        <w:kinsoku/>
        <w:wordWrap/>
        <w:overflowPunct/>
        <w:topLinePunct w:val="0"/>
        <w:autoSpaceDE/>
        <w:autoSpaceDN/>
        <w:bidi w:val="0"/>
        <w:adjustRightInd w:val="0"/>
        <w:snapToGrid w:val="0"/>
        <w:spacing w:line="360" w:lineRule="auto"/>
        <w:textAlignment w:val="auto"/>
        <w:outlineLvl w:val="9"/>
        <w:rPr>
          <w:rFonts w:hint="eastAsia" w:asciiTheme="minorEastAsia" w:hAnsiTheme="minorEastAsia" w:eastAsiaTheme="minorEastAsia" w:cstheme="minorEastAsia"/>
          <w:color w:val="auto"/>
          <w:sz w:val="24"/>
          <w:highlight w:val="none"/>
          <w:u w:val="dotted"/>
        </w:rPr>
      </w:pPr>
      <w:r>
        <w:rPr>
          <w:rFonts w:hint="eastAsia" w:asciiTheme="minorEastAsia" w:hAnsiTheme="minorEastAsia" w:eastAsiaTheme="minorEastAsia" w:cstheme="minorEastAsia"/>
          <w:color w:val="auto"/>
          <w:sz w:val="24"/>
          <w:highlight w:val="none"/>
        </w:rPr>
        <w:t>质疑供应商：</w:t>
      </w:r>
      <w:r>
        <w:rPr>
          <w:rFonts w:hint="eastAsia" w:asciiTheme="minorEastAsia" w:hAnsiTheme="minorEastAsia" w:eastAsiaTheme="minorEastAsia" w:cstheme="minorEastAsia"/>
          <w:color w:val="auto"/>
          <w:sz w:val="24"/>
          <w:highlight w:val="none"/>
          <w:u w:val="dotted"/>
        </w:rPr>
        <w:t xml:space="preserve">                                        </w:t>
      </w:r>
    </w:p>
    <w:p w14:paraId="3F72FBED">
      <w:pPr>
        <w:keepNext w:val="0"/>
        <w:keepLines w:val="0"/>
        <w:pageBreakBefore w:val="0"/>
        <w:shd w:val="clear"/>
        <w:kinsoku/>
        <w:wordWrap/>
        <w:overflowPunct/>
        <w:topLinePunct w:val="0"/>
        <w:autoSpaceDE/>
        <w:autoSpaceDN/>
        <w:bidi w:val="0"/>
        <w:adjustRightInd w:val="0"/>
        <w:snapToGrid w:val="0"/>
        <w:spacing w:line="360" w:lineRule="auto"/>
        <w:textAlignment w:val="auto"/>
        <w:outlineLvl w:val="9"/>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地址：</w:t>
      </w:r>
      <w:r>
        <w:rPr>
          <w:rFonts w:hint="eastAsia" w:asciiTheme="minorEastAsia" w:hAnsiTheme="minorEastAsia" w:eastAsiaTheme="minorEastAsia" w:cstheme="minorEastAsia"/>
          <w:color w:val="auto"/>
          <w:sz w:val="24"/>
          <w:highlight w:val="none"/>
          <w:u w:val="dotted"/>
        </w:rPr>
        <w:t xml:space="preserve">                          </w:t>
      </w:r>
      <w:r>
        <w:rPr>
          <w:rFonts w:hint="eastAsia" w:asciiTheme="minorEastAsia" w:hAnsiTheme="minorEastAsia" w:eastAsiaTheme="minorEastAsia" w:cstheme="minorEastAsia"/>
          <w:color w:val="auto"/>
          <w:sz w:val="24"/>
          <w:highlight w:val="none"/>
        </w:rPr>
        <w:t>邮编：</w:t>
      </w:r>
      <w:r>
        <w:rPr>
          <w:rFonts w:hint="eastAsia" w:asciiTheme="minorEastAsia" w:hAnsiTheme="minorEastAsia" w:eastAsiaTheme="minorEastAsia" w:cstheme="minorEastAsia"/>
          <w:color w:val="auto"/>
          <w:sz w:val="24"/>
          <w:highlight w:val="none"/>
          <w:u w:val="dotted"/>
        </w:rPr>
        <w:t xml:space="preserve">                                                   </w:t>
      </w:r>
    </w:p>
    <w:p w14:paraId="02410EFB">
      <w:pPr>
        <w:keepNext w:val="0"/>
        <w:keepLines w:val="0"/>
        <w:pageBreakBefore w:val="0"/>
        <w:shd w:val="clear"/>
        <w:kinsoku/>
        <w:wordWrap/>
        <w:overflowPunct/>
        <w:topLinePunct w:val="0"/>
        <w:autoSpaceDE/>
        <w:autoSpaceDN/>
        <w:bidi w:val="0"/>
        <w:adjustRightInd w:val="0"/>
        <w:snapToGrid w:val="0"/>
        <w:spacing w:line="360" w:lineRule="auto"/>
        <w:textAlignment w:val="auto"/>
        <w:outlineLvl w:val="9"/>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联系人：</w:t>
      </w:r>
      <w:r>
        <w:rPr>
          <w:rFonts w:hint="eastAsia" w:asciiTheme="minorEastAsia" w:hAnsiTheme="minorEastAsia" w:eastAsiaTheme="minorEastAsia" w:cstheme="minorEastAsia"/>
          <w:color w:val="auto"/>
          <w:sz w:val="24"/>
          <w:highlight w:val="none"/>
          <w:u w:val="dotted"/>
        </w:rPr>
        <w:t xml:space="preserve">                      </w:t>
      </w:r>
      <w:r>
        <w:rPr>
          <w:rFonts w:hint="eastAsia" w:asciiTheme="minorEastAsia" w:hAnsiTheme="minorEastAsia" w:eastAsiaTheme="minorEastAsia" w:cstheme="minorEastAsia"/>
          <w:color w:val="auto"/>
          <w:sz w:val="24"/>
          <w:highlight w:val="none"/>
        </w:rPr>
        <w:t>联系电话：</w:t>
      </w:r>
      <w:r>
        <w:rPr>
          <w:rFonts w:hint="eastAsia" w:asciiTheme="minorEastAsia" w:hAnsiTheme="minorEastAsia" w:eastAsiaTheme="minorEastAsia" w:cstheme="minorEastAsia"/>
          <w:color w:val="auto"/>
          <w:sz w:val="24"/>
          <w:highlight w:val="none"/>
          <w:u w:val="dotted"/>
        </w:rPr>
        <w:t xml:space="preserve">                              </w:t>
      </w:r>
    </w:p>
    <w:p w14:paraId="27248CEC">
      <w:pPr>
        <w:keepNext w:val="0"/>
        <w:keepLines w:val="0"/>
        <w:pageBreakBefore w:val="0"/>
        <w:shd w:val="clear"/>
        <w:kinsoku/>
        <w:wordWrap/>
        <w:overflowPunct/>
        <w:topLinePunct w:val="0"/>
        <w:autoSpaceDE/>
        <w:autoSpaceDN/>
        <w:bidi w:val="0"/>
        <w:adjustRightInd w:val="0"/>
        <w:snapToGrid w:val="0"/>
        <w:spacing w:line="360" w:lineRule="auto"/>
        <w:textAlignment w:val="auto"/>
        <w:outlineLvl w:val="9"/>
        <w:rPr>
          <w:rFonts w:hint="eastAsia" w:asciiTheme="minorEastAsia" w:hAnsiTheme="minorEastAsia" w:eastAsiaTheme="minorEastAsia" w:cstheme="minorEastAsia"/>
          <w:color w:val="auto"/>
          <w:sz w:val="24"/>
          <w:highlight w:val="none"/>
          <w:u w:val="dotted"/>
        </w:rPr>
      </w:pPr>
      <w:r>
        <w:rPr>
          <w:rFonts w:hint="eastAsia" w:asciiTheme="minorEastAsia" w:hAnsiTheme="minorEastAsia" w:eastAsiaTheme="minorEastAsia" w:cstheme="minorEastAsia"/>
          <w:color w:val="auto"/>
          <w:sz w:val="24"/>
          <w:highlight w:val="none"/>
        </w:rPr>
        <w:t>授权代表：</w:t>
      </w:r>
      <w:r>
        <w:rPr>
          <w:rFonts w:hint="eastAsia" w:asciiTheme="minorEastAsia" w:hAnsiTheme="minorEastAsia" w:eastAsiaTheme="minorEastAsia" w:cstheme="minorEastAsia"/>
          <w:color w:val="auto"/>
          <w:sz w:val="24"/>
          <w:highlight w:val="none"/>
          <w:u w:val="dotted"/>
        </w:rPr>
        <w:t xml:space="preserve">                                          </w:t>
      </w:r>
    </w:p>
    <w:p w14:paraId="251DFC06">
      <w:pPr>
        <w:keepNext w:val="0"/>
        <w:keepLines w:val="0"/>
        <w:pageBreakBefore w:val="0"/>
        <w:shd w:val="clear"/>
        <w:kinsoku/>
        <w:wordWrap/>
        <w:overflowPunct/>
        <w:topLinePunct w:val="0"/>
        <w:autoSpaceDE/>
        <w:autoSpaceDN/>
        <w:bidi w:val="0"/>
        <w:adjustRightInd w:val="0"/>
        <w:snapToGrid w:val="0"/>
        <w:spacing w:line="360" w:lineRule="auto"/>
        <w:textAlignment w:val="auto"/>
        <w:outlineLvl w:val="9"/>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联系电话：</w:t>
      </w:r>
      <w:r>
        <w:rPr>
          <w:rFonts w:hint="eastAsia" w:asciiTheme="minorEastAsia" w:hAnsiTheme="minorEastAsia" w:eastAsiaTheme="minorEastAsia" w:cstheme="minorEastAsia"/>
          <w:color w:val="auto"/>
          <w:sz w:val="24"/>
          <w:highlight w:val="none"/>
          <w:u w:val="dotted"/>
        </w:rPr>
        <w:t xml:space="preserve">                                           </w:t>
      </w:r>
      <w:r>
        <w:rPr>
          <w:rFonts w:hint="eastAsia" w:asciiTheme="minorEastAsia" w:hAnsiTheme="minorEastAsia" w:eastAsiaTheme="minorEastAsia" w:cstheme="minorEastAsia"/>
          <w:color w:val="auto"/>
          <w:sz w:val="24"/>
          <w:highlight w:val="none"/>
        </w:rPr>
        <w:t xml:space="preserve"> </w:t>
      </w:r>
    </w:p>
    <w:p w14:paraId="2DE289EE">
      <w:pPr>
        <w:keepNext w:val="0"/>
        <w:keepLines w:val="0"/>
        <w:pageBreakBefore w:val="0"/>
        <w:shd w:val="clear"/>
        <w:kinsoku/>
        <w:wordWrap/>
        <w:overflowPunct/>
        <w:topLinePunct w:val="0"/>
        <w:autoSpaceDE/>
        <w:autoSpaceDN/>
        <w:bidi w:val="0"/>
        <w:adjustRightInd w:val="0"/>
        <w:snapToGrid w:val="0"/>
        <w:spacing w:line="360" w:lineRule="auto"/>
        <w:textAlignment w:val="auto"/>
        <w:outlineLvl w:val="9"/>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地址： </w:t>
      </w:r>
      <w:r>
        <w:rPr>
          <w:rFonts w:hint="eastAsia" w:asciiTheme="minorEastAsia" w:hAnsiTheme="minorEastAsia" w:eastAsiaTheme="minorEastAsia" w:cstheme="minorEastAsia"/>
          <w:color w:val="auto"/>
          <w:sz w:val="24"/>
          <w:highlight w:val="none"/>
          <w:u w:val="dotted"/>
        </w:rPr>
        <w:t xml:space="preserve">                        </w:t>
      </w:r>
      <w:r>
        <w:rPr>
          <w:rFonts w:hint="eastAsia" w:asciiTheme="minorEastAsia" w:hAnsiTheme="minorEastAsia" w:eastAsiaTheme="minorEastAsia" w:cstheme="minorEastAsia"/>
          <w:color w:val="auto"/>
          <w:sz w:val="24"/>
          <w:highlight w:val="none"/>
        </w:rPr>
        <w:t>邮编：</w:t>
      </w:r>
      <w:r>
        <w:rPr>
          <w:rFonts w:hint="eastAsia" w:asciiTheme="minorEastAsia" w:hAnsiTheme="minorEastAsia" w:eastAsiaTheme="minorEastAsia" w:cstheme="minorEastAsia"/>
          <w:color w:val="auto"/>
          <w:sz w:val="24"/>
          <w:highlight w:val="none"/>
          <w:u w:val="dotted"/>
        </w:rPr>
        <w:t xml:space="preserve">                                                </w:t>
      </w:r>
    </w:p>
    <w:p w14:paraId="144C912F">
      <w:pPr>
        <w:keepNext w:val="0"/>
        <w:keepLines w:val="0"/>
        <w:pageBreakBefore w:val="0"/>
        <w:shd w:val="clear"/>
        <w:kinsoku/>
        <w:wordWrap/>
        <w:overflowPunct/>
        <w:topLinePunct w:val="0"/>
        <w:autoSpaceDE/>
        <w:autoSpaceDN/>
        <w:bidi w:val="0"/>
        <w:adjustRightInd w:val="0"/>
        <w:snapToGrid w:val="0"/>
        <w:spacing w:line="360" w:lineRule="auto"/>
        <w:textAlignment w:val="auto"/>
        <w:outlineLvl w:val="9"/>
        <w:rPr>
          <w:rFonts w:hint="eastAsia" w:asciiTheme="minorEastAsia" w:hAnsiTheme="minorEastAsia" w:eastAsiaTheme="minorEastAsia" w:cstheme="minorEastAsia"/>
          <w:bCs/>
          <w:color w:val="auto"/>
          <w:sz w:val="24"/>
          <w:highlight w:val="none"/>
        </w:rPr>
      </w:pPr>
      <w:bookmarkStart w:id="563" w:name="_Toc8527"/>
      <w:bookmarkStart w:id="564" w:name="_Toc10341"/>
      <w:bookmarkStart w:id="565" w:name="_Toc9697"/>
      <w:bookmarkStart w:id="566" w:name="_Toc17780"/>
      <w:r>
        <w:rPr>
          <w:rFonts w:hint="eastAsia" w:asciiTheme="minorEastAsia" w:hAnsiTheme="minorEastAsia" w:eastAsiaTheme="minorEastAsia" w:cstheme="minorEastAsia"/>
          <w:bCs/>
          <w:color w:val="auto"/>
          <w:sz w:val="24"/>
          <w:highlight w:val="none"/>
        </w:rPr>
        <w:t>二、质疑项目基本情况</w:t>
      </w:r>
      <w:bookmarkEnd w:id="563"/>
      <w:bookmarkEnd w:id="564"/>
      <w:bookmarkEnd w:id="565"/>
      <w:bookmarkEnd w:id="566"/>
    </w:p>
    <w:p w14:paraId="3C20311F">
      <w:pPr>
        <w:keepNext w:val="0"/>
        <w:keepLines w:val="0"/>
        <w:pageBreakBefore w:val="0"/>
        <w:shd w:val="clear"/>
        <w:kinsoku/>
        <w:wordWrap/>
        <w:overflowPunct/>
        <w:topLinePunct w:val="0"/>
        <w:autoSpaceDE/>
        <w:autoSpaceDN/>
        <w:bidi w:val="0"/>
        <w:adjustRightInd w:val="0"/>
        <w:snapToGrid w:val="0"/>
        <w:spacing w:line="360" w:lineRule="auto"/>
        <w:textAlignment w:val="auto"/>
        <w:outlineLvl w:val="9"/>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质疑项目的名称：</w:t>
      </w:r>
      <w:r>
        <w:rPr>
          <w:rFonts w:hint="eastAsia" w:asciiTheme="minorEastAsia" w:hAnsiTheme="minorEastAsia" w:eastAsiaTheme="minorEastAsia" w:cstheme="minorEastAsia"/>
          <w:color w:val="auto"/>
          <w:sz w:val="24"/>
          <w:highlight w:val="none"/>
          <w:u w:val="dotted"/>
        </w:rPr>
        <w:t xml:space="preserve">                                      </w:t>
      </w:r>
    </w:p>
    <w:p w14:paraId="4C41F1CE">
      <w:pPr>
        <w:keepNext w:val="0"/>
        <w:keepLines w:val="0"/>
        <w:pageBreakBefore w:val="0"/>
        <w:shd w:val="clear"/>
        <w:kinsoku/>
        <w:wordWrap/>
        <w:overflowPunct/>
        <w:topLinePunct w:val="0"/>
        <w:autoSpaceDE/>
        <w:autoSpaceDN/>
        <w:bidi w:val="0"/>
        <w:adjustRightInd w:val="0"/>
        <w:snapToGrid w:val="0"/>
        <w:spacing w:line="360" w:lineRule="auto"/>
        <w:textAlignment w:val="auto"/>
        <w:outlineLvl w:val="9"/>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质疑项目的编号：</w:t>
      </w:r>
      <w:r>
        <w:rPr>
          <w:rFonts w:hint="eastAsia" w:asciiTheme="minorEastAsia" w:hAnsiTheme="minorEastAsia" w:eastAsiaTheme="minorEastAsia" w:cstheme="minorEastAsia"/>
          <w:color w:val="auto"/>
          <w:sz w:val="24"/>
          <w:highlight w:val="none"/>
          <w:u w:val="dotted"/>
        </w:rPr>
        <w:t xml:space="preserve">               </w:t>
      </w:r>
      <w:r>
        <w:rPr>
          <w:rFonts w:hint="eastAsia" w:asciiTheme="minorEastAsia" w:hAnsiTheme="minorEastAsia" w:eastAsiaTheme="minorEastAsia" w:cstheme="minorEastAsia"/>
          <w:color w:val="auto"/>
          <w:sz w:val="24"/>
          <w:highlight w:val="none"/>
        </w:rPr>
        <w:t>包号：</w:t>
      </w:r>
      <w:r>
        <w:rPr>
          <w:rFonts w:hint="eastAsia" w:asciiTheme="minorEastAsia" w:hAnsiTheme="minorEastAsia" w:eastAsiaTheme="minorEastAsia" w:cstheme="minorEastAsia"/>
          <w:color w:val="auto"/>
          <w:sz w:val="24"/>
          <w:highlight w:val="none"/>
          <w:u w:val="dotted"/>
        </w:rPr>
        <w:t xml:space="preserve">                 </w:t>
      </w:r>
    </w:p>
    <w:p w14:paraId="52FD8B49">
      <w:pPr>
        <w:keepNext w:val="0"/>
        <w:keepLines w:val="0"/>
        <w:pageBreakBefore w:val="0"/>
        <w:shd w:val="clear"/>
        <w:kinsoku/>
        <w:wordWrap/>
        <w:overflowPunct/>
        <w:topLinePunct w:val="0"/>
        <w:autoSpaceDE/>
        <w:autoSpaceDN/>
        <w:bidi w:val="0"/>
        <w:adjustRightInd w:val="0"/>
        <w:snapToGrid w:val="0"/>
        <w:spacing w:line="360" w:lineRule="auto"/>
        <w:textAlignment w:val="auto"/>
        <w:outlineLvl w:val="9"/>
        <w:rPr>
          <w:rFonts w:hint="eastAsia" w:asciiTheme="minorEastAsia" w:hAnsiTheme="minorEastAsia" w:eastAsiaTheme="minorEastAsia" w:cstheme="minorEastAsia"/>
          <w:color w:val="auto"/>
          <w:sz w:val="24"/>
          <w:highlight w:val="none"/>
          <w:u w:val="dotted"/>
        </w:rPr>
      </w:pPr>
      <w:r>
        <w:rPr>
          <w:rFonts w:hint="eastAsia" w:asciiTheme="minorEastAsia" w:hAnsiTheme="minorEastAsia" w:eastAsiaTheme="minorEastAsia" w:cstheme="minorEastAsia"/>
          <w:color w:val="auto"/>
          <w:sz w:val="24"/>
          <w:highlight w:val="none"/>
        </w:rPr>
        <w:t>采购人名称：</w:t>
      </w:r>
      <w:r>
        <w:rPr>
          <w:rFonts w:hint="eastAsia" w:asciiTheme="minorEastAsia" w:hAnsiTheme="minorEastAsia" w:eastAsiaTheme="minorEastAsia" w:cstheme="minorEastAsia"/>
          <w:color w:val="auto"/>
          <w:sz w:val="24"/>
          <w:highlight w:val="none"/>
          <w:u w:val="dotted"/>
        </w:rPr>
        <w:t xml:space="preserve">                                         </w:t>
      </w:r>
    </w:p>
    <w:p w14:paraId="1CEDAFFC">
      <w:pPr>
        <w:keepNext w:val="0"/>
        <w:keepLines w:val="0"/>
        <w:pageBreakBefore w:val="0"/>
        <w:shd w:val="clear"/>
        <w:kinsoku/>
        <w:wordWrap/>
        <w:overflowPunct/>
        <w:topLinePunct w:val="0"/>
        <w:autoSpaceDE/>
        <w:autoSpaceDN/>
        <w:bidi w:val="0"/>
        <w:adjustRightInd w:val="0"/>
        <w:snapToGrid w:val="0"/>
        <w:spacing w:line="360" w:lineRule="auto"/>
        <w:textAlignment w:val="auto"/>
        <w:outlineLvl w:val="9"/>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采购文件获取日期：</w:t>
      </w:r>
      <w:r>
        <w:rPr>
          <w:rFonts w:hint="eastAsia" w:asciiTheme="minorEastAsia" w:hAnsiTheme="minorEastAsia" w:eastAsiaTheme="minorEastAsia" w:cstheme="minorEastAsia"/>
          <w:color w:val="auto"/>
          <w:sz w:val="24"/>
          <w:highlight w:val="none"/>
          <w:u w:val="dotted"/>
        </w:rPr>
        <w:t xml:space="preserve">                                           </w:t>
      </w:r>
    </w:p>
    <w:p w14:paraId="424512CE">
      <w:pPr>
        <w:keepNext w:val="0"/>
        <w:keepLines w:val="0"/>
        <w:pageBreakBefore w:val="0"/>
        <w:shd w:val="clear"/>
        <w:kinsoku/>
        <w:wordWrap/>
        <w:overflowPunct/>
        <w:topLinePunct w:val="0"/>
        <w:autoSpaceDE/>
        <w:autoSpaceDN/>
        <w:bidi w:val="0"/>
        <w:adjustRightInd w:val="0"/>
        <w:snapToGrid w:val="0"/>
        <w:spacing w:line="360" w:lineRule="auto"/>
        <w:textAlignment w:val="auto"/>
        <w:outlineLvl w:val="9"/>
        <w:rPr>
          <w:rFonts w:hint="eastAsia" w:asciiTheme="minorEastAsia" w:hAnsiTheme="minorEastAsia" w:eastAsiaTheme="minorEastAsia" w:cstheme="minorEastAsia"/>
          <w:bCs/>
          <w:color w:val="auto"/>
          <w:sz w:val="24"/>
          <w:highlight w:val="none"/>
        </w:rPr>
      </w:pPr>
      <w:bookmarkStart w:id="567" w:name="_Toc273"/>
      <w:bookmarkStart w:id="568" w:name="_Toc7240"/>
      <w:bookmarkStart w:id="569" w:name="_Toc22059"/>
      <w:bookmarkStart w:id="570" w:name="_Toc30084"/>
      <w:r>
        <w:rPr>
          <w:rFonts w:hint="eastAsia" w:asciiTheme="minorEastAsia" w:hAnsiTheme="minorEastAsia" w:eastAsiaTheme="minorEastAsia" w:cstheme="minorEastAsia"/>
          <w:bCs/>
          <w:color w:val="auto"/>
          <w:sz w:val="24"/>
          <w:highlight w:val="none"/>
        </w:rPr>
        <w:t>三、质疑事项具体内容</w:t>
      </w:r>
      <w:bookmarkEnd w:id="567"/>
      <w:bookmarkEnd w:id="568"/>
      <w:bookmarkEnd w:id="569"/>
      <w:bookmarkEnd w:id="570"/>
    </w:p>
    <w:p w14:paraId="5B4190D4">
      <w:pPr>
        <w:keepNext w:val="0"/>
        <w:keepLines w:val="0"/>
        <w:pageBreakBefore w:val="0"/>
        <w:shd w:val="clear"/>
        <w:kinsoku/>
        <w:wordWrap/>
        <w:overflowPunct/>
        <w:topLinePunct w:val="0"/>
        <w:autoSpaceDE/>
        <w:autoSpaceDN/>
        <w:bidi w:val="0"/>
        <w:adjustRightInd w:val="0"/>
        <w:snapToGrid w:val="0"/>
        <w:spacing w:line="360" w:lineRule="auto"/>
        <w:textAlignment w:val="auto"/>
        <w:outlineLvl w:val="9"/>
        <w:rPr>
          <w:rFonts w:hint="eastAsia" w:asciiTheme="minorEastAsia" w:hAnsiTheme="minorEastAsia" w:eastAsiaTheme="minorEastAsia" w:cstheme="minorEastAsia"/>
          <w:color w:val="auto"/>
          <w:sz w:val="24"/>
          <w:highlight w:val="none"/>
          <w:u w:val="dotted"/>
        </w:rPr>
      </w:pPr>
      <w:r>
        <w:rPr>
          <w:rFonts w:hint="eastAsia" w:asciiTheme="minorEastAsia" w:hAnsiTheme="minorEastAsia" w:eastAsiaTheme="minorEastAsia" w:cstheme="minorEastAsia"/>
          <w:color w:val="auto"/>
          <w:sz w:val="24"/>
          <w:highlight w:val="none"/>
        </w:rPr>
        <w:t>质疑事项1：</w:t>
      </w:r>
      <w:r>
        <w:rPr>
          <w:rFonts w:hint="eastAsia" w:asciiTheme="minorEastAsia" w:hAnsiTheme="minorEastAsia" w:eastAsiaTheme="minorEastAsia" w:cstheme="minorEastAsia"/>
          <w:color w:val="auto"/>
          <w:sz w:val="24"/>
          <w:highlight w:val="none"/>
          <w:u w:val="dotted"/>
        </w:rPr>
        <w:t xml:space="preserve">                                         </w:t>
      </w:r>
    </w:p>
    <w:p w14:paraId="090D4A8F">
      <w:pPr>
        <w:keepNext w:val="0"/>
        <w:keepLines w:val="0"/>
        <w:pageBreakBefore w:val="0"/>
        <w:shd w:val="clear"/>
        <w:kinsoku/>
        <w:wordWrap/>
        <w:overflowPunct/>
        <w:topLinePunct w:val="0"/>
        <w:autoSpaceDE/>
        <w:autoSpaceDN/>
        <w:bidi w:val="0"/>
        <w:adjustRightInd w:val="0"/>
        <w:snapToGrid w:val="0"/>
        <w:spacing w:line="360" w:lineRule="auto"/>
        <w:textAlignment w:val="auto"/>
        <w:outlineLvl w:val="9"/>
        <w:rPr>
          <w:rFonts w:hint="eastAsia" w:asciiTheme="minorEastAsia" w:hAnsiTheme="minorEastAsia" w:eastAsiaTheme="minorEastAsia" w:cstheme="minorEastAsia"/>
          <w:color w:val="auto"/>
          <w:sz w:val="24"/>
          <w:highlight w:val="none"/>
          <w:u w:val="dotted"/>
        </w:rPr>
      </w:pPr>
      <w:r>
        <w:rPr>
          <w:rFonts w:hint="eastAsia" w:asciiTheme="minorEastAsia" w:hAnsiTheme="minorEastAsia" w:eastAsiaTheme="minorEastAsia" w:cstheme="minorEastAsia"/>
          <w:color w:val="auto"/>
          <w:sz w:val="24"/>
          <w:highlight w:val="none"/>
        </w:rPr>
        <w:t>事实依据：</w:t>
      </w:r>
      <w:r>
        <w:rPr>
          <w:rFonts w:hint="eastAsia" w:asciiTheme="minorEastAsia" w:hAnsiTheme="minorEastAsia" w:eastAsiaTheme="minorEastAsia" w:cstheme="minorEastAsia"/>
          <w:color w:val="auto"/>
          <w:sz w:val="24"/>
          <w:highlight w:val="none"/>
          <w:u w:val="dotted"/>
        </w:rPr>
        <w:t xml:space="preserve">                                          </w:t>
      </w:r>
    </w:p>
    <w:p w14:paraId="1925B516">
      <w:pPr>
        <w:keepNext w:val="0"/>
        <w:keepLines w:val="0"/>
        <w:pageBreakBefore w:val="0"/>
        <w:shd w:val="clear"/>
        <w:kinsoku/>
        <w:wordWrap/>
        <w:overflowPunct/>
        <w:topLinePunct w:val="0"/>
        <w:autoSpaceDE/>
        <w:autoSpaceDN/>
        <w:bidi w:val="0"/>
        <w:adjustRightInd w:val="0"/>
        <w:snapToGrid w:val="0"/>
        <w:spacing w:line="360" w:lineRule="auto"/>
        <w:textAlignment w:val="auto"/>
        <w:outlineLvl w:val="9"/>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u w:val="dotted"/>
        </w:rPr>
        <w:t xml:space="preserve">                                                       </w:t>
      </w:r>
    </w:p>
    <w:p w14:paraId="34A6E741">
      <w:pPr>
        <w:keepNext w:val="0"/>
        <w:keepLines w:val="0"/>
        <w:pageBreakBefore w:val="0"/>
        <w:shd w:val="clear"/>
        <w:kinsoku/>
        <w:wordWrap/>
        <w:overflowPunct/>
        <w:topLinePunct w:val="0"/>
        <w:autoSpaceDE/>
        <w:autoSpaceDN/>
        <w:bidi w:val="0"/>
        <w:adjustRightInd w:val="0"/>
        <w:snapToGrid w:val="0"/>
        <w:spacing w:line="360" w:lineRule="auto"/>
        <w:textAlignment w:val="auto"/>
        <w:outlineLvl w:val="9"/>
        <w:rPr>
          <w:rFonts w:hint="eastAsia" w:asciiTheme="minorEastAsia" w:hAnsiTheme="minorEastAsia" w:eastAsiaTheme="minorEastAsia" w:cstheme="minorEastAsia"/>
          <w:color w:val="auto"/>
          <w:sz w:val="24"/>
          <w:highlight w:val="none"/>
          <w:u w:val="dotted"/>
        </w:rPr>
      </w:pPr>
      <w:r>
        <w:rPr>
          <w:rFonts w:hint="eastAsia" w:asciiTheme="minorEastAsia" w:hAnsiTheme="minorEastAsia" w:eastAsiaTheme="minorEastAsia" w:cstheme="minorEastAsia"/>
          <w:color w:val="auto"/>
          <w:sz w:val="24"/>
          <w:highlight w:val="none"/>
        </w:rPr>
        <w:t>法律依据：</w:t>
      </w:r>
      <w:r>
        <w:rPr>
          <w:rFonts w:hint="eastAsia" w:asciiTheme="minorEastAsia" w:hAnsiTheme="minorEastAsia" w:eastAsiaTheme="minorEastAsia" w:cstheme="minorEastAsia"/>
          <w:color w:val="auto"/>
          <w:sz w:val="24"/>
          <w:highlight w:val="none"/>
          <w:u w:val="dotted"/>
        </w:rPr>
        <w:t xml:space="preserve">                                          </w:t>
      </w:r>
    </w:p>
    <w:p w14:paraId="73E5AD23">
      <w:pPr>
        <w:keepNext w:val="0"/>
        <w:keepLines w:val="0"/>
        <w:pageBreakBefore w:val="0"/>
        <w:shd w:val="clear"/>
        <w:kinsoku/>
        <w:wordWrap/>
        <w:overflowPunct/>
        <w:topLinePunct w:val="0"/>
        <w:autoSpaceDE/>
        <w:autoSpaceDN/>
        <w:bidi w:val="0"/>
        <w:adjustRightInd w:val="0"/>
        <w:snapToGrid w:val="0"/>
        <w:spacing w:line="360" w:lineRule="auto"/>
        <w:textAlignment w:val="auto"/>
        <w:outlineLvl w:val="9"/>
        <w:rPr>
          <w:rFonts w:hint="eastAsia" w:asciiTheme="minorEastAsia" w:hAnsiTheme="minorEastAsia" w:eastAsiaTheme="minorEastAsia" w:cstheme="minorEastAsia"/>
          <w:color w:val="auto"/>
          <w:sz w:val="24"/>
          <w:highlight w:val="none"/>
          <w:u w:val="dotted"/>
        </w:rPr>
      </w:pPr>
      <w:r>
        <w:rPr>
          <w:rFonts w:hint="eastAsia" w:asciiTheme="minorEastAsia" w:hAnsiTheme="minorEastAsia" w:eastAsiaTheme="minorEastAsia" w:cstheme="minorEastAsia"/>
          <w:color w:val="auto"/>
          <w:sz w:val="24"/>
          <w:highlight w:val="none"/>
          <w:u w:val="dotted"/>
        </w:rPr>
        <w:t xml:space="preserve">                                                     </w:t>
      </w:r>
    </w:p>
    <w:p w14:paraId="12D2E056">
      <w:pPr>
        <w:keepNext w:val="0"/>
        <w:keepLines w:val="0"/>
        <w:pageBreakBefore w:val="0"/>
        <w:shd w:val="clear"/>
        <w:kinsoku/>
        <w:wordWrap/>
        <w:overflowPunct/>
        <w:topLinePunct w:val="0"/>
        <w:autoSpaceDE/>
        <w:autoSpaceDN/>
        <w:bidi w:val="0"/>
        <w:adjustRightInd w:val="0"/>
        <w:snapToGrid w:val="0"/>
        <w:spacing w:line="360" w:lineRule="auto"/>
        <w:textAlignment w:val="auto"/>
        <w:outlineLvl w:val="9"/>
        <w:rPr>
          <w:rFonts w:hint="eastAsia" w:asciiTheme="minorEastAsia" w:hAnsiTheme="minorEastAsia" w:eastAsiaTheme="minorEastAsia" w:cstheme="minorEastAsia"/>
          <w:color w:val="auto"/>
          <w:sz w:val="24"/>
          <w:highlight w:val="none"/>
          <w:u w:val="dotted"/>
        </w:rPr>
      </w:pPr>
      <w:r>
        <w:rPr>
          <w:rFonts w:hint="eastAsia" w:asciiTheme="minorEastAsia" w:hAnsiTheme="minorEastAsia" w:eastAsiaTheme="minorEastAsia" w:cstheme="minorEastAsia"/>
          <w:color w:val="auto"/>
          <w:sz w:val="24"/>
          <w:highlight w:val="none"/>
        </w:rPr>
        <w:t>质疑事项2</w:t>
      </w:r>
    </w:p>
    <w:p w14:paraId="44A5BB0E">
      <w:pPr>
        <w:keepNext w:val="0"/>
        <w:keepLines w:val="0"/>
        <w:pageBreakBefore w:val="0"/>
        <w:shd w:val="clear"/>
        <w:kinsoku/>
        <w:wordWrap/>
        <w:overflowPunct/>
        <w:topLinePunct w:val="0"/>
        <w:autoSpaceDE/>
        <w:autoSpaceDN/>
        <w:bidi w:val="0"/>
        <w:adjustRightInd w:val="0"/>
        <w:snapToGrid w:val="0"/>
        <w:spacing w:line="360" w:lineRule="auto"/>
        <w:textAlignment w:val="auto"/>
        <w:outlineLvl w:val="9"/>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p>
    <w:p w14:paraId="196A9993">
      <w:pPr>
        <w:keepNext w:val="0"/>
        <w:keepLines w:val="0"/>
        <w:pageBreakBefore w:val="0"/>
        <w:shd w:val="clear"/>
        <w:kinsoku/>
        <w:wordWrap/>
        <w:overflowPunct/>
        <w:topLinePunct w:val="0"/>
        <w:autoSpaceDE/>
        <w:autoSpaceDN/>
        <w:bidi w:val="0"/>
        <w:snapToGrid w:val="0"/>
        <w:spacing w:afterLines="50"/>
        <w:textAlignment w:val="auto"/>
        <w:outlineLvl w:val="9"/>
        <w:rPr>
          <w:rFonts w:hint="eastAsia" w:asciiTheme="minorEastAsia" w:hAnsiTheme="minorEastAsia" w:eastAsiaTheme="minorEastAsia" w:cstheme="minorEastAsia"/>
          <w:color w:val="auto"/>
          <w:sz w:val="24"/>
          <w:highlight w:val="none"/>
        </w:rPr>
      </w:pPr>
      <w:bookmarkStart w:id="571" w:name="_Toc28443"/>
      <w:bookmarkStart w:id="572" w:name="_Toc24970"/>
      <w:bookmarkStart w:id="573" w:name="_Toc8953"/>
      <w:bookmarkStart w:id="574" w:name="_Toc19907"/>
      <w:r>
        <w:rPr>
          <w:rFonts w:hint="eastAsia" w:asciiTheme="minorEastAsia" w:hAnsiTheme="minorEastAsia" w:eastAsiaTheme="minorEastAsia" w:cstheme="minorEastAsia"/>
          <w:bCs/>
          <w:color w:val="auto"/>
          <w:sz w:val="24"/>
          <w:highlight w:val="none"/>
        </w:rPr>
        <w:t>四、与质疑事项相关的质疑请求</w:t>
      </w:r>
      <w:bookmarkEnd w:id="571"/>
      <w:bookmarkEnd w:id="572"/>
      <w:bookmarkEnd w:id="573"/>
      <w:bookmarkEnd w:id="574"/>
    </w:p>
    <w:p w14:paraId="0A4B09A6">
      <w:pPr>
        <w:keepNext w:val="0"/>
        <w:keepLines w:val="0"/>
        <w:pageBreakBefore w:val="0"/>
        <w:shd w:val="clear"/>
        <w:kinsoku/>
        <w:wordWrap/>
        <w:overflowPunct/>
        <w:topLinePunct w:val="0"/>
        <w:autoSpaceDE/>
        <w:autoSpaceDN/>
        <w:bidi w:val="0"/>
        <w:adjustRightInd w:val="0"/>
        <w:snapToGrid w:val="0"/>
        <w:spacing w:line="360" w:lineRule="auto"/>
        <w:textAlignment w:val="auto"/>
        <w:outlineLvl w:val="9"/>
        <w:rPr>
          <w:rFonts w:hint="eastAsia" w:asciiTheme="minorEastAsia" w:hAnsiTheme="minorEastAsia" w:eastAsiaTheme="minorEastAsia" w:cstheme="minorEastAsia"/>
          <w:color w:val="auto"/>
          <w:sz w:val="24"/>
          <w:highlight w:val="none"/>
          <w:u w:val="dotted"/>
        </w:rPr>
      </w:pPr>
      <w:r>
        <w:rPr>
          <w:rFonts w:hint="eastAsia" w:asciiTheme="minorEastAsia" w:hAnsiTheme="minorEastAsia" w:eastAsiaTheme="minorEastAsia" w:cstheme="minorEastAsia"/>
          <w:color w:val="auto"/>
          <w:sz w:val="24"/>
          <w:highlight w:val="none"/>
        </w:rPr>
        <w:t>请求：</w:t>
      </w:r>
      <w:r>
        <w:rPr>
          <w:rFonts w:hint="eastAsia" w:asciiTheme="minorEastAsia" w:hAnsiTheme="minorEastAsia" w:eastAsiaTheme="minorEastAsia" w:cstheme="minorEastAsia"/>
          <w:color w:val="auto"/>
          <w:sz w:val="24"/>
          <w:highlight w:val="none"/>
          <w:u w:val="dotted"/>
        </w:rPr>
        <w:t xml:space="preserve">                                               </w:t>
      </w:r>
    </w:p>
    <w:p w14:paraId="7F8ECEBE">
      <w:pPr>
        <w:keepNext w:val="0"/>
        <w:keepLines w:val="0"/>
        <w:pageBreakBefore w:val="0"/>
        <w:shd w:val="clear"/>
        <w:kinsoku/>
        <w:wordWrap/>
        <w:overflowPunct/>
        <w:topLinePunct w:val="0"/>
        <w:autoSpaceDE/>
        <w:autoSpaceDN/>
        <w:bidi w:val="0"/>
        <w:textAlignment w:val="auto"/>
        <w:outlineLvl w:val="9"/>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签字(签章)：                   公章：                      </w:t>
      </w:r>
    </w:p>
    <w:p w14:paraId="1DAFFAB0">
      <w:pPr>
        <w:keepNext w:val="0"/>
        <w:keepLines w:val="0"/>
        <w:pageBreakBefore w:val="0"/>
        <w:shd w:val="clear"/>
        <w:kinsoku/>
        <w:wordWrap/>
        <w:overflowPunct/>
        <w:topLinePunct w:val="0"/>
        <w:autoSpaceDE/>
        <w:autoSpaceDN/>
        <w:bidi w:val="0"/>
        <w:textAlignment w:val="auto"/>
        <w:outlineLvl w:val="9"/>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日期：    </w:t>
      </w:r>
    </w:p>
    <w:p w14:paraId="78B40231">
      <w:pPr>
        <w:keepNext w:val="0"/>
        <w:keepLines w:val="0"/>
        <w:pageBreakBefore w:val="0"/>
        <w:shd w:val="clear"/>
        <w:kinsoku/>
        <w:wordWrap/>
        <w:overflowPunct/>
        <w:topLinePunct w:val="0"/>
        <w:autoSpaceDE/>
        <w:autoSpaceDN/>
        <w:bidi w:val="0"/>
        <w:textAlignment w:val="auto"/>
        <w:outlineLvl w:val="9"/>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br w:type="page"/>
      </w:r>
      <w:r>
        <w:rPr>
          <w:rFonts w:hint="eastAsia" w:asciiTheme="minorEastAsia" w:hAnsiTheme="minorEastAsia" w:eastAsiaTheme="minorEastAsia" w:cstheme="minorEastAsia"/>
          <w:bCs/>
          <w:color w:val="auto"/>
          <w:sz w:val="24"/>
          <w:highlight w:val="none"/>
        </w:rPr>
        <w:t>质疑函制作说明：</w:t>
      </w:r>
    </w:p>
    <w:p w14:paraId="7155314A">
      <w:pPr>
        <w:keepNext w:val="0"/>
        <w:keepLines w:val="0"/>
        <w:pageBreakBefore w:val="0"/>
        <w:widowControl/>
        <w:shd w:val="clear"/>
        <w:kinsoku/>
        <w:wordWrap/>
        <w:overflowPunct/>
        <w:topLinePunct w:val="0"/>
        <w:autoSpaceDE/>
        <w:autoSpaceDN/>
        <w:bidi w:val="0"/>
        <w:ind w:firstLine="480" w:firstLineChars="200"/>
        <w:jc w:val="left"/>
        <w:textAlignment w:val="auto"/>
        <w:outlineLvl w:val="9"/>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1.供应商提出质疑时，应提交质疑函和必要的证明材料。</w:t>
      </w:r>
    </w:p>
    <w:p w14:paraId="70E55CAD">
      <w:pPr>
        <w:keepNext w:val="0"/>
        <w:keepLines w:val="0"/>
        <w:pageBreakBefore w:val="0"/>
        <w:widowControl/>
        <w:shd w:val="clear"/>
        <w:kinsoku/>
        <w:wordWrap/>
        <w:overflowPunct/>
        <w:topLinePunct w:val="0"/>
        <w:autoSpaceDE/>
        <w:autoSpaceDN/>
        <w:bidi w:val="0"/>
        <w:ind w:firstLine="480" w:firstLineChars="200"/>
        <w:jc w:val="left"/>
        <w:textAlignment w:val="auto"/>
        <w:outlineLvl w:val="9"/>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2.质疑供应商若委托代理人进行质疑的，质疑函应按要求列明“授权代表”的有关内容，并在附件中提交由质疑</w:t>
      </w:r>
      <w:r>
        <w:rPr>
          <w:rFonts w:hint="eastAsia" w:asciiTheme="minorEastAsia" w:hAnsiTheme="minorEastAsia" w:eastAsiaTheme="minorEastAsia" w:cstheme="minorEastAsia"/>
          <w:bCs/>
          <w:color w:val="auto"/>
          <w:kern w:val="0"/>
          <w:sz w:val="24"/>
          <w:highlight w:val="none"/>
        </w:rPr>
        <w:t>供应商签署的授权委托书。授权委托书应载明代理人的姓名或者名称、代理事项、具体权限、期限和相关事项。</w:t>
      </w:r>
    </w:p>
    <w:p w14:paraId="62F26C02">
      <w:pPr>
        <w:keepNext w:val="0"/>
        <w:keepLines w:val="0"/>
        <w:pageBreakBefore w:val="0"/>
        <w:widowControl/>
        <w:shd w:val="clear"/>
        <w:kinsoku/>
        <w:wordWrap/>
        <w:overflowPunct/>
        <w:topLinePunct w:val="0"/>
        <w:autoSpaceDE/>
        <w:autoSpaceDN/>
        <w:bidi w:val="0"/>
        <w:ind w:firstLine="480" w:firstLineChars="200"/>
        <w:jc w:val="left"/>
        <w:textAlignment w:val="auto"/>
        <w:outlineLvl w:val="9"/>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3.质疑供应商若对项目的某一分包进行质疑，质疑函中应列明具体分包号。</w:t>
      </w:r>
    </w:p>
    <w:p w14:paraId="7D161735">
      <w:pPr>
        <w:keepNext w:val="0"/>
        <w:keepLines w:val="0"/>
        <w:pageBreakBefore w:val="0"/>
        <w:widowControl/>
        <w:shd w:val="clear"/>
        <w:kinsoku/>
        <w:wordWrap/>
        <w:overflowPunct/>
        <w:topLinePunct w:val="0"/>
        <w:autoSpaceDE/>
        <w:autoSpaceDN/>
        <w:bidi w:val="0"/>
        <w:ind w:firstLine="480" w:firstLineChars="200"/>
        <w:jc w:val="left"/>
        <w:textAlignment w:val="auto"/>
        <w:outlineLvl w:val="9"/>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4.质疑函的质疑事项应具体、明确，并有必要的事实依据和法律依据。</w:t>
      </w:r>
    </w:p>
    <w:p w14:paraId="3DA4D8CA">
      <w:pPr>
        <w:keepNext w:val="0"/>
        <w:keepLines w:val="0"/>
        <w:pageBreakBefore w:val="0"/>
        <w:widowControl/>
        <w:shd w:val="clear"/>
        <w:kinsoku/>
        <w:wordWrap/>
        <w:overflowPunct/>
        <w:topLinePunct w:val="0"/>
        <w:autoSpaceDE/>
        <w:autoSpaceDN/>
        <w:bidi w:val="0"/>
        <w:ind w:firstLine="480" w:firstLineChars="200"/>
        <w:jc w:val="left"/>
        <w:textAlignment w:val="auto"/>
        <w:outlineLvl w:val="9"/>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5.质疑函的质疑请求应与质疑事项相关。</w:t>
      </w:r>
    </w:p>
    <w:p w14:paraId="572362C7">
      <w:pPr>
        <w:keepNext w:val="0"/>
        <w:keepLines w:val="0"/>
        <w:pageBreakBefore w:val="0"/>
        <w:widowControl/>
        <w:shd w:val="clear"/>
        <w:kinsoku/>
        <w:wordWrap/>
        <w:overflowPunct/>
        <w:topLinePunct w:val="0"/>
        <w:autoSpaceDE/>
        <w:autoSpaceDN/>
        <w:bidi w:val="0"/>
        <w:ind w:firstLine="480" w:firstLineChars="200"/>
        <w:jc w:val="left"/>
        <w:textAlignment w:val="auto"/>
        <w:outlineLvl w:val="9"/>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6.质疑供应商为自然人的，质疑函应由本人签字；质疑供应商为法人或者其他组织的，质疑函应由法定代表人、主要负责人，或者其授权代表签字或者盖章，并加盖公章。</w:t>
      </w:r>
    </w:p>
    <w:p w14:paraId="22DC832E">
      <w:pPr>
        <w:pStyle w:val="5"/>
        <w:shd w:val="clear"/>
        <w:tabs>
          <w:tab w:val="left" w:pos="567"/>
        </w:tabs>
        <w:rPr>
          <w:rFonts w:hint="eastAsia" w:asciiTheme="minorEastAsia" w:hAnsiTheme="minorEastAsia" w:eastAsiaTheme="minorEastAsia" w:cstheme="minorEastAsia"/>
          <w:i/>
          <w:color w:val="auto"/>
          <w:highlight w:val="none"/>
        </w:rPr>
      </w:pPr>
    </w:p>
    <w:p w14:paraId="6EE0D288">
      <w:pPr>
        <w:shd w:val="clear"/>
        <w:snapToGrid w:val="0"/>
        <w:spacing w:afterLines="50"/>
        <w:rPr>
          <w:color w:val="auto"/>
          <w:highlight w:val="none"/>
        </w:rPr>
      </w:pPr>
    </w:p>
    <w:sectPr>
      <w:pgSz w:w="11906" w:h="16838"/>
      <w:pgMar w:top="1440" w:right="1247" w:bottom="1361" w:left="1247"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BD0E4A2-13D6-4470-845E-524375F8171A}"/>
  </w:font>
  <w:font w:name="黑体">
    <w:panose1 w:val="02010609060101010101"/>
    <w:charset w:val="86"/>
    <w:family w:val="auto"/>
    <w:pitch w:val="default"/>
    <w:sig w:usb0="800002BF" w:usb1="38CF7CFA" w:usb2="00000016" w:usb3="00000000" w:csb0="00040001" w:csb1="00000000"/>
    <w:embedRegular r:id="rId2" w:fontKey="{B87E6346-11E6-45E6-8F03-56E9C875808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MS Gothic">
    <w:panose1 w:val="020B0609070205080204"/>
    <w:charset w:val="80"/>
    <w:family w:val="modern"/>
    <w:pitch w:val="default"/>
    <w:sig w:usb0="E00002FF" w:usb1="6AC7FDFB" w:usb2="08000012" w:usb3="00000000" w:csb0="4002009F" w:csb1="DFD70000"/>
  </w:font>
  <w:font w:name="Century">
    <w:altName w:val="Times New Roman"/>
    <w:panose1 w:val="02040604050505020304"/>
    <w:charset w:val="00"/>
    <w:family w:val="roman"/>
    <w:pitch w:val="default"/>
    <w:sig w:usb0="00000000" w:usb1="00000000" w:usb2="00000000" w:usb3="00000000" w:csb0="2000009F" w:csb1="DFD70000"/>
  </w:font>
  <w:font w:name="仿宋_GB2312">
    <w:altName w:val="仿宋"/>
    <w:panose1 w:val="02010609030101010101"/>
    <w:charset w:val="86"/>
    <w:family w:val="modern"/>
    <w:pitch w:val="default"/>
    <w:sig w:usb0="00000000" w:usb1="00000000" w:usb2="00000000" w:usb3="00000000" w:csb0="00040000" w:csb1="00000000"/>
  </w:font>
  <w:font w:name="Univers">
    <w:panose1 w:val="020B0603020202030204"/>
    <w:charset w:val="00"/>
    <w:family w:val="swiss"/>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方正大标宋简体">
    <w:panose1 w:val="02000000000000000000"/>
    <w:charset w:val="86"/>
    <w:family w:val="auto"/>
    <w:pitch w:val="default"/>
    <w:sig w:usb0="A00002BF" w:usb1="184F6CFA" w:usb2="00000012" w:usb3="00000000" w:csb0="00040001" w:csb1="00000000"/>
    <w:embedRegular r:id="rId3" w:fontKey="{6EDF981F-9873-424F-9C4A-B44E5DC3448C}"/>
  </w:font>
  <w:font w:name="TimesNewRomanPSMT">
    <w:altName w:val="Times New Roman"/>
    <w:panose1 w:val="00000000000000000000"/>
    <w:charset w:val="00"/>
    <w:family w:val="roman"/>
    <w:pitch w:val="default"/>
    <w:sig w:usb0="00000000" w:usb1="00000000" w:usb2="00000010" w:usb3="00000000" w:csb0="00040001" w:csb1="00000000"/>
    <w:embedRegular r:id="rId4" w:fontKey="{F21C1FE2-FEC2-4036-9DF6-AFDFF455D3E6}"/>
  </w:font>
  <w:font w:name="WPSEMBED1">
    <w:panose1 w:val="02000000000000000000"/>
    <w:charset w:val="86"/>
    <w:family w:val="auto"/>
    <w:pitch w:val="default"/>
    <w:sig w:usb0="A00002BF" w:usb1="184F6CFA" w:usb2="00000012" w:usb3="00000000" w:csb0="00040001"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7CE38">
    <w:pPr>
      <w:pStyle w:val="4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D045FF">
                          <w:pPr>
                            <w:pStyle w:val="49"/>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FD045FF">
                    <w:pPr>
                      <w:pStyle w:val="49"/>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16652">
    <w:pPr>
      <w:spacing w:line="232" w:lineRule="auto"/>
      <w:rPr>
        <w:rFonts w:ascii="宋体" w:hAnsi="宋体" w:eastAsia="宋体" w:cs="宋体"/>
        <w:sz w:val="26"/>
        <w:szCs w:val="26"/>
      </w:rPr>
    </w:pPr>
    <w:r>
      <w:rPr>
        <w:sz w:val="26"/>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CAE2AA">
                          <w:pPr>
                            <w:pStyle w:val="49"/>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3CAE2AA">
                    <w:pPr>
                      <w:pStyle w:val="49"/>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38C6C">
    <w:pPr>
      <w:pStyle w:val="49"/>
      <w:jc w:val="both"/>
    </w:pPr>
    <w:r>
      <w:rPr>
        <w:sz w:val="26"/>
      </w:rPr>
      <mc:AlternateContent>
        <mc:Choice Requires="wps">
          <w:drawing>
            <wp:anchor distT="0" distB="0" distL="114300" distR="114300" simplePos="0" relativeHeight="251661312" behindDoc="0" locked="0" layoutInCell="1" allowOverlap="1">
              <wp:simplePos x="0" y="0"/>
              <wp:positionH relativeFrom="margin">
                <wp:posOffset>2994025</wp:posOffset>
              </wp:positionH>
              <wp:positionV relativeFrom="paragraph">
                <wp:posOffset>-75565</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64F9ED">
                          <w:pPr>
                            <w:pStyle w:val="49"/>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35.75pt;margin-top:-5.95pt;height:144pt;width:144pt;mso-position-horizontal-relative:margin;mso-wrap-style:none;z-index:251661312;mso-width-relative:page;mso-height-relative:page;" filled="f" stroked="f" coordsize="21600,21600" o:gfxdata="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PhzY4vZAAAACwEAAA8AAAAAAAAAAQAgAAAAIgAAAGRycy9kb3ducmV2Lnht&#10;bFBLAQIUABQAAAAIAIdO4kAwiRJeMQIAAGEEAAAOAAAAAAAAAAEAIAAAACgBAABkcnMvZTJvRG9j&#10;LnhtbFBLBQYAAAAABgAGAFkBAADLBQAAAAA=&#10;">
              <v:fill on="f" focussize="0,0"/>
              <v:stroke on="f" weight="0.5pt"/>
              <v:imagedata o:title=""/>
              <o:lock v:ext="edit" aspectratio="f"/>
              <v:textbox inset="0mm,0mm,0mm,0mm" style="mso-fit-shape-to-text:t;">
                <w:txbxContent>
                  <w:p w14:paraId="4664F9ED">
                    <w:pPr>
                      <w:pStyle w:val="49"/>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D3788">
    <w:pPr>
      <w:pStyle w:val="49"/>
      <w:jc w:val="both"/>
    </w:pPr>
    <w:r>
      <w:rPr>
        <w:sz w:val="26"/>
      </w:rPr>
      <mc:AlternateContent>
        <mc:Choice Requires="wps">
          <w:drawing>
            <wp:anchor distT="0" distB="0" distL="114300" distR="114300" simplePos="0" relativeHeight="251663360" behindDoc="0" locked="0" layoutInCell="1" allowOverlap="1">
              <wp:simplePos x="0" y="0"/>
              <wp:positionH relativeFrom="margin">
                <wp:posOffset>2994025</wp:posOffset>
              </wp:positionH>
              <wp:positionV relativeFrom="paragraph">
                <wp:posOffset>-75565</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7EA1F1">
                          <w:pPr>
                            <w:pStyle w:val="49"/>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35.75pt;margin-top:-5.95pt;height:144pt;width:144pt;mso-position-horizontal-relative:margin;mso-wrap-style:none;z-index:251663360;mso-width-relative:page;mso-height-relative:page;" filled="f" stroked="f" coordsize="21600,21600" o:gfxdata="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PhzY4vZAAAACwEAAA8AAAAAAAAAAQAgAAAAIgAAAGRycy9kb3ducmV2Lnht&#10;bFBLAQIUABQAAAAIAIdO4kDrADh6MQIAAGMEAAAOAAAAAAAAAAEAIAAAACgBAABkcnMvZTJvRG9j&#10;LnhtbFBLBQYAAAAABgAGAFkBAADLBQAAAAA=&#10;">
              <v:fill on="f" focussize="0,0"/>
              <v:stroke on="f" weight="0.5pt"/>
              <v:imagedata o:title=""/>
              <o:lock v:ext="edit" aspectratio="f"/>
              <v:textbox inset="0mm,0mm,0mm,0mm" style="mso-fit-shape-to-text:t;">
                <w:txbxContent>
                  <w:p w14:paraId="387EA1F1">
                    <w:pPr>
                      <w:pStyle w:val="49"/>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9D186">
    <w:pPr>
      <w:pStyle w:val="49"/>
      <w:ind w:firstLine="130" w:firstLineChars="50"/>
      <w:jc w:val="center"/>
    </w:pPr>
    <w:r>
      <w:rPr>
        <w:sz w:val="26"/>
      </w:rPr>
      <mc:AlternateContent>
        <mc:Choice Requires="wps">
          <w:drawing>
            <wp:anchor distT="0" distB="0" distL="114300" distR="114300" simplePos="0" relativeHeight="251662336" behindDoc="0" locked="0" layoutInCell="1" allowOverlap="1">
              <wp:simplePos x="0" y="0"/>
              <wp:positionH relativeFrom="margin">
                <wp:posOffset>2889885</wp:posOffset>
              </wp:positionH>
              <wp:positionV relativeFrom="paragraph">
                <wp:posOffset>-75565</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2949D5">
                          <w:pPr>
                            <w:pStyle w:val="49"/>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7.55pt;margin-top:-5.95pt;height:144pt;width:144pt;mso-position-horizontal-relative:margin;mso-wrap-style:none;z-index:251662336;mso-width-relative:page;mso-height-relative:page;" filled="f" stroked="f" coordsize="21600,21600" o:gfxdata="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Oiab42QAAAAsBAAAPAAAAAAAAAAEAIAAAACIAAABkcnMvZG93bnJldi54&#10;bWxQSwECFAAUAAAACACHTuJAApUg9DICAABhBAAADgAAAAAAAAABACAAAAAoAQAAZHJzL2Uyb0Rv&#10;Yy54bWxQSwUGAAAAAAYABgBZAQAAzAUAAAAA&#10;">
              <v:fill on="f" focussize="0,0"/>
              <v:stroke on="f" weight="0.5pt"/>
              <v:imagedata o:title=""/>
              <o:lock v:ext="edit" aspectratio="f"/>
              <v:textbox inset="0mm,0mm,0mm,0mm" style="mso-fit-shape-to-text:t;">
                <w:txbxContent>
                  <w:p w14:paraId="1D2949D5">
                    <w:pPr>
                      <w:pStyle w:val="49"/>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BB883">
    <w:pPr>
      <w:pStyle w:val="5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544B2">
    <w:pPr>
      <w:pStyle w:val="5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EFE95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9E20EE"/>
    <w:multiLevelType w:val="singleLevel"/>
    <w:tmpl w:val="839E20EE"/>
    <w:lvl w:ilvl="0" w:tentative="0">
      <w:start w:val="1"/>
      <w:numFmt w:val="decimal"/>
      <w:suff w:val="nothing"/>
      <w:lvlText w:val="（%1）"/>
      <w:lvlJc w:val="left"/>
    </w:lvl>
  </w:abstractNum>
  <w:abstractNum w:abstractNumId="1">
    <w:nsid w:val="00000005"/>
    <w:multiLevelType w:val="multilevel"/>
    <w:tmpl w:val="00000005"/>
    <w:lvl w:ilvl="0" w:tentative="0">
      <w:start w:val="1"/>
      <w:numFmt w:val="decimal"/>
      <w:lvlText w:val="（%1）"/>
      <w:lvlJc w:val="left"/>
      <w:pPr>
        <w:ind w:left="1552" w:hanging="420"/>
      </w:pPr>
      <w:rPr>
        <w:rFonts w:hint="eastAsia"/>
      </w:rPr>
    </w:lvl>
    <w:lvl w:ilvl="1" w:tentative="0">
      <w:start w:val="1"/>
      <w:numFmt w:val="decimal"/>
      <w:lvlText w:val="%2"/>
      <w:lvlJc w:val="left"/>
      <w:pPr>
        <w:ind w:left="1912" w:hanging="360"/>
      </w:pPr>
      <w:rPr>
        <w:rFonts w:hint="default"/>
      </w:rPr>
    </w:lvl>
    <w:lvl w:ilvl="2" w:tentative="0">
      <w:start w:val="1"/>
      <w:numFmt w:val="decimal"/>
      <w:lvlText w:val="(%3)"/>
      <w:lvlJc w:val="left"/>
      <w:pPr>
        <w:ind w:left="2557" w:hanging="585"/>
      </w:pPr>
      <w:rPr>
        <w:rFonts w:hint="default"/>
      </w:rPr>
    </w:lvl>
    <w:lvl w:ilvl="3" w:tentative="0">
      <w:start w:val="1"/>
      <w:numFmt w:val="decimal"/>
      <w:lvlText w:val="%4."/>
      <w:lvlJc w:val="left"/>
      <w:pPr>
        <w:ind w:left="2812" w:hanging="420"/>
      </w:pPr>
    </w:lvl>
    <w:lvl w:ilvl="4" w:tentative="0">
      <w:start w:val="1"/>
      <w:numFmt w:val="lowerLetter"/>
      <w:lvlText w:val="%5)"/>
      <w:lvlJc w:val="left"/>
      <w:pPr>
        <w:ind w:left="3232" w:hanging="420"/>
      </w:pPr>
    </w:lvl>
    <w:lvl w:ilvl="5" w:tentative="0">
      <w:start w:val="1"/>
      <w:numFmt w:val="lowerRoman"/>
      <w:lvlText w:val="%6."/>
      <w:lvlJc w:val="right"/>
      <w:pPr>
        <w:ind w:left="3652" w:hanging="420"/>
      </w:pPr>
    </w:lvl>
    <w:lvl w:ilvl="6" w:tentative="0">
      <w:start w:val="1"/>
      <w:numFmt w:val="decimal"/>
      <w:lvlText w:val="%7."/>
      <w:lvlJc w:val="left"/>
      <w:pPr>
        <w:ind w:left="4072" w:hanging="420"/>
      </w:pPr>
    </w:lvl>
    <w:lvl w:ilvl="7" w:tentative="0">
      <w:start w:val="1"/>
      <w:numFmt w:val="lowerLetter"/>
      <w:lvlText w:val="%8)"/>
      <w:lvlJc w:val="left"/>
      <w:pPr>
        <w:ind w:left="4492" w:hanging="420"/>
      </w:pPr>
    </w:lvl>
    <w:lvl w:ilvl="8" w:tentative="0">
      <w:start w:val="1"/>
      <w:numFmt w:val="lowerRoman"/>
      <w:lvlText w:val="%9."/>
      <w:lvlJc w:val="right"/>
      <w:pPr>
        <w:ind w:left="4912" w:hanging="420"/>
      </w:pPr>
    </w:lvl>
  </w:abstractNum>
  <w:abstractNum w:abstractNumId="2">
    <w:nsid w:val="00000007"/>
    <w:multiLevelType w:val="multilevel"/>
    <w:tmpl w:val="00000007"/>
    <w:lvl w:ilvl="0" w:tentative="0">
      <w:start w:val="1"/>
      <w:numFmt w:val="decimal"/>
      <w:lvlText w:val="%1"/>
      <w:lvlJc w:val="left"/>
      <w:pPr>
        <w:tabs>
          <w:tab w:val="left" w:pos="1134"/>
        </w:tabs>
        <w:ind w:left="1134" w:hanging="1134"/>
      </w:pPr>
      <w:rPr>
        <w:rFonts w:hint="eastAsia" w:ascii="宋体" w:eastAsia="宋体"/>
        <w:sz w:val="24"/>
        <w:szCs w:val="24"/>
      </w:rPr>
    </w:lvl>
    <w:lvl w:ilvl="1" w:tentative="0">
      <w:start w:val="1"/>
      <w:numFmt w:val="decimal"/>
      <w:lvlText w:val="%1.%2"/>
      <w:lvlJc w:val="left"/>
      <w:pPr>
        <w:tabs>
          <w:tab w:val="left" w:pos="1134"/>
        </w:tabs>
        <w:ind w:left="1134" w:hanging="1134"/>
      </w:pPr>
      <w:rPr>
        <w:rFonts w:hint="eastAsia" w:ascii="宋体" w:eastAsia="宋体"/>
        <w:color w:val="auto"/>
      </w:rPr>
    </w:lvl>
    <w:lvl w:ilvl="2" w:tentative="0">
      <w:start w:val="1"/>
      <w:numFmt w:val="decimal"/>
      <w:lvlText w:val="%1.%2.%3"/>
      <w:lvlJc w:val="left"/>
      <w:pPr>
        <w:tabs>
          <w:tab w:val="left" w:pos="1134"/>
        </w:tabs>
        <w:ind w:left="1134" w:hanging="1134"/>
      </w:pPr>
      <w:rPr>
        <w:rFonts w:hint="default" w:ascii="宋体" w:eastAsia="宋体"/>
        <w:sz w:val="24"/>
        <w:szCs w:val="24"/>
      </w:rPr>
    </w:lvl>
    <w:lvl w:ilvl="3" w:tentative="0">
      <w:start w:val="1"/>
      <w:numFmt w:val="decimal"/>
      <w:lvlText w:val="%1.%2.%3.%4"/>
      <w:lvlJc w:val="left"/>
      <w:pPr>
        <w:tabs>
          <w:tab w:val="left" w:pos="1021"/>
        </w:tabs>
        <w:ind w:left="1134" w:hanging="1134"/>
      </w:pPr>
      <w:rPr>
        <w:rFonts w:hint="eastAsia"/>
      </w:rPr>
    </w:lvl>
    <w:lvl w:ilvl="4" w:tentative="0">
      <w:start w:val="1"/>
      <w:numFmt w:val="decimal"/>
      <w:lvlText w:val="%1.%2.%3.%4.%5"/>
      <w:lvlJc w:val="left"/>
      <w:pPr>
        <w:tabs>
          <w:tab w:val="left" w:pos="1021"/>
        </w:tabs>
        <w:ind w:left="1134" w:hanging="1134"/>
      </w:pPr>
      <w:rPr>
        <w:rFonts w:hint="eastAsia"/>
      </w:rPr>
    </w:lvl>
    <w:lvl w:ilvl="5" w:tentative="0">
      <w:start w:val="1"/>
      <w:numFmt w:val="decimal"/>
      <w:lvlText w:val="%1.%2.%3.%4.%5.%6."/>
      <w:lvlJc w:val="left"/>
      <w:pPr>
        <w:tabs>
          <w:tab w:val="left" w:pos="1021"/>
        </w:tabs>
        <w:ind w:left="1134" w:hanging="1134"/>
      </w:pPr>
      <w:rPr>
        <w:rFonts w:hint="eastAsia"/>
      </w:rPr>
    </w:lvl>
    <w:lvl w:ilvl="6" w:tentative="0">
      <w:start w:val="1"/>
      <w:numFmt w:val="decimal"/>
      <w:lvlText w:val="%1.%2.%3.%4.%5.%6.%7."/>
      <w:lvlJc w:val="left"/>
      <w:pPr>
        <w:tabs>
          <w:tab w:val="left" w:pos="1021"/>
        </w:tabs>
        <w:ind w:left="1134" w:hanging="1134"/>
      </w:pPr>
      <w:rPr>
        <w:rFonts w:hint="eastAsia"/>
      </w:rPr>
    </w:lvl>
    <w:lvl w:ilvl="7" w:tentative="0">
      <w:start w:val="1"/>
      <w:numFmt w:val="decimal"/>
      <w:lvlText w:val="%1.%2.%3.%4.%5.%6.%7.%8."/>
      <w:lvlJc w:val="left"/>
      <w:pPr>
        <w:tabs>
          <w:tab w:val="left" w:pos="1021"/>
        </w:tabs>
        <w:ind w:left="1134" w:hanging="1134"/>
      </w:pPr>
      <w:rPr>
        <w:rFonts w:hint="eastAsia"/>
      </w:rPr>
    </w:lvl>
    <w:lvl w:ilvl="8" w:tentative="0">
      <w:start w:val="1"/>
      <w:numFmt w:val="decimal"/>
      <w:lvlText w:val="%1.%2.%3.%4.%5.%6.%7.%8.%9."/>
      <w:lvlJc w:val="left"/>
      <w:pPr>
        <w:tabs>
          <w:tab w:val="left" w:pos="1021"/>
        </w:tabs>
        <w:ind w:left="1134" w:hanging="1134"/>
      </w:pPr>
      <w:rPr>
        <w:rFonts w:hint="eastAsia"/>
      </w:rPr>
    </w:lvl>
  </w:abstractNum>
  <w:abstractNum w:abstractNumId="3">
    <w:nsid w:val="0000000B"/>
    <w:multiLevelType w:val="multilevel"/>
    <w:tmpl w:val="0000000B"/>
    <w:lvl w:ilvl="0" w:tentative="0">
      <w:start w:val="1"/>
      <w:numFmt w:val="decimal"/>
      <w:lvlText w:val="（%1）"/>
      <w:lvlJc w:val="left"/>
      <w:pPr>
        <w:ind w:left="1499" w:hanging="420"/>
      </w:pPr>
      <w:rPr>
        <w:rFonts w:hint="eastAsia"/>
      </w:rPr>
    </w:lvl>
    <w:lvl w:ilvl="1" w:tentative="0">
      <w:start w:val="1"/>
      <w:numFmt w:val="lowerLetter"/>
      <w:lvlText w:val="%2)"/>
      <w:lvlJc w:val="left"/>
      <w:pPr>
        <w:ind w:left="1919" w:hanging="420"/>
      </w:pPr>
    </w:lvl>
    <w:lvl w:ilvl="2" w:tentative="0">
      <w:start w:val="1"/>
      <w:numFmt w:val="lowerRoman"/>
      <w:lvlText w:val="%3."/>
      <w:lvlJc w:val="right"/>
      <w:pPr>
        <w:ind w:left="2339" w:hanging="420"/>
      </w:pPr>
    </w:lvl>
    <w:lvl w:ilvl="3" w:tentative="0">
      <w:start w:val="1"/>
      <w:numFmt w:val="decimal"/>
      <w:lvlText w:val="%4."/>
      <w:lvlJc w:val="left"/>
      <w:pPr>
        <w:ind w:left="2759" w:hanging="420"/>
      </w:pPr>
    </w:lvl>
    <w:lvl w:ilvl="4" w:tentative="0">
      <w:start w:val="1"/>
      <w:numFmt w:val="lowerLetter"/>
      <w:lvlText w:val="%5)"/>
      <w:lvlJc w:val="left"/>
      <w:pPr>
        <w:ind w:left="3179" w:hanging="420"/>
      </w:pPr>
    </w:lvl>
    <w:lvl w:ilvl="5" w:tentative="0">
      <w:start w:val="1"/>
      <w:numFmt w:val="lowerRoman"/>
      <w:lvlText w:val="%6."/>
      <w:lvlJc w:val="right"/>
      <w:pPr>
        <w:ind w:left="3599" w:hanging="420"/>
      </w:pPr>
    </w:lvl>
    <w:lvl w:ilvl="6" w:tentative="0">
      <w:start w:val="1"/>
      <w:numFmt w:val="decimal"/>
      <w:lvlText w:val="%7."/>
      <w:lvlJc w:val="left"/>
      <w:pPr>
        <w:ind w:left="4019" w:hanging="420"/>
      </w:pPr>
    </w:lvl>
    <w:lvl w:ilvl="7" w:tentative="0">
      <w:start w:val="1"/>
      <w:numFmt w:val="lowerLetter"/>
      <w:lvlText w:val="%8)"/>
      <w:lvlJc w:val="left"/>
      <w:pPr>
        <w:ind w:left="4439" w:hanging="420"/>
      </w:pPr>
    </w:lvl>
    <w:lvl w:ilvl="8" w:tentative="0">
      <w:start w:val="1"/>
      <w:numFmt w:val="lowerRoman"/>
      <w:lvlText w:val="%9."/>
      <w:lvlJc w:val="right"/>
      <w:pPr>
        <w:ind w:left="4859" w:hanging="420"/>
      </w:pPr>
    </w:lvl>
  </w:abstractNum>
  <w:abstractNum w:abstractNumId="4">
    <w:nsid w:val="0000000C"/>
    <w:multiLevelType w:val="multilevel"/>
    <w:tmpl w:val="0000000C"/>
    <w:lvl w:ilvl="0" w:tentative="0">
      <w:start w:val="1"/>
      <w:numFmt w:val="decimal"/>
      <w:lvlText w:val="（%1）"/>
      <w:lvlJc w:val="left"/>
      <w:pPr>
        <w:ind w:left="1554" w:hanging="420"/>
      </w:pPr>
      <w:rPr>
        <w:rFonts w:hint="eastAsia"/>
      </w:rPr>
    </w:lvl>
    <w:lvl w:ilvl="1" w:tentative="0">
      <w:start w:val="1"/>
      <w:numFmt w:val="lowerLetter"/>
      <w:lvlText w:val="%2)"/>
      <w:lvlJc w:val="left"/>
      <w:pPr>
        <w:ind w:left="1974" w:hanging="420"/>
      </w:pPr>
    </w:lvl>
    <w:lvl w:ilvl="2" w:tentative="0">
      <w:start w:val="1"/>
      <w:numFmt w:val="lowerRoman"/>
      <w:lvlText w:val="%3."/>
      <w:lvlJc w:val="right"/>
      <w:pPr>
        <w:ind w:left="2394" w:hanging="420"/>
      </w:pPr>
    </w:lvl>
    <w:lvl w:ilvl="3" w:tentative="0">
      <w:start w:val="1"/>
      <w:numFmt w:val="decimal"/>
      <w:lvlText w:val="%4."/>
      <w:lvlJc w:val="left"/>
      <w:pPr>
        <w:ind w:left="2814" w:hanging="420"/>
      </w:pPr>
    </w:lvl>
    <w:lvl w:ilvl="4" w:tentative="0">
      <w:start w:val="1"/>
      <w:numFmt w:val="lowerLetter"/>
      <w:lvlText w:val="%5)"/>
      <w:lvlJc w:val="left"/>
      <w:pPr>
        <w:ind w:left="3234" w:hanging="420"/>
      </w:pPr>
    </w:lvl>
    <w:lvl w:ilvl="5" w:tentative="0">
      <w:start w:val="1"/>
      <w:numFmt w:val="lowerRoman"/>
      <w:lvlText w:val="%6."/>
      <w:lvlJc w:val="right"/>
      <w:pPr>
        <w:ind w:left="3654" w:hanging="420"/>
      </w:pPr>
    </w:lvl>
    <w:lvl w:ilvl="6" w:tentative="0">
      <w:start w:val="1"/>
      <w:numFmt w:val="decimal"/>
      <w:lvlText w:val="%7."/>
      <w:lvlJc w:val="left"/>
      <w:pPr>
        <w:ind w:left="4074" w:hanging="420"/>
      </w:pPr>
    </w:lvl>
    <w:lvl w:ilvl="7" w:tentative="0">
      <w:start w:val="1"/>
      <w:numFmt w:val="lowerLetter"/>
      <w:lvlText w:val="%8)"/>
      <w:lvlJc w:val="left"/>
      <w:pPr>
        <w:ind w:left="4494" w:hanging="420"/>
      </w:pPr>
    </w:lvl>
    <w:lvl w:ilvl="8" w:tentative="0">
      <w:start w:val="1"/>
      <w:numFmt w:val="lowerRoman"/>
      <w:lvlText w:val="%9."/>
      <w:lvlJc w:val="right"/>
      <w:pPr>
        <w:ind w:left="4914" w:hanging="420"/>
      </w:pPr>
    </w:lvl>
  </w:abstractNum>
  <w:abstractNum w:abstractNumId="5">
    <w:nsid w:val="00000010"/>
    <w:multiLevelType w:val="multilevel"/>
    <w:tmpl w:val="00000010"/>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000011"/>
    <w:multiLevelType w:val="multilevel"/>
    <w:tmpl w:val="00000011"/>
    <w:lvl w:ilvl="0" w:tentative="0">
      <w:start w:val="1"/>
      <w:numFmt w:val="decimal"/>
      <w:lvlText w:val="（%1）"/>
      <w:lvlJc w:val="left"/>
      <w:pPr>
        <w:ind w:left="1554" w:hanging="420"/>
      </w:pPr>
      <w:rPr>
        <w:rFonts w:hint="eastAsia"/>
      </w:rPr>
    </w:lvl>
    <w:lvl w:ilvl="1" w:tentative="0">
      <w:start w:val="1"/>
      <w:numFmt w:val="lowerLetter"/>
      <w:lvlText w:val="%2)"/>
      <w:lvlJc w:val="left"/>
      <w:pPr>
        <w:ind w:left="1974" w:hanging="420"/>
      </w:pPr>
    </w:lvl>
    <w:lvl w:ilvl="2" w:tentative="0">
      <w:start w:val="1"/>
      <w:numFmt w:val="lowerRoman"/>
      <w:lvlText w:val="%3."/>
      <w:lvlJc w:val="right"/>
      <w:pPr>
        <w:ind w:left="2394" w:hanging="420"/>
      </w:pPr>
    </w:lvl>
    <w:lvl w:ilvl="3" w:tentative="0">
      <w:start w:val="1"/>
      <w:numFmt w:val="decimal"/>
      <w:lvlText w:val="%4."/>
      <w:lvlJc w:val="left"/>
      <w:pPr>
        <w:ind w:left="2814" w:hanging="420"/>
      </w:pPr>
    </w:lvl>
    <w:lvl w:ilvl="4" w:tentative="0">
      <w:start w:val="1"/>
      <w:numFmt w:val="lowerLetter"/>
      <w:lvlText w:val="%5)"/>
      <w:lvlJc w:val="left"/>
      <w:pPr>
        <w:ind w:left="3234" w:hanging="420"/>
      </w:pPr>
    </w:lvl>
    <w:lvl w:ilvl="5" w:tentative="0">
      <w:start w:val="1"/>
      <w:numFmt w:val="lowerRoman"/>
      <w:lvlText w:val="%6."/>
      <w:lvlJc w:val="right"/>
      <w:pPr>
        <w:ind w:left="3654" w:hanging="420"/>
      </w:pPr>
    </w:lvl>
    <w:lvl w:ilvl="6" w:tentative="0">
      <w:start w:val="1"/>
      <w:numFmt w:val="decimal"/>
      <w:lvlText w:val="%7."/>
      <w:lvlJc w:val="left"/>
      <w:pPr>
        <w:ind w:left="4074" w:hanging="420"/>
      </w:pPr>
    </w:lvl>
    <w:lvl w:ilvl="7" w:tentative="0">
      <w:start w:val="1"/>
      <w:numFmt w:val="lowerLetter"/>
      <w:lvlText w:val="%8)"/>
      <w:lvlJc w:val="left"/>
      <w:pPr>
        <w:ind w:left="4494" w:hanging="420"/>
      </w:pPr>
    </w:lvl>
    <w:lvl w:ilvl="8" w:tentative="0">
      <w:start w:val="1"/>
      <w:numFmt w:val="lowerRoman"/>
      <w:lvlText w:val="%9."/>
      <w:lvlJc w:val="right"/>
      <w:pPr>
        <w:ind w:left="4914" w:hanging="420"/>
      </w:pPr>
    </w:lvl>
  </w:abstractNum>
  <w:abstractNum w:abstractNumId="7">
    <w:nsid w:val="0A07445A"/>
    <w:multiLevelType w:val="singleLevel"/>
    <w:tmpl w:val="0A07445A"/>
    <w:lvl w:ilvl="0" w:tentative="0">
      <w:start w:val="1"/>
      <w:numFmt w:val="decimal"/>
      <w:suff w:val="nothing"/>
      <w:lvlText w:val="（%1）"/>
      <w:lvlJc w:val="left"/>
    </w:lvl>
  </w:abstractNum>
  <w:abstractNum w:abstractNumId="8">
    <w:nsid w:val="0FDF0889"/>
    <w:multiLevelType w:val="multilevel"/>
    <w:tmpl w:val="0FDF0889"/>
    <w:lvl w:ilvl="0" w:tentative="0">
      <w:start w:val="1"/>
      <w:numFmt w:val="decimal"/>
      <w:lvlText w:val="附件 %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17E18882"/>
    <w:multiLevelType w:val="singleLevel"/>
    <w:tmpl w:val="17E18882"/>
    <w:lvl w:ilvl="0" w:tentative="0">
      <w:start w:val="1"/>
      <w:numFmt w:val="decimal"/>
      <w:suff w:val="nothing"/>
      <w:lvlText w:val="（%1）"/>
      <w:lvlJc w:val="left"/>
    </w:lvl>
  </w:abstractNum>
  <w:abstractNum w:abstractNumId="10">
    <w:nsid w:val="1E9650B0"/>
    <w:multiLevelType w:val="singleLevel"/>
    <w:tmpl w:val="1E9650B0"/>
    <w:lvl w:ilvl="0" w:tentative="0">
      <w:start w:val="1"/>
      <w:numFmt w:val="decimal"/>
      <w:suff w:val="nothing"/>
      <w:lvlText w:val="（%1）"/>
      <w:lvlJc w:val="left"/>
    </w:lvl>
  </w:abstractNum>
  <w:abstractNum w:abstractNumId="11">
    <w:nsid w:val="37C7475E"/>
    <w:multiLevelType w:val="singleLevel"/>
    <w:tmpl w:val="37C7475E"/>
    <w:lvl w:ilvl="0" w:tentative="0">
      <w:start w:val="1"/>
      <w:numFmt w:val="decimal"/>
      <w:suff w:val="nothing"/>
      <w:lvlText w:val="（%1）"/>
      <w:lvlJc w:val="left"/>
    </w:lvl>
  </w:abstractNum>
  <w:abstractNum w:abstractNumId="12">
    <w:nsid w:val="3CB30C7C"/>
    <w:multiLevelType w:val="singleLevel"/>
    <w:tmpl w:val="3CB30C7C"/>
    <w:lvl w:ilvl="0" w:tentative="0">
      <w:start w:val="1"/>
      <w:numFmt w:val="decimal"/>
      <w:suff w:val="nothing"/>
      <w:lvlText w:val="（%1）"/>
      <w:lvlJc w:val="left"/>
    </w:lvl>
  </w:abstractNum>
  <w:abstractNum w:abstractNumId="13">
    <w:nsid w:val="60E2AF36"/>
    <w:multiLevelType w:val="multilevel"/>
    <w:tmpl w:val="60E2AF36"/>
    <w:lvl w:ilvl="0" w:tentative="0">
      <w:start w:val="1"/>
      <w:numFmt w:val="decimal"/>
      <w:lvlText w:val="（%1）"/>
      <w:lvlJc w:val="left"/>
      <w:pPr>
        <w:ind w:left="1499" w:hanging="420"/>
      </w:pPr>
      <w:rPr>
        <w:rFonts w:hint="eastAsia"/>
      </w:rPr>
    </w:lvl>
    <w:lvl w:ilvl="1" w:tentative="0">
      <w:start w:val="1"/>
      <w:numFmt w:val="lowerLetter"/>
      <w:lvlText w:val="%2)"/>
      <w:lvlJc w:val="left"/>
      <w:pPr>
        <w:ind w:left="1919" w:hanging="420"/>
      </w:pPr>
    </w:lvl>
    <w:lvl w:ilvl="2" w:tentative="0">
      <w:start w:val="1"/>
      <w:numFmt w:val="lowerRoman"/>
      <w:lvlText w:val="%3."/>
      <w:lvlJc w:val="right"/>
      <w:pPr>
        <w:ind w:left="2339" w:hanging="420"/>
      </w:pPr>
    </w:lvl>
    <w:lvl w:ilvl="3" w:tentative="0">
      <w:start w:val="1"/>
      <w:numFmt w:val="decimal"/>
      <w:lvlText w:val="%4."/>
      <w:lvlJc w:val="left"/>
      <w:pPr>
        <w:ind w:left="2759" w:hanging="420"/>
      </w:pPr>
    </w:lvl>
    <w:lvl w:ilvl="4" w:tentative="0">
      <w:start w:val="1"/>
      <w:numFmt w:val="lowerLetter"/>
      <w:lvlText w:val="%5)"/>
      <w:lvlJc w:val="left"/>
      <w:pPr>
        <w:ind w:left="3179" w:hanging="420"/>
      </w:pPr>
    </w:lvl>
    <w:lvl w:ilvl="5" w:tentative="0">
      <w:start w:val="1"/>
      <w:numFmt w:val="lowerRoman"/>
      <w:lvlText w:val="%6."/>
      <w:lvlJc w:val="right"/>
      <w:pPr>
        <w:ind w:left="3599" w:hanging="420"/>
      </w:pPr>
    </w:lvl>
    <w:lvl w:ilvl="6" w:tentative="0">
      <w:start w:val="1"/>
      <w:numFmt w:val="decimal"/>
      <w:lvlText w:val="%7."/>
      <w:lvlJc w:val="left"/>
      <w:pPr>
        <w:ind w:left="4019" w:hanging="420"/>
      </w:pPr>
    </w:lvl>
    <w:lvl w:ilvl="7" w:tentative="0">
      <w:start w:val="1"/>
      <w:numFmt w:val="lowerLetter"/>
      <w:lvlText w:val="%8)"/>
      <w:lvlJc w:val="left"/>
      <w:pPr>
        <w:ind w:left="4439" w:hanging="420"/>
      </w:pPr>
    </w:lvl>
    <w:lvl w:ilvl="8" w:tentative="0">
      <w:start w:val="1"/>
      <w:numFmt w:val="lowerRoman"/>
      <w:lvlText w:val="%9."/>
      <w:lvlJc w:val="right"/>
      <w:pPr>
        <w:ind w:left="4859" w:hanging="420"/>
      </w:pPr>
    </w:lvl>
  </w:abstractNum>
  <w:abstractNum w:abstractNumId="14">
    <w:nsid w:val="75047303"/>
    <w:multiLevelType w:val="multilevel"/>
    <w:tmpl w:val="75047303"/>
    <w:lvl w:ilvl="0" w:tentative="0">
      <w:start w:val="1"/>
      <w:numFmt w:val="decimal"/>
      <w:lvlText w:val="%1"/>
      <w:lvlJc w:val="left"/>
      <w:pPr>
        <w:tabs>
          <w:tab w:val="left" w:pos="1077"/>
        </w:tabs>
        <w:ind w:left="1077" w:hanging="1077"/>
      </w:pPr>
      <w:rPr>
        <w:rFonts w:hint="eastAsia"/>
      </w:rPr>
    </w:lvl>
    <w:lvl w:ilvl="1" w:tentative="0">
      <w:start w:val="1"/>
      <w:numFmt w:val="decimal"/>
      <w:lvlText w:val="%1.%2"/>
      <w:lvlJc w:val="left"/>
      <w:pPr>
        <w:tabs>
          <w:tab w:val="left" w:pos="1077"/>
        </w:tabs>
        <w:ind w:left="1077" w:hanging="107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5">
    <w:nsid w:val="7F7575B5"/>
    <w:multiLevelType w:val="singleLevel"/>
    <w:tmpl w:val="7F7575B5"/>
    <w:lvl w:ilvl="0" w:tentative="0">
      <w:start w:val="1"/>
      <w:numFmt w:val="decimal"/>
      <w:suff w:val="nothing"/>
      <w:lvlText w:val="（%1）"/>
      <w:lvlJc w:val="left"/>
    </w:lvl>
  </w:abstractNum>
  <w:num w:numId="1">
    <w:abstractNumId w:val="5"/>
  </w:num>
  <w:num w:numId="2">
    <w:abstractNumId w:val="12"/>
  </w:num>
  <w:num w:numId="3">
    <w:abstractNumId w:val="7"/>
  </w:num>
  <w:num w:numId="4">
    <w:abstractNumId w:val="10"/>
  </w:num>
  <w:num w:numId="5">
    <w:abstractNumId w:val="9"/>
  </w:num>
  <w:num w:numId="6">
    <w:abstractNumId w:val="2"/>
  </w:num>
  <w:num w:numId="7">
    <w:abstractNumId w:val="3"/>
  </w:num>
  <w:num w:numId="8">
    <w:abstractNumId w:val="13"/>
  </w:num>
  <w:num w:numId="9">
    <w:abstractNumId w:val="6"/>
  </w:num>
  <w:num w:numId="10">
    <w:abstractNumId w:val="4"/>
  </w:num>
  <w:num w:numId="11">
    <w:abstractNumId w:val="1"/>
  </w:num>
  <w:num w:numId="12">
    <w:abstractNumId w:val="14"/>
  </w:num>
  <w:num w:numId="13">
    <w:abstractNumId w:val="15"/>
  </w:num>
  <w:num w:numId="14">
    <w:abstractNumId w:val="11"/>
  </w:num>
  <w:num w:numId="15">
    <w:abstractNumId w:val="0"/>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displayBackgroundShape w:val="1"/>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MwNTM2NTVhY2FhMzIwZGE0YmM0OGI4NzA4MzNiZjIifQ=="/>
  </w:docVars>
  <w:rsids>
    <w:rsidRoot w:val="00172A27"/>
    <w:rsid w:val="00000884"/>
    <w:rsid w:val="000064FD"/>
    <w:rsid w:val="00014886"/>
    <w:rsid w:val="00021791"/>
    <w:rsid w:val="000232AE"/>
    <w:rsid w:val="0002420B"/>
    <w:rsid w:val="00024B32"/>
    <w:rsid w:val="00024B95"/>
    <w:rsid w:val="0002749B"/>
    <w:rsid w:val="00032E55"/>
    <w:rsid w:val="000360C5"/>
    <w:rsid w:val="00045687"/>
    <w:rsid w:val="000466B9"/>
    <w:rsid w:val="000545A6"/>
    <w:rsid w:val="000614CB"/>
    <w:rsid w:val="00061794"/>
    <w:rsid w:val="000648E7"/>
    <w:rsid w:val="000654BF"/>
    <w:rsid w:val="00073A1F"/>
    <w:rsid w:val="000833C0"/>
    <w:rsid w:val="000877D3"/>
    <w:rsid w:val="00090700"/>
    <w:rsid w:val="000910B5"/>
    <w:rsid w:val="000A1B43"/>
    <w:rsid w:val="000A77EC"/>
    <w:rsid w:val="000B167D"/>
    <w:rsid w:val="000B2ECE"/>
    <w:rsid w:val="000D24F2"/>
    <w:rsid w:val="000D44DC"/>
    <w:rsid w:val="000D6301"/>
    <w:rsid w:val="000D7CC3"/>
    <w:rsid w:val="000E0668"/>
    <w:rsid w:val="000E28F5"/>
    <w:rsid w:val="000E2DA7"/>
    <w:rsid w:val="000F0F18"/>
    <w:rsid w:val="000F19F9"/>
    <w:rsid w:val="000F6008"/>
    <w:rsid w:val="00116E9F"/>
    <w:rsid w:val="00117E1C"/>
    <w:rsid w:val="00122931"/>
    <w:rsid w:val="00132B46"/>
    <w:rsid w:val="001356FC"/>
    <w:rsid w:val="001449F1"/>
    <w:rsid w:val="00150148"/>
    <w:rsid w:val="00155AC7"/>
    <w:rsid w:val="00161B23"/>
    <w:rsid w:val="001657F0"/>
    <w:rsid w:val="0017154F"/>
    <w:rsid w:val="00172691"/>
    <w:rsid w:val="00172A27"/>
    <w:rsid w:val="001736E5"/>
    <w:rsid w:val="00173BDC"/>
    <w:rsid w:val="001807A4"/>
    <w:rsid w:val="00183A91"/>
    <w:rsid w:val="0019007F"/>
    <w:rsid w:val="00190A97"/>
    <w:rsid w:val="001A33B1"/>
    <w:rsid w:val="001A412A"/>
    <w:rsid w:val="001A720A"/>
    <w:rsid w:val="001B28C3"/>
    <w:rsid w:val="001B352F"/>
    <w:rsid w:val="001B37EE"/>
    <w:rsid w:val="001B42FF"/>
    <w:rsid w:val="001C3BE4"/>
    <w:rsid w:val="001D345D"/>
    <w:rsid w:val="001E2C0B"/>
    <w:rsid w:val="001F01FE"/>
    <w:rsid w:val="00206A1F"/>
    <w:rsid w:val="00210701"/>
    <w:rsid w:val="002145D4"/>
    <w:rsid w:val="002240C9"/>
    <w:rsid w:val="00230EA9"/>
    <w:rsid w:val="002314E3"/>
    <w:rsid w:val="00240844"/>
    <w:rsid w:val="002475A0"/>
    <w:rsid w:val="00254724"/>
    <w:rsid w:val="00254AC3"/>
    <w:rsid w:val="00256B42"/>
    <w:rsid w:val="00261ED6"/>
    <w:rsid w:val="00262DA8"/>
    <w:rsid w:val="00263BCC"/>
    <w:rsid w:val="002647A9"/>
    <w:rsid w:val="00267FF2"/>
    <w:rsid w:val="0028131F"/>
    <w:rsid w:val="00284C9A"/>
    <w:rsid w:val="00285B68"/>
    <w:rsid w:val="00286A86"/>
    <w:rsid w:val="00292C54"/>
    <w:rsid w:val="002953B8"/>
    <w:rsid w:val="002A44FA"/>
    <w:rsid w:val="002B1649"/>
    <w:rsid w:val="002C644D"/>
    <w:rsid w:val="002D3747"/>
    <w:rsid w:val="002D5449"/>
    <w:rsid w:val="002D74C2"/>
    <w:rsid w:val="002E1DE9"/>
    <w:rsid w:val="002E2BFC"/>
    <w:rsid w:val="002E41DD"/>
    <w:rsid w:val="002E56B8"/>
    <w:rsid w:val="002E762F"/>
    <w:rsid w:val="002F0728"/>
    <w:rsid w:val="002F2D9C"/>
    <w:rsid w:val="003026FB"/>
    <w:rsid w:val="0030500F"/>
    <w:rsid w:val="003146EF"/>
    <w:rsid w:val="00315889"/>
    <w:rsid w:val="00321174"/>
    <w:rsid w:val="0033158D"/>
    <w:rsid w:val="003341A9"/>
    <w:rsid w:val="00335F69"/>
    <w:rsid w:val="00341DBA"/>
    <w:rsid w:val="0034523B"/>
    <w:rsid w:val="003477BC"/>
    <w:rsid w:val="0035229C"/>
    <w:rsid w:val="003530E1"/>
    <w:rsid w:val="00353FD1"/>
    <w:rsid w:val="00360F1B"/>
    <w:rsid w:val="00362543"/>
    <w:rsid w:val="00370506"/>
    <w:rsid w:val="0037384E"/>
    <w:rsid w:val="00376E5D"/>
    <w:rsid w:val="00385A09"/>
    <w:rsid w:val="003A1957"/>
    <w:rsid w:val="003A7586"/>
    <w:rsid w:val="003B011B"/>
    <w:rsid w:val="003B2E5F"/>
    <w:rsid w:val="003B3C2D"/>
    <w:rsid w:val="003B5B75"/>
    <w:rsid w:val="003C4E72"/>
    <w:rsid w:val="003C6299"/>
    <w:rsid w:val="003D2717"/>
    <w:rsid w:val="003D42CA"/>
    <w:rsid w:val="003D7379"/>
    <w:rsid w:val="003D7E26"/>
    <w:rsid w:val="003E3951"/>
    <w:rsid w:val="003E4381"/>
    <w:rsid w:val="003E58A3"/>
    <w:rsid w:val="003E7706"/>
    <w:rsid w:val="003F4D90"/>
    <w:rsid w:val="00402CD3"/>
    <w:rsid w:val="00402EC9"/>
    <w:rsid w:val="00405E36"/>
    <w:rsid w:val="0040775F"/>
    <w:rsid w:val="00412ADF"/>
    <w:rsid w:val="0041555B"/>
    <w:rsid w:val="00417D05"/>
    <w:rsid w:val="0043042B"/>
    <w:rsid w:val="00442143"/>
    <w:rsid w:val="00445AE8"/>
    <w:rsid w:val="0044650A"/>
    <w:rsid w:val="004467FF"/>
    <w:rsid w:val="004517A2"/>
    <w:rsid w:val="004525D2"/>
    <w:rsid w:val="004547CA"/>
    <w:rsid w:val="004553F2"/>
    <w:rsid w:val="004570E3"/>
    <w:rsid w:val="00464702"/>
    <w:rsid w:val="00470B99"/>
    <w:rsid w:val="00473845"/>
    <w:rsid w:val="00475291"/>
    <w:rsid w:val="00481A8C"/>
    <w:rsid w:val="00484F83"/>
    <w:rsid w:val="00485494"/>
    <w:rsid w:val="004914C5"/>
    <w:rsid w:val="004A012A"/>
    <w:rsid w:val="004A0EB4"/>
    <w:rsid w:val="004A15AD"/>
    <w:rsid w:val="004A7870"/>
    <w:rsid w:val="004B1642"/>
    <w:rsid w:val="004B16B9"/>
    <w:rsid w:val="004B59D8"/>
    <w:rsid w:val="004C1AE3"/>
    <w:rsid w:val="004C41AC"/>
    <w:rsid w:val="004D1631"/>
    <w:rsid w:val="004D1783"/>
    <w:rsid w:val="004D53C3"/>
    <w:rsid w:val="004D58CD"/>
    <w:rsid w:val="004D6328"/>
    <w:rsid w:val="004D79AC"/>
    <w:rsid w:val="004E0958"/>
    <w:rsid w:val="004E0CCF"/>
    <w:rsid w:val="004F0462"/>
    <w:rsid w:val="004F6577"/>
    <w:rsid w:val="005023D0"/>
    <w:rsid w:val="005032E0"/>
    <w:rsid w:val="00503B66"/>
    <w:rsid w:val="00503F84"/>
    <w:rsid w:val="00512853"/>
    <w:rsid w:val="0051758A"/>
    <w:rsid w:val="00523B21"/>
    <w:rsid w:val="00527F7E"/>
    <w:rsid w:val="00530448"/>
    <w:rsid w:val="005356D7"/>
    <w:rsid w:val="00552B76"/>
    <w:rsid w:val="005567FA"/>
    <w:rsid w:val="00557B4D"/>
    <w:rsid w:val="00557F7C"/>
    <w:rsid w:val="0056055B"/>
    <w:rsid w:val="00567F8D"/>
    <w:rsid w:val="00571283"/>
    <w:rsid w:val="00571DA4"/>
    <w:rsid w:val="0057225A"/>
    <w:rsid w:val="00572980"/>
    <w:rsid w:val="00574CFF"/>
    <w:rsid w:val="0058142C"/>
    <w:rsid w:val="00584A9B"/>
    <w:rsid w:val="00587A18"/>
    <w:rsid w:val="00595777"/>
    <w:rsid w:val="00597881"/>
    <w:rsid w:val="005A073A"/>
    <w:rsid w:val="005B011A"/>
    <w:rsid w:val="005D32F6"/>
    <w:rsid w:val="005D60C8"/>
    <w:rsid w:val="005D671C"/>
    <w:rsid w:val="005D6FC5"/>
    <w:rsid w:val="005E44EB"/>
    <w:rsid w:val="005E74A5"/>
    <w:rsid w:val="005F0A6A"/>
    <w:rsid w:val="005F0C12"/>
    <w:rsid w:val="005F651A"/>
    <w:rsid w:val="005F766E"/>
    <w:rsid w:val="005F7C90"/>
    <w:rsid w:val="0061430F"/>
    <w:rsid w:val="006154D3"/>
    <w:rsid w:val="00624FF4"/>
    <w:rsid w:val="00632E31"/>
    <w:rsid w:val="00633CED"/>
    <w:rsid w:val="00635D6B"/>
    <w:rsid w:val="0064066E"/>
    <w:rsid w:val="00645F95"/>
    <w:rsid w:val="00646C38"/>
    <w:rsid w:val="006528C5"/>
    <w:rsid w:val="00657773"/>
    <w:rsid w:val="00661BFE"/>
    <w:rsid w:val="00663896"/>
    <w:rsid w:val="00663A13"/>
    <w:rsid w:val="00670196"/>
    <w:rsid w:val="0068272A"/>
    <w:rsid w:val="006847C3"/>
    <w:rsid w:val="00693047"/>
    <w:rsid w:val="006A0E65"/>
    <w:rsid w:val="006B577B"/>
    <w:rsid w:val="006B6AF5"/>
    <w:rsid w:val="006D0422"/>
    <w:rsid w:val="006D1382"/>
    <w:rsid w:val="006D1C14"/>
    <w:rsid w:val="006D232D"/>
    <w:rsid w:val="006E2FD9"/>
    <w:rsid w:val="006E35D9"/>
    <w:rsid w:val="006E577A"/>
    <w:rsid w:val="006F07C3"/>
    <w:rsid w:val="006F20EA"/>
    <w:rsid w:val="006F3CBF"/>
    <w:rsid w:val="006F3E30"/>
    <w:rsid w:val="006F5A25"/>
    <w:rsid w:val="00706A0A"/>
    <w:rsid w:val="00706FF6"/>
    <w:rsid w:val="007137B9"/>
    <w:rsid w:val="00725E09"/>
    <w:rsid w:val="00730C20"/>
    <w:rsid w:val="00734699"/>
    <w:rsid w:val="00734A65"/>
    <w:rsid w:val="00740F39"/>
    <w:rsid w:val="00755DC7"/>
    <w:rsid w:val="0076061D"/>
    <w:rsid w:val="00761467"/>
    <w:rsid w:val="00762BF0"/>
    <w:rsid w:val="0076345B"/>
    <w:rsid w:val="0076507C"/>
    <w:rsid w:val="00774D25"/>
    <w:rsid w:val="007771E6"/>
    <w:rsid w:val="00787A20"/>
    <w:rsid w:val="00792AB3"/>
    <w:rsid w:val="00794254"/>
    <w:rsid w:val="00795054"/>
    <w:rsid w:val="007A405D"/>
    <w:rsid w:val="007A6F33"/>
    <w:rsid w:val="007B25D0"/>
    <w:rsid w:val="007B60FE"/>
    <w:rsid w:val="007B7AF8"/>
    <w:rsid w:val="007C247C"/>
    <w:rsid w:val="007C434F"/>
    <w:rsid w:val="007E6EB8"/>
    <w:rsid w:val="007E75DE"/>
    <w:rsid w:val="007F08AB"/>
    <w:rsid w:val="007F1258"/>
    <w:rsid w:val="007F1568"/>
    <w:rsid w:val="00801A79"/>
    <w:rsid w:val="00806CF8"/>
    <w:rsid w:val="008175F7"/>
    <w:rsid w:val="008218D0"/>
    <w:rsid w:val="008222C2"/>
    <w:rsid w:val="00824A82"/>
    <w:rsid w:val="008445DA"/>
    <w:rsid w:val="00845EAD"/>
    <w:rsid w:val="00847D2D"/>
    <w:rsid w:val="00855864"/>
    <w:rsid w:val="00865D98"/>
    <w:rsid w:val="00870DD3"/>
    <w:rsid w:val="0087299B"/>
    <w:rsid w:val="0088489A"/>
    <w:rsid w:val="008906D3"/>
    <w:rsid w:val="00891156"/>
    <w:rsid w:val="008A4F57"/>
    <w:rsid w:val="008A61E2"/>
    <w:rsid w:val="008B2CDA"/>
    <w:rsid w:val="008B3058"/>
    <w:rsid w:val="008B7B9D"/>
    <w:rsid w:val="008C653B"/>
    <w:rsid w:val="008C6BF4"/>
    <w:rsid w:val="008D0DB1"/>
    <w:rsid w:val="008D1218"/>
    <w:rsid w:val="008D3815"/>
    <w:rsid w:val="008F0029"/>
    <w:rsid w:val="008F3617"/>
    <w:rsid w:val="00901867"/>
    <w:rsid w:val="00912594"/>
    <w:rsid w:val="00916661"/>
    <w:rsid w:val="009172F0"/>
    <w:rsid w:val="009202DF"/>
    <w:rsid w:val="009306D6"/>
    <w:rsid w:val="00944256"/>
    <w:rsid w:val="00953299"/>
    <w:rsid w:val="009609A9"/>
    <w:rsid w:val="009633FE"/>
    <w:rsid w:val="00965F51"/>
    <w:rsid w:val="0097094A"/>
    <w:rsid w:val="009A124F"/>
    <w:rsid w:val="009B4589"/>
    <w:rsid w:val="009B7283"/>
    <w:rsid w:val="009C156F"/>
    <w:rsid w:val="009C23F4"/>
    <w:rsid w:val="009C390D"/>
    <w:rsid w:val="009D01BE"/>
    <w:rsid w:val="009D04B9"/>
    <w:rsid w:val="009D1198"/>
    <w:rsid w:val="009D349B"/>
    <w:rsid w:val="009F0F30"/>
    <w:rsid w:val="009F2521"/>
    <w:rsid w:val="009F78D6"/>
    <w:rsid w:val="00A01543"/>
    <w:rsid w:val="00A07089"/>
    <w:rsid w:val="00A113B5"/>
    <w:rsid w:val="00A12699"/>
    <w:rsid w:val="00A3765A"/>
    <w:rsid w:val="00A3778D"/>
    <w:rsid w:val="00A4308A"/>
    <w:rsid w:val="00A43989"/>
    <w:rsid w:val="00A43B9C"/>
    <w:rsid w:val="00A531B7"/>
    <w:rsid w:val="00A55595"/>
    <w:rsid w:val="00A55A30"/>
    <w:rsid w:val="00A55C35"/>
    <w:rsid w:val="00A56AE5"/>
    <w:rsid w:val="00A6253E"/>
    <w:rsid w:val="00A70A86"/>
    <w:rsid w:val="00A70EEC"/>
    <w:rsid w:val="00A75654"/>
    <w:rsid w:val="00A80B8C"/>
    <w:rsid w:val="00A82FD3"/>
    <w:rsid w:val="00A8345E"/>
    <w:rsid w:val="00A84F16"/>
    <w:rsid w:val="00A86FCA"/>
    <w:rsid w:val="00A904C3"/>
    <w:rsid w:val="00A91328"/>
    <w:rsid w:val="00AA09CA"/>
    <w:rsid w:val="00AA19B1"/>
    <w:rsid w:val="00AA36C9"/>
    <w:rsid w:val="00AB20C1"/>
    <w:rsid w:val="00AB4E72"/>
    <w:rsid w:val="00AC40F6"/>
    <w:rsid w:val="00AC4125"/>
    <w:rsid w:val="00AC519C"/>
    <w:rsid w:val="00AC5837"/>
    <w:rsid w:val="00AC627B"/>
    <w:rsid w:val="00AD5C18"/>
    <w:rsid w:val="00AE5E31"/>
    <w:rsid w:val="00AF0DDB"/>
    <w:rsid w:val="00AF28AC"/>
    <w:rsid w:val="00AF66A3"/>
    <w:rsid w:val="00B02191"/>
    <w:rsid w:val="00B1356E"/>
    <w:rsid w:val="00B25B25"/>
    <w:rsid w:val="00B368BA"/>
    <w:rsid w:val="00B40FD3"/>
    <w:rsid w:val="00B41CB9"/>
    <w:rsid w:val="00B454DE"/>
    <w:rsid w:val="00B46CCC"/>
    <w:rsid w:val="00B54455"/>
    <w:rsid w:val="00B561ED"/>
    <w:rsid w:val="00B5767D"/>
    <w:rsid w:val="00B6070D"/>
    <w:rsid w:val="00B61D54"/>
    <w:rsid w:val="00B66CF2"/>
    <w:rsid w:val="00B673AC"/>
    <w:rsid w:val="00B71A20"/>
    <w:rsid w:val="00B735A7"/>
    <w:rsid w:val="00B7531E"/>
    <w:rsid w:val="00B95F53"/>
    <w:rsid w:val="00BA2B41"/>
    <w:rsid w:val="00BA77A1"/>
    <w:rsid w:val="00BB08C3"/>
    <w:rsid w:val="00BB20C4"/>
    <w:rsid w:val="00BC1DC7"/>
    <w:rsid w:val="00BC47BB"/>
    <w:rsid w:val="00BD12A9"/>
    <w:rsid w:val="00BD5734"/>
    <w:rsid w:val="00BD6718"/>
    <w:rsid w:val="00BE092C"/>
    <w:rsid w:val="00BE191E"/>
    <w:rsid w:val="00BE50D2"/>
    <w:rsid w:val="00BE7B7B"/>
    <w:rsid w:val="00BF3032"/>
    <w:rsid w:val="00C00AC9"/>
    <w:rsid w:val="00C015E0"/>
    <w:rsid w:val="00C034D2"/>
    <w:rsid w:val="00C1279D"/>
    <w:rsid w:val="00C14089"/>
    <w:rsid w:val="00C16D85"/>
    <w:rsid w:val="00C25007"/>
    <w:rsid w:val="00C25C7F"/>
    <w:rsid w:val="00C26ECC"/>
    <w:rsid w:val="00C33517"/>
    <w:rsid w:val="00C338FA"/>
    <w:rsid w:val="00C404F6"/>
    <w:rsid w:val="00C4298C"/>
    <w:rsid w:val="00C56397"/>
    <w:rsid w:val="00C574A0"/>
    <w:rsid w:val="00C60827"/>
    <w:rsid w:val="00C60D96"/>
    <w:rsid w:val="00C64A9A"/>
    <w:rsid w:val="00C650D2"/>
    <w:rsid w:val="00C65AF4"/>
    <w:rsid w:val="00C76996"/>
    <w:rsid w:val="00C80C92"/>
    <w:rsid w:val="00C96CCC"/>
    <w:rsid w:val="00CA01D6"/>
    <w:rsid w:val="00CA1752"/>
    <w:rsid w:val="00CA557C"/>
    <w:rsid w:val="00CA7EEA"/>
    <w:rsid w:val="00CB1791"/>
    <w:rsid w:val="00CB3D19"/>
    <w:rsid w:val="00CC6211"/>
    <w:rsid w:val="00CD21DE"/>
    <w:rsid w:val="00CE1572"/>
    <w:rsid w:val="00CE5BE8"/>
    <w:rsid w:val="00CE798B"/>
    <w:rsid w:val="00CF22AE"/>
    <w:rsid w:val="00CF3913"/>
    <w:rsid w:val="00CF453B"/>
    <w:rsid w:val="00CF73BE"/>
    <w:rsid w:val="00D076D6"/>
    <w:rsid w:val="00D10026"/>
    <w:rsid w:val="00D146BA"/>
    <w:rsid w:val="00D17D59"/>
    <w:rsid w:val="00D20508"/>
    <w:rsid w:val="00D211FB"/>
    <w:rsid w:val="00D21540"/>
    <w:rsid w:val="00D22CA2"/>
    <w:rsid w:val="00D24418"/>
    <w:rsid w:val="00D249CD"/>
    <w:rsid w:val="00D27CA4"/>
    <w:rsid w:val="00D332EE"/>
    <w:rsid w:val="00D41F14"/>
    <w:rsid w:val="00D46EA1"/>
    <w:rsid w:val="00D50CA3"/>
    <w:rsid w:val="00D61A90"/>
    <w:rsid w:val="00D62E75"/>
    <w:rsid w:val="00D707C4"/>
    <w:rsid w:val="00D7120A"/>
    <w:rsid w:val="00D72024"/>
    <w:rsid w:val="00D7355D"/>
    <w:rsid w:val="00D760FF"/>
    <w:rsid w:val="00D91613"/>
    <w:rsid w:val="00D932A5"/>
    <w:rsid w:val="00D94122"/>
    <w:rsid w:val="00DA172F"/>
    <w:rsid w:val="00DA2AC8"/>
    <w:rsid w:val="00DA3654"/>
    <w:rsid w:val="00DA657F"/>
    <w:rsid w:val="00DA6739"/>
    <w:rsid w:val="00DB0669"/>
    <w:rsid w:val="00DC5D25"/>
    <w:rsid w:val="00DD0085"/>
    <w:rsid w:val="00DD4785"/>
    <w:rsid w:val="00DE0050"/>
    <w:rsid w:val="00DE186A"/>
    <w:rsid w:val="00DE34F5"/>
    <w:rsid w:val="00DE3C1C"/>
    <w:rsid w:val="00DF432E"/>
    <w:rsid w:val="00E056C2"/>
    <w:rsid w:val="00E07992"/>
    <w:rsid w:val="00E135BD"/>
    <w:rsid w:val="00E13BA0"/>
    <w:rsid w:val="00E20B60"/>
    <w:rsid w:val="00E26F83"/>
    <w:rsid w:val="00E311BA"/>
    <w:rsid w:val="00E33153"/>
    <w:rsid w:val="00E371FE"/>
    <w:rsid w:val="00E40F13"/>
    <w:rsid w:val="00E40FC9"/>
    <w:rsid w:val="00E4541C"/>
    <w:rsid w:val="00E51BA1"/>
    <w:rsid w:val="00E64685"/>
    <w:rsid w:val="00E822D4"/>
    <w:rsid w:val="00E87CE8"/>
    <w:rsid w:val="00E904F2"/>
    <w:rsid w:val="00E95409"/>
    <w:rsid w:val="00EB0E51"/>
    <w:rsid w:val="00EC3C29"/>
    <w:rsid w:val="00EC5B6A"/>
    <w:rsid w:val="00ED0621"/>
    <w:rsid w:val="00ED0A15"/>
    <w:rsid w:val="00ED4847"/>
    <w:rsid w:val="00EF0832"/>
    <w:rsid w:val="00EF34F8"/>
    <w:rsid w:val="00F01449"/>
    <w:rsid w:val="00F047D0"/>
    <w:rsid w:val="00F06583"/>
    <w:rsid w:val="00F13E4D"/>
    <w:rsid w:val="00F16015"/>
    <w:rsid w:val="00F2127B"/>
    <w:rsid w:val="00F22778"/>
    <w:rsid w:val="00F22E3C"/>
    <w:rsid w:val="00F356EC"/>
    <w:rsid w:val="00F439E4"/>
    <w:rsid w:val="00F612A4"/>
    <w:rsid w:val="00F63565"/>
    <w:rsid w:val="00F64404"/>
    <w:rsid w:val="00F70A5E"/>
    <w:rsid w:val="00F74DC8"/>
    <w:rsid w:val="00F77D36"/>
    <w:rsid w:val="00F90AD8"/>
    <w:rsid w:val="00F90F19"/>
    <w:rsid w:val="00F91AD8"/>
    <w:rsid w:val="00F9435F"/>
    <w:rsid w:val="00F9508E"/>
    <w:rsid w:val="00FA1009"/>
    <w:rsid w:val="00FA361C"/>
    <w:rsid w:val="00FA7B40"/>
    <w:rsid w:val="00FB1DF6"/>
    <w:rsid w:val="00FB284D"/>
    <w:rsid w:val="00FB2CE5"/>
    <w:rsid w:val="00FB4A4D"/>
    <w:rsid w:val="00FC1180"/>
    <w:rsid w:val="00FC2B0A"/>
    <w:rsid w:val="00FC43AF"/>
    <w:rsid w:val="00FD144A"/>
    <w:rsid w:val="00FD1BED"/>
    <w:rsid w:val="00FD7A7D"/>
    <w:rsid w:val="00FE40FD"/>
    <w:rsid w:val="00FE6AA0"/>
    <w:rsid w:val="00FF556C"/>
    <w:rsid w:val="00FF5EEA"/>
    <w:rsid w:val="010B2AF9"/>
    <w:rsid w:val="01260F37"/>
    <w:rsid w:val="01270DF6"/>
    <w:rsid w:val="012F1070"/>
    <w:rsid w:val="0136557F"/>
    <w:rsid w:val="014A51C2"/>
    <w:rsid w:val="015E1842"/>
    <w:rsid w:val="016D1D26"/>
    <w:rsid w:val="018F529B"/>
    <w:rsid w:val="01AC7D42"/>
    <w:rsid w:val="01B02422"/>
    <w:rsid w:val="01C11962"/>
    <w:rsid w:val="01CB1F98"/>
    <w:rsid w:val="01D1338A"/>
    <w:rsid w:val="01DB2C70"/>
    <w:rsid w:val="01FD609D"/>
    <w:rsid w:val="02022B34"/>
    <w:rsid w:val="02210625"/>
    <w:rsid w:val="024A59CE"/>
    <w:rsid w:val="025B633C"/>
    <w:rsid w:val="027D2D3A"/>
    <w:rsid w:val="02810B92"/>
    <w:rsid w:val="0281282A"/>
    <w:rsid w:val="02C31095"/>
    <w:rsid w:val="02D85E50"/>
    <w:rsid w:val="02E66AE4"/>
    <w:rsid w:val="02ED42DD"/>
    <w:rsid w:val="0309798A"/>
    <w:rsid w:val="035D422C"/>
    <w:rsid w:val="03600692"/>
    <w:rsid w:val="03BC3316"/>
    <w:rsid w:val="03BD5AE4"/>
    <w:rsid w:val="03D33559"/>
    <w:rsid w:val="03F418A9"/>
    <w:rsid w:val="041E2A05"/>
    <w:rsid w:val="04A46E78"/>
    <w:rsid w:val="04A54EA9"/>
    <w:rsid w:val="04AB1DE0"/>
    <w:rsid w:val="04B52C5F"/>
    <w:rsid w:val="04C55C3E"/>
    <w:rsid w:val="04D87407"/>
    <w:rsid w:val="04F62E99"/>
    <w:rsid w:val="05163267"/>
    <w:rsid w:val="051A57EC"/>
    <w:rsid w:val="05280385"/>
    <w:rsid w:val="053718C6"/>
    <w:rsid w:val="054A5E82"/>
    <w:rsid w:val="05597A8E"/>
    <w:rsid w:val="05914119"/>
    <w:rsid w:val="05984AD4"/>
    <w:rsid w:val="05AB4864"/>
    <w:rsid w:val="05B13426"/>
    <w:rsid w:val="05BE78F1"/>
    <w:rsid w:val="05E77556"/>
    <w:rsid w:val="05E80A3D"/>
    <w:rsid w:val="060D18FC"/>
    <w:rsid w:val="061044D7"/>
    <w:rsid w:val="06323C68"/>
    <w:rsid w:val="063D6AFD"/>
    <w:rsid w:val="06417542"/>
    <w:rsid w:val="06534584"/>
    <w:rsid w:val="06604E4C"/>
    <w:rsid w:val="06606BFB"/>
    <w:rsid w:val="066C3AD5"/>
    <w:rsid w:val="06757522"/>
    <w:rsid w:val="068B60B1"/>
    <w:rsid w:val="06B17D42"/>
    <w:rsid w:val="06B96F70"/>
    <w:rsid w:val="06CB0B96"/>
    <w:rsid w:val="06E3549B"/>
    <w:rsid w:val="06F55595"/>
    <w:rsid w:val="0728596A"/>
    <w:rsid w:val="07484826"/>
    <w:rsid w:val="075D3DD1"/>
    <w:rsid w:val="079A0D6D"/>
    <w:rsid w:val="07AE5CDD"/>
    <w:rsid w:val="07C35693"/>
    <w:rsid w:val="07C60C4D"/>
    <w:rsid w:val="07D23B28"/>
    <w:rsid w:val="0828120C"/>
    <w:rsid w:val="0831084F"/>
    <w:rsid w:val="086110DA"/>
    <w:rsid w:val="08935065"/>
    <w:rsid w:val="08B90EB7"/>
    <w:rsid w:val="08C4413A"/>
    <w:rsid w:val="08CC4A1B"/>
    <w:rsid w:val="08CE42EF"/>
    <w:rsid w:val="08D70C0F"/>
    <w:rsid w:val="090E6DE2"/>
    <w:rsid w:val="098153CA"/>
    <w:rsid w:val="09835F85"/>
    <w:rsid w:val="098D7D07"/>
    <w:rsid w:val="09CB7265"/>
    <w:rsid w:val="09EE6CA0"/>
    <w:rsid w:val="0A0605FC"/>
    <w:rsid w:val="0A2368BD"/>
    <w:rsid w:val="0A393F55"/>
    <w:rsid w:val="0A544CC8"/>
    <w:rsid w:val="0A693101"/>
    <w:rsid w:val="0A911A78"/>
    <w:rsid w:val="0A960E3D"/>
    <w:rsid w:val="0ABA1936"/>
    <w:rsid w:val="0AFE7274"/>
    <w:rsid w:val="0B5C5BE2"/>
    <w:rsid w:val="0B7756D2"/>
    <w:rsid w:val="0B7D41F8"/>
    <w:rsid w:val="0B801CEE"/>
    <w:rsid w:val="0B8F76BF"/>
    <w:rsid w:val="0B902FBE"/>
    <w:rsid w:val="0BA63302"/>
    <w:rsid w:val="0BA92DF2"/>
    <w:rsid w:val="0BD936D7"/>
    <w:rsid w:val="0BEF00E2"/>
    <w:rsid w:val="0C1564DE"/>
    <w:rsid w:val="0C643D6C"/>
    <w:rsid w:val="0C90360D"/>
    <w:rsid w:val="0CA75583"/>
    <w:rsid w:val="0CB0685E"/>
    <w:rsid w:val="0CBB1CC9"/>
    <w:rsid w:val="0CC63A71"/>
    <w:rsid w:val="0CD27D85"/>
    <w:rsid w:val="0CDE6ACB"/>
    <w:rsid w:val="0D492E9A"/>
    <w:rsid w:val="0DED02B5"/>
    <w:rsid w:val="0DF540CC"/>
    <w:rsid w:val="0E072991"/>
    <w:rsid w:val="0E0B7D94"/>
    <w:rsid w:val="0E0D7668"/>
    <w:rsid w:val="0E3270CE"/>
    <w:rsid w:val="0E481CE9"/>
    <w:rsid w:val="0E611AA9"/>
    <w:rsid w:val="0E7C47EE"/>
    <w:rsid w:val="0E8970F5"/>
    <w:rsid w:val="0E912047"/>
    <w:rsid w:val="0E927B6D"/>
    <w:rsid w:val="0EAA3109"/>
    <w:rsid w:val="0EBF1F8F"/>
    <w:rsid w:val="0EC57542"/>
    <w:rsid w:val="0EE228A3"/>
    <w:rsid w:val="0EED14A4"/>
    <w:rsid w:val="0EEE2C8F"/>
    <w:rsid w:val="0EF014AB"/>
    <w:rsid w:val="0EF67752"/>
    <w:rsid w:val="0F144A26"/>
    <w:rsid w:val="0F276507"/>
    <w:rsid w:val="0F2E7896"/>
    <w:rsid w:val="0F551703"/>
    <w:rsid w:val="0F614886"/>
    <w:rsid w:val="0F6621B7"/>
    <w:rsid w:val="0F8C6010"/>
    <w:rsid w:val="0F8E3E7A"/>
    <w:rsid w:val="0F900551"/>
    <w:rsid w:val="0FA23363"/>
    <w:rsid w:val="0FC1695C"/>
    <w:rsid w:val="0FC348F6"/>
    <w:rsid w:val="0FF52AC8"/>
    <w:rsid w:val="0FFA3C1C"/>
    <w:rsid w:val="10521CAA"/>
    <w:rsid w:val="105534DB"/>
    <w:rsid w:val="105B0B5E"/>
    <w:rsid w:val="10654E78"/>
    <w:rsid w:val="106F0CA9"/>
    <w:rsid w:val="109035CD"/>
    <w:rsid w:val="10B93AD7"/>
    <w:rsid w:val="10E25848"/>
    <w:rsid w:val="10E741A0"/>
    <w:rsid w:val="1103254A"/>
    <w:rsid w:val="112076B2"/>
    <w:rsid w:val="1123293E"/>
    <w:rsid w:val="113413B0"/>
    <w:rsid w:val="11447845"/>
    <w:rsid w:val="115105D8"/>
    <w:rsid w:val="116158C0"/>
    <w:rsid w:val="117619C8"/>
    <w:rsid w:val="1184497C"/>
    <w:rsid w:val="11ED22F7"/>
    <w:rsid w:val="11EE17ED"/>
    <w:rsid w:val="11F748B7"/>
    <w:rsid w:val="120668A8"/>
    <w:rsid w:val="120E1C01"/>
    <w:rsid w:val="1216178E"/>
    <w:rsid w:val="12213FA8"/>
    <w:rsid w:val="124318AA"/>
    <w:rsid w:val="126B7053"/>
    <w:rsid w:val="128679E9"/>
    <w:rsid w:val="1288070D"/>
    <w:rsid w:val="12887BC1"/>
    <w:rsid w:val="1292521C"/>
    <w:rsid w:val="12A52565"/>
    <w:rsid w:val="12B74046"/>
    <w:rsid w:val="12FE7EC7"/>
    <w:rsid w:val="130003A3"/>
    <w:rsid w:val="1319440F"/>
    <w:rsid w:val="13390624"/>
    <w:rsid w:val="13405DEA"/>
    <w:rsid w:val="13533D6F"/>
    <w:rsid w:val="135447D6"/>
    <w:rsid w:val="13641A07"/>
    <w:rsid w:val="136E2957"/>
    <w:rsid w:val="1372481A"/>
    <w:rsid w:val="137A067E"/>
    <w:rsid w:val="139B4BA1"/>
    <w:rsid w:val="139D148E"/>
    <w:rsid w:val="13B60C45"/>
    <w:rsid w:val="13C61F27"/>
    <w:rsid w:val="13CC1D24"/>
    <w:rsid w:val="13EC7D20"/>
    <w:rsid w:val="13F44FA5"/>
    <w:rsid w:val="13F47A14"/>
    <w:rsid w:val="13F56BD4"/>
    <w:rsid w:val="14347C33"/>
    <w:rsid w:val="1436265E"/>
    <w:rsid w:val="145558C5"/>
    <w:rsid w:val="147607C7"/>
    <w:rsid w:val="148D59EC"/>
    <w:rsid w:val="14956609"/>
    <w:rsid w:val="149B517D"/>
    <w:rsid w:val="149E1CFF"/>
    <w:rsid w:val="14BE19BC"/>
    <w:rsid w:val="14CF399E"/>
    <w:rsid w:val="14E80DA7"/>
    <w:rsid w:val="14F43330"/>
    <w:rsid w:val="14FA0D69"/>
    <w:rsid w:val="150A47FA"/>
    <w:rsid w:val="151E65FF"/>
    <w:rsid w:val="153C0730"/>
    <w:rsid w:val="154222ED"/>
    <w:rsid w:val="1552266D"/>
    <w:rsid w:val="156F1D71"/>
    <w:rsid w:val="156F6E5A"/>
    <w:rsid w:val="158100AB"/>
    <w:rsid w:val="158735A9"/>
    <w:rsid w:val="15E10FC5"/>
    <w:rsid w:val="15EE6AD6"/>
    <w:rsid w:val="15EF09E0"/>
    <w:rsid w:val="15F230E6"/>
    <w:rsid w:val="16094BB9"/>
    <w:rsid w:val="16142F4A"/>
    <w:rsid w:val="163D3CF0"/>
    <w:rsid w:val="16591877"/>
    <w:rsid w:val="166A2F9B"/>
    <w:rsid w:val="1671793C"/>
    <w:rsid w:val="167A7865"/>
    <w:rsid w:val="169A3A63"/>
    <w:rsid w:val="16A51DD7"/>
    <w:rsid w:val="16AD3796"/>
    <w:rsid w:val="16CE4D95"/>
    <w:rsid w:val="17193671"/>
    <w:rsid w:val="17314406"/>
    <w:rsid w:val="1732022B"/>
    <w:rsid w:val="173B68A8"/>
    <w:rsid w:val="173E1797"/>
    <w:rsid w:val="17570042"/>
    <w:rsid w:val="17A952FA"/>
    <w:rsid w:val="17AF353E"/>
    <w:rsid w:val="17AF79E2"/>
    <w:rsid w:val="17CC2250"/>
    <w:rsid w:val="17D6045E"/>
    <w:rsid w:val="17E31439"/>
    <w:rsid w:val="17EF33B1"/>
    <w:rsid w:val="17F47FC2"/>
    <w:rsid w:val="17F84EE5"/>
    <w:rsid w:val="18155A97"/>
    <w:rsid w:val="18161372"/>
    <w:rsid w:val="18191C1A"/>
    <w:rsid w:val="18297794"/>
    <w:rsid w:val="185022E7"/>
    <w:rsid w:val="185E3459"/>
    <w:rsid w:val="18674BEA"/>
    <w:rsid w:val="18722EE9"/>
    <w:rsid w:val="18B23B4B"/>
    <w:rsid w:val="18D944D4"/>
    <w:rsid w:val="18FF648E"/>
    <w:rsid w:val="19045B0B"/>
    <w:rsid w:val="19073F80"/>
    <w:rsid w:val="190B0C48"/>
    <w:rsid w:val="19357C9E"/>
    <w:rsid w:val="196440B8"/>
    <w:rsid w:val="197679BA"/>
    <w:rsid w:val="19836A30"/>
    <w:rsid w:val="198C1D89"/>
    <w:rsid w:val="198F37EF"/>
    <w:rsid w:val="199877B0"/>
    <w:rsid w:val="19A15E2E"/>
    <w:rsid w:val="19B16DF5"/>
    <w:rsid w:val="19B27315"/>
    <w:rsid w:val="19B62DCD"/>
    <w:rsid w:val="19EA2F53"/>
    <w:rsid w:val="1A150C38"/>
    <w:rsid w:val="1A420285"/>
    <w:rsid w:val="1A582658"/>
    <w:rsid w:val="1A877884"/>
    <w:rsid w:val="1A926303"/>
    <w:rsid w:val="1A9C7C88"/>
    <w:rsid w:val="1AA332B6"/>
    <w:rsid w:val="1AAD58A8"/>
    <w:rsid w:val="1ABB7036"/>
    <w:rsid w:val="1B3B1704"/>
    <w:rsid w:val="1B5C578B"/>
    <w:rsid w:val="1B9C202B"/>
    <w:rsid w:val="1BBD3761"/>
    <w:rsid w:val="1BDA4AC3"/>
    <w:rsid w:val="1BE62AD2"/>
    <w:rsid w:val="1BED1B2F"/>
    <w:rsid w:val="1C055E22"/>
    <w:rsid w:val="1C0A51E7"/>
    <w:rsid w:val="1C176C00"/>
    <w:rsid w:val="1C19367C"/>
    <w:rsid w:val="1C2F4C4D"/>
    <w:rsid w:val="1C752FA8"/>
    <w:rsid w:val="1C7642BE"/>
    <w:rsid w:val="1C7836C6"/>
    <w:rsid w:val="1C993C27"/>
    <w:rsid w:val="1CBD04AB"/>
    <w:rsid w:val="1CC53381"/>
    <w:rsid w:val="1CDA105D"/>
    <w:rsid w:val="1CF64DCC"/>
    <w:rsid w:val="1D0221C9"/>
    <w:rsid w:val="1D1502E7"/>
    <w:rsid w:val="1D24536D"/>
    <w:rsid w:val="1D26331A"/>
    <w:rsid w:val="1D37025D"/>
    <w:rsid w:val="1D5A219E"/>
    <w:rsid w:val="1D5D762C"/>
    <w:rsid w:val="1D7C6F7B"/>
    <w:rsid w:val="1D840FC9"/>
    <w:rsid w:val="1DAB5082"/>
    <w:rsid w:val="1DAD023F"/>
    <w:rsid w:val="1DC92DDB"/>
    <w:rsid w:val="1DD20F49"/>
    <w:rsid w:val="1DDB508D"/>
    <w:rsid w:val="1DDE2C0D"/>
    <w:rsid w:val="1DF24184"/>
    <w:rsid w:val="1E0C3498"/>
    <w:rsid w:val="1E294B47"/>
    <w:rsid w:val="1E2A4140"/>
    <w:rsid w:val="1E2C3AD1"/>
    <w:rsid w:val="1E4E240A"/>
    <w:rsid w:val="1E7772C1"/>
    <w:rsid w:val="1E8A260F"/>
    <w:rsid w:val="1E9B6843"/>
    <w:rsid w:val="1EA3032D"/>
    <w:rsid w:val="1EBD29E4"/>
    <w:rsid w:val="1EFF6567"/>
    <w:rsid w:val="1F2111C5"/>
    <w:rsid w:val="1F6B2440"/>
    <w:rsid w:val="1F744BA6"/>
    <w:rsid w:val="1F907945"/>
    <w:rsid w:val="1F9C05C4"/>
    <w:rsid w:val="1FA91C18"/>
    <w:rsid w:val="1FAE5BED"/>
    <w:rsid w:val="1FD830C9"/>
    <w:rsid w:val="20052895"/>
    <w:rsid w:val="201000EE"/>
    <w:rsid w:val="203211B0"/>
    <w:rsid w:val="204C6D48"/>
    <w:rsid w:val="204F6ABB"/>
    <w:rsid w:val="20766C71"/>
    <w:rsid w:val="207B5116"/>
    <w:rsid w:val="20992FDD"/>
    <w:rsid w:val="20B56069"/>
    <w:rsid w:val="20E029BA"/>
    <w:rsid w:val="20E23B37"/>
    <w:rsid w:val="20FC5189"/>
    <w:rsid w:val="213276BA"/>
    <w:rsid w:val="213B1EE2"/>
    <w:rsid w:val="21496422"/>
    <w:rsid w:val="214E3DC8"/>
    <w:rsid w:val="215A451A"/>
    <w:rsid w:val="2170143C"/>
    <w:rsid w:val="217575A6"/>
    <w:rsid w:val="21796665"/>
    <w:rsid w:val="217F33D7"/>
    <w:rsid w:val="21C27070"/>
    <w:rsid w:val="21D46375"/>
    <w:rsid w:val="21E1189F"/>
    <w:rsid w:val="21F7445F"/>
    <w:rsid w:val="220B1CB9"/>
    <w:rsid w:val="22182B5D"/>
    <w:rsid w:val="221D798C"/>
    <w:rsid w:val="22515B77"/>
    <w:rsid w:val="225E38B4"/>
    <w:rsid w:val="22612336"/>
    <w:rsid w:val="22855AA3"/>
    <w:rsid w:val="22AD02F2"/>
    <w:rsid w:val="22B2303C"/>
    <w:rsid w:val="22BE4F7D"/>
    <w:rsid w:val="22C76FE6"/>
    <w:rsid w:val="22D0001E"/>
    <w:rsid w:val="22E418F0"/>
    <w:rsid w:val="22E569AE"/>
    <w:rsid w:val="230518A8"/>
    <w:rsid w:val="23193A1A"/>
    <w:rsid w:val="232F19D7"/>
    <w:rsid w:val="232F7513"/>
    <w:rsid w:val="23386314"/>
    <w:rsid w:val="233A2855"/>
    <w:rsid w:val="23503E27"/>
    <w:rsid w:val="23706DFA"/>
    <w:rsid w:val="237245B4"/>
    <w:rsid w:val="238223E0"/>
    <w:rsid w:val="23963D98"/>
    <w:rsid w:val="23B819CC"/>
    <w:rsid w:val="23BF0200"/>
    <w:rsid w:val="23D749CD"/>
    <w:rsid w:val="23F5677C"/>
    <w:rsid w:val="23F70746"/>
    <w:rsid w:val="24027E90"/>
    <w:rsid w:val="242B6642"/>
    <w:rsid w:val="243454F7"/>
    <w:rsid w:val="24537E66"/>
    <w:rsid w:val="2477744F"/>
    <w:rsid w:val="2495308C"/>
    <w:rsid w:val="24967E12"/>
    <w:rsid w:val="24AA4B04"/>
    <w:rsid w:val="24BE0DAC"/>
    <w:rsid w:val="24C60456"/>
    <w:rsid w:val="24DF1754"/>
    <w:rsid w:val="24E14A0E"/>
    <w:rsid w:val="24FE3ADA"/>
    <w:rsid w:val="25001B3E"/>
    <w:rsid w:val="251D6E63"/>
    <w:rsid w:val="252E2C1E"/>
    <w:rsid w:val="259124D5"/>
    <w:rsid w:val="25A736E1"/>
    <w:rsid w:val="25B4222A"/>
    <w:rsid w:val="25B53E66"/>
    <w:rsid w:val="25B906E1"/>
    <w:rsid w:val="25C935E9"/>
    <w:rsid w:val="25DD4AD6"/>
    <w:rsid w:val="262D7099"/>
    <w:rsid w:val="263F58E3"/>
    <w:rsid w:val="264E03C6"/>
    <w:rsid w:val="26854E19"/>
    <w:rsid w:val="26967223"/>
    <w:rsid w:val="269C6D59"/>
    <w:rsid w:val="26FD6666"/>
    <w:rsid w:val="27286E69"/>
    <w:rsid w:val="274E10B4"/>
    <w:rsid w:val="276B793B"/>
    <w:rsid w:val="278836B6"/>
    <w:rsid w:val="278C676B"/>
    <w:rsid w:val="279664C8"/>
    <w:rsid w:val="279D072D"/>
    <w:rsid w:val="27D72D69"/>
    <w:rsid w:val="28170C51"/>
    <w:rsid w:val="282633A8"/>
    <w:rsid w:val="2829083D"/>
    <w:rsid w:val="28355A52"/>
    <w:rsid w:val="28362DD1"/>
    <w:rsid w:val="283A32F8"/>
    <w:rsid w:val="2859641D"/>
    <w:rsid w:val="286D547B"/>
    <w:rsid w:val="287265EE"/>
    <w:rsid w:val="28DF1A1B"/>
    <w:rsid w:val="28ED3EC6"/>
    <w:rsid w:val="29100AE1"/>
    <w:rsid w:val="29256442"/>
    <w:rsid w:val="2927387C"/>
    <w:rsid w:val="29346D40"/>
    <w:rsid w:val="29364810"/>
    <w:rsid w:val="294E150E"/>
    <w:rsid w:val="295A7167"/>
    <w:rsid w:val="297206A8"/>
    <w:rsid w:val="297840D8"/>
    <w:rsid w:val="29884FEA"/>
    <w:rsid w:val="29BC33EC"/>
    <w:rsid w:val="29F3375E"/>
    <w:rsid w:val="2A236AF5"/>
    <w:rsid w:val="2A247DBB"/>
    <w:rsid w:val="2A2878AC"/>
    <w:rsid w:val="2A6C52BE"/>
    <w:rsid w:val="2A8F64A0"/>
    <w:rsid w:val="2ABB774C"/>
    <w:rsid w:val="2ABE1FA1"/>
    <w:rsid w:val="2AC9307F"/>
    <w:rsid w:val="2ACA729C"/>
    <w:rsid w:val="2B0A491C"/>
    <w:rsid w:val="2B1971F4"/>
    <w:rsid w:val="2B344A9A"/>
    <w:rsid w:val="2B434271"/>
    <w:rsid w:val="2B577997"/>
    <w:rsid w:val="2B5D5BB3"/>
    <w:rsid w:val="2B91767E"/>
    <w:rsid w:val="2BAC0068"/>
    <w:rsid w:val="2BC52ED8"/>
    <w:rsid w:val="2BD4136D"/>
    <w:rsid w:val="2BEE432F"/>
    <w:rsid w:val="2BFB4B4C"/>
    <w:rsid w:val="2C00277A"/>
    <w:rsid w:val="2C0E2AFE"/>
    <w:rsid w:val="2C2B5A04"/>
    <w:rsid w:val="2C3F29D1"/>
    <w:rsid w:val="2C477D91"/>
    <w:rsid w:val="2CB86D8A"/>
    <w:rsid w:val="2CC8180F"/>
    <w:rsid w:val="2CCA036D"/>
    <w:rsid w:val="2CFA4E04"/>
    <w:rsid w:val="2CFF066C"/>
    <w:rsid w:val="2D2F547A"/>
    <w:rsid w:val="2D593FCE"/>
    <w:rsid w:val="2D60110A"/>
    <w:rsid w:val="2D816A6E"/>
    <w:rsid w:val="2D825525"/>
    <w:rsid w:val="2D831781"/>
    <w:rsid w:val="2D89029F"/>
    <w:rsid w:val="2D931734"/>
    <w:rsid w:val="2DA82AB1"/>
    <w:rsid w:val="2DB2389D"/>
    <w:rsid w:val="2DBD655D"/>
    <w:rsid w:val="2DD37B2E"/>
    <w:rsid w:val="2DEC0BF0"/>
    <w:rsid w:val="2E0D711A"/>
    <w:rsid w:val="2E383E35"/>
    <w:rsid w:val="2E6A6758"/>
    <w:rsid w:val="2E6C3ADF"/>
    <w:rsid w:val="2E7035CF"/>
    <w:rsid w:val="2E7858E0"/>
    <w:rsid w:val="2EC61441"/>
    <w:rsid w:val="2EC9229A"/>
    <w:rsid w:val="2ECD0DFE"/>
    <w:rsid w:val="2ED15C28"/>
    <w:rsid w:val="2EE8585B"/>
    <w:rsid w:val="2F070637"/>
    <w:rsid w:val="2F287757"/>
    <w:rsid w:val="2F3E36CD"/>
    <w:rsid w:val="2F9B3E6A"/>
    <w:rsid w:val="2FEA261C"/>
    <w:rsid w:val="2FF818BA"/>
    <w:rsid w:val="30073655"/>
    <w:rsid w:val="302F38E3"/>
    <w:rsid w:val="30427662"/>
    <w:rsid w:val="30523374"/>
    <w:rsid w:val="3073392F"/>
    <w:rsid w:val="30775A6B"/>
    <w:rsid w:val="309335A5"/>
    <w:rsid w:val="30E0718F"/>
    <w:rsid w:val="30EC0F07"/>
    <w:rsid w:val="30F57DBC"/>
    <w:rsid w:val="31061FC9"/>
    <w:rsid w:val="310D3A9D"/>
    <w:rsid w:val="31250826"/>
    <w:rsid w:val="31347C3B"/>
    <w:rsid w:val="314C3664"/>
    <w:rsid w:val="3153274D"/>
    <w:rsid w:val="318F2878"/>
    <w:rsid w:val="319C62A7"/>
    <w:rsid w:val="31A3787E"/>
    <w:rsid w:val="31AD27C6"/>
    <w:rsid w:val="31EB11BF"/>
    <w:rsid w:val="31EC54B1"/>
    <w:rsid w:val="32117A21"/>
    <w:rsid w:val="32400B72"/>
    <w:rsid w:val="326176B6"/>
    <w:rsid w:val="32720653"/>
    <w:rsid w:val="327C4C46"/>
    <w:rsid w:val="32B31C95"/>
    <w:rsid w:val="32E97DF4"/>
    <w:rsid w:val="32FE33E7"/>
    <w:rsid w:val="330D5C27"/>
    <w:rsid w:val="3344502A"/>
    <w:rsid w:val="33903725"/>
    <w:rsid w:val="339B6E28"/>
    <w:rsid w:val="33A96B19"/>
    <w:rsid w:val="33C7434E"/>
    <w:rsid w:val="33CF0220"/>
    <w:rsid w:val="33D508EE"/>
    <w:rsid w:val="33D53A3F"/>
    <w:rsid w:val="341D008A"/>
    <w:rsid w:val="341F7742"/>
    <w:rsid w:val="342D39EB"/>
    <w:rsid w:val="345C4DCE"/>
    <w:rsid w:val="349A13A6"/>
    <w:rsid w:val="349E665E"/>
    <w:rsid w:val="34B9050D"/>
    <w:rsid w:val="34DA207D"/>
    <w:rsid w:val="34DF325D"/>
    <w:rsid w:val="35247FD5"/>
    <w:rsid w:val="352B6AFF"/>
    <w:rsid w:val="352C6CAD"/>
    <w:rsid w:val="35413440"/>
    <w:rsid w:val="356137EB"/>
    <w:rsid w:val="357F234A"/>
    <w:rsid w:val="35870BE8"/>
    <w:rsid w:val="35A11BD2"/>
    <w:rsid w:val="35A2506B"/>
    <w:rsid w:val="35A62559"/>
    <w:rsid w:val="35AA236B"/>
    <w:rsid w:val="35D703D8"/>
    <w:rsid w:val="35D71179"/>
    <w:rsid w:val="35F03248"/>
    <w:rsid w:val="360A4CDA"/>
    <w:rsid w:val="362870FA"/>
    <w:rsid w:val="365C7002"/>
    <w:rsid w:val="366A4DA8"/>
    <w:rsid w:val="367125DA"/>
    <w:rsid w:val="369F695F"/>
    <w:rsid w:val="36E57DBE"/>
    <w:rsid w:val="370A236E"/>
    <w:rsid w:val="371B0FE8"/>
    <w:rsid w:val="372B776E"/>
    <w:rsid w:val="373F5B25"/>
    <w:rsid w:val="37422246"/>
    <w:rsid w:val="375A24D0"/>
    <w:rsid w:val="37660D5D"/>
    <w:rsid w:val="37985130"/>
    <w:rsid w:val="37A42DC1"/>
    <w:rsid w:val="37CB7AC8"/>
    <w:rsid w:val="37D23FA3"/>
    <w:rsid w:val="37E34E12"/>
    <w:rsid w:val="38372745"/>
    <w:rsid w:val="383E746D"/>
    <w:rsid w:val="38430447"/>
    <w:rsid w:val="38767A34"/>
    <w:rsid w:val="389600D6"/>
    <w:rsid w:val="38A46081"/>
    <w:rsid w:val="38D83976"/>
    <w:rsid w:val="390600CC"/>
    <w:rsid w:val="391B270E"/>
    <w:rsid w:val="392515F3"/>
    <w:rsid w:val="39330ED1"/>
    <w:rsid w:val="39496B0D"/>
    <w:rsid w:val="397553D2"/>
    <w:rsid w:val="398737A9"/>
    <w:rsid w:val="398B750F"/>
    <w:rsid w:val="399B1E64"/>
    <w:rsid w:val="39BA6579"/>
    <w:rsid w:val="39DE024E"/>
    <w:rsid w:val="3A0133D8"/>
    <w:rsid w:val="3A15327D"/>
    <w:rsid w:val="3A995C5C"/>
    <w:rsid w:val="3AAC2209"/>
    <w:rsid w:val="3ABB2C9B"/>
    <w:rsid w:val="3ACD755F"/>
    <w:rsid w:val="3AFE1FE4"/>
    <w:rsid w:val="3B273268"/>
    <w:rsid w:val="3B60677A"/>
    <w:rsid w:val="3B643B7B"/>
    <w:rsid w:val="3B787F67"/>
    <w:rsid w:val="3B8A1BA7"/>
    <w:rsid w:val="3B8C7CAB"/>
    <w:rsid w:val="3BB6283D"/>
    <w:rsid w:val="3BF10314"/>
    <w:rsid w:val="3C084EF7"/>
    <w:rsid w:val="3C125CC6"/>
    <w:rsid w:val="3C252E1A"/>
    <w:rsid w:val="3C4A619D"/>
    <w:rsid w:val="3C7D0156"/>
    <w:rsid w:val="3C8D1829"/>
    <w:rsid w:val="3C917532"/>
    <w:rsid w:val="3CAF21B5"/>
    <w:rsid w:val="3CBB1B27"/>
    <w:rsid w:val="3CDA1DF0"/>
    <w:rsid w:val="3CE045FD"/>
    <w:rsid w:val="3CFE624A"/>
    <w:rsid w:val="3D257C7B"/>
    <w:rsid w:val="3D4462AD"/>
    <w:rsid w:val="3D5458EA"/>
    <w:rsid w:val="3D583BAC"/>
    <w:rsid w:val="3D624A2B"/>
    <w:rsid w:val="3D9A41C5"/>
    <w:rsid w:val="3DC079A3"/>
    <w:rsid w:val="3DC97ABD"/>
    <w:rsid w:val="3DE42716"/>
    <w:rsid w:val="3DF61919"/>
    <w:rsid w:val="3E1B1976"/>
    <w:rsid w:val="3E2B7513"/>
    <w:rsid w:val="3E3254E5"/>
    <w:rsid w:val="3E6B3412"/>
    <w:rsid w:val="3E79027E"/>
    <w:rsid w:val="3E945909"/>
    <w:rsid w:val="3E947539"/>
    <w:rsid w:val="3E974BA8"/>
    <w:rsid w:val="3E9C05F6"/>
    <w:rsid w:val="3EA31D52"/>
    <w:rsid w:val="3EBE05AD"/>
    <w:rsid w:val="3ECE79F9"/>
    <w:rsid w:val="3EF43DA9"/>
    <w:rsid w:val="3F2B6109"/>
    <w:rsid w:val="3F3228BB"/>
    <w:rsid w:val="3F32667F"/>
    <w:rsid w:val="3F3601F1"/>
    <w:rsid w:val="3F40497F"/>
    <w:rsid w:val="3F4F7231"/>
    <w:rsid w:val="3F556F4D"/>
    <w:rsid w:val="3F5B7984"/>
    <w:rsid w:val="3F6D76B7"/>
    <w:rsid w:val="3F76595D"/>
    <w:rsid w:val="3F7E3672"/>
    <w:rsid w:val="3FB452E6"/>
    <w:rsid w:val="3FC7326B"/>
    <w:rsid w:val="3FCF2120"/>
    <w:rsid w:val="3FD15FB3"/>
    <w:rsid w:val="3FD7580E"/>
    <w:rsid w:val="3FE045CB"/>
    <w:rsid w:val="3FE21E53"/>
    <w:rsid w:val="3FF87E2B"/>
    <w:rsid w:val="4010076E"/>
    <w:rsid w:val="401A15ED"/>
    <w:rsid w:val="402A093C"/>
    <w:rsid w:val="40444289"/>
    <w:rsid w:val="404E6ADA"/>
    <w:rsid w:val="408E714D"/>
    <w:rsid w:val="40965A05"/>
    <w:rsid w:val="40A6333C"/>
    <w:rsid w:val="40A92971"/>
    <w:rsid w:val="40B01F51"/>
    <w:rsid w:val="40B169C6"/>
    <w:rsid w:val="40B95C49"/>
    <w:rsid w:val="40BF2F13"/>
    <w:rsid w:val="40DC6BC9"/>
    <w:rsid w:val="40E9586F"/>
    <w:rsid w:val="41126927"/>
    <w:rsid w:val="41187806"/>
    <w:rsid w:val="412D10FA"/>
    <w:rsid w:val="41315B35"/>
    <w:rsid w:val="414803DC"/>
    <w:rsid w:val="414E378C"/>
    <w:rsid w:val="41636DBB"/>
    <w:rsid w:val="41710552"/>
    <w:rsid w:val="41847666"/>
    <w:rsid w:val="419256D7"/>
    <w:rsid w:val="419B3FAC"/>
    <w:rsid w:val="41BD0482"/>
    <w:rsid w:val="425F3270"/>
    <w:rsid w:val="426024C3"/>
    <w:rsid w:val="42740BC7"/>
    <w:rsid w:val="429338D8"/>
    <w:rsid w:val="429417D9"/>
    <w:rsid w:val="42984E79"/>
    <w:rsid w:val="42B71375"/>
    <w:rsid w:val="42DF08CC"/>
    <w:rsid w:val="430D71E7"/>
    <w:rsid w:val="432F3601"/>
    <w:rsid w:val="4333084C"/>
    <w:rsid w:val="434002AA"/>
    <w:rsid w:val="43684178"/>
    <w:rsid w:val="43707FA6"/>
    <w:rsid w:val="43C53F65"/>
    <w:rsid w:val="43CA157C"/>
    <w:rsid w:val="43EB78AE"/>
    <w:rsid w:val="43FB34E3"/>
    <w:rsid w:val="44181FF3"/>
    <w:rsid w:val="4434181A"/>
    <w:rsid w:val="443A6973"/>
    <w:rsid w:val="443E074E"/>
    <w:rsid w:val="4450512E"/>
    <w:rsid w:val="44703ED1"/>
    <w:rsid w:val="44845D06"/>
    <w:rsid w:val="44A72F7D"/>
    <w:rsid w:val="44A87EC8"/>
    <w:rsid w:val="44C85ABB"/>
    <w:rsid w:val="44CF2D69"/>
    <w:rsid w:val="44DC2525"/>
    <w:rsid w:val="450E785C"/>
    <w:rsid w:val="45156827"/>
    <w:rsid w:val="45326B02"/>
    <w:rsid w:val="45C85647"/>
    <w:rsid w:val="45FB57DC"/>
    <w:rsid w:val="461E170B"/>
    <w:rsid w:val="4621272F"/>
    <w:rsid w:val="4628743E"/>
    <w:rsid w:val="463F1881"/>
    <w:rsid w:val="46592B17"/>
    <w:rsid w:val="46853538"/>
    <w:rsid w:val="46911BAA"/>
    <w:rsid w:val="46BC5827"/>
    <w:rsid w:val="46BF0CE8"/>
    <w:rsid w:val="46C140A0"/>
    <w:rsid w:val="46D22C21"/>
    <w:rsid w:val="46E464B1"/>
    <w:rsid w:val="46F72688"/>
    <w:rsid w:val="46F81F5C"/>
    <w:rsid w:val="470A37CB"/>
    <w:rsid w:val="473867FC"/>
    <w:rsid w:val="473A04D5"/>
    <w:rsid w:val="47417E82"/>
    <w:rsid w:val="474C22B3"/>
    <w:rsid w:val="475B51B6"/>
    <w:rsid w:val="475E4DD7"/>
    <w:rsid w:val="4768372D"/>
    <w:rsid w:val="4773177B"/>
    <w:rsid w:val="477554F4"/>
    <w:rsid w:val="47953C4F"/>
    <w:rsid w:val="47977E9A"/>
    <w:rsid w:val="47981849"/>
    <w:rsid w:val="47B5612D"/>
    <w:rsid w:val="47D33671"/>
    <w:rsid w:val="47D36DFD"/>
    <w:rsid w:val="47E84FBF"/>
    <w:rsid w:val="4803505C"/>
    <w:rsid w:val="48042368"/>
    <w:rsid w:val="48152C91"/>
    <w:rsid w:val="481E7A60"/>
    <w:rsid w:val="48233577"/>
    <w:rsid w:val="485F5610"/>
    <w:rsid w:val="487970CD"/>
    <w:rsid w:val="48AC2FFE"/>
    <w:rsid w:val="48AE6D76"/>
    <w:rsid w:val="48B001DF"/>
    <w:rsid w:val="48CF4605"/>
    <w:rsid w:val="48E1539E"/>
    <w:rsid w:val="49185A52"/>
    <w:rsid w:val="493A0BDF"/>
    <w:rsid w:val="493C4382"/>
    <w:rsid w:val="493F0316"/>
    <w:rsid w:val="49494CF1"/>
    <w:rsid w:val="495F2766"/>
    <w:rsid w:val="49690EEF"/>
    <w:rsid w:val="49731136"/>
    <w:rsid w:val="49891591"/>
    <w:rsid w:val="49921B40"/>
    <w:rsid w:val="49C16F7D"/>
    <w:rsid w:val="49C65F48"/>
    <w:rsid w:val="49D15412"/>
    <w:rsid w:val="4A1278B5"/>
    <w:rsid w:val="4A236F35"/>
    <w:rsid w:val="4A303F96"/>
    <w:rsid w:val="4A5D78A0"/>
    <w:rsid w:val="4A922C20"/>
    <w:rsid w:val="4A9529C6"/>
    <w:rsid w:val="4A965D14"/>
    <w:rsid w:val="4A9D565D"/>
    <w:rsid w:val="4AA27F52"/>
    <w:rsid w:val="4AAC3789"/>
    <w:rsid w:val="4AC24D5B"/>
    <w:rsid w:val="4AD60806"/>
    <w:rsid w:val="4B081E7E"/>
    <w:rsid w:val="4B090BDC"/>
    <w:rsid w:val="4B197995"/>
    <w:rsid w:val="4B335C59"/>
    <w:rsid w:val="4B473622"/>
    <w:rsid w:val="4B49330A"/>
    <w:rsid w:val="4B7D3C6A"/>
    <w:rsid w:val="4BC214A2"/>
    <w:rsid w:val="4BDB7584"/>
    <w:rsid w:val="4BE82694"/>
    <w:rsid w:val="4BF076A6"/>
    <w:rsid w:val="4BF36495"/>
    <w:rsid w:val="4BF80208"/>
    <w:rsid w:val="4BFA5AE7"/>
    <w:rsid w:val="4C0C0983"/>
    <w:rsid w:val="4C231829"/>
    <w:rsid w:val="4C2E05DF"/>
    <w:rsid w:val="4C387E57"/>
    <w:rsid w:val="4C3F1086"/>
    <w:rsid w:val="4C475E14"/>
    <w:rsid w:val="4C4B1B83"/>
    <w:rsid w:val="4C615253"/>
    <w:rsid w:val="4C942727"/>
    <w:rsid w:val="4C9A6388"/>
    <w:rsid w:val="4CA42A33"/>
    <w:rsid w:val="4CB81B75"/>
    <w:rsid w:val="4D0A1628"/>
    <w:rsid w:val="4D2E2B7B"/>
    <w:rsid w:val="4D32534A"/>
    <w:rsid w:val="4D4E6D7A"/>
    <w:rsid w:val="4D4F7D5E"/>
    <w:rsid w:val="4D6C2D05"/>
    <w:rsid w:val="4D700028"/>
    <w:rsid w:val="4D81128B"/>
    <w:rsid w:val="4DA231F0"/>
    <w:rsid w:val="4DA90284"/>
    <w:rsid w:val="4DD85F43"/>
    <w:rsid w:val="4DEB451D"/>
    <w:rsid w:val="4DFB14F8"/>
    <w:rsid w:val="4E235986"/>
    <w:rsid w:val="4E5531A0"/>
    <w:rsid w:val="4E6D2BB6"/>
    <w:rsid w:val="4E854A1D"/>
    <w:rsid w:val="4E8A5B90"/>
    <w:rsid w:val="4EAF79B8"/>
    <w:rsid w:val="4EB21CF0"/>
    <w:rsid w:val="4EB46B62"/>
    <w:rsid w:val="4ECA2430"/>
    <w:rsid w:val="4ED072DF"/>
    <w:rsid w:val="4ED1389E"/>
    <w:rsid w:val="4F021BCA"/>
    <w:rsid w:val="4F2A522D"/>
    <w:rsid w:val="4F3C7942"/>
    <w:rsid w:val="4F444AA9"/>
    <w:rsid w:val="4F745C45"/>
    <w:rsid w:val="4FAC7D88"/>
    <w:rsid w:val="4FCB0696"/>
    <w:rsid w:val="4FE355E6"/>
    <w:rsid w:val="4FF21938"/>
    <w:rsid w:val="4FF26337"/>
    <w:rsid w:val="50095F5C"/>
    <w:rsid w:val="5011414B"/>
    <w:rsid w:val="501B0E3C"/>
    <w:rsid w:val="501E6290"/>
    <w:rsid w:val="50267B3A"/>
    <w:rsid w:val="504070FB"/>
    <w:rsid w:val="505E72D4"/>
    <w:rsid w:val="508C61A1"/>
    <w:rsid w:val="509127B1"/>
    <w:rsid w:val="50B63B0A"/>
    <w:rsid w:val="50D30880"/>
    <w:rsid w:val="50DB6B76"/>
    <w:rsid w:val="50FA12FF"/>
    <w:rsid w:val="513450B9"/>
    <w:rsid w:val="51393412"/>
    <w:rsid w:val="513B5C76"/>
    <w:rsid w:val="513D513B"/>
    <w:rsid w:val="515A3F3F"/>
    <w:rsid w:val="515B39B6"/>
    <w:rsid w:val="51647ADC"/>
    <w:rsid w:val="516A5418"/>
    <w:rsid w:val="51B539B5"/>
    <w:rsid w:val="51F16466"/>
    <w:rsid w:val="52096481"/>
    <w:rsid w:val="52344790"/>
    <w:rsid w:val="52395CCA"/>
    <w:rsid w:val="523F1CAC"/>
    <w:rsid w:val="52402DA2"/>
    <w:rsid w:val="524808BE"/>
    <w:rsid w:val="52481FFA"/>
    <w:rsid w:val="52654C76"/>
    <w:rsid w:val="52742DDF"/>
    <w:rsid w:val="527E1EAF"/>
    <w:rsid w:val="52861B73"/>
    <w:rsid w:val="528831FC"/>
    <w:rsid w:val="5290573F"/>
    <w:rsid w:val="529F19E6"/>
    <w:rsid w:val="52A6300A"/>
    <w:rsid w:val="52D1656F"/>
    <w:rsid w:val="52D56EFE"/>
    <w:rsid w:val="52DB09E9"/>
    <w:rsid w:val="52E02222"/>
    <w:rsid w:val="5312128A"/>
    <w:rsid w:val="53690FA3"/>
    <w:rsid w:val="537370DF"/>
    <w:rsid w:val="5394276A"/>
    <w:rsid w:val="53A37386"/>
    <w:rsid w:val="53C102A5"/>
    <w:rsid w:val="53C146CE"/>
    <w:rsid w:val="53E97508"/>
    <w:rsid w:val="54262A29"/>
    <w:rsid w:val="544D1B39"/>
    <w:rsid w:val="544D38E7"/>
    <w:rsid w:val="54733171"/>
    <w:rsid w:val="547370C6"/>
    <w:rsid w:val="54786441"/>
    <w:rsid w:val="54A37382"/>
    <w:rsid w:val="54AF3753"/>
    <w:rsid w:val="54B83F4D"/>
    <w:rsid w:val="54BB3E9C"/>
    <w:rsid w:val="54BD10F9"/>
    <w:rsid w:val="54F70673"/>
    <w:rsid w:val="55264138"/>
    <w:rsid w:val="55320D2F"/>
    <w:rsid w:val="55384597"/>
    <w:rsid w:val="553E1482"/>
    <w:rsid w:val="553E712D"/>
    <w:rsid w:val="55AB78B1"/>
    <w:rsid w:val="55AC6D33"/>
    <w:rsid w:val="55E6122E"/>
    <w:rsid w:val="55FA2579"/>
    <w:rsid w:val="56252B29"/>
    <w:rsid w:val="564E4E81"/>
    <w:rsid w:val="56672BBF"/>
    <w:rsid w:val="56872A22"/>
    <w:rsid w:val="568D7988"/>
    <w:rsid w:val="569257B4"/>
    <w:rsid w:val="56E6590C"/>
    <w:rsid w:val="57014CA6"/>
    <w:rsid w:val="571E77BD"/>
    <w:rsid w:val="573959C9"/>
    <w:rsid w:val="574216FD"/>
    <w:rsid w:val="5750754E"/>
    <w:rsid w:val="575431DF"/>
    <w:rsid w:val="57573BE5"/>
    <w:rsid w:val="57897AB4"/>
    <w:rsid w:val="578A6C00"/>
    <w:rsid w:val="5791154A"/>
    <w:rsid w:val="57932432"/>
    <w:rsid w:val="579502B5"/>
    <w:rsid w:val="579748CE"/>
    <w:rsid w:val="579D05BD"/>
    <w:rsid w:val="57A34451"/>
    <w:rsid w:val="57C11CAC"/>
    <w:rsid w:val="581A7F84"/>
    <w:rsid w:val="5826317E"/>
    <w:rsid w:val="585039A6"/>
    <w:rsid w:val="58627B7D"/>
    <w:rsid w:val="58C61E79"/>
    <w:rsid w:val="58DE7204"/>
    <w:rsid w:val="58F20784"/>
    <w:rsid w:val="58F94D60"/>
    <w:rsid w:val="59080725"/>
    <w:rsid w:val="59227449"/>
    <w:rsid w:val="596A4F3B"/>
    <w:rsid w:val="59974DE6"/>
    <w:rsid w:val="59A71CEC"/>
    <w:rsid w:val="59AE28B0"/>
    <w:rsid w:val="59BC038B"/>
    <w:rsid w:val="59C06B0F"/>
    <w:rsid w:val="59CF042F"/>
    <w:rsid w:val="59D70DF6"/>
    <w:rsid w:val="59DE22DE"/>
    <w:rsid w:val="5A0151E6"/>
    <w:rsid w:val="5A0A6965"/>
    <w:rsid w:val="5A0F163F"/>
    <w:rsid w:val="5A3431DE"/>
    <w:rsid w:val="5A3F302F"/>
    <w:rsid w:val="5A581238"/>
    <w:rsid w:val="5A5B4884"/>
    <w:rsid w:val="5A7F67C4"/>
    <w:rsid w:val="5A84605C"/>
    <w:rsid w:val="5AA71877"/>
    <w:rsid w:val="5AA93841"/>
    <w:rsid w:val="5AAB5107"/>
    <w:rsid w:val="5AB13AE4"/>
    <w:rsid w:val="5AC936F9"/>
    <w:rsid w:val="5AD10903"/>
    <w:rsid w:val="5AE34EAB"/>
    <w:rsid w:val="5AE95E4C"/>
    <w:rsid w:val="5AED1175"/>
    <w:rsid w:val="5AEF257E"/>
    <w:rsid w:val="5AFF11B3"/>
    <w:rsid w:val="5B1073A5"/>
    <w:rsid w:val="5B13515F"/>
    <w:rsid w:val="5B427AFC"/>
    <w:rsid w:val="5B555263"/>
    <w:rsid w:val="5B5B2F38"/>
    <w:rsid w:val="5B6A7113"/>
    <w:rsid w:val="5B7200D7"/>
    <w:rsid w:val="5B730CA8"/>
    <w:rsid w:val="5B7761B0"/>
    <w:rsid w:val="5B7B12BA"/>
    <w:rsid w:val="5B914A01"/>
    <w:rsid w:val="5B955B74"/>
    <w:rsid w:val="5BAA0022"/>
    <w:rsid w:val="5BC8419B"/>
    <w:rsid w:val="5BD44479"/>
    <w:rsid w:val="5BD7618C"/>
    <w:rsid w:val="5BF3322A"/>
    <w:rsid w:val="5C146454"/>
    <w:rsid w:val="5C1A0834"/>
    <w:rsid w:val="5C2238AB"/>
    <w:rsid w:val="5C4E644E"/>
    <w:rsid w:val="5C514191"/>
    <w:rsid w:val="5C576487"/>
    <w:rsid w:val="5C65291D"/>
    <w:rsid w:val="5C942044"/>
    <w:rsid w:val="5CBF07AB"/>
    <w:rsid w:val="5CCE2A56"/>
    <w:rsid w:val="5D0E118F"/>
    <w:rsid w:val="5D215911"/>
    <w:rsid w:val="5D452F43"/>
    <w:rsid w:val="5D4635C9"/>
    <w:rsid w:val="5D4B0BE0"/>
    <w:rsid w:val="5D4D7217"/>
    <w:rsid w:val="5D697A38"/>
    <w:rsid w:val="5D7B626B"/>
    <w:rsid w:val="5D83037A"/>
    <w:rsid w:val="5D97175F"/>
    <w:rsid w:val="5DB13A08"/>
    <w:rsid w:val="5DC002AB"/>
    <w:rsid w:val="5DCD5A99"/>
    <w:rsid w:val="5DCD7847"/>
    <w:rsid w:val="5DD22C6C"/>
    <w:rsid w:val="5DD961EC"/>
    <w:rsid w:val="5DEC0950"/>
    <w:rsid w:val="5DFE70FF"/>
    <w:rsid w:val="5E4057B1"/>
    <w:rsid w:val="5E473A9D"/>
    <w:rsid w:val="5E666CEB"/>
    <w:rsid w:val="5E7D74BF"/>
    <w:rsid w:val="5EC742B8"/>
    <w:rsid w:val="5ED4707F"/>
    <w:rsid w:val="5EE237C6"/>
    <w:rsid w:val="5EF54E33"/>
    <w:rsid w:val="5F010A89"/>
    <w:rsid w:val="5F061196"/>
    <w:rsid w:val="5F3C5A9F"/>
    <w:rsid w:val="5F43024C"/>
    <w:rsid w:val="5F790C56"/>
    <w:rsid w:val="5F7D78A8"/>
    <w:rsid w:val="5F824661"/>
    <w:rsid w:val="5FAD406B"/>
    <w:rsid w:val="5FF91718"/>
    <w:rsid w:val="5FFD6F2A"/>
    <w:rsid w:val="60200102"/>
    <w:rsid w:val="60391C57"/>
    <w:rsid w:val="60591866"/>
    <w:rsid w:val="605E0C2A"/>
    <w:rsid w:val="60660F80"/>
    <w:rsid w:val="60A96B43"/>
    <w:rsid w:val="60C26423"/>
    <w:rsid w:val="60CC028A"/>
    <w:rsid w:val="60CC4D75"/>
    <w:rsid w:val="60E127A8"/>
    <w:rsid w:val="60EC6DF3"/>
    <w:rsid w:val="60EF5890"/>
    <w:rsid w:val="60F862B1"/>
    <w:rsid w:val="613D458E"/>
    <w:rsid w:val="616B7AA3"/>
    <w:rsid w:val="617E52E2"/>
    <w:rsid w:val="618C6B48"/>
    <w:rsid w:val="61B14255"/>
    <w:rsid w:val="61B431F8"/>
    <w:rsid w:val="61B800DA"/>
    <w:rsid w:val="61DE4E8D"/>
    <w:rsid w:val="61EE575C"/>
    <w:rsid w:val="6223212B"/>
    <w:rsid w:val="623E0D13"/>
    <w:rsid w:val="628338D5"/>
    <w:rsid w:val="62993A7C"/>
    <w:rsid w:val="62A50D92"/>
    <w:rsid w:val="62C51434"/>
    <w:rsid w:val="62FD36ED"/>
    <w:rsid w:val="6316159D"/>
    <w:rsid w:val="6323690D"/>
    <w:rsid w:val="63276B7D"/>
    <w:rsid w:val="6344466B"/>
    <w:rsid w:val="63525EB8"/>
    <w:rsid w:val="63527D8D"/>
    <w:rsid w:val="635F53E5"/>
    <w:rsid w:val="637555FC"/>
    <w:rsid w:val="638233E9"/>
    <w:rsid w:val="63950E07"/>
    <w:rsid w:val="63AA3093"/>
    <w:rsid w:val="63B868A3"/>
    <w:rsid w:val="63C11BFC"/>
    <w:rsid w:val="64150543"/>
    <w:rsid w:val="64216B3E"/>
    <w:rsid w:val="64222BDC"/>
    <w:rsid w:val="645417EB"/>
    <w:rsid w:val="647629E6"/>
    <w:rsid w:val="64856646"/>
    <w:rsid w:val="648570CD"/>
    <w:rsid w:val="649E6702"/>
    <w:rsid w:val="64AB5CF7"/>
    <w:rsid w:val="64AF5EF8"/>
    <w:rsid w:val="64B259E8"/>
    <w:rsid w:val="64BE7B84"/>
    <w:rsid w:val="64E05AFB"/>
    <w:rsid w:val="64F107AA"/>
    <w:rsid w:val="64FA29E1"/>
    <w:rsid w:val="650172FC"/>
    <w:rsid w:val="65130235"/>
    <w:rsid w:val="65160B9B"/>
    <w:rsid w:val="65165661"/>
    <w:rsid w:val="65491EA9"/>
    <w:rsid w:val="65510D5D"/>
    <w:rsid w:val="656C6B82"/>
    <w:rsid w:val="657A02B4"/>
    <w:rsid w:val="65B42C46"/>
    <w:rsid w:val="65BF660F"/>
    <w:rsid w:val="65DC20BD"/>
    <w:rsid w:val="65F11842"/>
    <w:rsid w:val="660E4EA0"/>
    <w:rsid w:val="661641DA"/>
    <w:rsid w:val="66195F86"/>
    <w:rsid w:val="661D0A78"/>
    <w:rsid w:val="66627800"/>
    <w:rsid w:val="666E4E7C"/>
    <w:rsid w:val="66BA1E4A"/>
    <w:rsid w:val="66C814F3"/>
    <w:rsid w:val="66F127F8"/>
    <w:rsid w:val="672A3FD1"/>
    <w:rsid w:val="67311993"/>
    <w:rsid w:val="674A1F08"/>
    <w:rsid w:val="67642FCA"/>
    <w:rsid w:val="676A25AA"/>
    <w:rsid w:val="676E6B7F"/>
    <w:rsid w:val="677156E7"/>
    <w:rsid w:val="678A5A74"/>
    <w:rsid w:val="67971A6A"/>
    <w:rsid w:val="679E3CEC"/>
    <w:rsid w:val="67A3717C"/>
    <w:rsid w:val="67D31EFE"/>
    <w:rsid w:val="67DF0A57"/>
    <w:rsid w:val="67E30246"/>
    <w:rsid w:val="68147564"/>
    <w:rsid w:val="68186BC2"/>
    <w:rsid w:val="68386BA0"/>
    <w:rsid w:val="683C2DEC"/>
    <w:rsid w:val="6850657F"/>
    <w:rsid w:val="68B00491"/>
    <w:rsid w:val="68BB30BE"/>
    <w:rsid w:val="68CE54C2"/>
    <w:rsid w:val="68D575AA"/>
    <w:rsid w:val="68D832D0"/>
    <w:rsid w:val="68FD6016"/>
    <w:rsid w:val="69021FA8"/>
    <w:rsid w:val="69274557"/>
    <w:rsid w:val="694036BC"/>
    <w:rsid w:val="695C50C6"/>
    <w:rsid w:val="69791297"/>
    <w:rsid w:val="697D7C3E"/>
    <w:rsid w:val="69A81316"/>
    <w:rsid w:val="69CB5582"/>
    <w:rsid w:val="69EF0534"/>
    <w:rsid w:val="6A07714C"/>
    <w:rsid w:val="6A11491F"/>
    <w:rsid w:val="6A22716C"/>
    <w:rsid w:val="6A2627B9"/>
    <w:rsid w:val="6A5D1F52"/>
    <w:rsid w:val="6A682879"/>
    <w:rsid w:val="6A696279"/>
    <w:rsid w:val="6A6D03E7"/>
    <w:rsid w:val="6A8955C1"/>
    <w:rsid w:val="6AAE27AE"/>
    <w:rsid w:val="6AB94177"/>
    <w:rsid w:val="6AC65D4A"/>
    <w:rsid w:val="6AE45E5D"/>
    <w:rsid w:val="6AEB3A02"/>
    <w:rsid w:val="6B107944"/>
    <w:rsid w:val="6B146ABA"/>
    <w:rsid w:val="6B1D09D4"/>
    <w:rsid w:val="6B1E5B86"/>
    <w:rsid w:val="6B35052E"/>
    <w:rsid w:val="6B57056C"/>
    <w:rsid w:val="6B777044"/>
    <w:rsid w:val="6B7C46CC"/>
    <w:rsid w:val="6BA35B72"/>
    <w:rsid w:val="6BAE0CB8"/>
    <w:rsid w:val="6BCB694A"/>
    <w:rsid w:val="6BD47002"/>
    <w:rsid w:val="6BF55889"/>
    <w:rsid w:val="6BFE12B0"/>
    <w:rsid w:val="6C000E4F"/>
    <w:rsid w:val="6C0B15D1"/>
    <w:rsid w:val="6C1F3963"/>
    <w:rsid w:val="6C275586"/>
    <w:rsid w:val="6C5D3FF5"/>
    <w:rsid w:val="6C647510"/>
    <w:rsid w:val="6C8B2DA7"/>
    <w:rsid w:val="6CB1612D"/>
    <w:rsid w:val="6CB34DAE"/>
    <w:rsid w:val="6CC27A7A"/>
    <w:rsid w:val="6CD0328B"/>
    <w:rsid w:val="6CD82210"/>
    <w:rsid w:val="6D2B74B3"/>
    <w:rsid w:val="6D3C1942"/>
    <w:rsid w:val="6D9E3F65"/>
    <w:rsid w:val="6DC570CB"/>
    <w:rsid w:val="6E1F40EF"/>
    <w:rsid w:val="6E2C171B"/>
    <w:rsid w:val="6E2C59D5"/>
    <w:rsid w:val="6E343FC5"/>
    <w:rsid w:val="6E565912"/>
    <w:rsid w:val="6E5C0E9F"/>
    <w:rsid w:val="6E657628"/>
    <w:rsid w:val="6E7F019A"/>
    <w:rsid w:val="6E8505CD"/>
    <w:rsid w:val="6E9C74ED"/>
    <w:rsid w:val="6E9E4BC3"/>
    <w:rsid w:val="6EB846B2"/>
    <w:rsid w:val="6EC407F2"/>
    <w:rsid w:val="6ED749C9"/>
    <w:rsid w:val="6EE23F5C"/>
    <w:rsid w:val="6EE45779"/>
    <w:rsid w:val="6EEC0419"/>
    <w:rsid w:val="6F0A08FB"/>
    <w:rsid w:val="6F1434A4"/>
    <w:rsid w:val="6F1A75FC"/>
    <w:rsid w:val="6F210795"/>
    <w:rsid w:val="6F2C054E"/>
    <w:rsid w:val="6F487CDD"/>
    <w:rsid w:val="6F5F366D"/>
    <w:rsid w:val="6F68022B"/>
    <w:rsid w:val="6F6C1DAC"/>
    <w:rsid w:val="6F9A1F04"/>
    <w:rsid w:val="6F9A6C12"/>
    <w:rsid w:val="6FA7614A"/>
    <w:rsid w:val="6FAA0849"/>
    <w:rsid w:val="6FB414F9"/>
    <w:rsid w:val="6FB6638D"/>
    <w:rsid w:val="7020137A"/>
    <w:rsid w:val="702D26BA"/>
    <w:rsid w:val="702F7DBB"/>
    <w:rsid w:val="70713E9B"/>
    <w:rsid w:val="7073020B"/>
    <w:rsid w:val="70851233"/>
    <w:rsid w:val="70926DFA"/>
    <w:rsid w:val="70A504D5"/>
    <w:rsid w:val="70DB5380"/>
    <w:rsid w:val="70EE5FFA"/>
    <w:rsid w:val="711D0101"/>
    <w:rsid w:val="712733FD"/>
    <w:rsid w:val="713B4D89"/>
    <w:rsid w:val="7143183B"/>
    <w:rsid w:val="71484198"/>
    <w:rsid w:val="71484277"/>
    <w:rsid w:val="714A76D4"/>
    <w:rsid w:val="71687BAF"/>
    <w:rsid w:val="717763E0"/>
    <w:rsid w:val="71786A41"/>
    <w:rsid w:val="719F67A9"/>
    <w:rsid w:val="71A039CA"/>
    <w:rsid w:val="71A1260E"/>
    <w:rsid w:val="722A3062"/>
    <w:rsid w:val="72456EB1"/>
    <w:rsid w:val="72677E12"/>
    <w:rsid w:val="72720DA8"/>
    <w:rsid w:val="727D2B35"/>
    <w:rsid w:val="728237ED"/>
    <w:rsid w:val="72A3167C"/>
    <w:rsid w:val="72AE7D36"/>
    <w:rsid w:val="72BE6102"/>
    <w:rsid w:val="72CD68D8"/>
    <w:rsid w:val="72E2292C"/>
    <w:rsid w:val="72E3237C"/>
    <w:rsid w:val="7301673F"/>
    <w:rsid w:val="73231CF3"/>
    <w:rsid w:val="739A7D73"/>
    <w:rsid w:val="73BB6668"/>
    <w:rsid w:val="73F445CA"/>
    <w:rsid w:val="7416389E"/>
    <w:rsid w:val="742C4E6F"/>
    <w:rsid w:val="74534AF2"/>
    <w:rsid w:val="745A18E7"/>
    <w:rsid w:val="74713389"/>
    <w:rsid w:val="74820F33"/>
    <w:rsid w:val="7497786C"/>
    <w:rsid w:val="74A53F3C"/>
    <w:rsid w:val="74C04F97"/>
    <w:rsid w:val="74C757DF"/>
    <w:rsid w:val="74F7416E"/>
    <w:rsid w:val="75180EA9"/>
    <w:rsid w:val="75196536"/>
    <w:rsid w:val="751A48A4"/>
    <w:rsid w:val="75271ADB"/>
    <w:rsid w:val="752913AF"/>
    <w:rsid w:val="752D2605"/>
    <w:rsid w:val="75353E32"/>
    <w:rsid w:val="75641457"/>
    <w:rsid w:val="756F67BD"/>
    <w:rsid w:val="75736ACE"/>
    <w:rsid w:val="7579502C"/>
    <w:rsid w:val="75B20F13"/>
    <w:rsid w:val="75E874BC"/>
    <w:rsid w:val="76037B74"/>
    <w:rsid w:val="763E70DC"/>
    <w:rsid w:val="764B2B47"/>
    <w:rsid w:val="76550DEA"/>
    <w:rsid w:val="765E152C"/>
    <w:rsid w:val="765F24CD"/>
    <w:rsid w:val="76817327"/>
    <w:rsid w:val="76A809F9"/>
    <w:rsid w:val="76DD59DF"/>
    <w:rsid w:val="77130563"/>
    <w:rsid w:val="77470212"/>
    <w:rsid w:val="774D3A7A"/>
    <w:rsid w:val="776668EA"/>
    <w:rsid w:val="77910638"/>
    <w:rsid w:val="77C655DB"/>
    <w:rsid w:val="77DC0033"/>
    <w:rsid w:val="77EA6925"/>
    <w:rsid w:val="77ED2B68"/>
    <w:rsid w:val="77F35CA4"/>
    <w:rsid w:val="77FE0C6C"/>
    <w:rsid w:val="78395DAD"/>
    <w:rsid w:val="7840713B"/>
    <w:rsid w:val="78486D9D"/>
    <w:rsid w:val="78623556"/>
    <w:rsid w:val="78650DEF"/>
    <w:rsid w:val="786646C8"/>
    <w:rsid w:val="78752145"/>
    <w:rsid w:val="788E737B"/>
    <w:rsid w:val="78903D93"/>
    <w:rsid w:val="78A13CD3"/>
    <w:rsid w:val="78D55489"/>
    <w:rsid w:val="78D93E53"/>
    <w:rsid w:val="78F0504A"/>
    <w:rsid w:val="79382508"/>
    <w:rsid w:val="79441C5C"/>
    <w:rsid w:val="7947274B"/>
    <w:rsid w:val="794E7636"/>
    <w:rsid w:val="796437E5"/>
    <w:rsid w:val="796B01E8"/>
    <w:rsid w:val="79753CD1"/>
    <w:rsid w:val="797916BD"/>
    <w:rsid w:val="797C0647"/>
    <w:rsid w:val="797D10DD"/>
    <w:rsid w:val="79C14150"/>
    <w:rsid w:val="79D05643"/>
    <w:rsid w:val="79D305F5"/>
    <w:rsid w:val="79DB52A6"/>
    <w:rsid w:val="79EC2A16"/>
    <w:rsid w:val="79F24465"/>
    <w:rsid w:val="7A287E87"/>
    <w:rsid w:val="7A3331F8"/>
    <w:rsid w:val="7A550DC0"/>
    <w:rsid w:val="7A715CD2"/>
    <w:rsid w:val="7A8D261A"/>
    <w:rsid w:val="7A911ED0"/>
    <w:rsid w:val="7AF156D3"/>
    <w:rsid w:val="7B11461F"/>
    <w:rsid w:val="7B2E1F18"/>
    <w:rsid w:val="7B793006"/>
    <w:rsid w:val="7BBC2C91"/>
    <w:rsid w:val="7BD35234"/>
    <w:rsid w:val="7BED75DA"/>
    <w:rsid w:val="7C211032"/>
    <w:rsid w:val="7C4161AE"/>
    <w:rsid w:val="7C5C02BC"/>
    <w:rsid w:val="7C7F1265"/>
    <w:rsid w:val="7CA22B8B"/>
    <w:rsid w:val="7CBE24B4"/>
    <w:rsid w:val="7D2012E9"/>
    <w:rsid w:val="7D4A641F"/>
    <w:rsid w:val="7D5E0EDC"/>
    <w:rsid w:val="7D5E506A"/>
    <w:rsid w:val="7D7269BA"/>
    <w:rsid w:val="7D964715"/>
    <w:rsid w:val="7D994AF3"/>
    <w:rsid w:val="7D9A2A39"/>
    <w:rsid w:val="7DB6029F"/>
    <w:rsid w:val="7DBD122E"/>
    <w:rsid w:val="7DC33976"/>
    <w:rsid w:val="7DC91981"/>
    <w:rsid w:val="7DCD73FA"/>
    <w:rsid w:val="7DE40569"/>
    <w:rsid w:val="7DF72A58"/>
    <w:rsid w:val="7E1B0636"/>
    <w:rsid w:val="7E2A21C6"/>
    <w:rsid w:val="7E2D2649"/>
    <w:rsid w:val="7E3620A1"/>
    <w:rsid w:val="7E527ABB"/>
    <w:rsid w:val="7E9957F7"/>
    <w:rsid w:val="7EA54A6A"/>
    <w:rsid w:val="7EB20667"/>
    <w:rsid w:val="7ED026F4"/>
    <w:rsid w:val="7ED24865"/>
    <w:rsid w:val="7EE96562"/>
    <w:rsid w:val="7EFCA739"/>
    <w:rsid w:val="7F0F5889"/>
    <w:rsid w:val="7F2E0FB4"/>
    <w:rsid w:val="7F4828F9"/>
    <w:rsid w:val="7F4F5EB6"/>
    <w:rsid w:val="7F6776A3"/>
    <w:rsid w:val="7F737E2E"/>
    <w:rsid w:val="7F7F5AC1"/>
    <w:rsid w:val="7F8E4C30"/>
    <w:rsid w:val="7FAB79A7"/>
    <w:rsid w:val="7FB64187"/>
    <w:rsid w:val="7FCA077A"/>
    <w:rsid w:val="7FE2068F"/>
    <w:rsid w:val="7FEB79E8"/>
    <w:rsid w:val="F7D3B707"/>
    <w:rsid w:val="FFBFC5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name="index 2"/>
    <w:lsdException w:qFormat="1" w:unhideWhenUsed="0" w:uiPriority="0" w:name="index 3"/>
    <w:lsdException w:qFormat="1" w:unhideWhenUsed="0" w:uiPriority="0" w:semiHidden="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iPriority="0" w:semiHidden="0" w:name="header"/>
    <w:lsdException w:qFormat="1"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name="table of authorities"/>
    <w:lsdException w:qFormat="1" w:unhideWhenUsed="0" w:uiPriority="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0" w:semiHidden="0" w:name="Document Map"/>
    <w:lsdException w:qFormat="1"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qFormat="1" w:uiPriority="99" w:name="HTML Sample"/>
    <w:lsdException w:qFormat="1" w:unhideWhenUsed="0" w:uiPriority="0" w:semiHidden="0"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90"/>
    <w:qFormat/>
    <w:uiPriority w:val="0"/>
    <w:pPr>
      <w:keepNext/>
      <w:keepLines/>
      <w:tabs>
        <w:tab w:val="left" w:pos="1440"/>
      </w:tabs>
      <w:spacing w:before="340" w:after="330" w:line="576" w:lineRule="auto"/>
      <w:ind w:left="432" w:hanging="432"/>
      <w:outlineLvl w:val="0"/>
    </w:pPr>
    <w:rPr>
      <w:b/>
      <w:bCs/>
      <w:kern w:val="44"/>
      <w:sz w:val="44"/>
      <w:szCs w:val="44"/>
    </w:rPr>
  </w:style>
  <w:style w:type="paragraph" w:styleId="4">
    <w:name w:val="heading 2"/>
    <w:basedOn w:val="5"/>
    <w:next w:val="1"/>
    <w:link w:val="125"/>
    <w:qFormat/>
    <w:uiPriority w:val="0"/>
    <w:pPr>
      <w:keepNext/>
      <w:keepLines/>
      <w:spacing w:before="260" w:after="260" w:line="413" w:lineRule="auto"/>
      <w:outlineLvl w:val="1"/>
    </w:pPr>
    <w:rPr>
      <w:rFonts w:ascii="Arial" w:hAnsi="Arial" w:eastAsia="黑体"/>
      <w:b/>
      <w:bCs/>
      <w:sz w:val="32"/>
      <w:szCs w:val="32"/>
    </w:rPr>
  </w:style>
  <w:style w:type="paragraph" w:styleId="7">
    <w:name w:val="heading 3"/>
    <w:basedOn w:val="1"/>
    <w:next w:val="1"/>
    <w:link w:val="189"/>
    <w:qFormat/>
    <w:uiPriority w:val="0"/>
    <w:pPr>
      <w:keepNext/>
      <w:keepLines/>
      <w:spacing w:before="260" w:after="260" w:line="416" w:lineRule="auto"/>
      <w:outlineLvl w:val="2"/>
    </w:pPr>
    <w:rPr>
      <w:b/>
      <w:bCs/>
      <w:sz w:val="32"/>
      <w:szCs w:val="32"/>
    </w:rPr>
  </w:style>
  <w:style w:type="paragraph" w:styleId="8">
    <w:name w:val="heading 4"/>
    <w:basedOn w:val="1"/>
    <w:next w:val="1"/>
    <w:link w:val="115"/>
    <w:qFormat/>
    <w:uiPriority w:val="0"/>
    <w:pPr>
      <w:keepNext/>
      <w:keepLines/>
      <w:spacing w:before="280" w:after="290" w:line="376" w:lineRule="auto"/>
      <w:outlineLvl w:val="3"/>
    </w:pPr>
    <w:rPr>
      <w:rFonts w:ascii="Cambria" w:hAnsi="Cambria"/>
      <w:b/>
      <w:bCs/>
      <w:sz w:val="28"/>
      <w:szCs w:val="28"/>
    </w:rPr>
  </w:style>
  <w:style w:type="paragraph" w:styleId="9">
    <w:name w:val="heading 5"/>
    <w:basedOn w:val="1"/>
    <w:next w:val="1"/>
    <w:link w:val="145"/>
    <w:qFormat/>
    <w:uiPriority w:val="0"/>
    <w:pPr>
      <w:keepNext/>
      <w:keepLines/>
      <w:tabs>
        <w:tab w:val="left" w:pos="1008"/>
      </w:tabs>
      <w:spacing w:before="280" w:after="290" w:line="372" w:lineRule="auto"/>
      <w:ind w:left="1008" w:hanging="1008"/>
      <w:outlineLvl w:val="4"/>
    </w:pPr>
    <w:rPr>
      <w:b/>
      <w:sz w:val="28"/>
      <w:szCs w:val="20"/>
    </w:rPr>
  </w:style>
  <w:style w:type="paragraph" w:styleId="10">
    <w:name w:val="heading 6"/>
    <w:basedOn w:val="1"/>
    <w:next w:val="1"/>
    <w:link w:val="191"/>
    <w:qFormat/>
    <w:uiPriority w:val="0"/>
    <w:pPr>
      <w:keepNext/>
      <w:keepLines/>
      <w:tabs>
        <w:tab w:val="left" w:pos="1152"/>
      </w:tabs>
      <w:spacing w:before="240" w:after="64" w:line="317" w:lineRule="auto"/>
      <w:ind w:left="1152" w:hanging="1152"/>
      <w:outlineLvl w:val="5"/>
    </w:pPr>
    <w:rPr>
      <w:rFonts w:ascii="Arial" w:hAnsi="Arial" w:eastAsia="黑体"/>
      <w:b/>
      <w:sz w:val="24"/>
      <w:szCs w:val="20"/>
    </w:rPr>
  </w:style>
  <w:style w:type="paragraph" w:styleId="11">
    <w:name w:val="heading 7"/>
    <w:basedOn w:val="1"/>
    <w:next w:val="1"/>
    <w:link w:val="172"/>
    <w:qFormat/>
    <w:uiPriority w:val="0"/>
    <w:pPr>
      <w:keepNext/>
      <w:keepLines/>
      <w:tabs>
        <w:tab w:val="left" w:pos="1296"/>
      </w:tabs>
      <w:spacing w:before="240" w:after="64" w:line="317" w:lineRule="auto"/>
      <w:ind w:left="1296" w:hanging="1296"/>
      <w:outlineLvl w:val="6"/>
    </w:pPr>
    <w:rPr>
      <w:b/>
      <w:sz w:val="24"/>
      <w:szCs w:val="20"/>
    </w:rPr>
  </w:style>
  <w:style w:type="paragraph" w:styleId="12">
    <w:name w:val="heading 8"/>
    <w:basedOn w:val="1"/>
    <w:next w:val="1"/>
    <w:link w:val="158"/>
    <w:qFormat/>
    <w:uiPriority w:val="0"/>
    <w:pPr>
      <w:keepNext/>
      <w:keepLines/>
      <w:tabs>
        <w:tab w:val="left" w:pos="1440"/>
      </w:tabs>
      <w:spacing w:before="240" w:after="64" w:line="317" w:lineRule="auto"/>
      <w:ind w:left="1440" w:hanging="1440"/>
      <w:outlineLvl w:val="7"/>
    </w:pPr>
    <w:rPr>
      <w:rFonts w:ascii="Arial" w:hAnsi="Arial" w:eastAsia="黑体"/>
      <w:sz w:val="24"/>
      <w:szCs w:val="20"/>
    </w:rPr>
  </w:style>
  <w:style w:type="paragraph" w:styleId="13">
    <w:name w:val="heading 9"/>
    <w:basedOn w:val="1"/>
    <w:next w:val="1"/>
    <w:link w:val="94"/>
    <w:qFormat/>
    <w:uiPriority w:val="0"/>
    <w:pPr>
      <w:keepNext/>
      <w:keepLines/>
      <w:tabs>
        <w:tab w:val="left" w:pos="1584"/>
      </w:tabs>
      <w:spacing w:before="240" w:after="64" w:line="317" w:lineRule="auto"/>
      <w:ind w:left="1584" w:hanging="1584"/>
      <w:outlineLvl w:val="8"/>
    </w:pPr>
    <w:rPr>
      <w:rFonts w:ascii="Arial" w:hAnsi="Arial" w:eastAsia="黑体"/>
      <w:szCs w:val="20"/>
    </w:rPr>
  </w:style>
  <w:style w:type="character" w:default="1" w:styleId="75">
    <w:name w:val="Default Paragraph Font"/>
    <w:semiHidden/>
    <w:unhideWhenUsed/>
    <w:qFormat/>
    <w:uiPriority w:val="1"/>
  </w:style>
  <w:style w:type="table" w:default="1" w:styleId="73">
    <w:name w:val="Normal Table"/>
    <w:semiHidden/>
    <w:unhideWhenUsed/>
    <w:qFormat/>
    <w:uiPriority w:val="99"/>
    <w:tblPr>
      <w:tblCellMar>
        <w:top w:w="0" w:type="dxa"/>
        <w:left w:w="108" w:type="dxa"/>
        <w:bottom w:w="0" w:type="dxa"/>
        <w:right w:w="108" w:type="dxa"/>
      </w:tblCellMar>
    </w:tblPr>
  </w:style>
  <w:style w:type="paragraph" w:styleId="2">
    <w:name w:val="macro"/>
    <w:link w:val="122"/>
    <w:semiHidden/>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5">
    <w:name w:val="Body Text"/>
    <w:basedOn w:val="1"/>
    <w:next w:val="6"/>
    <w:link w:val="161"/>
    <w:qFormat/>
    <w:uiPriority w:val="0"/>
    <w:pPr>
      <w:spacing w:line="360" w:lineRule="auto"/>
    </w:pPr>
    <w:rPr>
      <w:sz w:val="24"/>
      <w:szCs w:val="20"/>
    </w:rPr>
  </w:style>
  <w:style w:type="paragraph" w:styleId="6">
    <w:name w:val="Title"/>
    <w:basedOn w:val="1"/>
    <w:link w:val="140"/>
    <w:qFormat/>
    <w:uiPriority w:val="0"/>
    <w:pPr>
      <w:widowControl/>
      <w:tabs>
        <w:tab w:val="left" w:pos="1440"/>
      </w:tabs>
      <w:spacing w:before="240" w:after="60"/>
      <w:jc w:val="center"/>
      <w:outlineLvl w:val="0"/>
    </w:pPr>
    <w:rPr>
      <w:rFonts w:ascii="Arial" w:hAnsi="Arial" w:eastAsia="楷体_GB2312"/>
      <w:kern w:val="0"/>
      <w:sz w:val="32"/>
      <w:szCs w:val="20"/>
    </w:rPr>
  </w:style>
  <w:style w:type="paragraph" w:styleId="14">
    <w:name w:val="toc 7"/>
    <w:basedOn w:val="1"/>
    <w:next w:val="1"/>
    <w:qFormat/>
    <w:uiPriority w:val="0"/>
    <w:pPr>
      <w:ind w:left="1260"/>
      <w:jc w:val="left"/>
    </w:pPr>
    <w:rPr>
      <w:sz w:val="18"/>
      <w:szCs w:val="18"/>
    </w:rPr>
  </w:style>
  <w:style w:type="paragraph" w:styleId="15">
    <w:name w:val="List Number 2"/>
    <w:basedOn w:val="1"/>
    <w:qFormat/>
    <w:uiPriority w:val="0"/>
    <w:pPr>
      <w:tabs>
        <w:tab w:val="left" w:pos="780"/>
      </w:tabs>
      <w:spacing w:line="360" w:lineRule="auto"/>
      <w:ind w:left="780" w:hanging="360"/>
      <w:jc w:val="left"/>
    </w:pPr>
    <w:rPr>
      <w:rFonts w:ascii="宋体" w:hAnsi="宋体"/>
      <w:color w:val="7030A0"/>
      <w:sz w:val="24"/>
      <w:szCs w:val="20"/>
    </w:rPr>
  </w:style>
  <w:style w:type="paragraph" w:styleId="16">
    <w:name w:val="table of authorities"/>
    <w:basedOn w:val="1"/>
    <w:next w:val="1"/>
    <w:semiHidden/>
    <w:qFormat/>
    <w:uiPriority w:val="0"/>
    <w:pPr>
      <w:spacing w:line="480" w:lineRule="exact"/>
      <w:ind w:left="420" w:leftChars="200" w:firstLine="200" w:firstLineChars="200"/>
      <w:jc w:val="left"/>
    </w:pPr>
    <w:rPr>
      <w:color w:val="7030A0"/>
      <w:sz w:val="24"/>
    </w:rPr>
  </w:style>
  <w:style w:type="paragraph" w:styleId="17">
    <w:name w:val="List Bullet 4"/>
    <w:basedOn w:val="1"/>
    <w:qFormat/>
    <w:uiPriority w:val="0"/>
    <w:pPr>
      <w:tabs>
        <w:tab w:val="left" w:pos="1620"/>
      </w:tabs>
      <w:spacing w:line="360" w:lineRule="auto"/>
      <w:ind w:left="1620" w:hanging="360"/>
      <w:jc w:val="left"/>
    </w:pPr>
    <w:rPr>
      <w:rFonts w:ascii="宋体" w:hAnsi="宋体"/>
      <w:color w:val="7030A0"/>
      <w:sz w:val="24"/>
      <w:szCs w:val="20"/>
    </w:rPr>
  </w:style>
  <w:style w:type="paragraph" w:styleId="18">
    <w:name w:val="index 8"/>
    <w:basedOn w:val="1"/>
    <w:next w:val="1"/>
    <w:semiHidden/>
    <w:qFormat/>
    <w:uiPriority w:val="0"/>
    <w:pPr>
      <w:spacing w:line="480" w:lineRule="exact"/>
      <w:ind w:left="1400" w:leftChars="1400" w:firstLine="200" w:firstLineChars="200"/>
      <w:jc w:val="left"/>
    </w:pPr>
    <w:rPr>
      <w:color w:val="7030A0"/>
      <w:sz w:val="24"/>
    </w:rPr>
  </w:style>
  <w:style w:type="paragraph" w:styleId="19">
    <w:name w:val="List Number"/>
    <w:basedOn w:val="1"/>
    <w:qFormat/>
    <w:uiPriority w:val="0"/>
    <w:pPr>
      <w:tabs>
        <w:tab w:val="left" w:pos="360"/>
      </w:tabs>
      <w:spacing w:line="360" w:lineRule="auto"/>
      <w:ind w:left="360" w:hanging="360"/>
      <w:jc w:val="left"/>
    </w:pPr>
    <w:rPr>
      <w:rFonts w:ascii="宋体" w:hAnsi="宋体"/>
      <w:color w:val="7030A0"/>
      <w:sz w:val="24"/>
      <w:szCs w:val="20"/>
    </w:rPr>
  </w:style>
  <w:style w:type="paragraph" w:styleId="20">
    <w:name w:val="Normal Indent"/>
    <w:basedOn w:val="1"/>
    <w:link w:val="111"/>
    <w:qFormat/>
    <w:uiPriority w:val="0"/>
    <w:pPr>
      <w:autoSpaceDE w:val="0"/>
      <w:autoSpaceDN w:val="0"/>
      <w:adjustRightInd w:val="0"/>
      <w:spacing w:line="360" w:lineRule="atLeast"/>
      <w:ind w:firstLine="420"/>
      <w:textAlignment w:val="baseline"/>
    </w:pPr>
    <w:rPr>
      <w:rFonts w:ascii="宋体"/>
      <w:kern w:val="0"/>
      <w:sz w:val="24"/>
      <w:szCs w:val="20"/>
    </w:rPr>
  </w:style>
  <w:style w:type="paragraph" w:styleId="21">
    <w:name w:val="caption"/>
    <w:basedOn w:val="1"/>
    <w:next w:val="1"/>
    <w:link w:val="143"/>
    <w:qFormat/>
    <w:uiPriority w:val="0"/>
    <w:pPr>
      <w:ind w:firstLine="6290" w:firstLineChars="2282"/>
    </w:pPr>
    <w:rPr>
      <w:b/>
      <w:bCs/>
      <w:color w:val="000080"/>
      <w:sz w:val="28"/>
    </w:rPr>
  </w:style>
  <w:style w:type="paragraph" w:styleId="22">
    <w:name w:val="index 5"/>
    <w:basedOn w:val="1"/>
    <w:next w:val="1"/>
    <w:semiHidden/>
    <w:qFormat/>
    <w:uiPriority w:val="0"/>
    <w:pPr>
      <w:spacing w:line="480" w:lineRule="exact"/>
      <w:ind w:left="800" w:leftChars="800" w:firstLine="200" w:firstLineChars="200"/>
      <w:jc w:val="left"/>
    </w:pPr>
    <w:rPr>
      <w:color w:val="7030A0"/>
      <w:sz w:val="24"/>
    </w:rPr>
  </w:style>
  <w:style w:type="paragraph" w:styleId="23">
    <w:name w:val="List Bullet"/>
    <w:basedOn w:val="1"/>
    <w:qFormat/>
    <w:uiPriority w:val="0"/>
    <w:pPr>
      <w:tabs>
        <w:tab w:val="left" w:pos="360"/>
      </w:tabs>
      <w:spacing w:line="360" w:lineRule="auto"/>
      <w:ind w:left="360" w:hanging="360"/>
      <w:jc w:val="left"/>
    </w:pPr>
    <w:rPr>
      <w:rFonts w:ascii="宋体" w:hAnsi="宋体"/>
      <w:color w:val="7030A0"/>
      <w:sz w:val="24"/>
      <w:szCs w:val="20"/>
    </w:rPr>
  </w:style>
  <w:style w:type="paragraph" w:styleId="24">
    <w:name w:val="Document Map"/>
    <w:basedOn w:val="1"/>
    <w:link w:val="192"/>
    <w:unhideWhenUsed/>
    <w:qFormat/>
    <w:uiPriority w:val="0"/>
    <w:rPr>
      <w:rFonts w:ascii="宋体"/>
      <w:sz w:val="18"/>
      <w:szCs w:val="18"/>
    </w:rPr>
  </w:style>
  <w:style w:type="paragraph" w:styleId="25">
    <w:name w:val="toa heading"/>
    <w:basedOn w:val="1"/>
    <w:next w:val="1"/>
    <w:qFormat/>
    <w:uiPriority w:val="0"/>
    <w:pPr>
      <w:spacing w:before="120"/>
    </w:pPr>
    <w:rPr>
      <w:rFonts w:ascii="Arial" w:hAnsi="Arial" w:cs="Arial"/>
      <w:sz w:val="24"/>
    </w:rPr>
  </w:style>
  <w:style w:type="paragraph" w:styleId="26">
    <w:name w:val="annotation text"/>
    <w:basedOn w:val="1"/>
    <w:link w:val="102"/>
    <w:qFormat/>
    <w:uiPriority w:val="99"/>
    <w:pPr>
      <w:jc w:val="left"/>
    </w:pPr>
  </w:style>
  <w:style w:type="paragraph" w:styleId="27">
    <w:name w:val="index 6"/>
    <w:basedOn w:val="1"/>
    <w:next w:val="1"/>
    <w:semiHidden/>
    <w:qFormat/>
    <w:uiPriority w:val="0"/>
    <w:pPr>
      <w:spacing w:line="480" w:lineRule="exact"/>
      <w:ind w:left="1000" w:leftChars="1000" w:firstLine="200" w:firstLineChars="200"/>
      <w:jc w:val="left"/>
    </w:pPr>
    <w:rPr>
      <w:color w:val="7030A0"/>
      <w:sz w:val="24"/>
    </w:rPr>
  </w:style>
  <w:style w:type="paragraph" w:styleId="28">
    <w:name w:val="Salutation"/>
    <w:basedOn w:val="1"/>
    <w:next w:val="1"/>
    <w:link w:val="95"/>
    <w:qFormat/>
    <w:uiPriority w:val="0"/>
    <w:rPr>
      <w:sz w:val="24"/>
      <w:szCs w:val="20"/>
    </w:rPr>
  </w:style>
  <w:style w:type="paragraph" w:styleId="29">
    <w:name w:val="Body Text 3"/>
    <w:basedOn w:val="1"/>
    <w:link w:val="108"/>
    <w:qFormat/>
    <w:uiPriority w:val="0"/>
    <w:pPr>
      <w:spacing w:after="120"/>
    </w:pPr>
    <w:rPr>
      <w:sz w:val="16"/>
      <w:szCs w:val="16"/>
    </w:rPr>
  </w:style>
  <w:style w:type="paragraph" w:styleId="30">
    <w:name w:val="List Bullet 3"/>
    <w:basedOn w:val="1"/>
    <w:qFormat/>
    <w:uiPriority w:val="0"/>
    <w:pPr>
      <w:tabs>
        <w:tab w:val="left" w:pos="775"/>
      </w:tabs>
      <w:spacing w:line="360" w:lineRule="auto"/>
      <w:ind w:left="775" w:hanging="360"/>
    </w:pPr>
    <w:rPr>
      <w:kern w:val="0"/>
    </w:rPr>
  </w:style>
  <w:style w:type="paragraph" w:styleId="31">
    <w:name w:val="Body Text Indent"/>
    <w:basedOn w:val="1"/>
    <w:next w:val="1"/>
    <w:link w:val="180"/>
    <w:qFormat/>
    <w:uiPriority w:val="0"/>
    <w:pPr>
      <w:spacing w:line="360" w:lineRule="auto"/>
    </w:pPr>
    <w:rPr>
      <w:rFonts w:ascii="宋体"/>
      <w:szCs w:val="20"/>
    </w:rPr>
  </w:style>
  <w:style w:type="paragraph" w:styleId="32">
    <w:name w:val="List Number 3"/>
    <w:basedOn w:val="1"/>
    <w:qFormat/>
    <w:uiPriority w:val="0"/>
    <w:pPr>
      <w:tabs>
        <w:tab w:val="left" w:pos="1200"/>
      </w:tabs>
      <w:spacing w:line="360" w:lineRule="auto"/>
      <w:ind w:left="1200" w:hanging="360"/>
      <w:jc w:val="left"/>
    </w:pPr>
    <w:rPr>
      <w:rFonts w:ascii="宋体" w:hAnsi="宋体"/>
      <w:color w:val="7030A0"/>
      <w:sz w:val="24"/>
      <w:szCs w:val="20"/>
    </w:rPr>
  </w:style>
  <w:style w:type="paragraph" w:styleId="33">
    <w:name w:val="List 2"/>
    <w:basedOn w:val="1"/>
    <w:qFormat/>
    <w:uiPriority w:val="0"/>
    <w:pPr>
      <w:widowControl/>
      <w:ind w:left="840" w:hanging="420"/>
      <w:jc w:val="left"/>
    </w:pPr>
    <w:rPr>
      <w:rFonts w:ascii="宋体"/>
      <w:kern w:val="0"/>
      <w:sz w:val="22"/>
      <w:szCs w:val="20"/>
    </w:rPr>
  </w:style>
  <w:style w:type="paragraph" w:styleId="34">
    <w:name w:val="List Continue"/>
    <w:basedOn w:val="1"/>
    <w:qFormat/>
    <w:uiPriority w:val="0"/>
    <w:pPr>
      <w:widowControl/>
      <w:spacing w:after="120"/>
      <w:ind w:left="420"/>
      <w:jc w:val="left"/>
    </w:pPr>
    <w:rPr>
      <w:rFonts w:ascii="宋体"/>
      <w:kern w:val="0"/>
      <w:sz w:val="22"/>
      <w:szCs w:val="20"/>
    </w:rPr>
  </w:style>
  <w:style w:type="paragraph" w:styleId="35">
    <w:name w:val="Block Text"/>
    <w:basedOn w:val="1"/>
    <w:qFormat/>
    <w:uiPriority w:val="0"/>
    <w:pPr>
      <w:tabs>
        <w:tab w:val="left" w:pos="8364"/>
      </w:tabs>
      <w:ind w:left="840" w:right="-57" w:hanging="300"/>
    </w:pPr>
    <w:rPr>
      <w:rFonts w:ascii="宋体"/>
      <w:szCs w:val="20"/>
    </w:rPr>
  </w:style>
  <w:style w:type="paragraph" w:styleId="36">
    <w:name w:val="List Bullet 2"/>
    <w:basedOn w:val="1"/>
    <w:qFormat/>
    <w:uiPriority w:val="0"/>
    <w:pPr>
      <w:tabs>
        <w:tab w:val="left" w:pos="780"/>
      </w:tabs>
      <w:spacing w:line="360" w:lineRule="auto"/>
      <w:ind w:left="780" w:hanging="360"/>
      <w:jc w:val="left"/>
    </w:pPr>
    <w:rPr>
      <w:rFonts w:ascii="宋体" w:hAnsi="宋体"/>
      <w:color w:val="7030A0"/>
      <w:sz w:val="24"/>
      <w:szCs w:val="20"/>
    </w:rPr>
  </w:style>
  <w:style w:type="paragraph" w:styleId="37">
    <w:name w:val="index 4"/>
    <w:basedOn w:val="1"/>
    <w:next w:val="1"/>
    <w:qFormat/>
    <w:uiPriority w:val="0"/>
    <w:pPr>
      <w:spacing w:line="480" w:lineRule="exact"/>
      <w:ind w:left="600" w:leftChars="600" w:firstLine="200" w:firstLineChars="200"/>
      <w:jc w:val="left"/>
    </w:pPr>
    <w:rPr>
      <w:color w:val="7030A0"/>
      <w:sz w:val="24"/>
    </w:rPr>
  </w:style>
  <w:style w:type="paragraph" w:styleId="38">
    <w:name w:val="toc 5"/>
    <w:basedOn w:val="1"/>
    <w:next w:val="1"/>
    <w:qFormat/>
    <w:uiPriority w:val="0"/>
    <w:pPr>
      <w:ind w:left="840"/>
      <w:jc w:val="left"/>
    </w:pPr>
    <w:rPr>
      <w:sz w:val="18"/>
      <w:szCs w:val="18"/>
    </w:rPr>
  </w:style>
  <w:style w:type="paragraph" w:styleId="39">
    <w:name w:val="toc 3"/>
    <w:basedOn w:val="1"/>
    <w:next w:val="1"/>
    <w:qFormat/>
    <w:uiPriority w:val="0"/>
    <w:pPr>
      <w:tabs>
        <w:tab w:val="left" w:pos="400"/>
        <w:tab w:val="left" w:pos="576"/>
        <w:tab w:val="right" w:leader="dot" w:pos="8778"/>
      </w:tabs>
      <w:ind w:left="10"/>
      <w:jc w:val="center"/>
    </w:pPr>
    <w:rPr>
      <w:rFonts w:ascii="宋体" w:hAnsi="宋体"/>
      <w:b/>
      <w:iCs/>
      <w:sz w:val="24"/>
    </w:rPr>
  </w:style>
  <w:style w:type="paragraph" w:styleId="40">
    <w:name w:val="Plain Text"/>
    <w:basedOn w:val="1"/>
    <w:next w:val="1"/>
    <w:link w:val="132"/>
    <w:unhideWhenUsed/>
    <w:qFormat/>
    <w:uiPriority w:val="99"/>
    <w:rPr>
      <w:rFonts w:ascii="宋体" w:hAnsi="Courier New" w:cs="Courier New"/>
      <w:szCs w:val="21"/>
    </w:rPr>
  </w:style>
  <w:style w:type="paragraph" w:styleId="41">
    <w:name w:val="List Bullet 5"/>
    <w:basedOn w:val="1"/>
    <w:qFormat/>
    <w:uiPriority w:val="0"/>
    <w:pPr>
      <w:tabs>
        <w:tab w:val="left" w:pos="2040"/>
      </w:tabs>
      <w:spacing w:line="360" w:lineRule="auto"/>
      <w:ind w:left="2040" w:hanging="360"/>
      <w:jc w:val="left"/>
    </w:pPr>
    <w:rPr>
      <w:rFonts w:ascii="宋体" w:hAnsi="宋体"/>
      <w:color w:val="7030A0"/>
      <w:sz w:val="24"/>
      <w:szCs w:val="20"/>
    </w:rPr>
  </w:style>
  <w:style w:type="paragraph" w:styleId="42">
    <w:name w:val="List Number 4"/>
    <w:basedOn w:val="1"/>
    <w:qFormat/>
    <w:uiPriority w:val="0"/>
    <w:pPr>
      <w:tabs>
        <w:tab w:val="left" w:pos="1620"/>
      </w:tabs>
      <w:spacing w:line="360" w:lineRule="auto"/>
      <w:ind w:left="1620" w:hanging="360"/>
    </w:pPr>
    <w:rPr>
      <w:rFonts w:ascii="宋体" w:hAnsi="宋体"/>
      <w:sz w:val="24"/>
      <w:szCs w:val="20"/>
    </w:rPr>
  </w:style>
  <w:style w:type="paragraph" w:styleId="43">
    <w:name w:val="toc 8"/>
    <w:basedOn w:val="1"/>
    <w:next w:val="1"/>
    <w:qFormat/>
    <w:uiPriority w:val="0"/>
    <w:pPr>
      <w:ind w:left="1470"/>
      <w:jc w:val="left"/>
    </w:pPr>
    <w:rPr>
      <w:sz w:val="18"/>
      <w:szCs w:val="18"/>
    </w:rPr>
  </w:style>
  <w:style w:type="paragraph" w:styleId="44">
    <w:name w:val="index 3"/>
    <w:basedOn w:val="1"/>
    <w:next w:val="1"/>
    <w:semiHidden/>
    <w:qFormat/>
    <w:uiPriority w:val="0"/>
    <w:pPr>
      <w:spacing w:line="480" w:lineRule="exact"/>
      <w:ind w:left="400" w:leftChars="400" w:firstLine="200" w:firstLineChars="200"/>
      <w:jc w:val="left"/>
    </w:pPr>
    <w:rPr>
      <w:color w:val="7030A0"/>
      <w:sz w:val="24"/>
    </w:rPr>
  </w:style>
  <w:style w:type="paragraph" w:styleId="45">
    <w:name w:val="Date"/>
    <w:basedOn w:val="1"/>
    <w:next w:val="1"/>
    <w:link w:val="142"/>
    <w:qFormat/>
    <w:uiPriority w:val="0"/>
    <w:pPr>
      <w:autoSpaceDE w:val="0"/>
      <w:autoSpaceDN w:val="0"/>
      <w:adjustRightInd w:val="0"/>
      <w:textAlignment w:val="baseline"/>
    </w:pPr>
    <w:rPr>
      <w:rFonts w:eastAsia="楷体_GB2312"/>
      <w:sz w:val="30"/>
      <w:szCs w:val="20"/>
    </w:rPr>
  </w:style>
  <w:style w:type="paragraph" w:styleId="46">
    <w:name w:val="Body Text Indent 2"/>
    <w:basedOn w:val="1"/>
    <w:link w:val="138"/>
    <w:qFormat/>
    <w:uiPriority w:val="0"/>
    <w:pPr>
      <w:spacing w:after="120" w:line="480" w:lineRule="auto"/>
      <w:ind w:left="420" w:leftChars="200"/>
    </w:pPr>
    <w:rPr>
      <w:szCs w:val="20"/>
    </w:rPr>
  </w:style>
  <w:style w:type="paragraph" w:styleId="47">
    <w:name w:val="endnote text"/>
    <w:basedOn w:val="1"/>
    <w:link w:val="123"/>
    <w:qFormat/>
    <w:uiPriority w:val="0"/>
    <w:pPr>
      <w:snapToGrid w:val="0"/>
      <w:spacing w:line="500" w:lineRule="exact"/>
      <w:jc w:val="left"/>
    </w:pPr>
    <w:rPr>
      <w:kern w:val="0"/>
    </w:rPr>
  </w:style>
  <w:style w:type="paragraph" w:styleId="48">
    <w:name w:val="Balloon Text"/>
    <w:basedOn w:val="1"/>
    <w:link w:val="184"/>
    <w:unhideWhenUsed/>
    <w:qFormat/>
    <w:uiPriority w:val="0"/>
    <w:rPr>
      <w:sz w:val="18"/>
      <w:szCs w:val="18"/>
    </w:rPr>
  </w:style>
  <w:style w:type="paragraph" w:styleId="49">
    <w:name w:val="footer"/>
    <w:basedOn w:val="1"/>
    <w:link w:val="186"/>
    <w:unhideWhenUsed/>
    <w:qFormat/>
    <w:uiPriority w:val="99"/>
    <w:pPr>
      <w:tabs>
        <w:tab w:val="center" w:pos="4153"/>
        <w:tab w:val="right" w:pos="8306"/>
      </w:tabs>
      <w:snapToGrid w:val="0"/>
      <w:jc w:val="left"/>
    </w:pPr>
    <w:rPr>
      <w:sz w:val="18"/>
      <w:szCs w:val="18"/>
    </w:rPr>
  </w:style>
  <w:style w:type="paragraph" w:styleId="50">
    <w:name w:val="header"/>
    <w:basedOn w:val="1"/>
    <w:link w:val="155"/>
    <w:unhideWhenUsed/>
    <w:qFormat/>
    <w:uiPriority w:val="0"/>
    <w:pPr>
      <w:pBdr>
        <w:bottom w:val="single" w:color="auto" w:sz="6" w:space="1"/>
      </w:pBdr>
      <w:tabs>
        <w:tab w:val="center" w:pos="4153"/>
        <w:tab w:val="right" w:pos="8306"/>
      </w:tabs>
      <w:snapToGrid w:val="0"/>
      <w:jc w:val="center"/>
    </w:pPr>
    <w:rPr>
      <w:sz w:val="18"/>
      <w:szCs w:val="18"/>
    </w:rPr>
  </w:style>
  <w:style w:type="paragraph" w:styleId="51">
    <w:name w:val="toc 1"/>
    <w:basedOn w:val="1"/>
    <w:next w:val="1"/>
    <w:qFormat/>
    <w:uiPriority w:val="39"/>
    <w:pPr>
      <w:tabs>
        <w:tab w:val="right" w:leader="dot" w:pos="8778"/>
      </w:tabs>
      <w:snapToGrid w:val="0"/>
      <w:spacing w:line="360" w:lineRule="auto"/>
      <w:jc w:val="center"/>
    </w:pPr>
    <w:rPr>
      <w:b/>
      <w:bCs/>
      <w:iCs/>
      <w:caps/>
      <w:kern w:val="0"/>
      <w:sz w:val="36"/>
      <w:szCs w:val="36"/>
    </w:rPr>
  </w:style>
  <w:style w:type="paragraph" w:styleId="52">
    <w:name w:val="toc 4"/>
    <w:basedOn w:val="1"/>
    <w:next w:val="1"/>
    <w:qFormat/>
    <w:uiPriority w:val="0"/>
    <w:pPr>
      <w:ind w:left="630"/>
      <w:jc w:val="left"/>
    </w:pPr>
    <w:rPr>
      <w:sz w:val="18"/>
      <w:szCs w:val="18"/>
    </w:rPr>
  </w:style>
  <w:style w:type="paragraph" w:styleId="53">
    <w:name w:val="index heading"/>
    <w:basedOn w:val="1"/>
    <w:next w:val="54"/>
    <w:qFormat/>
    <w:uiPriority w:val="0"/>
  </w:style>
  <w:style w:type="paragraph" w:styleId="54">
    <w:name w:val="index 1"/>
    <w:basedOn w:val="1"/>
    <w:next w:val="1"/>
    <w:qFormat/>
    <w:uiPriority w:val="0"/>
    <w:pPr>
      <w:spacing w:line="360" w:lineRule="auto"/>
      <w:ind w:left="1149" w:leftChars="547"/>
    </w:pPr>
    <w:rPr>
      <w:szCs w:val="20"/>
    </w:rPr>
  </w:style>
  <w:style w:type="paragraph" w:styleId="55">
    <w:name w:val="List Number 5"/>
    <w:basedOn w:val="1"/>
    <w:qFormat/>
    <w:uiPriority w:val="0"/>
    <w:pPr>
      <w:tabs>
        <w:tab w:val="left" w:pos="2040"/>
      </w:tabs>
      <w:spacing w:line="360" w:lineRule="auto"/>
      <w:ind w:left="2040" w:hanging="360"/>
      <w:jc w:val="left"/>
    </w:pPr>
    <w:rPr>
      <w:rFonts w:ascii="宋体" w:hAnsi="宋体"/>
      <w:color w:val="7030A0"/>
      <w:sz w:val="24"/>
      <w:szCs w:val="20"/>
    </w:rPr>
  </w:style>
  <w:style w:type="paragraph" w:styleId="56">
    <w:name w:val="List"/>
    <w:basedOn w:val="1"/>
    <w:qFormat/>
    <w:uiPriority w:val="0"/>
    <w:pPr>
      <w:ind w:left="200" w:hanging="200" w:hangingChars="200"/>
    </w:pPr>
    <w:rPr>
      <w:szCs w:val="20"/>
    </w:rPr>
  </w:style>
  <w:style w:type="paragraph" w:styleId="57">
    <w:name w:val="footnote text"/>
    <w:basedOn w:val="1"/>
    <w:link w:val="96"/>
    <w:qFormat/>
    <w:uiPriority w:val="0"/>
    <w:pPr>
      <w:adjustRightInd w:val="0"/>
      <w:spacing w:line="312" w:lineRule="atLeast"/>
      <w:jc w:val="left"/>
      <w:textAlignment w:val="baseline"/>
    </w:pPr>
    <w:rPr>
      <w:kern w:val="0"/>
      <w:sz w:val="18"/>
      <w:szCs w:val="20"/>
    </w:rPr>
  </w:style>
  <w:style w:type="paragraph" w:styleId="58">
    <w:name w:val="toc 6"/>
    <w:basedOn w:val="1"/>
    <w:next w:val="1"/>
    <w:qFormat/>
    <w:uiPriority w:val="0"/>
    <w:pPr>
      <w:ind w:left="1050"/>
      <w:jc w:val="left"/>
    </w:pPr>
    <w:rPr>
      <w:sz w:val="18"/>
      <w:szCs w:val="18"/>
    </w:rPr>
  </w:style>
  <w:style w:type="paragraph" w:styleId="59">
    <w:name w:val="Body Text Indent 3"/>
    <w:basedOn w:val="1"/>
    <w:link w:val="118"/>
    <w:qFormat/>
    <w:uiPriority w:val="0"/>
    <w:pPr>
      <w:ind w:left="1260" w:leftChars="600"/>
    </w:pPr>
    <w:rPr>
      <w:szCs w:val="20"/>
    </w:rPr>
  </w:style>
  <w:style w:type="paragraph" w:styleId="60">
    <w:name w:val="index 7"/>
    <w:basedOn w:val="1"/>
    <w:next w:val="1"/>
    <w:semiHidden/>
    <w:qFormat/>
    <w:uiPriority w:val="0"/>
    <w:pPr>
      <w:spacing w:line="480" w:lineRule="exact"/>
      <w:ind w:left="1200" w:leftChars="1200" w:firstLine="200" w:firstLineChars="200"/>
      <w:jc w:val="left"/>
    </w:pPr>
    <w:rPr>
      <w:color w:val="7030A0"/>
      <w:sz w:val="24"/>
    </w:rPr>
  </w:style>
  <w:style w:type="paragraph" w:styleId="61">
    <w:name w:val="index 9"/>
    <w:basedOn w:val="1"/>
    <w:next w:val="1"/>
    <w:semiHidden/>
    <w:qFormat/>
    <w:uiPriority w:val="0"/>
    <w:pPr>
      <w:spacing w:line="480" w:lineRule="exact"/>
      <w:ind w:left="1600" w:leftChars="1600" w:firstLine="200" w:firstLineChars="200"/>
      <w:jc w:val="left"/>
    </w:pPr>
    <w:rPr>
      <w:color w:val="7030A0"/>
      <w:sz w:val="24"/>
    </w:rPr>
  </w:style>
  <w:style w:type="paragraph" w:styleId="62">
    <w:name w:val="table of figures"/>
    <w:basedOn w:val="1"/>
    <w:next w:val="1"/>
    <w:qFormat/>
    <w:uiPriority w:val="0"/>
    <w:pPr>
      <w:spacing w:line="480" w:lineRule="exact"/>
      <w:ind w:left="200" w:leftChars="200" w:hanging="200" w:hangingChars="200"/>
      <w:jc w:val="left"/>
    </w:pPr>
    <w:rPr>
      <w:color w:val="7030A0"/>
      <w:sz w:val="24"/>
    </w:rPr>
  </w:style>
  <w:style w:type="paragraph" w:styleId="63">
    <w:name w:val="toc 2"/>
    <w:basedOn w:val="1"/>
    <w:next w:val="1"/>
    <w:qFormat/>
    <w:uiPriority w:val="39"/>
    <w:pPr>
      <w:tabs>
        <w:tab w:val="right" w:leader="dot" w:pos="8778"/>
      </w:tabs>
      <w:ind w:left="23" w:leftChars="9" w:hanging="4" w:hangingChars="2"/>
      <w:jc w:val="left"/>
    </w:pPr>
    <w:rPr>
      <w:smallCaps/>
      <w:sz w:val="20"/>
      <w:szCs w:val="20"/>
    </w:rPr>
  </w:style>
  <w:style w:type="paragraph" w:styleId="64">
    <w:name w:val="toc 9"/>
    <w:basedOn w:val="1"/>
    <w:next w:val="1"/>
    <w:qFormat/>
    <w:uiPriority w:val="0"/>
    <w:pPr>
      <w:ind w:left="1680"/>
      <w:jc w:val="left"/>
    </w:pPr>
    <w:rPr>
      <w:sz w:val="18"/>
      <w:szCs w:val="18"/>
    </w:rPr>
  </w:style>
  <w:style w:type="paragraph" w:styleId="65">
    <w:name w:val="Body Text 2"/>
    <w:basedOn w:val="1"/>
    <w:link w:val="126"/>
    <w:qFormat/>
    <w:uiPriority w:val="0"/>
    <w:pPr>
      <w:spacing w:after="120" w:line="480" w:lineRule="auto"/>
    </w:pPr>
    <w:rPr>
      <w:szCs w:val="20"/>
    </w:rPr>
  </w:style>
  <w:style w:type="paragraph" w:styleId="66">
    <w:name w:val="Message Header"/>
    <w:basedOn w:val="1"/>
    <w:link w:val="130"/>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jc w:val="left"/>
    </w:pPr>
    <w:rPr>
      <w:rFonts w:ascii="Arial" w:hAnsi="Arial" w:cs="Arial"/>
      <w:color w:val="7030A0"/>
      <w:sz w:val="24"/>
    </w:rPr>
  </w:style>
  <w:style w:type="paragraph" w:styleId="67">
    <w:name w:val="HTML Preformatted"/>
    <w:basedOn w:val="1"/>
    <w:link w:val="183"/>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firstLine="200" w:firstLineChars="200"/>
      <w:jc w:val="left"/>
    </w:pPr>
    <w:rPr>
      <w:rFonts w:ascii="Arial" w:hAnsi="Arial"/>
      <w:kern w:val="0"/>
      <w:szCs w:val="21"/>
    </w:rPr>
  </w:style>
  <w:style w:type="paragraph" w:styleId="68">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styleId="69">
    <w:name w:val="index 2"/>
    <w:basedOn w:val="1"/>
    <w:next w:val="1"/>
    <w:semiHidden/>
    <w:qFormat/>
    <w:uiPriority w:val="0"/>
    <w:pPr>
      <w:spacing w:line="480" w:lineRule="exact"/>
      <w:ind w:left="200" w:leftChars="200" w:firstLine="200" w:firstLineChars="200"/>
      <w:jc w:val="left"/>
    </w:pPr>
    <w:rPr>
      <w:color w:val="7030A0"/>
      <w:sz w:val="24"/>
    </w:rPr>
  </w:style>
  <w:style w:type="paragraph" w:styleId="70">
    <w:name w:val="annotation subject"/>
    <w:basedOn w:val="26"/>
    <w:next w:val="26"/>
    <w:link w:val="101"/>
    <w:unhideWhenUsed/>
    <w:qFormat/>
    <w:uiPriority w:val="0"/>
    <w:rPr>
      <w:b/>
      <w:bCs/>
    </w:rPr>
  </w:style>
  <w:style w:type="paragraph" w:styleId="71">
    <w:name w:val="Body Text First Indent"/>
    <w:basedOn w:val="5"/>
    <w:link w:val="160"/>
    <w:qFormat/>
    <w:uiPriority w:val="0"/>
    <w:pPr>
      <w:tabs>
        <w:tab w:val="left" w:pos="360"/>
      </w:tabs>
      <w:spacing w:line="220" w:lineRule="exact"/>
      <w:ind w:left="360" w:hanging="360" w:firstLineChars="200"/>
      <w:jc w:val="left"/>
    </w:pPr>
    <w:rPr>
      <w:color w:val="7030A0"/>
    </w:rPr>
  </w:style>
  <w:style w:type="paragraph" w:styleId="72">
    <w:name w:val="Body Text First Indent 2"/>
    <w:basedOn w:val="31"/>
    <w:link w:val="151"/>
    <w:qFormat/>
    <w:uiPriority w:val="0"/>
    <w:pPr>
      <w:spacing w:after="120" w:line="240" w:lineRule="auto"/>
      <w:ind w:left="420" w:leftChars="200" w:firstLine="200" w:firstLineChars="200"/>
      <w:jc w:val="left"/>
    </w:pPr>
    <w:rPr>
      <w:rFonts w:hAnsi="宋体"/>
      <w:szCs w:val="24"/>
    </w:rPr>
  </w:style>
  <w:style w:type="table" w:styleId="74">
    <w:name w:val="Table Grid"/>
    <w:basedOn w:val="7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76">
    <w:name w:val="Strong"/>
    <w:qFormat/>
    <w:uiPriority w:val="0"/>
    <w:rPr>
      <w:b/>
      <w:bCs/>
    </w:rPr>
  </w:style>
  <w:style w:type="character" w:styleId="77">
    <w:name w:val="endnote reference"/>
    <w:qFormat/>
    <w:uiPriority w:val="0"/>
    <w:rPr>
      <w:vertAlign w:val="superscript"/>
    </w:rPr>
  </w:style>
  <w:style w:type="character" w:styleId="78">
    <w:name w:val="page number"/>
    <w:basedOn w:val="75"/>
    <w:qFormat/>
    <w:uiPriority w:val="0"/>
  </w:style>
  <w:style w:type="character" w:styleId="79">
    <w:name w:val="FollowedHyperlink"/>
    <w:basedOn w:val="75"/>
    <w:unhideWhenUsed/>
    <w:qFormat/>
    <w:uiPriority w:val="99"/>
    <w:rPr>
      <w:color w:val="800080"/>
      <w:u w:val="single"/>
    </w:rPr>
  </w:style>
  <w:style w:type="character" w:styleId="80">
    <w:name w:val="Emphasis"/>
    <w:basedOn w:val="75"/>
    <w:qFormat/>
    <w:uiPriority w:val="20"/>
    <w:rPr>
      <w:i/>
    </w:rPr>
  </w:style>
  <w:style w:type="character" w:styleId="81">
    <w:name w:val="HTML Typewriter"/>
    <w:qFormat/>
    <w:uiPriority w:val="0"/>
    <w:rPr>
      <w:rFonts w:ascii="黑体" w:hAnsi="Courier New" w:eastAsia="黑体" w:cs="Courier New"/>
      <w:sz w:val="20"/>
      <w:szCs w:val="20"/>
    </w:rPr>
  </w:style>
  <w:style w:type="character" w:styleId="82">
    <w:name w:val="Hyperlink"/>
    <w:basedOn w:val="75"/>
    <w:unhideWhenUsed/>
    <w:qFormat/>
    <w:uiPriority w:val="0"/>
    <w:rPr>
      <w:color w:val="0000FF"/>
      <w:u w:val="single"/>
    </w:rPr>
  </w:style>
  <w:style w:type="character" w:styleId="83">
    <w:name w:val="annotation reference"/>
    <w:basedOn w:val="75"/>
    <w:qFormat/>
    <w:uiPriority w:val="99"/>
    <w:rPr>
      <w:sz w:val="21"/>
      <w:szCs w:val="21"/>
    </w:rPr>
  </w:style>
  <w:style w:type="character" w:styleId="84">
    <w:name w:val="footnote reference"/>
    <w:qFormat/>
    <w:uiPriority w:val="0"/>
    <w:rPr>
      <w:vertAlign w:val="superscript"/>
    </w:rPr>
  </w:style>
  <w:style w:type="character" w:styleId="85">
    <w:name w:val="HTML Sample"/>
    <w:basedOn w:val="75"/>
    <w:semiHidden/>
    <w:unhideWhenUsed/>
    <w:qFormat/>
    <w:uiPriority w:val="99"/>
    <w:rPr>
      <w:rFonts w:ascii="Courier New" w:hAnsi="Courier New"/>
    </w:rPr>
  </w:style>
  <w:style w:type="paragraph" w:customStyle="1" w:styleId="86">
    <w:name w:val="正文缩进1"/>
    <w:basedOn w:val="1"/>
    <w:next w:val="1"/>
    <w:link w:val="422"/>
    <w:qFormat/>
    <w:uiPriority w:val="0"/>
    <w:pPr>
      <w:spacing w:line="360" w:lineRule="auto"/>
      <w:ind w:firstLine="420"/>
    </w:pPr>
  </w:style>
  <w:style w:type="paragraph" w:customStyle="1" w:styleId="87">
    <w:name w:val="_Style 2"/>
    <w:next w:val="1"/>
    <w:qFormat/>
    <w:uiPriority w:val="0"/>
    <w:pPr>
      <w:spacing w:after="200" w:line="276" w:lineRule="auto"/>
    </w:pPr>
    <w:rPr>
      <w:rFonts w:ascii="Times New Roman" w:hAnsi="Times New Roman" w:eastAsia="宋体" w:cs="Times New Roman"/>
      <w:sz w:val="22"/>
      <w:szCs w:val="22"/>
      <w:lang w:val="en-US" w:eastAsia="zh-CN" w:bidi="ar-SA"/>
    </w:rPr>
  </w:style>
  <w:style w:type="paragraph" w:customStyle="1" w:styleId="88">
    <w:name w:val="样式 首行缩进:  2 字符"/>
    <w:basedOn w:val="1"/>
    <w:link w:val="106"/>
    <w:qFormat/>
    <w:uiPriority w:val="0"/>
    <w:pPr>
      <w:spacing w:line="480" w:lineRule="exact"/>
      <w:ind w:firstLine="480" w:firstLineChars="200"/>
      <w:jc w:val="left"/>
    </w:pPr>
    <w:rPr>
      <w:color w:val="7030A0"/>
      <w:sz w:val="24"/>
      <w:szCs w:val="20"/>
    </w:rPr>
  </w:style>
  <w:style w:type="paragraph" w:customStyle="1" w:styleId="8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90">
    <w:name w:val="二级标题"/>
    <w:qFormat/>
    <w:uiPriority w:val="0"/>
    <w:pPr>
      <w:spacing w:before="240" w:after="120"/>
    </w:pPr>
    <w:rPr>
      <w:rFonts w:ascii="Times New Roman" w:hAnsi="Times New Roman" w:eastAsia="黑体" w:cs="Times New Roman"/>
      <w:b/>
      <w:kern w:val="2"/>
      <w:sz w:val="26"/>
      <w:lang w:val="en-US" w:eastAsia="zh-CN" w:bidi="ar-SA"/>
    </w:rPr>
  </w:style>
  <w:style w:type="paragraph" w:customStyle="1" w:styleId="91">
    <w:name w:val="标题4"/>
    <w:basedOn w:val="1"/>
    <w:next w:val="1"/>
    <w:qFormat/>
    <w:uiPriority w:val="0"/>
    <w:pPr>
      <w:keepNext/>
      <w:spacing w:line="360" w:lineRule="auto"/>
      <w:ind w:firstLine="200" w:firstLineChars="200"/>
      <w:jc w:val="left"/>
      <w:outlineLvl w:val="3"/>
    </w:pPr>
    <w:rPr>
      <w:b/>
      <w:kern w:val="0"/>
      <w:sz w:val="30"/>
    </w:rPr>
  </w:style>
  <w:style w:type="character" w:customStyle="1" w:styleId="92">
    <w:name w:val="四级标题格式 Char"/>
    <w:link w:val="93"/>
    <w:qFormat/>
    <w:uiPriority w:val="0"/>
    <w:rPr>
      <w:rFonts w:ascii="Times New Roman" w:hAnsi="Times New Roman" w:eastAsia="黑体"/>
      <w:bCs/>
      <w:kern w:val="2"/>
      <w:sz w:val="28"/>
      <w:szCs w:val="28"/>
    </w:rPr>
  </w:style>
  <w:style w:type="paragraph" w:customStyle="1" w:styleId="93">
    <w:name w:val="四级标题格式"/>
    <w:basedOn w:val="8"/>
    <w:link w:val="92"/>
    <w:qFormat/>
    <w:uiPriority w:val="0"/>
    <w:pPr>
      <w:keepNext w:val="0"/>
      <w:keepLines w:val="0"/>
      <w:spacing w:before="0" w:afterLines="100" w:line="240" w:lineRule="auto"/>
      <w:jc w:val="left"/>
    </w:pPr>
    <w:rPr>
      <w:rFonts w:ascii="Times New Roman" w:hAnsi="Times New Roman" w:eastAsia="黑体"/>
      <w:b w:val="0"/>
    </w:rPr>
  </w:style>
  <w:style w:type="character" w:customStyle="1" w:styleId="94">
    <w:name w:val="标题 9 Char"/>
    <w:basedOn w:val="75"/>
    <w:link w:val="13"/>
    <w:qFormat/>
    <w:uiPriority w:val="0"/>
    <w:rPr>
      <w:rFonts w:ascii="Arial" w:hAnsi="Arial" w:eastAsia="黑体"/>
      <w:kern w:val="2"/>
      <w:sz w:val="21"/>
    </w:rPr>
  </w:style>
  <w:style w:type="character" w:customStyle="1" w:styleId="95">
    <w:name w:val="称呼 Char"/>
    <w:basedOn w:val="75"/>
    <w:link w:val="28"/>
    <w:qFormat/>
    <w:uiPriority w:val="0"/>
    <w:rPr>
      <w:rFonts w:ascii="Times New Roman" w:hAnsi="Times New Roman"/>
      <w:kern w:val="2"/>
      <w:sz w:val="24"/>
    </w:rPr>
  </w:style>
  <w:style w:type="character" w:customStyle="1" w:styleId="96">
    <w:name w:val="脚注文本 Char"/>
    <w:basedOn w:val="75"/>
    <w:link w:val="57"/>
    <w:qFormat/>
    <w:uiPriority w:val="0"/>
    <w:rPr>
      <w:rFonts w:ascii="Times New Roman" w:hAnsi="Times New Roman"/>
      <w:sz w:val="18"/>
    </w:rPr>
  </w:style>
  <w:style w:type="character" w:customStyle="1" w:styleId="97">
    <w:name w:val="标题 5 Char1"/>
    <w:link w:val="9"/>
    <w:qFormat/>
    <w:uiPriority w:val="0"/>
    <w:rPr>
      <w:rFonts w:ascii="Times New Roman" w:hAnsi="Times New Roman"/>
      <w:b/>
      <w:kern w:val="2"/>
      <w:sz w:val="28"/>
    </w:rPr>
  </w:style>
  <w:style w:type="character" w:customStyle="1" w:styleId="98">
    <w:name w:val="样式 标题 31.1条标题1.1.1二级节名h3Heading 3 - oldheading 3H3H31H3... Char Char"/>
    <w:qFormat/>
    <w:uiPriority w:val="0"/>
    <w:rPr>
      <w:rFonts w:ascii="宋体" w:hAnsi="宋体" w:eastAsia="黑体"/>
      <w:kern w:val="2"/>
      <w:sz w:val="24"/>
      <w:szCs w:val="21"/>
    </w:rPr>
  </w:style>
  <w:style w:type="character" w:customStyle="1" w:styleId="99">
    <w:name w:val="标题3 Char"/>
    <w:link w:val="100"/>
    <w:qFormat/>
    <w:uiPriority w:val="0"/>
    <w:rPr>
      <w:rFonts w:ascii="Times New Roman" w:hAnsi="Times New Roman"/>
      <w:sz w:val="24"/>
    </w:rPr>
  </w:style>
  <w:style w:type="paragraph" w:customStyle="1" w:styleId="100">
    <w:name w:val="标题3"/>
    <w:basedOn w:val="7"/>
    <w:link w:val="99"/>
    <w:qFormat/>
    <w:uiPriority w:val="0"/>
    <w:pPr>
      <w:keepLines w:val="0"/>
      <w:tabs>
        <w:tab w:val="left" w:pos="360"/>
        <w:tab w:val="left" w:pos="840"/>
        <w:tab w:val="left" w:pos="2160"/>
      </w:tabs>
      <w:adjustRightInd w:val="0"/>
      <w:spacing w:before="0" w:after="0" w:line="360" w:lineRule="auto"/>
      <w:textAlignment w:val="baseline"/>
    </w:pPr>
    <w:rPr>
      <w:b w:val="0"/>
      <w:bCs w:val="0"/>
      <w:kern w:val="0"/>
      <w:sz w:val="24"/>
      <w:szCs w:val="20"/>
    </w:rPr>
  </w:style>
  <w:style w:type="character" w:customStyle="1" w:styleId="101">
    <w:name w:val="批注主题 Char"/>
    <w:basedOn w:val="102"/>
    <w:link w:val="70"/>
    <w:qFormat/>
    <w:uiPriority w:val="0"/>
    <w:rPr>
      <w:b/>
      <w:bCs/>
      <w:kern w:val="2"/>
      <w:sz w:val="21"/>
    </w:rPr>
  </w:style>
  <w:style w:type="character" w:customStyle="1" w:styleId="102">
    <w:name w:val="批注文字 Char"/>
    <w:basedOn w:val="75"/>
    <w:link w:val="26"/>
    <w:qFormat/>
    <w:uiPriority w:val="99"/>
    <w:rPr>
      <w:rFonts w:ascii="Times New Roman" w:hAnsi="Times New Roman" w:eastAsia="宋体" w:cs="Times New Roman"/>
      <w:szCs w:val="24"/>
    </w:rPr>
  </w:style>
  <w:style w:type="character" w:customStyle="1" w:styleId="103">
    <w:name w:val="selected"/>
    <w:basedOn w:val="75"/>
    <w:qFormat/>
    <w:uiPriority w:val="0"/>
    <w:rPr>
      <w:shd w:val="clear" w:color="auto" w:fill="B00006"/>
    </w:rPr>
  </w:style>
  <w:style w:type="character" w:customStyle="1" w:styleId="104">
    <w:name w:val="样式 宋体 行距: 固定值 24 磅 Char"/>
    <w:link w:val="105"/>
    <w:qFormat/>
    <w:uiPriority w:val="0"/>
    <w:rPr>
      <w:rFonts w:ascii="宋体" w:hAnsi="Times New Roman"/>
      <w:color w:val="7030A0"/>
      <w:kern w:val="2"/>
      <w:sz w:val="28"/>
    </w:rPr>
  </w:style>
  <w:style w:type="paragraph" w:customStyle="1" w:styleId="105">
    <w:name w:val="样式 宋体 行距: 固定值 24 磅"/>
    <w:basedOn w:val="1"/>
    <w:link w:val="104"/>
    <w:qFormat/>
    <w:uiPriority w:val="0"/>
    <w:pPr>
      <w:spacing w:line="480" w:lineRule="exact"/>
      <w:ind w:firstLine="585" w:firstLineChars="200"/>
      <w:jc w:val="left"/>
    </w:pPr>
    <w:rPr>
      <w:rFonts w:ascii="宋体"/>
      <w:color w:val="7030A0"/>
      <w:sz w:val="28"/>
      <w:szCs w:val="20"/>
    </w:rPr>
  </w:style>
  <w:style w:type="character" w:customStyle="1" w:styleId="106">
    <w:name w:val="样式 首行缩进:  2 字符 Char1"/>
    <w:link w:val="88"/>
    <w:qFormat/>
    <w:uiPriority w:val="0"/>
    <w:rPr>
      <w:rFonts w:ascii="Times New Roman" w:hAnsi="Times New Roman"/>
      <w:color w:val="7030A0"/>
      <w:kern w:val="2"/>
      <w:sz w:val="24"/>
    </w:rPr>
  </w:style>
  <w:style w:type="character" w:customStyle="1" w:styleId="107">
    <w:name w:val="日期 Char1"/>
    <w:basedOn w:val="75"/>
    <w:semiHidden/>
    <w:qFormat/>
    <w:uiPriority w:val="99"/>
    <w:rPr>
      <w:rFonts w:ascii="Times New Roman" w:hAnsi="Times New Roman"/>
      <w:kern w:val="2"/>
      <w:sz w:val="21"/>
      <w:szCs w:val="24"/>
    </w:rPr>
  </w:style>
  <w:style w:type="character" w:customStyle="1" w:styleId="108">
    <w:name w:val="正文文本 3 Char"/>
    <w:basedOn w:val="75"/>
    <w:link w:val="29"/>
    <w:qFormat/>
    <w:uiPriority w:val="0"/>
    <w:rPr>
      <w:rFonts w:ascii="Times New Roman" w:hAnsi="Times New Roman"/>
      <w:kern w:val="2"/>
      <w:sz w:val="16"/>
      <w:szCs w:val="16"/>
    </w:rPr>
  </w:style>
  <w:style w:type="character" w:customStyle="1" w:styleId="109">
    <w:name w:val="正文－wjnew Char Char"/>
    <w:link w:val="110"/>
    <w:qFormat/>
    <w:uiPriority w:val="0"/>
    <w:rPr>
      <w:rFonts w:ascii="宋体" w:cs="宋体"/>
      <w:kern w:val="2"/>
      <w:sz w:val="21"/>
      <w:szCs w:val="21"/>
    </w:rPr>
  </w:style>
  <w:style w:type="paragraph" w:customStyle="1" w:styleId="110">
    <w:name w:val="正文－wjnew"/>
    <w:basedOn w:val="1"/>
    <w:link w:val="109"/>
    <w:qFormat/>
    <w:uiPriority w:val="0"/>
    <w:pPr>
      <w:adjustRightInd w:val="0"/>
      <w:snapToGrid w:val="0"/>
      <w:spacing w:line="360" w:lineRule="auto"/>
      <w:ind w:firstLine="420"/>
    </w:pPr>
    <w:rPr>
      <w:rFonts w:ascii="宋体"/>
      <w:szCs w:val="21"/>
    </w:rPr>
  </w:style>
  <w:style w:type="character" w:customStyle="1" w:styleId="111">
    <w:name w:val="正文缩进 Char"/>
    <w:link w:val="20"/>
    <w:qFormat/>
    <w:uiPriority w:val="0"/>
    <w:rPr>
      <w:rFonts w:ascii="宋体" w:hAnsi="Times New Roman"/>
      <w:sz w:val="24"/>
    </w:rPr>
  </w:style>
  <w:style w:type="character" w:customStyle="1" w:styleId="112">
    <w:name w:val="标题 4 Char1"/>
    <w:qFormat/>
    <w:uiPriority w:val="0"/>
    <w:rPr>
      <w:rFonts w:ascii="宋体" w:hAnsi="宋体"/>
      <w:b/>
      <w:bCs/>
      <w:kern w:val="2"/>
      <w:sz w:val="21"/>
    </w:rPr>
  </w:style>
  <w:style w:type="character" w:customStyle="1" w:styleId="113">
    <w:name w:val="(1) Char Char"/>
    <w:link w:val="114"/>
    <w:qFormat/>
    <w:uiPriority w:val="0"/>
    <w:rPr>
      <w:rFonts w:ascii="宋体" w:hAnsi="宋体"/>
      <w:kern w:val="2"/>
      <w:sz w:val="24"/>
      <w:szCs w:val="24"/>
    </w:rPr>
  </w:style>
  <w:style w:type="paragraph" w:customStyle="1" w:styleId="114">
    <w:name w:val="(1)"/>
    <w:basedOn w:val="1"/>
    <w:next w:val="1"/>
    <w:link w:val="113"/>
    <w:qFormat/>
    <w:uiPriority w:val="0"/>
    <w:pPr>
      <w:tabs>
        <w:tab w:val="left" w:pos="813"/>
      </w:tabs>
      <w:spacing w:line="360" w:lineRule="auto"/>
      <w:ind w:left="813" w:hanging="567"/>
    </w:pPr>
    <w:rPr>
      <w:rFonts w:ascii="宋体" w:hAnsi="宋体"/>
      <w:sz w:val="24"/>
    </w:rPr>
  </w:style>
  <w:style w:type="character" w:customStyle="1" w:styleId="115">
    <w:name w:val="标题 4 Char"/>
    <w:basedOn w:val="75"/>
    <w:link w:val="8"/>
    <w:qFormat/>
    <w:uiPriority w:val="0"/>
    <w:rPr>
      <w:rFonts w:ascii="Cambria" w:hAnsi="Cambria" w:eastAsia="宋体" w:cs="Times New Roman"/>
      <w:b/>
      <w:bCs/>
      <w:kern w:val="2"/>
      <w:sz w:val="28"/>
      <w:szCs w:val="28"/>
    </w:rPr>
  </w:style>
  <w:style w:type="character" w:customStyle="1" w:styleId="116">
    <w:name w:val="样式 标题 2标题 1.1head:2#2 headlinehheadlineS&amp;R2ERMH2Head 2 +... Char Char"/>
    <w:qFormat/>
    <w:uiPriority w:val="0"/>
    <w:rPr>
      <w:rFonts w:ascii="Arial" w:hAnsi="Arial" w:eastAsia="宋体"/>
      <w:b/>
      <w:bCs/>
      <w:sz w:val="24"/>
      <w:lang w:val="en-US" w:eastAsia="zh-CN" w:bidi="ar-SA"/>
    </w:rPr>
  </w:style>
  <w:style w:type="character" w:customStyle="1" w:styleId="117">
    <w:name w:val="樣式 標題 3 + (中文) MS Gothic 10.5 點 Char Char Char Char Char Char Char Char"/>
    <w:qFormat/>
    <w:uiPriority w:val="0"/>
    <w:rPr>
      <w:rFonts w:hAnsi="PMingLiU" w:eastAsia="MS Gothic"/>
      <w:snapToGrid w:val="0"/>
      <w:kern w:val="2"/>
      <w:sz w:val="24"/>
      <w:lang w:val="en-AU" w:eastAsia="zh-TW"/>
    </w:rPr>
  </w:style>
  <w:style w:type="character" w:customStyle="1" w:styleId="118">
    <w:name w:val="正文文本缩进 3 Char"/>
    <w:basedOn w:val="75"/>
    <w:link w:val="59"/>
    <w:qFormat/>
    <w:uiPriority w:val="0"/>
    <w:rPr>
      <w:rFonts w:ascii="Times New Roman" w:hAnsi="Times New Roman"/>
      <w:kern w:val="2"/>
      <w:sz w:val="21"/>
    </w:rPr>
  </w:style>
  <w:style w:type="character" w:customStyle="1" w:styleId="119">
    <w:name w:val="正文 BJ15 Char Char"/>
    <w:link w:val="120"/>
    <w:qFormat/>
    <w:uiPriority w:val="0"/>
    <w:rPr>
      <w:rFonts w:ascii="Times New Roman" w:hAnsi="Times New Roman"/>
      <w:kern w:val="2"/>
      <w:sz w:val="24"/>
      <w:szCs w:val="24"/>
    </w:rPr>
  </w:style>
  <w:style w:type="paragraph" w:customStyle="1" w:styleId="120">
    <w:name w:val="正文 BJ15"/>
    <w:basedOn w:val="1"/>
    <w:link w:val="119"/>
    <w:qFormat/>
    <w:uiPriority w:val="0"/>
    <w:pPr>
      <w:adjustRightInd w:val="0"/>
      <w:snapToGrid w:val="0"/>
      <w:spacing w:line="360" w:lineRule="auto"/>
      <w:ind w:firstLine="200" w:firstLineChars="200"/>
      <w:jc w:val="left"/>
    </w:pPr>
    <w:rPr>
      <w:sz w:val="24"/>
    </w:rPr>
  </w:style>
  <w:style w:type="character" w:customStyle="1" w:styleId="121">
    <w:name w:val="纯文本 Char Char"/>
    <w:qFormat/>
    <w:uiPriority w:val="0"/>
    <w:rPr>
      <w:rFonts w:ascii="宋体" w:hAnsi="Courier New" w:eastAsia="宋体" w:cs="Century"/>
      <w:kern w:val="2"/>
      <w:sz w:val="21"/>
      <w:szCs w:val="21"/>
      <w:lang w:val="en-US" w:eastAsia="zh-CN" w:bidi="ar-SA"/>
    </w:rPr>
  </w:style>
  <w:style w:type="character" w:customStyle="1" w:styleId="122">
    <w:name w:val="宏文本 Char"/>
    <w:basedOn w:val="75"/>
    <w:link w:val="2"/>
    <w:semiHidden/>
    <w:qFormat/>
    <w:uiPriority w:val="0"/>
    <w:rPr>
      <w:rFonts w:ascii="Courier New" w:hAnsi="Courier New" w:cs="Courier New"/>
      <w:kern w:val="2"/>
      <w:sz w:val="24"/>
      <w:szCs w:val="24"/>
      <w:lang w:val="en-US" w:eastAsia="zh-CN" w:bidi="ar-SA"/>
    </w:rPr>
  </w:style>
  <w:style w:type="character" w:customStyle="1" w:styleId="123">
    <w:name w:val="尾注文本 Char"/>
    <w:basedOn w:val="75"/>
    <w:link w:val="47"/>
    <w:qFormat/>
    <w:uiPriority w:val="0"/>
    <w:rPr>
      <w:rFonts w:ascii="Times New Roman" w:hAnsi="Times New Roman"/>
      <w:sz w:val="21"/>
      <w:szCs w:val="24"/>
    </w:rPr>
  </w:style>
  <w:style w:type="character" w:customStyle="1" w:styleId="124">
    <w:name w:val="样式 楷体_GB2312 二号 加粗 Char"/>
    <w:qFormat/>
    <w:uiPriority w:val="0"/>
    <w:rPr>
      <w:rFonts w:ascii="楷体_GB2312" w:hAnsi="Arial" w:eastAsia="楷体_GB2312" w:cs="Arial"/>
      <w:b/>
      <w:kern w:val="2"/>
      <w:sz w:val="44"/>
      <w:szCs w:val="24"/>
      <w:lang w:val="en-US" w:eastAsia="zh-CN" w:bidi="ar-SA"/>
    </w:rPr>
  </w:style>
  <w:style w:type="character" w:customStyle="1" w:styleId="125">
    <w:name w:val="标题 2 Char"/>
    <w:basedOn w:val="75"/>
    <w:link w:val="4"/>
    <w:qFormat/>
    <w:uiPriority w:val="0"/>
    <w:rPr>
      <w:rFonts w:ascii="Arial" w:hAnsi="Arial" w:eastAsia="黑体"/>
      <w:b/>
      <w:bCs/>
      <w:kern w:val="2"/>
      <w:sz w:val="32"/>
      <w:szCs w:val="32"/>
    </w:rPr>
  </w:style>
  <w:style w:type="character" w:customStyle="1" w:styleId="126">
    <w:name w:val="正文文本 2 Char"/>
    <w:basedOn w:val="75"/>
    <w:link w:val="65"/>
    <w:qFormat/>
    <w:uiPriority w:val="0"/>
    <w:rPr>
      <w:rFonts w:ascii="Times New Roman" w:hAnsi="Times New Roman"/>
      <w:kern w:val="2"/>
      <w:sz w:val="21"/>
    </w:rPr>
  </w:style>
  <w:style w:type="character" w:customStyle="1" w:styleId="127">
    <w:name w:val="1.1 Char"/>
    <w:qFormat/>
    <w:uiPriority w:val="0"/>
    <w:rPr>
      <w:rFonts w:ascii="宋体" w:eastAsia="宋体"/>
      <w:b/>
      <w:bCs/>
      <w:kern w:val="2"/>
      <w:sz w:val="24"/>
      <w:szCs w:val="32"/>
      <w:lang w:val="en-US" w:eastAsia="zh-CN" w:bidi="ar-SA"/>
    </w:rPr>
  </w:style>
  <w:style w:type="character" w:customStyle="1" w:styleId="128">
    <w:name w:val="正文文本 Char1"/>
    <w:qFormat/>
    <w:uiPriority w:val="0"/>
    <w:rPr>
      <w:rFonts w:ascii="Times New Roman" w:hAnsi="Times New Roman"/>
      <w:kern w:val="2"/>
      <w:sz w:val="24"/>
    </w:rPr>
  </w:style>
  <w:style w:type="character" w:customStyle="1" w:styleId="129">
    <w:name w:val="普通文字 Char Char"/>
    <w:qFormat/>
    <w:uiPriority w:val="0"/>
    <w:rPr>
      <w:rFonts w:ascii="宋体" w:hAnsi="Courier New" w:eastAsia="宋体"/>
      <w:kern w:val="2"/>
      <w:sz w:val="21"/>
      <w:lang w:val="en-US" w:eastAsia="zh-CN" w:bidi="ar-SA"/>
    </w:rPr>
  </w:style>
  <w:style w:type="character" w:customStyle="1" w:styleId="130">
    <w:name w:val="信息标题 Char"/>
    <w:basedOn w:val="75"/>
    <w:link w:val="66"/>
    <w:qFormat/>
    <w:uiPriority w:val="0"/>
    <w:rPr>
      <w:rFonts w:ascii="Arial" w:hAnsi="Arial" w:cs="Arial"/>
      <w:color w:val="7030A0"/>
      <w:kern w:val="2"/>
      <w:sz w:val="24"/>
      <w:szCs w:val="24"/>
      <w:shd w:val="pct20" w:color="auto" w:fill="auto"/>
    </w:rPr>
  </w:style>
  <w:style w:type="character" w:customStyle="1" w:styleId="131">
    <w:name w:val="样式 二号 红色 边框:: (单实线 自动设置  0.5 磅 行宽)"/>
    <w:qFormat/>
    <w:uiPriority w:val="0"/>
    <w:rPr>
      <w:rFonts w:eastAsia="宋体"/>
      <w:color w:val="0000FF"/>
      <w:sz w:val="44"/>
      <w:bdr w:val="single" w:color="0000FF" w:sz="4" w:space="0"/>
    </w:rPr>
  </w:style>
  <w:style w:type="character" w:customStyle="1" w:styleId="132">
    <w:name w:val="纯文本 Char"/>
    <w:basedOn w:val="75"/>
    <w:link w:val="40"/>
    <w:qFormat/>
    <w:uiPriority w:val="99"/>
    <w:rPr>
      <w:rFonts w:ascii="宋体" w:hAnsi="Courier New" w:cs="Courier New"/>
      <w:kern w:val="2"/>
      <w:sz w:val="21"/>
      <w:szCs w:val="21"/>
    </w:rPr>
  </w:style>
  <w:style w:type="character" w:customStyle="1" w:styleId="133">
    <w:name w:val="displayarti"/>
    <w:basedOn w:val="75"/>
    <w:qFormat/>
    <w:uiPriority w:val="0"/>
    <w:rPr>
      <w:color w:val="FFFFFF"/>
      <w:shd w:val="clear" w:color="auto" w:fill="A00000"/>
    </w:rPr>
  </w:style>
  <w:style w:type="character" w:customStyle="1" w:styleId="134">
    <w:name w:val="正文－zlb Char Char"/>
    <w:link w:val="135"/>
    <w:qFormat/>
    <w:uiPriority w:val="0"/>
    <w:rPr>
      <w:rFonts w:ascii="宋体" w:cs="宋体"/>
      <w:kern w:val="2"/>
      <w:sz w:val="24"/>
      <w:szCs w:val="24"/>
    </w:rPr>
  </w:style>
  <w:style w:type="paragraph" w:customStyle="1" w:styleId="135">
    <w:name w:val="正文－zlb"/>
    <w:basedOn w:val="1"/>
    <w:link w:val="134"/>
    <w:qFormat/>
    <w:uiPriority w:val="0"/>
    <w:pPr>
      <w:adjustRightInd w:val="0"/>
      <w:snapToGrid w:val="0"/>
      <w:spacing w:line="360" w:lineRule="auto"/>
      <w:ind w:firstLine="420"/>
    </w:pPr>
    <w:rPr>
      <w:rFonts w:ascii="宋体"/>
      <w:sz w:val="24"/>
    </w:rPr>
  </w:style>
  <w:style w:type="character" w:customStyle="1" w:styleId="136">
    <w:name w:val="Char Char11"/>
    <w:qFormat/>
    <w:uiPriority w:val="0"/>
    <w:rPr>
      <w:rFonts w:eastAsia="宋体"/>
      <w:b/>
      <w:bCs/>
      <w:kern w:val="2"/>
      <w:sz w:val="24"/>
      <w:szCs w:val="24"/>
      <w:lang w:val="en-US" w:eastAsia="zh-CN" w:bidi="ar-SA"/>
    </w:rPr>
  </w:style>
  <w:style w:type="character" w:customStyle="1" w:styleId="137">
    <w:name w:val="正文（首行缩进两字） Char"/>
    <w:qFormat/>
    <w:uiPriority w:val="0"/>
    <w:rPr>
      <w:rFonts w:eastAsia="宋体"/>
      <w:sz w:val="32"/>
      <w:lang w:val="en-US" w:eastAsia="zh-CN" w:bidi="ar-SA"/>
    </w:rPr>
  </w:style>
  <w:style w:type="character" w:customStyle="1" w:styleId="138">
    <w:name w:val="正文文本缩进 2 Char"/>
    <w:basedOn w:val="75"/>
    <w:link w:val="46"/>
    <w:qFormat/>
    <w:uiPriority w:val="0"/>
    <w:rPr>
      <w:rFonts w:ascii="Times New Roman" w:hAnsi="Times New Roman"/>
      <w:kern w:val="2"/>
      <w:sz w:val="21"/>
    </w:rPr>
  </w:style>
  <w:style w:type="character" w:customStyle="1" w:styleId="139">
    <w:name w:val="正文文本缩进 Char"/>
    <w:basedOn w:val="75"/>
    <w:qFormat/>
    <w:uiPriority w:val="0"/>
    <w:rPr>
      <w:rFonts w:ascii="Times New Roman" w:hAnsi="Times New Roman"/>
      <w:kern w:val="2"/>
      <w:sz w:val="21"/>
      <w:szCs w:val="24"/>
    </w:rPr>
  </w:style>
  <w:style w:type="character" w:customStyle="1" w:styleId="140">
    <w:name w:val="标题 Char"/>
    <w:basedOn w:val="75"/>
    <w:link w:val="6"/>
    <w:qFormat/>
    <w:uiPriority w:val="0"/>
    <w:rPr>
      <w:rFonts w:ascii="Arial" w:hAnsi="Arial" w:eastAsia="楷体_GB2312"/>
      <w:b/>
      <w:sz w:val="32"/>
    </w:rPr>
  </w:style>
  <w:style w:type="character" w:customStyle="1" w:styleId="141">
    <w:name w:val="b Char"/>
    <w:qFormat/>
    <w:uiPriority w:val="0"/>
    <w:rPr>
      <w:rFonts w:eastAsia="宋体"/>
      <w:b/>
      <w:bCs/>
      <w:kern w:val="2"/>
      <w:sz w:val="28"/>
      <w:szCs w:val="28"/>
      <w:lang w:val="en-US" w:eastAsia="zh-CN" w:bidi="ar-SA"/>
    </w:rPr>
  </w:style>
  <w:style w:type="character" w:customStyle="1" w:styleId="142">
    <w:name w:val="日期 Char"/>
    <w:link w:val="45"/>
    <w:qFormat/>
    <w:uiPriority w:val="0"/>
    <w:rPr>
      <w:rFonts w:eastAsia="楷体_GB2312"/>
      <w:kern w:val="2"/>
      <w:sz w:val="30"/>
    </w:rPr>
  </w:style>
  <w:style w:type="character" w:customStyle="1" w:styleId="143">
    <w:name w:val="题注 Char"/>
    <w:link w:val="21"/>
    <w:qFormat/>
    <w:uiPriority w:val="0"/>
    <w:rPr>
      <w:rFonts w:ascii="Times New Roman" w:hAnsi="Times New Roman"/>
      <w:b/>
      <w:bCs/>
      <w:color w:val="000080"/>
      <w:kern w:val="2"/>
      <w:sz w:val="28"/>
      <w:szCs w:val="24"/>
    </w:rPr>
  </w:style>
  <w:style w:type="character" w:customStyle="1" w:styleId="144">
    <w:name w:val="正文段落格式 Char Char"/>
    <w:qFormat/>
    <w:uiPriority w:val="0"/>
    <w:rPr>
      <w:rFonts w:cs="宋体"/>
      <w:color w:val="7030A0"/>
      <w:kern w:val="2"/>
      <w:sz w:val="24"/>
    </w:rPr>
  </w:style>
  <w:style w:type="character" w:customStyle="1" w:styleId="145">
    <w:name w:val="标题 5 Char"/>
    <w:basedOn w:val="75"/>
    <w:link w:val="9"/>
    <w:semiHidden/>
    <w:qFormat/>
    <w:uiPriority w:val="9"/>
    <w:rPr>
      <w:rFonts w:ascii="Times New Roman" w:hAnsi="Times New Roman"/>
      <w:b/>
      <w:bCs/>
      <w:kern w:val="2"/>
      <w:sz w:val="28"/>
      <w:szCs w:val="28"/>
    </w:rPr>
  </w:style>
  <w:style w:type="character" w:customStyle="1" w:styleId="146">
    <w:name w:val="图表标题 BJ8 Char Char"/>
    <w:link w:val="147"/>
    <w:qFormat/>
    <w:uiPriority w:val="0"/>
    <w:rPr>
      <w:rFonts w:ascii="Times New Roman" w:hAnsi="Times New Roman" w:eastAsia="黑体"/>
      <w:kern w:val="2"/>
      <w:sz w:val="24"/>
    </w:rPr>
  </w:style>
  <w:style w:type="paragraph" w:customStyle="1" w:styleId="147">
    <w:name w:val="图表标题 BJ8"/>
    <w:basedOn w:val="1"/>
    <w:link w:val="146"/>
    <w:qFormat/>
    <w:uiPriority w:val="0"/>
    <w:pPr>
      <w:adjustRightInd w:val="0"/>
      <w:snapToGrid w:val="0"/>
      <w:ind w:firstLine="200" w:firstLineChars="200"/>
      <w:jc w:val="center"/>
    </w:pPr>
    <w:rPr>
      <w:rFonts w:eastAsia="黑体"/>
      <w:sz w:val="24"/>
      <w:szCs w:val="20"/>
    </w:rPr>
  </w:style>
  <w:style w:type="character" w:customStyle="1" w:styleId="148">
    <w:name w:val="应答文本 Char Char"/>
    <w:qFormat/>
    <w:uiPriority w:val="0"/>
    <w:rPr>
      <w:rFonts w:ascii="Arial" w:hAnsi="Arial" w:eastAsia="楷体_GB2312" w:cs="宋体"/>
      <w:spacing w:val="10"/>
      <w:sz w:val="21"/>
      <w:lang w:val="en-US" w:eastAsia="zh-CN" w:bidi="ar-SA"/>
    </w:rPr>
  </w:style>
  <w:style w:type="character" w:customStyle="1" w:styleId="149">
    <w:name w:val="列表框2 Char"/>
    <w:link w:val="150"/>
    <w:qFormat/>
    <w:uiPriority w:val="0"/>
    <w:rPr>
      <w:snapToGrid w:val="0"/>
      <w:color w:val="7030A0"/>
      <w:spacing w:val="10"/>
      <w:sz w:val="24"/>
      <w:szCs w:val="24"/>
    </w:rPr>
  </w:style>
  <w:style w:type="paragraph" w:customStyle="1" w:styleId="150">
    <w:name w:val="列表框2"/>
    <w:basedOn w:val="1"/>
    <w:link w:val="149"/>
    <w:qFormat/>
    <w:uiPriority w:val="0"/>
    <w:pPr>
      <w:tabs>
        <w:tab w:val="left" w:pos="360"/>
        <w:tab w:val="left" w:pos="1628"/>
        <w:tab w:val="left" w:pos="2086"/>
      </w:tabs>
      <w:adjustRightInd w:val="0"/>
      <w:snapToGrid w:val="0"/>
      <w:ind w:left="1748" w:right="210" w:rightChars="100" w:hanging="434" w:firstLineChars="200"/>
      <w:jc w:val="left"/>
    </w:pPr>
    <w:rPr>
      <w:snapToGrid w:val="0"/>
      <w:color w:val="7030A0"/>
      <w:spacing w:val="10"/>
      <w:kern w:val="0"/>
      <w:sz w:val="24"/>
    </w:rPr>
  </w:style>
  <w:style w:type="character" w:customStyle="1" w:styleId="151">
    <w:name w:val="正文首行缩进 2 Char"/>
    <w:basedOn w:val="139"/>
    <w:link w:val="72"/>
    <w:qFormat/>
    <w:uiPriority w:val="0"/>
    <w:rPr>
      <w:rFonts w:ascii="宋体" w:hAnsi="宋体"/>
    </w:rPr>
  </w:style>
  <w:style w:type="character" w:customStyle="1" w:styleId="152">
    <w:name w:val="sub-dash Char"/>
    <w:qFormat/>
    <w:uiPriority w:val="0"/>
    <w:rPr>
      <w:rFonts w:ascii="Arial" w:hAnsi="Arial" w:eastAsia="黑体"/>
      <w:b/>
      <w:bCs/>
      <w:kern w:val="2"/>
      <w:sz w:val="24"/>
      <w:szCs w:val="24"/>
      <w:lang w:val="en-US" w:eastAsia="zh-CN" w:bidi="ar-SA"/>
    </w:rPr>
  </w:style>
  <w:style w:type="character" w:customStyle="1" w:styleId="153">
    <w:name w:val="五级标题格式 Char"/>
    <w:link w:val="154"/>
    <w:qFormat/>
    <w:uiPriority w:val="0"/>
    <w:rPr>
      <w:rFonts w:ascii="Times New Roman" w:hAnsi="Times New Roman"/>
      <w:b/>
      <w:bCs/>
      <w:kern w:val="2"/>
      <w:sz w:val="24"/>
      <w:szCs w:val="28"/>
    </w:rPr>
  </w:style>
  <w:style w:type="paragraph" w:customStyle="1" w:styleId="154">
    <w:name w:val="五级标题格式"/>
    <w:basedOn w:val="9"/>
    <w:link w:val="153"/>
    <w:qFormat/>
    <w:uiPriority w:val="0"/>
    <w:pPr>
      <w:keepNext w:val="0"/>
      <w:keepLines w:val="0"/>
      <w:tabs>
        <w:tab w:val="clear" w:pos="1008"/>
      </w:tabs>
      <w:spacing w:before="0" w:afterLines="50" w:line="240" w:lineRule="auto"/>
      <w:ind w:left="0" w:firstLine="0"/>
      <w:jc w:val="left"/>
    </w:pPr>
    <w:rPr>
      <w:bCs/>
      <w:sz w:val="24"/>
      <w:szCs w:val="28"/>
    </w:rPr>
  </w:style>
  <w:style w:type="character" w:customStyle="1" w:styleId="155">
    <w:name w:val="页眉 Char"/>
    <w:basedOn w:val="75"/>
    <w:link w:val="50"/>
    <w:qFormat/>
    <w:uiPriority w:val="0"/>
    <w:rPr>
      <w:rFonts w:ascii="Times New Roman" w:hAnsi="Times New Roman"/>
      <w:kern w:val="2"/>
      <w:sz w:val="18"/>
      <w:szCs w:val="18"/>
    </w:rPr>
  </w:style>
  <w:style w:type="character" w:customStyle="1" w:styleId="156">
    <w:name w:val="Char Char111"/>
    <w:qFormat/>
    <w:uiPriority w:val="0"/>
    <w:rPr>
      <w:rFonts w:eastAsia="宋体"/>
      <w:b/>
      <w:bCs/>
      <w:kern w:val="2"/>
      <w:sz w:val="24"/>
      <w:szCs w:val="24"/>
      <w:lang w:val="en-US" w:eastAsia="zh-CN" w:bidi="ar-SA"/>
    </w:rPr>
  </w:style>
  <w:style w:type="character" w:customStyle="1" w:styleId="157">
    <w:name w:val="表格文字图表文字 Char Char"/>
    <w:qFormat/>
    <w:uiPriority w:val="0"/>
    <w:rPr>
      <w:color w:val="7030A0"/>
      <w:kern w:val="2"/>
      <w:sz w:val="21"/>
    </w:rPr>
  </w:style>
  <w:style w:type="character" w:customStyle="1" w:styleId="158">
    <w:name w:val="标题 8 Char"/>
    <w:basedOn w:val="75"/>
    <w:link w:val="12"/>
    <w:qFormat/>
    <w:uiPriority w:val="0"/>
    <w:rPr>
      <w:rFonts w:ascii="Arial" w:hAnsi="Arial" w:eastAsia="黑体"/>
      <w:kern w:val="2"/>
      <w:sz w:val="24"/>
    </w:rPr>
  </w:style>
  <w:style w:type="character" w:customStyle="1" w:styleId="159">
    <w:name w:val="占位符文本1"/>
    <w:basedOn w:val="75"/>
    <w:semiHidden/>
    <w:qFormat/>
    <w:uiPriority w:val="99"/>
    <w:rPr>
      <w:color w:val="808080"/>
    </w:rPr>
  </w:style>
  <w:style w:type="character" w:customStyle="1" w:styleId="160">
    <w:name w:val="正文首行缩进 Char"/>
    <w:basedOn w:val="161"/>
    <w:link w:val="71"/>
    <w:qFormat/>
    <w:uiPriority w:val="0"/>
    <w:rPr>
      <w:color w:val="7030A0"/>
    </w:rPr>
  </w:style>
  <w:style w:type="character" w:customStyle="1" w:styleId="161">
    <w:name w:val="正文文本 Char"/>
    <w:basedOn w:val="75"/>
    <w:link w:val="5"/>
    <w:qFormat/>
    <w:uiPriority w:val="0"/>
    <w:rPr>
      <w:rFonts w:ascii="Times New Roman" w:hAnsi="Times New Roman"/>
      <w:kern w:val="2"/>
      <w:sz w:val="21"/>
      <w:szCs w:val="24"/>
    </w:rPr>
  </w:style>
  <w:style w:type="character" w:customStyle="1" w:styleId="162">
    <w:name w:val="正文段落格式 Char"/>
    <w:link w:val="163"/>
    <w:qFormat/>
    <w:uiPriority w:val="0"/>
    <w:rPr>
      <w:rFonts w:ascii="Times New Roman" w:hAnsi="Times New Roman"/>
      <w:color w:val="7030A0"/>
      <w:kern w:val="2"/>
      <w:sz w:val="24"/>
    </w:rPr>
  </w:style>
  <w:style w:type="paragraph" w:customStyle="1" w:styleId="163">
    <w:name w:val="正文段落格式"/>
    <w:basedOn w:val="88"/>
    <w:link w:val="162"/>
    <w:qFormat/>
    <w:uiPriority w:val="0"/>
    <w:pPr>
      <w:spacing w:afterLines="50" w:line="336" w:lineRule="auto"/>
    </w:pPr>
  </w:style>
  <w:style w:type="character" w:customStyle="1" w:styleId="164">
    <w:name w:val="表格文字 BJ8 Char Char"/>
    <w:link w:val="165"/>
    <w:qFormat/>
    <w:uiPriority w:val="0"/>
    <w:rPr>
      <w:rFonts w:ascii="Times New Roman" w:hAnsi="Times New Roman"/>
      <w:kern w:val="2"/>
      <w:sz w:val="21"/>
      <w:szCs w:val="21"/>
    </w:rPr>
  </w:style>
  <w:style w:type="paragraph" w:customStyle="1" w:styleId="165">
    <w:name w:val="表格文字 BJ8"/>
    <w:basedOn w:val="1"/>
    <w:link w:val="164"/>
    <w:qFormat/>
    <w:uiPriority w:val="0"/>
    <w:pPr>
      <w:adjustRightInd w:val="0"/>
      <w:snapToGrid w:val="0"/>
      <w:spacing w:line="400" w:lineRule="exact"/>
      <w:ind w:firstLine="200" w:firstLineChars="200"/>
      <w:jc w:val="center"/>
    </w:pPr>
    <w:rPr>
      <w:szCs w:val="21"/>
    </w:rPr>
  </w:style>
  <w:style w:type="character" w:customStyle="1" w:styleId="166">
    <w:name w:val="gpa"/>
    <w:basedOn w:val="75"/>
    <w:qFormat/>
    <w:uiPriority w:val="0"/>
    <w:rPr>
      <w:rFonts w:ascii="Arial" w:hAnsi="Arial" w:cs="Arial"/>
      <w:sz w:val="12"/>
      <w:szCs w:val="12"/>
    </w:rPr>
  </w:style>
  <w:style w:type="character" w:customStyle="1" w:styleId="167">
    <w:name w:val="样式 标题 31.1条标题1.1.1二级节名h3Heading 3 - oldheading 3H3H31H3... Char"/>
    <w:link w:val="168"/>
    <w:qFormat/>
    <w:uiPriority w:val="0"/>
    <w:rPr>
      <w:rFonts w:ascii="宋体" w:hAnsi="宋体" w:eastAsia="黑体"/>
      <w:kern w:val="2"/>
      <w:sz w:val="24"/>
      <w:szCs w:val="21"/>
    </w:rPr>
  </w:style>
  <w:style w:type="paragraph" w:customStyle="1" w:styleId="168">
    <w:name w:val="样式 标题 31.1条标题1.1.1二级节名h3Heading 3 - oldheading 3H3H31H3..."/>
    <w:basedOn w:val="7"/>
    <w:link w:val="167"/>
    <w:qFormat/>
    <w:uiPriority w:val="0"/>
    <w:pPr>
      <w:keepNext w:val="0"/>
      <w:keepLines w:val="0"/>
      <w:spacing w:before="240" w:after="120" w:line="480" w:lineRule="exact"/>
      <w:jc w:val="left"/>
    </w:pPr>
    <w:rPr>
      <w:rFonts w:ascii="宋体" w:hAnsi="宋体" w:eastAsia="黑体"/>
      <w:b w:val="0"/>
      <w:bCs w:val="0"/>
      <w:sz w:val="24"/>
      <w:szCs w:val="21"/>
    </w:rPr>
  </w:style>
  <w:style w:type="character" w:customStyle="1" w:styleId="169">
    <w:name w:val="标题2 Char Char"/>
    <w:link w:val="170"/>
    <w:qFormat/>
    <w:uiPriority w:val="0"/>
    <w:rPr>
      <w:rFonts w:ascii="宋体" w:hAnsi="Times New Roman"/>
      <w:b/>
      <w:color w:val="92D050"/>
      <w:kern w:val="44"/>
      <w:sz w:val="30"/>
    </w:rPr>
  </w:style>
  <w:style w:type="paragraph" w:customStyle="1" w:styleId="170">
    <w:name w:val="标题2"/>
    <w:basedOn w:val="3"/>
    <w:link w:val="169"/>
    <w:qFormat/>
    <w:uiPriority w:val="0"/>
    <w:pPr>
      <w:spacing w:before="0" w:after="0" w:line="312" w:lineRule="auto"/>
      <w:ind w:left="0" w:firstLine="0"/>
      <w:jc w:val="center"/>
    </w:pPr>
    <w:rPr>
      <w:rFonts w:ascii="宋体"/>
      <w:bCs w:val="0"/>
      <w:color w:val="92D050"/>
      <w:sz w:val="30"/>
      <w:szCs w:val="20"/>
    </w:rPr>
  </w:style>
  <w:style w:type="character" w:customStyle="1" w:styleId="171">
    <w:name w:val="Char Char2"/>
    <w:qFormat/>
    <w:uiPriority w:val="0"/>
    <w:rPr>
      <w:rFonts w:eastAsia="仿宋_GB2312"/>
      <w:kern w:val="2"/>
      <w:sz w:val="28"/>
      <w:lang w:val="en-US" w:eastAsia="zh-CN" w:bidi="ar-SA"/>
    </w:rPr>
  </w:style>
  <w:style w:type="character" w:customStyle="1" w:styleId="172">
    <w:name w:val="标题 7 Char"/>
    <w:basedOn w:val="75"/>
    <w:link w:val="11"/>
    <w:qFormat/>
    <w:uiPriority w:val="0"/>
    <w:rPr>
      <w:rFonts w:ascii="Times New Roman" w:hAnsi="Times New Roman"/>
      <w:b/>
      <w:kern w:val="2"/>
      <w:sz w:val="24"/>
    </w:rPr>
  </w:style>
  <w:style w:type="character" w:customStyle="1" w:styleId="173">
    <w:name w:val="2 headline Char Char"/>
    <w:qFormat/>
    <w:uiPriority w:val="0"/>
    <w:rPr>
      <w:rFonts w:eastAsia="黑体"/>
      <w:bCs/>
      <w:kern w:val="2"/>
      <w:sz w:val="28"/>
      <w:szCs w:val="28"/>
      <w:lang w:val="en-US" w:eastAsia="zh-CN" w:bidi="ar-SA"/>
    </w:rPr>
  </w:style>
  <w:style w:type="character" w:customStyle="1" w:styleId="174">
    <w:name w:val="正文 QD3 Char Char"/>
    <w:link w:val="175"/>
    <w:qFormat/>
    <w:uiPriority w:val="0"/>
    <w:rPr>
      <w:rFonts w:ascii="Times New Roman" w:hAnsi="Times New Roman"/>
      <w:kern w:val="2"/>
      <w:sz w:val="24"/>
      <w:szCs w:val="24"/>
    </w:rPr>
  </w:style>
  <w:style w:type="paragraph" w:customStyle="1" w:styleId="175">
    <w:name w:val="正文 QD3"/>
    <w:basedOn w:val="1"/>
    <w:link w:val="174"/>
    <w:qFormat/>
    <w:uiPriority w:val="0"/>
    <w:pPr>
      <w:adjustRightInd w:val="0"/>
      <w:snapToGrid w:val="0"/>
      <w:spacing w:line="360" w:lineRule="auto"/>
      <w:ind w:firstLine="200" w:firstLineChars="200"/>
      <w:jc w:val="left"/>
    </w:pPr>
    <w:rPr>
      <w:sz w:val="24"/>
    </w:rPr>
  </w:style>
  <w:style w:type="character" w:customStyle="1" w:styleId="176">
    <w:name w:val="正文 BJ8 Char Char"/>
    <w:link w:val="177"/>
    <w:qFormat/>
    <w:uiPriority w:val="0"/>
    <w:rPr>
      <w:rFonts w:ascii="Times New Roman" w:hAnsi="Times New Roman"/>
      <w:color w:val="7030A0"/>
      <w:kern w:val="2"/>
      <w:sz w:val="24"/>
      <w:szCs w:val="24"/>
    </w:rPr>
  </w:style>
  <w:style w:type="paragraph" w:customStyle="1" w:styleId="177">
    <w:name w:val="正文 BJ8"/>
    <w:basedOn w:val="1"/>
    <w:link w:val="176"/>
    <w:qFormat/>
    <w:uiPriority w:val="0"/>
    <w:pPr>
      <w:adjustRightInd w:val="0"/>
      <w:snapToGrid w:val="0"/>
      <w:spacing w:line="360" w:lineRule="auto"/>
      <w:ind w:firstLine="200" w:firstLineChars="200"/>
      <w:jc w:val="left"/>
    </w:pPr>
    <w:rPr>
      <w:color w:val="7030A0"/>
      <w:sz w:val="24"/>
    </w:rPr>
  </w:style>
  <w:style w:type="character" w:customStyle="1" w:styleId="178">
    <w:name w:val="书籍标题1"/>
    <w:qFormat/>
    <w:uiPriority w:val="33"/>
    <w:rPr>
      <w:b/>
      <w:bCs/>
      <w:smallCaps/>
      <w:spacing w:val="5"/>
    </w:rPr>
  </w:style>
  <w:style w:type="character" w:customStyle="1" w:styleId="179">
    <w:name w:val="Char Char8"/>
    <w:qFormat/>
    <w:uiPriority w:val="0"/>
    <w:rPr>
      <w:rFonts w:eastAsia="宋体"/>
      <w:kern w:val="2"/>
      <w:sz w:val="21"/>
      <w:lang w:val="en-US" w:eastAsia="zh-CN" w:bidi="ar-SA"/>
    </w:rPr>
  </w:style>
  <w:style w:type="character" w:customStyle="1" w:styleId="180">
    <w:name w:val="正文文本缩进 Char1"/>
    <w:link w:val="31"/>
    <w:qFormat/>
    <w:uiPriority w:val="0"/>
    <w:rPr>
      <w:rFonts w:ascii="宋体" w:hAnsi="Times New Roman"/>
      <w:kern w:val="2"/>
      <w:sz w:val="21"/>
    </w:rPr>
  </w:style>
  <w:style w:type="character" w:customStyle="1" w:styleId="181">
    <w:name w:val="正文1 Char"/>
    <w:link w:val="182"/>
    <w:qFormat/>
    <w:uiPriority w:val="0"/>
    <w:rPr>
      <w:rFonts w:ascii="Times New Roman" w:hAnsi="Times New Roman"/>
      <w:kern w:val="2"/>
      <w:sz w:val="24"/>
    </w:rPr>
  </w:style>
  <w:style w:type="paragraph" w:customStyle="1" w:styleId="182">
    <w:name w:val="正文1"/>
    <w:basedOn w:val="1"/>
    <w:link w:val="181"/>
    <w:qFormat/>
    <w:uiPriority w:val="0"/>
    <w:pPr>
      <w:tabs>
        <w:tab w:val="left" w:pos="720"/>
        <w:tab w:val="right" w:pos="1191"/>
      </w:tabs>
      <w:spacing w:line="360" w:lineRule="auto"/>
      <w:ind w:left="720" w:hanging="360"/>
    </w:pPr>
    <w:rPr>
      <w:sz w:val="24"/>
      <w:szCs w:val="20"/>
    </w:rPr>
  </w:style>
  <w:style w:type="character" w:customStyle="1" w:styleId="183">
    <w:name w:val="HTML 预设格式 Char"/>
    <w:basedOn w:val="75"/>
    <w:link w:val="67"/>
    <w:qFormat/>
    <w:uiPriority w:val="99"/>
    <w:rPr>
      <w:rFonts w:ascii="Arial" w:hAnsi="Arial"/>
      <w:sz w:val="21"/>
      <w:szCs w:val="21"/>
    </w:rPr>
  </w:style>
  <w:style w:type="character" w:customStyle="1" w:styleId="184">
    <w:name w:val="批注框文本 Char"/>
    <w:basedOn w:val="75"/>
    <w:link w:val="48"/>
    <w:qFormat/>
    <w:uiPriority w:val="0"/>
    <w:rPr>
      <w:rFonts w:ascii="Times New Roman" w:hAnsi="Times New Roman" w:eastAsia="宋体" w:cs="Times New Roman"/>
      <w:sz w:val="18"/>
      <w:szCs w:val="18"/>
    </w:rPr>
  </w:style>
  <w:style w:type="character" w:customStyle="1" w:styleId="185">
    <w:name w:val="正文1 Char Char"/>
    <w:qFormat/>
    <w:uiPriority w:val="0"/>
    <w:rPr>
      <w:rFonts w:ascii="宋体" w:hAnsi="宋体"/>
      <w:kern w:val="10"/>
      <w:sz w:val="21"/>
      <w:szCs w:val="24"/>
    </w:rPr>
  </w:style>
  <w:style w:type="character" w:customStyle="1" w:styleId="186">
    <w:name w:val="页脚 Char"/>
    <w:basedOn w:val="75"/>
    <w:link w:val="49"/>
    <w:qFormat/>
    <w:uiPriority w:val="99"/>
    <w:rPr>
      <w:rFonts w:ascii="Times New Roman" w:hAnsi="Times New Roman"/>
      <w:kern w:val="2"/>
      <w:sz w:val="18"/>
      <w:szCs w:val="18"/>
    </w:rPr>
  </w:style>
  <w:style w:type="character" w:customStyle="1" w:styleId="187">
    <w:name w:val="列表框2 Char Char"/>
    <w:qFormat/>
    <w:uiPriority w:val="0"/>
    <w:rPr>
      <w:snapToGrid/>
      <w:color w:val="7030A0"/>
      <w:spacing w:val="10"/>
      <w:sz w:val="24"/>
      <w:szCs w:val="24"/>
    </w:rPr>
  </w:style>
  <w:style w:type="character" w:customStyle="1" w:styleId="188">
    <w:name w:val="标题3 Char Char"/>
    <w:qFormat/>
    <w:uiPriority w:val="0"/>
    <w:rPr>
      <w:rFonts w:ascii="宋体" w:hAnsi="宋体"/>
      <w:b/>
      <w:bCs/>
      <w:color w:val="92D050"/>
      <w:kern w:val="44"/>
      <w:sz w:val="24"/>
      <w:szCs w:val="21"/>
    </w:rPr>
  </w:style>
  <w:style w:type="character" w:customStyle="1" w:styleId="189">
    <w:name w:val="标题 3 Char"/>
    <w:basedOn w:val="75"/>
    <w:link w:val="7"/>
    <w:qFormat/>
    <w:uiPriority w:val="0"/>
    <w:rPr>
      <w:rFonts w:ascii="Times New Roman" w:hAnsi="Times New Roman"/>
      <w:b/>
      <w:bCs/>
      <w:kern w:val="2"/>
      <w:sz w:val="32"/>
      <w:szCs w:val="32"/>
    </w:rPr>
  </w:style>
  <w:style w:type="character" w:customStyle="1" w:styleId="190">
    <w:name w:val="标题 1 Char"/>
    <w:basedOn w:val="75"/>
    <w:link w:val="3"/>
    <w:qFormat/>
    <w:uiPriority w:val="0"/>
    <w:rPr>
      <w:rFonts w:ascii="Times New Roman" w:hAnsi="Times New Roman"/>
      <w:b/>
      <w:bCs/>
      <w:kern w:val="44"/>
      <w:sz w:val="44"/>
      <w:szCs w:val="44"/>
    </w:rPr>
  </w:style>
  <w:style w:type="character" w:customStyle="1" w:styleId="191">
    <w:name w:val="标题 6 Char"/>
    <w:basedOn w:val="75"/>
    <w:link w:val="10"/>
    <w:qFormat/>
    <w:uiPriority w:val="0"/>
    <w:rPr>
      <w:rFonts w:ascii="Arial" w:hAnsi="Arial" w:eastAsia="黑体"/>
      <w:b/>
      <w:kern w:val="2"/>
      <w:sz w:val="24"/>
    </w:rPr>
  </w:style>
  <w:style w:type="character" w:customStyle="1" w:styleId="192">
    <w:name w:val="文档结构图 Char"/>
    <w:basedOn w:val="75"/>
    <w:link w:val="24"/>
    <w:qFormat/>
    <w:uiPriority w:val="0"/>
    <w:rPr>
      <w:rFonts w:ascii="宋体" w:hAnsi="Times New Roman" w:eastAsia="宋体" w:cs="Times New Roman"/>
      <w:sz w:val="18"/>
      <w:szCs w:val="18"/>
    </w:rPr>
  </w:style>
  <w:style w:type="character" w:customStyle="1" w:styleId="193">
    <w:name w:val="样式 宋体 行距: 固定值 24 磅 Char Char"/>
    <w:qFormat/>
    <w:uiPriority w:val="0"/>
    <w:rPr>
      <w:rFonts w:ascii="宋体" w:cs="宋体"/>
      <w:color w:val="7030A0"/>
      <w:kern w:val="2"/>
      <w:sz w:val="28"/>
    </w:rPr>
  </w:style>
  <w:style w:type="character" w:customStyle="1" w:styleId="194">
    <w:name w:val="样式 Char Char"/>
    <w:link w:val="195"/>
    <w:qFormat/>
    <w:uiPriority w:val="0"/>
    <w:rPr>
      <w:rFonts w:ascii="宋体" w:hAnsi="宋体" w:cs="宋体"/>
      <w:sz w:val="24"/>
      <w:szCs w:val="24"/>
      <w:lang w:val="en-US" w:eastAsia="zh-CN" w:bidi="ar-SA"/>
    </w:rPr>
  </w:style>
  <w:style w:type="paragraph" w:customStyle="1" w:styleId="195">
    <w:name w:val="样式"/>
    <w:link w:val="194"/>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196">
    <w:name w:val="无编号正文 Char Char"/>
    <w:link w:val="197"/>
    <w:qFormat/>
    <w:uiPriority w:val="0"/>
    <w:rPr>
      <w:rFonts w:ascii="宋体" w:hAnsi="宋体"/>
      <w:sz w:val="24"/>
      <w:szCs w:val="24"/>
    </w:rPr>
  </w:style>
  <w:style w:type="paragraph" w:customStyle="1" w:styleId="197">
    <w:name w:val="无编号正文"/>
    <w:basedOn w:val="5"/>
    <w:next w:val="1"/>
    <w:link w:val="196"/>
    <w:qFormat/>
    <w:uiPriority w:val="0"/>
    <w:pPr>
      <w:ind w:left="200" w:leftChars="200" w:firstLine="200" w:firstLineChars="200"/>
    </w:pPr>
    <w:rPr>
      <w:rFonts w:ascii="宋体" w:hAnsi="宋体"/>
      <w:kern w:val="0"/>
      <w:szCs w:val="24"/>
    </w:rPr>
  </w:style>
  <w:style w:type="character" w:customStyle="1" w:styleId="198">
    <w:name w:val="表图名称 Char Char"/>
    <w:link w:val="199"/>
    <w:qFormat/>
    <w:uiPriority w:val="0"/>
    <w:rPr>
      <w:rFonts w:ascii="黑体" w:hAnsi="宋体" w:eastAsia="黑体"/>
      <w:kern w:val="2"/>
      <w:sz w:val="24"/>
      <w:szCs w:val="24"/>
      <w:lang w:val="en-US" w:eastAsia="zh-CN" w:bidi="ar-SA"/>
    </w:rPr>
  </w:style>
  <w:style w:type="paragraph" w:customStyle="1" w:styleId="199">
    <w:name w:val="表图名称"/>
    <w:link w:val="198"/>
    <w:qFormat/>
    <w:uiPriority w:val="0"/>
    <w:pPr>
      <w:widowControl w:val="0"/>
      <w:tabs>
        <w:tab w:val="left" w:pos="6120"/>
        <w:tab w:val="left" w:pos="13784"/>
      </w:tabs>
      <w:adjustRightInd w:val="0"/>
      <w:snapToGrid w:val="0"/>
      <w:spacing w:line="360" w:lineRule="auto"/>
      <w:jc w:val="center"/>
    </w:pPr>
    <w:rPr>
      <w:rFonts w:ascii="黑体" w:hAnsi="宋体" w:eastAsia="黑体" w:cs="Times New Roman"/>
      <w:kern w:val="2"/>
      <w:sz w:val="24"/>
      <w:szCs w:val="24"/>
      <w:lang w:val="en-US" w:eastAsia="zh-CN" w:bidi="ar-SA"/>
    </w:rPr>
  </w:style>
  <w:style w:type="character" w:customStyle="1" w:styleId="200">
    <w:name w:val="列表框1 Char Char"/>
    <w:qFormat/>
    <w:uiPriority w:val="0"/>
    <w:rPr>
      <w:rFonts w:ascii="Arial" w:hAnsi="Arial" w:eastAsia="楷体_GB2312" w:cs="Arial"/>
      <w:spacing w:val="10"/>
      <w:sz w:val="21"/>
      <w:lang w:val="en-US" w:eastAsia="zh-CN" w:bidi="ar-SA"/>
    </w:rPr>
  </w:style>
  <w:style w:type="character" w:customStyle="1" w:styleId="201">
    <w:name w:val="表格文字图表文字 Char"/>
    <w:link w:val="202"/>
    <w:qFormat/>
    <w:uiPriority w:val="0"/>
    <w:rPr>
      <w:rFonts w:ascii="Times New Roman" w:hAnsi="Times New Roman"/>
      <w:color w:val="7030A0"/>
      <w:kern w:val="2"/>
      <w:sz w:val="21"/>
    </w:rPr>
  </w:style>
  <w:style w:type="paragraph" w:customStyle="1" w:styleId="202">
    <w:name w:val="表格文字图表文字"/>
    <w:basedOn w:val="1"/>
    <w:link w:val="201"/>
    <w:qFormat/>
    <w:uiPriority w:val="0"/>
    <w:pPr>
      <w:snapToGrid w:val="0"/>
      <w:ind w:firstLine="200" w:firstLineChars="200"/>
      <w:jc w:val="center"/>
    </w:pPr>
    <w:rPr>
      <w:color w:val="7030A0"/>
      <w:szCs w:val="20"/>
    </w:rPr>
  </w:style>
  <w:style w:type="character" w:customStyle="1" w:styleId="203">
    <w:name w:val="批注文字 Char1"/>
    <w:semiHidden/>
    <w:qFormat/>
    <w:uiPriority w:val="0"/>
    <w:rPr>
      <w:kern w:val="2"/>
      <w:sz w:val="24"/>
      <w:szCs w:val="24"/>
    </w:rPr>
  </w:style>
  <w:style w:type="paragraph" w:customStyle="1" w:styleId="204">
    <w:name w:val="xl51"/>
    <w:basedOn w:val="1"/>
    <w:qFormat/>
    <w:uiPriority w:val="0"/>
    <w:pPr>
      <w:widowControl/>
      <w:pBdr>
        <w:top w:val="single" w:color="auto" w:sz="4" w:space="0"/>
        <w:bottom w:val="single" w:color="auto" w:sz="4" w:space="0"/>
        <w:right w:val="single" w:color="auto" w:sz="4" w:space="0"/>
      </w:pBdr>
      <w:spacing w:before="100" w:after="100"/>
      <w:ind w:firstLine="200" w:firstLineChars="200"/>
      <w:jc w:val="center"/>
    </w:pPr>
    <w:rPr>
      <w:rFonts w:ascii="Arial Unicode MS" w:hAnsi="Arial Unicode MS" w:eastAsia="Arial Unicode MS"/>
      <w:color w:val="7030A0"/>
      <w:kern w:val="0"/>
      <w:szCs w:val="20"/>
    </w:rPr>
  </w:style>
  <w:style w:type="paragraph" w:customStyle="1" w:styleId="205">
    <w:name w:val="通用"/>
    <w:basedOn w:val="1"/>
    <w:qFormat/>
    <w:uiPriority w:val="0"/>
    <w:pPr>
      <w:spacing w:line="360" w:lineRule="auto"/>
      <w:ind w:left="840" w:leftChars="400"/>
    </w:pPr>
    <w:rPr>
      <w:rFonts w:ascii="宋体" w:hAnsi="宋体"/>
      <w:szCs w:val="20"/>
    </w:rPr>
  </w:style>
  <w:style w:type="paragraph" w:customStyle="1" w:styleId="206">
    <w:name w:val="样式 目录 1 + 首行缩进:  2 字符"/>
    <w:basedOn w:val="1"/>
    <w:qFormat/>
    <w:uiPriority w:val="0"/>
    <w:pPr>
      <w:adjustRightInd w:val="0"/>
      <w:snapToGrid w:val="0"/>
      <w:spacing w:line="360" w:lineRule="auto"/>
      <w:ind w:firstLine="200" w:firstLineChars="200"/>
      <w:jc w:val="center"/>
    </w:pPr>
    <w:rPr>
      <w:rFonts w:cs="宋体"/>
      <w:b/>
      <w:bCs/>
      <w:caps/>
      <w:color w:val="7030A0"/>
      <w:sz w:val="30"/>
      <w:szCs w:val="28"/>
    </w:rPr>
  </w:style>
  <w:style w:type="paragraph" w:customStyle="1" w:styleId="207">
    <w:name w:val="1"/>
    <w:basedOn w:val="1"/>
    <w:next w:val="65"/>
    <w:qFormat/>
    <w:uiPriority w:val="0"/>
    <w:pPr>
      <w:spacing w:after="120" w:line="480" w:lineRule="auto"/>
      <w:ind w:firstLine="200" w:firstLineChars="200"/>
      <w:jc w:val="left"/>
    </w:pPr>
    <w:rPr>
      <w:color w:val="7030A0"/>
    </w:rPr>
  </w:style>
  <w:style w:type="paragraph" w:customStyle="1" w:styleId="208">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宋体" w:hAnsi="宋体" w:cs="宋体"/>
      <w:kern w:val="0"/>
      <w:sz w:val="20"/>
      <w:szCs w:val="20"/>
    </w:rPr>
  </w:style>
  <w:style w:type="paragraph" w:customStyle="1" w:styleId="209">
    <w:name w:val="Footer First"/>
    <w:basedOn w:val="49"/>
    <w:qFormat/>
    <w:uiPriority w:val="0"/>
    <w:pPr>
      <w:keepLines/>
      <w:widowControl/>
      <w:tabs>
        <w:tab w:val="left" w:pos="1080"/>
        <w:tab w:val="left" w:pos="1627"/>
        <w:tab w:val="left" w:pos="2160"/>
        <w:tab w:val="left" w:pos="2880"/>
        <w:tab w:val="center" w:pos="4320"/>
        <w:tab w:val="clear" w:pos="4153"/>
        <w:tab w:val="clear" w:pos="8306"/>
      </w:tabs>
      <w:snapToGrid/>
      <w:spacing w:line="300" w:lineRule="exact"/>
      <w:jc w:val="center"/>
    </w:pPr>
    <w:rPr>
      <w:rFonts w:ascii="Univers" w:hAnsi="Univers"/>
      <w:kern w:val="0"/>
      <w:sz w:val="22"/>
      <w:szCs w:val="20"/>
    </w:rPr>
  </w:style>
  <w:style w:type="paragraph" w:customStyle="1" w:styleId="210">
    <w:name w:val="zhengwen"/>
    <w:basedOn w:val="1"/>
    <w:qFormat/>
    <w:uiPriority w:val="0"/>
    <w:pPr>
      <w:tabs>
        <w:tab w:val="left" w:pos="1077"/>
      </w:tabs>
      <w:adjustRightInd w:val="0"/>
      <w:snapToGrid w:val="0"/>
      <w:spacing w:line="520" w:lineRule="exact"/>
      <w:ind w:left="1077" w:firstLine="200" w:firstLineChars="200"/>
      <w:jc w:val="left"/>
    </w:pPr>
    <w:rPr>
      <w:bCs/>
      <w:color w:val="7030A0"/>
      <w:sz w:val="28"/>
    </w:rPr>
  </w:style>
  <w:style w:type="paragraph" w:customStyle="1" w:styleId="211">
    <w:name w:val="样式 宋体 行距: 1.5 倍行距"/>
    <w:basedOn w:val="1"/>
    <w:qFormat/>
    <w:uiPriority w:val="0"/>
    <w:pPr>
      <w:ind w:firstLine="200" w:firstLineChars="200"/>
      <w:jc w:val="left"/>
    </w:pPr>
    <w:rPr>
      <w:rFonts w:ascii="宋体" w:hAnsi="宋体"/>
      <w:color w:val="7030A0"/>
      <w:szCs w:val="20"/>
    </w:rPr>
  </w:style>
  <w:style w:type="paragraph" w:customStyle="1" w:styleId="212">
    <w:name w:val="样式 左侧:  2 字符 段前: 0.5 行"/>
    <w:basedOn w:val="1"/>
    <w:qFormat/>
    <w:uiPriority w:val="0"/>
    <w:pPr>
      <w:spacing w:beforeLines="50"/>
      <w:ind w:firstLine="200" w:firstLineChars="200"/>
    </w:pPr>
    <w:rPr>
      <w:rFonts w:ascii="宋体" w:cs="宋体"/>
      <w:sz w:val="24"/>
      <w:szCs w:val="20"/>
    </w:rPr>
  </w:style>
  <w:style w:type="paragraph" w:customStyle="1" w:styleId="213">
    <w:name w:val="八级正文格式"/>
    <w:basedOn w:val="163"/>
    <w:qFormat/>
    <w:uiPriority w:val="0"/>
    <w:pPr>
      <w:spacing w:after="120"/>
      <w:ind w:firstLine="0" w:firstLineChars="0"/>
    </w:pPr>
  </w:style>
  <w:style w:type="paragraph" w:customStyle="1" w:styleId="214">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宋体" w:eastAsia="黑体" w:cs="宋体"/>
      <w:kern w:val="0"/>
      <w:szCs w:val="21"/>
    </w:rPr>
  </w:style>
  <w:style w:type="paragraph" w:customStyle="1" w:styleId="215">
    <w:name w:val="样式 样式 列表框 Char Char Char Char Char + 段后: 0.5 行 + 左侧:  6 字符 首行缩进..."/>
    <w:basedOn w:val="216"/>
    <w:qFormat/>
    <w:uiPriority w:val="0"/>
    <w:pPr>
      <w:tabs>
        <w:tab w:val="left" w:pos="420"/>
        <w:tab w:val="left" w:pos="2297"/>
      </w:tabs>
      <w:ind w:left="2297" w:leftChars="0" w:hanging="420" w:firstLineChars="0"/>
    </w:pPr>
  </w:style>
  <w:style w:type="paragraph" w:customStyle="1" w:styleId="216">
    <w:name w:val="样式 列表框 Char Char Char Char Char + 段后: 0.5 行"/>
    <w:basedOn w:val="217"/>
    <w:qFormat/>
    <w:uiPriority w:val="0"/>
    <w:pPr>
      <w:tabs>
        <w:tab w:val="left" w:pos="420"/>
      </w:tabs>
      <w:spacing w:after="156"/>
    </w:pPr>
    <w:rPr>
      <w:szCs w:val="20"/>
    </w:rPr>
  </w:style>
  <w:style w:type="paragraph" w:customStyle="1" w:styleId="217">
    <w:name w:val="正常文本 Char Char Char Char Char Char Char Char Char Char Char Char Char Char"/>
    <w:basedOn w:val="1"/>
    <w:qFormat/>
    <w:uiPriority w:val="0"/>
    <w:pPr>
      <w:spacing w:afterLines="50" w:line="320" w:lineRule="exact"/>
      <w:ind w:left="600" w:leftChars="600" w:firstLine="208" w:firstLineChars="208"/>
      <w:jc w:val="left"/>
    </w:pPr>
    <w:rPr>
      <w:rFonts w:ascii="宋体" w:hAnsi="宋体" w:eastAsia="楷体_GB2312"/>
      <w:color w:val="7030A0"/>
      <w:szCs w:val="18"/>
    </w:rPr>
  </w:style>
  <w:style w:type="paragraph" w:customStyle="1" w:styleId="21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19">
    <w:name w:val="条文 5"/>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22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宋体" w:hAnsi="宋体"/>
      <w:kern w:val="0"/>
      <w:sz w:val="24"/>
    </w:rPr>
  </w:style>
  <w:style w:type="paragraph" w:customStyle="1" w:styleId="221">
    <w:name w:val="xl7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222">
    <w:name w:val="正文111"/>
    <w:basedOn w:val="1"/>
    <w:qFormat/>
    <w:uiPriority w:val="0"/>
    <w:pPr>
      <w:tabs>
        <w:tab w:val="left" w:pos="840"/>
      </w:tabs>
      <w:snapToGrid w:val="0"/>
      <w:spacing w:line="500" w:lineRule="exact"/>
      <w:ind w:left="840" w:hanging="420"/>
    </w:pPr>
    <w:rPr>
      <w:rFonts w:ascii="宋体" w:hAnsi="宋体"/>
      <w:sz w:val="24"/>
      <w:szCs w:val="20"/>
    </w:rPr>
  </w:style>
  <w:style w:type="paragraph" w:customStyle="1" w:styleId="223">
    <w:name w:val="正文文本缩进 21"/>
    <w:basedOn w:val="1"/>
    <w:qFormat/>
    <w:uiPriority w:val="0"/>
    <w:pPr>
      <w:autoSpaceDE w:val="0"/>
      <w:autoSpaceDN w:val="0"/>
      <w:adjustRightInd w:val="0"/>
      <w:spacing w:line="360" w:lineRule="auto"/>
      <w:ind w:firstLine="360" w:firstLineChars="200"/>
      <w:jc w:val="left"/>
      <w:textAlignment w:val="baseline"/>
    </w:pPr>
    <w:rPr>
      <w:rFonts w:ascii="宋体"/>
      <w:color w:val="7030A0"/>
      <w:sz w:val="24"/>
      <w:szCs w:val="20"/>
    </w:rPr>
  </w:style>
  <w:style w:type="paragraph" w:customStyle="1" w:styleId="224">
    <w:name w:val="批注框文本1"/>
    <w:basedOn w:val="1"/>
    <w:qFormat/>
    <w:uiPriority w:val="0"/>
    <w:rPr>
      <w:sz w:val="16"/>
      <w:szCs w:val="16"/>
    </w:rPr>
  </w:style>
  <w:style w:type="paragraph" w:customStyle="1" w:styleId="225">
    <w:name w:val="*"/>
    <w:basedOn w:val="1"/>
    <w:qFormat/>
    <w:uiPriority w:val="0"/>
    <w:pPr>
      <w:spacing w:line="360" w:lineRule="auto"/>
    </w:pPr>
    <w:rPr>
      <w:rFonts w:ascii="宋体" w:hAnsi="宋体"/>
      <w:kern w:val="0"/>
      <w:sz w:val="24"/>
    </w:rPr>
  </w:style>
  <w:style w:type="paragraph" w:customStyle="1" w:styleId="226">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24"/>
    </w:rPr>
  </w:style>
  <w:style w:type="paragraph" w:customStyle="1" w:styleId="227">
    <w:name w:val="表格标题"/>
    <w:basedOn w:val="9"/>
    <w:qFormat/>
    <w:uiPriority w:val="0"/>
    <w:pPr>
      <w:keepNext w:val="0"/>
      <w:keepLines w:val="0"/>
      <w:tabs>
        <w:tab w:val="clear" w:pos="1008"/>
      </w:tabs>
      <w:spacing w:before="0" w:after="0" w:line="240" w:lineRule="auto"/>
      <w:ind w:left="0" w:firstLine="0"/>
      <w:jc w:val="center"/>
      <w:outlineLvl w:val="8"/>
    </w:pPr>
    <w:rPr>
      <w:b w:val="0"/>
      <w:bCs/>
      <w:sz w:val="21"/>
      <w:szCs w:val="28"/>
      <w:lang w:val="zh-CN"/>
    </w:rPr>
  </w:style>
  <w:style w:type="paragraph" w:customStyle="1" w:styleId="228">
    <w:name w:val="七级标题格式"/>
    <w:basedOn w:val="1"/>
    <w:qFormat/>
    <w:uiPriority w:val="0"/>
    <w:pPr>
      <w:spacing w:afterLines="50" w:line="336" w:lineRule="auto"/>
      <w:ind w:firstLine="200" w:firstLineChars="200"/>
      <w:jc w:val="left"/>
      <w:outlineLvl w:val="6"/>
    </w:pPr>
    <w:rPr>
      <w:color w:val="7030A0"/>
      <w:sz w:val="24"/>
    </w:rPr>
  </w:style>
  <w:style w:type="paragraph" w:customStyle="1" w:styleId="229">
    <w:name w:val="Part Title"/>
    <w:basedOn w:val="1"/>
    <w:next w:val="1"/>
    <w:qFormat/>
    <w:uiPriority w:val="0"/>
    <w:pPr>
      <w:keepNext/>
      <w:keepLines/>
      <w:widowControl/>
      <w:tabs>
        <w:tab w:val="left" w:pos="720"/>
        <w:tab w:val="left" w:pos="1080"/>
        <w:tab w:val="left" w:pos="1627"/>
      </w:tabs>
      <w:spacing w:before="600" w:after="120" w:line="300" w:lineRule="exact"/>
      <w:jc w:val="center"/>
    </w:pPr>
    <w:rPr>
      <w:rFonts w:ascii="Arial" w:hAnsi="Arial"/>
      <w:b/>
      <w:kern w:val="28"/>
      <w:sz w:val="36"/>
      <w:szCs w:val="20"/>
    </w:rPr>
  </w:style>
  <w:style w:type="paragraph" w:customStyle="1" w:styleId="230">
    <w:name w:val="表格文字"/>
    <w:basedOn w:val="202"/>
    <w:next w:val="1"/>
    <w:qFormat/>
    <w:uiPriority w:val="0"/>
  </w:style>
  <w:style w:type="paragraph" w:customStyle="1" w:styleId="231">
    <w:name w:val="二级标题格式"/>
    <w:basedOn w:val="4"/>
    <w:qFormat/>
    <w:uiPriority w:val="0"/>
    <w:pPr>
      <w:keepNext w:val="0"/>
      <w:keepLines w:val="0"/>
      <w:spacing w:before="0" w:afterLines="100" w:line="240" w:lineRule="auto"/>
      <w:jc w:val="left"/>
    </w:pPr>
    <w:rPr>
      <w:rFonts w:ascii="Times New Roman" w:hAnsi="Times New Roman"/>
      <w:b w:val="0"/>
      <w:color w:val="C00000"/>
      <w:sz w:val="28"/>
      <w:szCs w:val="28"/>
    </w:rPr>
  </w:style>
  <w:style w:type="paragraph" w:customStyle="1" w:styleId="232">
    <w:name w:val="样式 标题 1标题 1 1编号标题1标题1 + 宋体 加粗"/>
    <w:basedOn w:val="3"/>
    <w:qFormat/>
    <w:uiPriority w:val="0"/>
    <w:pPr>
      <w:keepNext w:val="0"/>
      <w:tabs>
        <w:tab w:val="left" w:pos="2340"/>
        <w:tab w:val="clear" w:pos="1440"/>
      </w:tabs>
      <w:spacing w:before="240" w:afterLines="50" w:line="360" w:lineRule="exact"/>
      <w:ind w:left="1304" w:hanging="1304"/>
      <w:jc w:val="left"/>
    </w:pPr>
    <w:rPr>
      <w:rFonts w:ascii="宋体" w:hAnsi="宋体" w:cs="Arial"/>
      <w:sz w:val="28"/>
      <w:szCs w:val="28"/>
    </w:rPr>
  </w:style>
  <w:style w:type="paragraph" w:customStyle="1" w:styleId="233">
    <w:name w:val="xl36"/>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34">
    <w:name w:val="列表框 Char Char Char Char Char"/>
    <w:basedOn w:val="217"/>
    <w:next w:val="217"/>
    <w:qFormat/>
    <w:uiPriority w:val="0"/>
    <w:pPr>
      <w:tabs>
        <w:tab w:val="left" w:pos="450"/>
        <w:tab w:val="left" w:pos="874"/>
      </w:tabs>
      <w:adjustRightInd w:val="0"/>
      <w:snapToGrid w:val="0"/>
      <w:ind w:left="874" w:leftChars="0" w:right="-5" w:rightChars="-5" w:hanging="420" w:firstLineChars="0"/>
    </w:pPr>
    <w:rPr>
      <w:rFonts w:ascii="Times New Roman" w:hAnsi="Times New Roman"/>
      <w:szCs w:val="21"/>
    </w:rPr>
  </w:style>
  <w:style w:type="paragraph" w:customStyle="1" w:styleId="235">
    <w:name w:val="Subhead 1"/>
    <w:basedOn w:val="1"/>
    <w:qFormat/>
    <w:uiPriority w:val="0"/>
    <w:pPr>
      <w:keepNext/>
      <w:pageBreakBefore/>
      <w:widowControl/>
      <w:tabs>
        <w:tab w:val="left" w:pos="1134"/>
        <w:tab w:val="left" w:pos="2552"/>
      </w:tabs>
      <w:autoSpaceDE w:val="0"/>
      <w:autoSpaceDN w:val="0"/>
      <w:adjustRightInd w:val="0"/>
      <w:spacing w:before="510" w:after="400" w:line="420" w:lineRule="atLeast"/>
      <w:ind w:left="1134" w:hanging="1134"/>
      <w:jc w:val="left"/>
    </w:pPr>
    <w:rPr>
      <w:rFonts w:ascii="Arial" w:hAnsi="Arial" w:eastAsia="黑体"/>
      <w:b/>
      <w:kern w:val="0"/>
      <w:sz w:val="32"/>
      <w:szCs w:val="20"/>
    </w:rPr>
  </w:style>
  <w:style w:type="paragraph" w:customStyle="1" w:styleId="236">
    <w:name w:val="正文文本2"/>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3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38">
    <w:name w:val="Sprechblasentext"/>
    <w:basedOn w:val="1"/>
    <w:qFormat/>
    <w:uiPriority w:val="0"/>
    <w:pPr>
      <w:spacing w:line="300" w:lineRule="atLeast"/>
      <w:ind w:firstLine="709"/>
    </w:pPr>
    <w:rPr>
      <w:rFonts w:ascii="Tahoma" w:hAnsi="Tahoma" w:cs="Tahoma"/>
      <w:sz w:val="16"/>
      <w:szCs w:val="16"/>
    </w:rPr>
  </w:style>
  <w:style w:type="paragraph" w:customStyle="1" w:styleId="239">
    <w:name w:val="p0"/>
    <w:basedOn w:val="1"/>
    <w:qFormat/>
    <w:uiPriority w:val="0"/>
    <w:pPr>
      <w:widowControl/>
    </w:pPr>
    <w:rPr>
      <w:kern w:val="0"/>
      <w:szCs w:val="21"/>
    </w:rPr>
  </w:style>
  <w:style w:type="paragraph" w:customStyle="1" w:styleId="240">
    <w:name w:val="样式 样式 标题 3 + 段前: 1 行 段后: 0.5 行 + 段前: 1 行 段后: 0.5 行"/>
    <w:basedOn w:val="1"/>
    <w:qFormat/>
    <w:uiPriority w:val="0"/>
    <w:pPr>
      <w:keepNext/>
      <w:keepLines/>
      <w:spacing w:beforeLines="100" w:afterLines="50"/>
      <w:ind w:firstLine="200" w:firstLineChars="200"/>
      <w:jc w:val="left"/>
      <w:outlineLvl w:val="2"/>
    </w:pPr>
    <w:rPr>
      <w:rFonts w:eastAsia="黑体" w:cs="宋体"/>
      <w:bCs/>
      <w:color w:val="7030A0"/>
      <w:sz w:val="22"/>
      <w:szCs w:val="22"/>
    </w:rPr>
  </w:style>
  <w:style w:type="paragraph" w:customStyle="1" w:styleId="241">
    <w:name w:val="表格正文"/>
    <w:basedOn w:val="1"/>
    <w:next w:val="1"/>
    <w:qFormat/>
    <w:uiPriority w:val="0"/>
    <w:pPr>
      <w:adjustRightInd w:val="0"/>
      <w:snapToGrid w:val="0"/>
      <w:jc w:val="center"/>
    </w:pPr>
    <w:rPr>
      <w:color w:val="548DD4"/>
    </w:rPr>
  </w:style>
  <w:style w:type="paragraph" w:customStyle="1" w:styleId="242">
    <w:name w:val="样式1"/>
    <w:basedOn w:val="50"/>
    <w:next w:val="1"/>
    <w:qFormat/>
    <w:uiPriority w:val="0"/>
    <w:pPr>
      <w:jc w:val="left"/>
    </w:pPr>
  </w:style>
  <w:style w:type="paragraph" w:customStyle="1" w:styleId="243">
    <w:name w:val="_Style 19"/>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45">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246">
    <w:name w:val="Body text 1"/>
    <w:basedOn w:val="1"/>
    <w:qFormat/>
    <w:uiPriority w:val="0"/>
    <w:pPr>
      <w:tabs>
        <w:tab w:val="left" w:pos="1134"/>
      </w:tabs>
      <w:autoSpaceDE w:val="0"/>
      <w:autoSpaceDN w:val="0"/>
      <w:adjustRightInd w:val="0"/>
      <w:spacing w:before="170" w:line="300" w:lineRule="atLeast"/>
      <w:ind w:left="1134" w:hanging="1134"/>
    </w:pPr>
    <w:rPr>
      <w:color w:val="000000"/>
      <w:kern w:val="0"/>
      <w:sz w:val="24"/>
      <w:szCs w:val="20"/>
    </w:rPr>
  </w:style>
  <w:style w:type="paragraph" w:customStyle="1" w:styleId="24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48">
    <w:name w:val="一级标题"/>
    <w:qFormat/>
    <w:uiPriority w:val="0"/>
    <w:pPr>
      <w:spacing w:before="480" w:after="120"/>
    </w:pPr>
    <w:rPr>
      <w:rFonts w:ascii="Times New Roman" w:hAnsi="Times New Roman" w:eastAsia="黑体" w:cs="Times New Roman"/>
      <w:b/>
      <w:kern w:val="2"/>
      <w:sz w:val="28"/>
      <w:lang w:val="en-US" w:eastAsia="zh-CN" w:bidi="ar-SA"/>
    </w:rPr>
  </w:style>
  <w:style w:type="paragraph" w:customStyle="1" w:styleId="249">
    <w:name w:val="xl74"/>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黑体" w:hAnsi="宋体" w:eastAsia="黑体" w:cs="宋体"/>
      <w:kern w:val="0"/>
      <w:szCs w:val="21"/>
    </w:rPr>
  </w:style>
  <w:style w:type="paragraph" w:customStyle="1" w:styleId="250">
    <w:name w:val="默认段落字体 Para Char Char Char Char Char Char Char"/>
    <w:basedOn w:val="1"/>
    <w:qFormat/>
    <w:uiPriority w:val="0"/>
    <w:pPr>
      <w:tabs>
        <w:tab w:val="left" w:pos="4665"/>
        <w:tab w:val="left" w:pos="8970"/>
      </w:tabs>
      <w:ind w:firstLine="400"/>
    </w:pPr>
    <w:rPr>
      <w:szCs w:val="20"/>
    </w:rPr>
  </w:style>
  <w:style w:type="paragraph" w:customStyle="1" w:styleId="251">
    <w:name w:val="mjd"/>
    <w:basedOn w:val="1"/>
    <w:qFormat/>
    <w:uiPriority w:val="0"/>
    <w:pPr>
      <w:tabs>
        <w:tab w:val="left" w:pos="1080"/>
        <w:tab w:val="left" w:pos="6960"/>
      </w:tabs>
      <w:autoSpaceDE w:val="0"/>
      <w:autoSpaceDN w:val="0"/>
      <w:adjustRightInd w:val="0"/>
      <w:spacing w:line="312" w:lineRule="atLeast"/>
      <w:ind w:left="1080" w:hanging="1080"/>
      <w:jc w:val="left"/>
    </w:pPr>
    <w:rPr>
      <w:rFonts w:hint="eastAsia" w:ascii="宋体" w:hAnsi="Tms Rmn"/>
      <w:kern w:val="0"/>
      <w:szCs w:val="20"/>
    </w:rPr>
  </w:style>
  <w:style w:type="paragraph" w:customStyle="1" w:styleId="252">
    <w:name w:val="xl40"/>
    <w:basedOn w:val="1"/>
    <w:qFormat/>
    <w:uiPriority w:val="0"/>
    <w:pPr>
      <w:widowControl/>
      <w:pBdr>
        <w:top w:val="single" w:color="auto" w:sz="4" w:space="0"/>
        <w:bottom w:val="single" w:color="auto" w:sz="4" w:space="0"/>
      </w:pBdr>
      <w:spacing w:before="100" w:beforeAutospacing="1" w:after="100" w:afterAutospacing="1"/>
      <w:jc w:val="left"/>
    </w:pPr>
    <w:rPr>
      <w:kern w:val="0"/>
      <w:sz w:val="24"/>
    </w:rPr>
  </w:style>
  <w:style w:type="paragraph" w:customStyle="1" w:styleId="253">
    <w:name w:val="招标文件》"/>
    <w:basedOn w:val="254"/>
    <w:qFormat/>
    <w:uiPriority w:val="0"/>
    <w:pPr>
      <w:tabs>
        <w:tab w:val="left" w:pos="560"/>
      </w:tabs>
      <w:ind w:left="200" w:firstLine="0" w:firstLineChars="0"/>
    </w:pPr>
  </w:style>
  <w:style w:type="paragraph" w:customStyle="1" w:styleId="254">
    <w:name w:val="招标文件正文"/>
    <w:qFormat/>
    <w:uiPriority w:val="0"/>
    <w:pPr>
      <w:spacing w:before="120" w:after="120" w:line="300" w:lineRule="auto"/>
      <w:ind w:firstLine="200" w:firstLineChars="200"/>
    </w:pPr>
    <w:rPr>
      <w:rFonts w:ascii="宋体" w:hAnsi="Times New Roman" w:eastAsia="宋体" w:cs="Times New Roman"/>
      <w:spacing w:val="10"/>
      <w:w w:val="95"/>
      <w:sz w:val="21"/>
      <w:lang w:val="en-US" w:eastAsia="zh-CN" w:bidi="ar-SA"/>
    </w:rPr>
  </w:style>
  <w:style w:type="paragraph" w:customStyle="1" w:styleId="255">
    <w:name w:val="Numbered List"/>
    <w:basedOn w:val="50"/>
    <w:qFormat/>
    <w:uiPriority w:val="0"/>
    <w:pPr>
      <w:widowControl/>
      <w:pBdr>
        <w:bottom w:val="none" w:color="auto" w:sz="0" w:space="0"/>
      </w:pBdr>
      <w:tabs>
        <w:tab w:val="left" w:pos="360"/>
        <w:tab w:val="clear" w:pos="4153"/>
        <w:tab w:val="clear" w:pos="8306"/>
      </w:tabs>
      <w:snapToGrid/>
      <w:ind w:left="360" w:hanging="360"/>
      <w:jc w:val="left"/>
    </w:pPr>
    <w:rPr>
      <w:rFonts w:ascii="Univers" w:hAnsi="Univers"/>
      <w:kern w:val="0"/>
      <w:sz w:val="22"/>
      <w:szCs w:val="20"/>
    </w:rPr>
  </w:style>
  <w:style w:type="paragraph" w:customStyle="1" w:styleId="256">
    <w:name w:val="列出段落1"/>
    <w:basedOn w:val="1"/>
    <w:qFormat/>
    <w:uiPriority w:val="34"/>
    <w:pPr>
      <w:ind w:firstLine="420" w:firstLineChars="200"/>
    </w:pPr>
    <w:rPr>
      <w:szCs w:val="20"/>
    </w:rPr>
  </w:style>
  <w:style w:type="paragraph" w:customStyle="1" w:styleId="257">
    <w:name w:val="font6"/>
    <w:basedOn w:val="1"/>
    <w:qFormat/>
    <w:uiPriority w:val="0"/>
    <w:pPr>
      <w:widowControl/>
      <w:spacing w:before="100" w:beforeAutospacing="1" w:after="100" w:afterAutospacing="1"/>
      <w:jc w:val="left"/>
    </w:pPr>
    <w:rPr>
      <w:rFonts w:hint="eastAsia" w:ascii="宋体" w:hAnsi="宋体"/>
      <w:kern w:val="0"/>
      <w:sz w:val="20"/>
      <w:szCs w:val="20"/>
    </w:rPr>
  </w:style>
  <w:style w:type="paragraph" w:customStyle="1" w:styleId="258">
    <w:name w:val="font7"/>
    <w:basedOn w:val="1"/>
    <w:qFormat/>
    <w:uiPriority w:val="0"/>
    <w:pPr>
      <w:widowControl/>
      <w:spacing w:before="100" w:beforeAutospacing="1" w:after="100" w:afterAutospacing="1"/>
      <w:jc w:val="left"/>
    </w:pPr>
    <w:rPr>
      <w:rFonts w:ascii="宋体" w:hAnsi="宋体" w:cs="宋体"/>
      <w:kern w:val="0"/>
      <w:szCs w:val="21"/>
    </w:rPr>
  </w:style>
  <w:style w:type="paragraph" w:customStyle="1" w:styleId="259">
    <w:name w:val="xl52"/>
    <w:basedOn w:val="1"/>
    <w:qFormat/>
    <w:uiPriority w:val="0"/>
    <w:pPr>
      <w:widowControl/>
      <w:pBdr>
        <w:top w:val="single" w:color="auto" w:sz="4" w:space="0"/>
        <w:left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60">
    <w:name w:val="正文3"/>
    <w:qFormat/>
    <w:uiPriority w:val="0"/>
    <w:pPr>
      <w:spacing w:line="400" w:lineRule="exact"/>
      <w:ind w:firstLine="200" w:firstLineChars="200"/>
      <w:jc w:val="both"/>
    </w:pPr>
    <w:rPr>
      <w:rFonts w:ascii="Times New Roman" w:hAnsi="Times New Roman" w:eastAsia="宋体" w:cs="Times New Roman"/>
      <w:kern w:val="2"/>
      <w:sz w:val="24"/>
      <w:lang w:val="en-US" w:eastAsia="zh-CN" w:bidi="ar-SA"/>
    </w:rPr>
  </w:style>
  <w:style w:type="paragraph" w:customStyle="1" w:styleId="261">
    <w:name w:val="Char1 Char Char1 Char Char Char Char Char Char"/>
    <w:basedOn w:val="1"/>
    <w:qFormat/>
    <w:uiPriority w:val="0"/>
  </w:style>
  <w:style w:type="paragraph" w:customStyle="1" w:styleId="262">
    <w:name w:val="正文文本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63">
    <w:name w:val="样式 标题 5 + 右侧:  -0.18 字符"/>
    <w:basedOn w:val="1"/>
    <w:qFormat/>
    <w:uiPriority w:val="0"/>
    <w:pPr>
      <w:tabs>
        <w:tab w:val="left" w:pos="1008"/>
      </w:tabs>
      <w:ind w:left="1134" w:hanging="1134"/>
    </w:pPr>
  </w:style>
  <w:style w:type="paragraph" w:customStyle="1" w:styleId="264">
    <w:name w:val="xl24"/>
    <w:basedOn w:val="1"/>
    <w:qFormat/>
    <w:uiPriority w:val="0"/>
    <w:pPr>
      <w:widowControl/>
      <w:spacing w:before="100" w:beforeAutospacing="1" w:after="100" w:afterAutospacing="1"/>
      <w:jc w:val="left"/>
    </w:pPr>
    <w:rPr>
      <w:kern w:val="0"/>
      <w:sz w:val="24"/>
    </w:rPr>
  </w:style>
  <w:style w:type="paragraph" w:customStyle="1" w:styleId="265">
    <w:name w:val="xl28"/>
    <w:basedOn w:val="1"/>
    <w:qFormat/>
    <w:uiPriority w:val="0"/>
    <w:pPr>
      <w:widowControl/>
      <w:spacing w:before="100" w:beforeAutospacing="1" w:after="100" w:afterAutospacing="1"/>
      <w:jc w:val="center"/>
    </w:pPr>
    <w:rPr>
      <w:kern w:val="0"/>
      <w:sz w:val="24"/>
    </w:rPr>
  </w:style>
  <w:style w:type="paragraph" w:customStyle="1" w:styleId="266">
    <w:name w:val="默认段落字体 Para Char Char Char Char"/>
    <w:basedOn w:val="1"/>
    <w:qFormat/>
    <w:uiPriority w:val="0"/>
    <w:rPr>
      <w:szCs w:val="20"/>
    </w:rPr>
  </w:style>
  <w:style w:type="paragraph" w:customStyle="1" w:styleId="267">
    <w:name w:val="註解方塊文字"/>
    <w:basedOn w:val="1"/>
    <w:qFormat/>
    <w:uiPriority w:val="0"/>
    <w:pPr>
      <w:widowControl/>
      <w:jc w:val="left"/>
    </w:pPr>
    <w:rPr>
      <w:rFonts w:ascii="Arial" w:hAnsi="Arial" w:eastAsia="PMingLiU"/>
      <w:kern w:val="0"/>
      <w:sz w:val="18"/>
      <w:szCs w:val="18"/>
      <w:lang w:eastAsia="zh-HK"/>
    </w:rPr>
  </w:style>
  <w:style w:type="paragraph" w:customStyle="1" w:styleId="268">
    <w:name w:val="标题四"/>
    <w:basedOn w:val="269"/>
    <w:semiHidden/>
    <w:qFormat/>
    <w:uiPriority w:val="0"/>
    <w:pPr>
      <w:tabs>
        <w:tab w:val="left" w:pos="0"/>
      </w:tabs>
      <w:spacing w:line="360" w:lineRule="auto"/>
      <w:ind w:left="0"/>
    </w:pPr>
    <w:rPr>
      <w:rFonts w:ascii="Tahoma" w:hAnsi="Tahoma"/>
      <w:sz w:val="24"/>
      <w:szCs w:val="24"/>
    </w:rPr>
  </w:style>
  <w:style w:type="paragraph" w:customStyle="1" w:styleId="269">
    <w:name w:val="招标文件1.1.1"/>
    <w:qFormat/>
    <w:uiPriority w:val="0"/>
    <w:pPr>
      <w:spacing w:before="120" w:after="120" w:line="480" w:lineRule="exact"/>
      <w:ind w:left="200"/>
      <w:outlineLvl w:val="3"/>
    </w:pPr>
    <w:rPr>
      <w:rFonts w:ascii="宋体" w:hAnsi="Times New Roman" w:eastAsia="宋体" w:cs="Times New Roman"/>
      <w:b/>
      <w:spacing w:val="10"/>
      <w:w w:val="95"/>
      <w:sz w:val="21"/>
      <w:lang w:val="en-US" w:eastAsia="zh-CN" w:bidi="ar-SA"/>
    </w:rPr>
  </w:style>
  <w:style w:type="paragraph" w:customStyle="1" w:styleId="270">
    <w:name w:val="font5"/>
    <w:basedOn w:val="1"/>
    <w:qFormat/>
    <w:uiPriority w:val="0"/>
    <w:pPr>
      <w:widowControl/>
      <w:spacing w:before="100" w:beforeAutospacing="1" w:after="100" w:afterAutospacing="1"/>
      <w:jc w:val="left"/>
    </w:pPr>
    <w:rPr>
      <w:b/>
      <w:bCs/>
      <w:kern w:val="0"/>
      <w:sz w:val="22"/>
      <w:szCs w:val="22"/>
    </w:rPr>
  </w:style>
  <w:style w:type="paragraph" w:customStyle="1" w:styleId="271">
    <w:name w:val="Char Char Char Char Char"/>
    <w:basedOn w:val="1"/>
    <w:qFormat/>
    <w:uiPriority w:val="0"/>
    <w:pPr>
      <w:ind w:firstLine="200" w:firstLineChars="200"/>
      <w:jc w:val="left"/>
    </w:pPr>
    <w:rPr>
      <w:rFonts w:ascii="Tahoma" w:hAnsi="Tahoma"/>
      <w:color w:val="7030A0"/>
      <w:sz w:val="24"/>
      <w:szCs w:val="20"/>
    </w:rPr>
  </w:style>
  <w:style w:type="paragraph" w:customStyle="1" w:styleId="272">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cs="宋体"/>
      <w:kern w:val="0"/>
      <w:sz w:val="20"/>
      <w:szCs w:val="20"/>
    </w:rPr>
  </w:style>
  <w:style w:type="paragraph" w:customStyle="1" w:styleId="273">
    <w:name w:val="样式 标题 4 + 段前: 自动"/>
    <w:basedOn w:val="8"/>
    <w:qFormat/>
    <w:uiPriority w:val="0"/>
    <w:pPr>
      <w:tabs>
        <w:tab w:val="left" w:pos="1062"/>
      </w:tabs>
      <w:spacing w:beforeLines="50" w:after="0" w:line="400" w:lineRule="exact"/>
      <w:ind w:left="1062" w:hanging="864"/>
    </w:pPr>
    <w:rPr>
      <w:rFonts w:ascii="宋体" w:hAnsi="Arial" w:cs="宋体"/>
      <w:sz w:val="24"/>
      <w:szCs w:val="24"/>
    </w:rPr>
  </w:style>
  <w:style w:type="paragraph" w:customStyle="1" w:styleId="274">
    <w:name w:val="顺序编号-zlb"/>
    <w:basedOn w:val="275"/>
    <w:qFormat/>
    <w:uiPriority w:val="0"/>
    <w:pPr>
      <w:tabs>
        <w:tab w:val="left" w:pos="0"/>
      </w:tabs>
      <w:ind w:firstLine="425"/>
      <w:outlineLvl w:val="8"/>
    </w:pPr>
  </w:style>
  <w:style w:type="paragraph" w:customStyle="1" w:styleId="275">
    <w:name w:val="级别4"/>
    <w:basedOn w:val="276"/>
    <w:qFormat/>
    <w:uiPriority w:val="0"/>
    <w:pPr>
      <w:tabs>
        <w:tab w:val="left" w:pos="0"/>
      </w:tabs>
      <w:outlineLvl w:val="3"/>
    </w:pPr>
    <w:rPr>
      <w:b w:val="0"/>
      <w:kern w:val="0"/>
    </w:rPr>
  </w:style>
  <w:style w:type="paragraph" w:customStyle="1" w:styleId="276">
    <w:name w:val="级别2"/>
    <w:basedOn w:val="3"/>
    <w:qFormat/>
    <w:uiPriority w:val="0"/>
    <w:pPr>
      <w:keepNext w:val="0"/>
      <w:keepLines w:val="0"/>
      <w:tabs>
        <w:tab w:val="left" w:pos="0"/>
        <w:tab w:val="clear" w:pos="1440"/>
      </w:tabs>
      <w:adjustRightInd w:val="0"/>
      <w:snapToGrid w:val="0"/>
      <w:spacing w:before="0" w:after="0" w:line="360" w:lineRule="auto"/>
      <w:ind w:left="0" w:firstLine="0"/>
      <w:outlineLvl w:val="1"/>
    </w:pPr>
    <w:rPr>
      <w:rFonts w:ascii="宋体" w:hAnsi="宋体"/>
      <w:bCs w:val="0"/>
      <w:sz w:val="24"/>
      <w:szCs w:val="24"/>
    </w:rPr>
  </w:style>
  <w:style w:type="paragraph" w:customStyle="1" w:styleId="27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78">
    <w:name w:val="专用"/>
    <w:basedOn w:val="1"/>
    <w:qFormat/>
    <w:uiPriority w:val="0"/>
    <w:pPr>
      <w:spacing w:afterLines="100"/>
      <w:ind w:left="838" w:hanging="838" w:hangingChars="262"/>
    </w:pPr>
    <w:rPr>
      <w:rFonts w:ascii="宋体"/>
      <w:b/>
      <w:color w:val="000000"/>
      <w:sz w:val="32"/>
      <w:szCs w:val="20"/>
    </w:rPr>
  </w:style>
  <w:style w:type="paragraph" w:customStyle="1" w:styleId="279">
    <w:name w:val="xl56"/>
    <w:basedOn w:val="1"/>
    <w:qFormat/>
    <w:uiPriority w:val="0"/>
    <w:pPr>
      <w:widowControl/>
      <w:pBdr>
        <w:top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80">
    <w:name w:val="llp2"/>
    <w:basedOn w:val="1"/>
    <w:qFormat/>
    <w:uiPriority w:val="0"/>
    <w:pPr>
      <w:spacing w:beforeLines="100" w:afterLines="100" w:line="240" w:lineRule="atLeast"/>
      <w:ind w:firstLine="200" w:firstLineChars="200"/>
      <w:jc w:val="left"/>
      <w:outlineLvl w:val="1"/>
    </w:pPr>
    <w:rPr>
      <w:rFonts w:eastAsia="黑体"/>
      <w:color w:val="7030A0"/>
      <w:sz w:val="32"/>
      <w:szCs w:val="32"/>
    </w:rPr>
  </w:style>
  <w:style w:type="paragraph" w:customStyle="1" w:styleId="281">
    <w:name w:val="Sub title 1"/>
    <w:basedOn w:val="262"/>
    <w:qFormat/>
    <w:uiPriority w:val="0"/>
    <w:pPr>
      <w:tabs>
        <w:tab w:val="left" w:pos="1304"/>
      </w:tabs>
      <w:ind w:left="1304" w:hanging="170"/>
    </w:pPr>
    <w:rPr>
      <w:color w:val="auto"/>
    </w:rPr>
  </w:style>
  <w:style w:type="paragraph" w:customStyle="1" w:styleId="282">
    <w:name w:val="xl47"/>
    <w:basedOn w:val="1"/>
    <w:qFormat/>
    <w:uiPriority w:val="0"/>
    <w:pPr>
      <w:widowControl/>
      <w:pBdr>
        <w:left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83">
    <w:name w:val="样式 样式 首行缩进:  2 字符 + 首行缩进:  2 字符"/>
    <w:basedOn w:val="1"/>
    <w:qFormat/>
    <w:uiPriority w:val="0"/>
    <w:pPr>
      <w:spacing w:line="360" w:lineRule="auto"/>
      <w:ind w:firstLine="200" w:firstLineChars="200"/>
      <w:jc w:val="left"/>
    </w:pPr>
    <w:rPr>
      <w:rFonts w:cs="宋体"/>
      <w:color w:val="7030A0"/>
      <w:szCs w:val="20"/>
    </w:rPr>
  </w:style>
  <w:style w:type="paragraph" w:customStyle="1" w:styleId="284">
    <w:name w:val="正缩2字符"/>
    <w:basedOn w:val="1"/>
    <w:qFormat/>
    <w:uiPriority w:val="0"/>
    <w:pPr>
      <w:spacing w:line="480" w:lineRule="exact"/>
      <w:ind w:firstLine="200" w:firstLineChars="200"/>
    </w:pPr>
    <w:rPr>
      <w:sz w:val="24"/>
    </w:rPr>
  </w:style>
  <w:style w:type="paragraph" w:customStyle="1" w:styleId="285">
    <w:name w:val="招标文件1.1.1.1"/>
    <w:basedOn w:val="1"/>
    <w:qFormat/>
    <w:uiPriority w:val="0"/>
    <w:pPr>
      <w:spacing w:before="120" w:after="120" w:line="480" w:lineRule="exact"/>
      <w:ind w:left="200" w:firstLine="200" w:firstLineChars="200"/>
      <w:jc w:val="left"/>
      <w:outlineLvl w:val="4"/>
    </w:pPr>
    <w:rPr>
      <w:rFonts w:ascii="宋体"/>
      <w:b/>
      <w:color w:val="7030A0"/>
      <w:spacing w:val="10"/>
      <w:w w:val="95"/>
    </w:rPr>
  </w:style>
  <w:style w:type="paragraph" w:customStyle="1" w:styleId="286">
    <w:name w:val="样式 样式 宋体 小四 左侧:  1.85 厘米 段前: 11.15 磅 段后: 11.15 磅 + 图案: 清除 (白色)"/>
    <w:basedOn w:val="1"/>
    <w:qFormat/>
    <w:uiPriority w:val="0"/>
    <w:pPr>
      <w:snapToGrid w:val="0"/>
      <w:ind w:left="1049" w:firstLine="200" w:firstLineChars="200"/>
      <w:jc w:val="left"/>
    </w:pPr>
    <w:rPr>
      <w:color w:val="7030A0"/>
      <w:sz w:val="24"/>
      <w:shd w:val="clear" w:color="auto" w:fill="FFFFFF"/>
    </w:rPr>
  </w:style>
  <w:style w:type="paragraph" w:customStyle="1" w:styleId="287">
    <w:name w:val="标书正文1"/>
    <w:basedOn w:val="1"/>
    <w:qFormat/>
    <w:uiPriority w:val="0"/>
    <w:pPr>
      <w:tabs>
        <w:tab w:val="left" w:pos="1438"/>
      </w:tabs>
      <w:spacing w:before="100" w:after="100" w:line="360" w:lineRule="auto"/>
      <w:ind w:left="1438" w:hanging="720"/>
    </w:pPr>
    <w:rPr>
      <w:rFonts w:ascii="宋体" w:hAnsi="宋体"/>
    </w:rPr>
  </w:style>
  <w:style w:type="paragraph" w:customStyle="1" w:styleId="288">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89">
    <w:name w:val="级别3"/>
    <w:basedOn w:val="276"/>
    <w:qFormat/>
    <w:uiPriority w:val="0"/>
    <w:pPr>
      <w:ind w:firstLine="425"/>
      <w:outlineLvl w:val="2"/>
    </w:pPr>
    <w:rPr>
      <w:b w:val="0"/>
    </w:rPr>
  </w:style>
  <w:style w:type="paragraph" w:customStyle="1" w:styleId="290">
    <w:name w:val="招标文件1）"/>
    <w:qFormat/>
    <w:uiPriority w:val="0"/>
    <w:pPr>
      <w:spacing w:before="120" w:after="120" w:line="300" w:lineRule="auto"/>
      <w:outlineLvl w:val="5"/>
    </w:pPr>
    <w:rPr>
      <w:rFonts w:ascii="宋体" w:hAnsi="Times New Roman" w:eastAsia="宋体" w:cs="Times New Roman"/>
      <w:spacing w:val="10"/>
      <w:w w:val="95"/>
      <w:sz w:val="21"/>
      <w:lang w:val="en-US" w:eastAsia="zh-CN" w:bidi="ar-SA"/>
    </w:rPr>
  </w:style>
  <w:style w:type="paragraph" w:customStyle="1" w:styleId="291">
    <w:name w:val="样式 标题 3列表编号33 bulletb23 bullet1b1213 bullet2b2223 bul...2"/>
    <w:basedOn w:val="1"/>
    <w:qFormat/>
    <w:uiPriority w:val="0"/>
    <w:pPr>
      <w:ind w:left="1320" w:hanging="420" w:firstLineChars="200"/>
      <w:jc w:val="left"/>
    </w:pPr>
    <w:rPr>
      <w:color w:val="7030A0"/>
    </w:rPr>
  </w:style>
  <w:style w:type="paragraph" w:customStyle="1" w:styleId="292">
    <w:name w:val="xl53"/>
    <w:basedOn w:val="1"/>
    <w:qFormat/>
    <w:uiPriority w:val="0"/>
    <w:pPr>
      <w:widowControl/>
      <w:pBdr>
        <w:left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93">
    <w:name w:val="附图 BJ8"/>
    <w:basedOn w:val="1"/>
    <w:qFormat/>
    <w:uiPriority w:val="0"/>
    <w:pPr>
      <w:adjustRightInd w:val="0"/>
      <w:snapToGrid w:val="0"/>
      <w:ind w:firstLine="200" w:firstLineChars="200"/>
      <w:jc w:val="center"/>
    </w:pPr>
    <w:rPr>
      <w:rFonts w:hAnsi="Arial"/>
      <w:color w:val="7030A0"/>
      <w:kern w:val="0"/>
    </w:rPr>
  </w:style>
  <w:style w:type="paragraph" w:customStyle="1" w:styleId="294">
    <w:name w:val="xl54"/>
    <w:basedOn w:val="1"/>
    <w:qFormat/>
    <w:uiPriority w:val="0"/>
    <w:pPr>
      <w:widowControl/>
      <w:pBdr>
        <w:left w:val="single" w:color="auto" w:sz="4" w:space="0"/>
        <w:bottom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95">
    <w:name w:val="招标文件1"/>
    <w:basedOn w:val="1"/>
    <w:qFormat/>
    <w:uiPriority w:val="0"/>
    <w:pPr>
      <w:tabs>
        <w:tab w:val="left" w:pos="420"/>
      </w:tabs>
      <w:spacing w:before="120" w:after="120" w:line="480" w:lineRule="exact"/>
      <w:ind w:left="200" w:firstLine="200" w:firstLineChars="200"/>
      <w:jc w:val="left"/>
      <w:outlineLvl w:val="1"/>
    </w:pPr>
    <w:rPr>
      <w:rFonts w:ascii="宋体"/>
      <w:b/>
      <w:color w:val="7030A0"/>
      <w:spacing w:val="10"/>
      <w:w w:val="95"/>
      <w:kern w:val="0"/>
      <w:sz w:val="28"/>
    </w:rPr>
  </w:style>
  <w:style w:type="paragraph" w:customStyle="1" w:styleId="296">
    <w:name w:val="Report Level 1"/>
    <w:basedOn w:val="1"/>
    <w:next w:val="297"/>
    <w:qFormat/>
    <w:uiPriority w:val="0"/>
    <w:pPr>
      <w:keepNext/>
      <w:widowControl/>
      <w:tabs>
        <w:tab w:val="left" w:pos="1080"/>
      </w:tabs>
      <w:spacing w:before="240" w:after="240" w:line="360" w:lineRule="auto"/>
      <w:ind w:left="1080" w:hanging="1080" w:firstLineChars="200"/>
      <w:jc w:val="left"/>
      <w:outlineLvl w:val="0"/>
    </w:pPr>
    <w:rPr>
      <w:rFonts w:ascii="Arial" w:hAnsi="Arial"/>
      <w:b/>
      <w:caps/>
      <w:color w:val="7030A0"/>
      <w:kern w:val="0"/>
      <w:sz w:val="24"/>
      <w:szCs w:val="21"/>
      <w:lang w:val="en-GB"/>
    </w:rPr>
  </w:style>
  <w:style w:type="paragraph" w:customStyle="1" w:styleId="297">
    <w:name w:val="Report Text"/>
    <w:basedOn w:val="1"/>
    <w:qFormat/>
    <w:uiPriority w:val="0"/>
    <w:pPr>
      <w:widowControl/>
      <w:spacing w:after="138"/>
      <w:ind w:left="1080" w:firstLine="200" w:firstLineChars="200"/>
      <w:jc w:val="left"/>
    </w:pPr>
    <w:rPr>
      <w:color w:val="7030A0"/>
      <w:kern w:val="0"/>
      <w:sz w:val="22"/>
      <w:szCs w:val="20"/>
      <w:lang w:val="en-GB" w:eastAsia="en-US"/>
    </w:rPr>
  </w:style>
  <w:style w:type="paragraph" w:customStyle="1" w:styleId="298">
    <w:name w:val="xl59"/>
    <w:basedOn w:val="1"/>
    <w:qFormat/>
    <w:uiPriority w:val="0"/>
    <w:pPr>
      <w:widowControl/>
      <w:pBdr>
        <w:bottom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99">
    <w:name w:val="xl45"/>
    <w:basedOn w:val="1"/>
    <w:qFormat/>
    <w:uiPriority w:val="0"/>
    <w:pPr>
      <w:widowControl/>
      <w:pBdr>
        <w:bottom w:val="single" w:color="auto" w:sz="4" w:space="0"/>
        <w:right w:val="single" w:color="auto" w:sz="4" w:space="0"/>
      </w:pBdr>
      <w:spacing w:before="100" w:after="100"/>
      <w:ind w:firstLine="200" w:firstLineChars="200"/>
      <w:jc w:val="center"/>
      <w:textAlignment w:val="center"/>
    </w:pPr>
    <w:rPr>
      <w:rFonts w:eastAsia="Arial Unicode MS"/>
      <w:color w:val="7030A0"/>
      <w:kern w:val="0"/>
      <w:sz w:val="22"/>
      <w:szCs w:val="20"/>
    </w:rPr>
  </w:style>
  <w:style w:type="paragraph" w:customStyle="1" w:styleId="300">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24"/>
    </w:rPr>
  </w:style>
  <w:style w:type="paragraph" w:customStyle="1" w:styleId="301">
    <w:name w:val="xl58"/>
    <w:basedOn w:val="1"/>
    <w:qFormat/>
    <w:uiPriority w:val="0"/>
    <w:pPr>
      <w:widowControl/>
      <w:pBdr>
        <w:left w:val="single" w:color="auto" w:sz="4" w:space="0"/>
        <w:bottom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302">
    <w:name w:val="级别5"/>
    <w:basedOn w:val="275"/>
    <w:qFormat/>
    <w:uiPriority w:val="0"/>
    <w:pPr>
      <w:outlineLvl w:val="4"/>
    </w:pPr>
  </w:style>
  <w:style w:type="paragraph" w:customStyle="1" w:styleId="303">
    <w:name w:val="xl43"/>
    <w:basedOn w:val="1"/>
    <w:qFormat/>
    <w:uiPriority w:val="0"/>
    <w:pPr>
      <w:widowControl/>
      <w:pBdr>
        <w:top w:val="single" w:color="auto" w:sz="4" w:space="0"/>
        <w:left w:val="single" w:color="auto" w:sz="4" w:space="0"/>
        <w:bottom w:val="single" w:color="auto" w:sz="4" w:space="0"/>
        <w:right w:val="single" w:color="auto" w:sz="4" w:space="0"/>
      </w:pBdr>
      <w:spacing w:before="100" w:after="100"/>
      <w:ind w:firstLine="200" w:firstLineChars="200"/>
      <w:jc w:val="center"/>
    </w:pPr>
    <w:rPr>
      <w:rFonts w:eastAsia="Arial Unicode MS"/>
      <w:color w:val="7030A0"/>
      <w:kern w:val="0"/>
      <w:szCs w:val="20"/>
    </w:rPr>
  </w:style>
  <w:style w:type="paragraph" w:customStyle="1" w:styleId="304">
    <w:name w:val="级别1"/>
    <w:basedOn w:val="3"/>
    <w:qFormat/>
    <w:uiPriority w:val="0"/>
    <w:pPr>
      <w:keepNext w:val="0"/>
      <w:keepLines w:val="0"/>
      <w:tabs>
        <w:tab w:val="left" w:pos="-1620"/>
        <w:tab w:val="clear" w:pos="1440"/>
      </w:tabs>
      <w:adjustRightInd w:val="0"/>
      <w:snapToGrid w:val="0"/>
      <w:spacing w:before="0" w:after="0" w:line="360" w:lineRule="auto"/>
      <w:ind w:left="2098" w:hanging="2098"/>
    </w:pPr>
    <w:rPr>
      <w:rFonts w:ascii="宋体" w:hAnsi="宋体"/>
      <w:bCs w:val="0"/>
      <w:sz w:val="28"/>
      <w:szCs w:val="28"/>
    </w:rPr>
  </w:style>
  <w:style w:type="paragraph" w:customStyle="1" w:styleId="305">
    <w:name w:val="纯文本1"/>
    <w:basedOn w:val="1"/>
    <w:qFormat/>
    <w:uiPriority w:val="0"/>
    <w:pPr>
      <w:adjustRightInd w:val="0"/>
      <w:spacing w:line="312" w:lineRule="atLeast"/>
      <w:ind w:firstLine="567" w:firstLineChars="200"/>
      <w:jc w:val="left"/>
      <w:textAlignment w:val="baseline"/>
    </w:pPr>
    <w:rPr>
      <w:rFonts w:ascii="宋体" w:hAnsi="Courier New"/>
      <w:color w:val="7030A0"/>
      <w:kern w:val="0"/>
      <w:sz w:val="28"/>
    </w:rPr>
  </w:style>
  <w:style w:type="paragraph" w:customStyle="1" w:styleId="306">
    <w:name w:val="应答文本"/>
    <w:basedOn w:val="1"/>
    <w:qFormat/>
    <w:uiPriority w:val="0"/>
    <w:pPr>
      <w:adjustRightInd w:val="0"/>
      <w:spacing w:afterLines="50" w:line="320" w:lineRule="exact"/>
      <w:ind w:left="480" w:leftChars="200" w:firstLine="460" w:firstLineChars="200"/>
      <w:jc w:val="left"/>
    </w:pPr>
    <w:rPr>
      <w:rFonts w:ascii="Arial" w:hAnsi="Arial" w:eastAsia="楷体_GB2312" w:cs="宋体"/>
      <w:color w:val="7030A0"/>
      <w:spacing w:val="10"/>
      <w:kern w:val="0"/>
      <w:szCs w:val="20"/>
    </w:rPr>
  </w:style>
  <w:style w:type="paragraph" w:customStyle="1" w:styleId="307">
    <w:name w:val="标准"/>
    <w:basedOn w:val="1"/>
    <w:qFormat/>
    <w:uiPriority w:val="0"/>
    <w:pPr>
      <w:adjustRightInd w:val="0"/>
      <w:spacing w:line="312" w:lineRule="atLeast"/>
      <w:jc w:val="center"/>
      <w:textAlignment w:val="baseline"/>
    </w:pPr>
    <w:rPr>
      <w:kern w:val="24"/>
      <w:sz w:val="24"/>
    </w:rPr>
  </w:style>
  <w:style w:type="paragraph" w:customStyle="1" w:styleId="308">
    <w:name w:val="1.1"/>
    <w:basedOn w:val="4"/>
    <w:qFormat/>
    <w:uiPriority w:val="0"/>
    <w:pPr>
      <w:keepNext w:val="0"/>
      <w:keepLines w:val="0"/>
      <w:tabs>
        <w:tab w:val="left" w:pos="180"/>
      </w:tabs>
      <w:autoSpaceDE w:val="0"/>
      <w:autoSpaceDN w:val="0"/>
      <w:adjustRightInd w:val="0"/>
      <w:spacing w:before="0" w:after="0" w:line="360" w:lineRule="auto"/>
      <w:jc w:val="left"/>
      <w:outlineLvl w:val="2"/>
    </w:pPr>
    <w:rPr>
      <w:rFonts w:ascii="宋体" w:hAnsi="宋体"/>
      <w:bCs w:val="0"/>
      <w:kern w:val="0"/>
      <w:sz w:val="21"/>
      <w:szCs w:val="20"/>
    </w:rPr>
  </w:style>
  <w:style w:type="paragraph" w:customStyle="1" w:styleId="309">
    <w:name w:val="Char Char Char Char"/>
    <w:basedOn w:val="24"/>
    <w:qFormat/>
    <w:uiPriority w:val="0"/>
    <w:pPr>
      <w:shd w:val="clear" w:color="auto" w:fill="000080"/>
      <w:adjustRightInd w:val="0"/>
      <w:spacing w:line="436" w:lineRule="exact"/>
      <w:ind w:left="357"/>
      <w:jc w:val="left"/>
      <w:outlineLvl w:val="3"/>
    </w:pPr>
    <w:rPr>
      <w:rFonts w:ascii="Tahoma" w:hAnsi="Tahoma"/>
      <w:b/>
      <w:sz w:val="24"/>
      <w:szCs w:val="24"/>
    </w:rPr>
  </w:style>
  <w:style w:type="paragraph" w:customStyle="1" w:styleId="310">
    <w:name w:val="标题2 Char"/>
    <w:basedOn w:val="4"/>
    <w:qFormat/>
    <w:uiPriority w:val="0"/>
    <w:pPr>
      <w:tabs>
        <w:tab w:val="left" w:pos="709"/>
      </w:tabs>
      <w:adjustRightInd w:val="0"/>
      <w:spacing w:before="0" w:after="0" w:line="360" w:lineRule="auto"/>
      <w:ind w:left="709" w:hanging="709"/>
      <w:textAlignment w:val="baseline"/>
    </w:pPr>
    <w:rPr>
      <w:rFonts w:eastAsia="仿宋_GB2312" w:cs="Arial"/>
      <w:b w:val="0"/>
      <w:bCs w:val="0"/>
      <w:kern w:val="0"/>
      <w:sz w:val="21"/>
      <w:szCs w:val="24"/>
    </w:rPr>
  </w:style>
  <w:style w:type="paragraph" w:customStyle="1" w:styleId="311">
    <w:name w:val="样式 标题2 + 字距调整8 磅"/>
    <w:basedOn w:val="310"/>
    <w:qFormat/>
    <w:uiPriority w:val="0"/>
    <w:pPr>
      <w:tabs>
        <w:tab w:val="clear" w:pos="709"/>
      </w:tabs>
    </w:pPr>
    <w:rPr>
      <w:kern w:val="16"/>
    </w:rPr>
  </w:style>
  <w:style w:type="paragraph" w:customStyle="1" w:styleId="312">
    <w:name w:val="Char Char Char Char Char Char1 Char Char Char Char"/>
    <w:basedOn w:val="1"/>
    <w:qFormat/>
    <w:uiPriority w:val="0"/>
    <w:rPr>
      <w:rFonts w:ascii="仿宋_GB2312" w:eastAsia="仿宋_GB2312"/>
      <w:b/>
      <w:sz w:val="32"/>
      <w:szCs w:val="32"/>
    </w:rPr>
  </w:style>
  <w:style w:type="paragraph" w:customStyle="1" w:styleId="313">
    <w:name w:val="xl32"/>
    <w:basedOn w:val="1"/>
    <w:qFormat/>
    <w:uiPriority w:val="0"/>
    <w:pPr>
      <w:widowControl/>
      <w:spacing w:before="100" w:beforeAutospacing="1" w:after="100" w:afterAutospacing="1"/>
      <w:jc w:val="center"/>
    </w:pPr>
    <w:rPr>
      <w:b/>
      <w:bCs/>
      <w:kern w:val="0"/>
      <w:sz w:val="24"/>
      <w:u w:val="single"/>
    </w:rPr>
  </w:style>
  <w:style w:type="paragraph" w:customStyle="1" w:styleId="314">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15">
    <w:name w:val="图1"/>
    <w:basedOn w:val="1"/>
    <w:next w:val="1"/>
    <w:qFormat/>
    <w:uiPriority w:val="0"/>
    <w:pPr>
      <w:tabs>
        <w:tab w:val="left" w:pos="1440"/>
      </w:tabs>
      <w:spacing w:beforeLines="50" w:afterLines="100" w:line="360" w:lineRule="auto"/>
      <w:ind w:left="1105" w:hanging="748"/>
      <w:jc w:val="center"/>
    </w:pPr>
    <w:rPr>
      <w:kern w:val="0"/>
    </w:rPr>
  </w:style>
  <w:style w:type="paragraph" w:customStyle="1" w:styleId="316">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317">
    <w:name w:val="级别6"/>
    <w:basedOn w:val="302"/>
    <w:qFormat/>
    <w:uiPriority w:val="0"/>
    <w:pPr>
      <w:tabs>
        <w:tab w:val="left" w:pos="405"/>
        <w:tab w:val="clear" w:pos="0"/>
      </w:tabs>
      <w:ind w:left="409" w:hanging="23"/>
      <w:outlineLvl w:val="5"/>
    </w:pPr>
  </w:style>
  <w:style w:type="paragraph" w:customStyle="1" w:styleId="318">
    <w:name w:val="tll"/>
    <w:basedOn w:val="1"/>
    <w:qFormat/>
    <w:uiPriority w:val="0"/>
    <w:pPr>
      <w:autoSpaceDE w:val="0"/>
      <w:autoSpaceDN w:val="0"/>
      <w:adjustRightInd w:val="0"/>
      <w:spacing w:line="300" w:lineRule="atLeast"/>
      <w:ind w:firstLine="709"/>
      <w:jc w:val="left"/>
      <w:textAlignment w:val="baseline"/>
    </w:pPr>
    <w:rPr>
      <w:rFonts w:ascii="仿宋_GB2312" w:hAnsi="Arial" w:eastAsia="仿宋_GB2312"/>
      <w:kern w:val="0"/>
      <w:szCs w:val="20"/>
    </w:rPr>
  </w:style>
  <w:style w:type="paragraph" w:customStyle="1" w:styleId="319">
    <w:name w:val="xl30"/>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320">
    <w:name w:val="样式 标题 2标题 1.1head:2#2 headlinehheadlineS&amp;R2ERMH2Head 2 +..."/>
    <w:basedOn w:val="4"/>
    <w:qFormat/>
    <w:uiPriority w:val="0"/>
    <w:pPr>
      <w:tabs>
        <w:tab w:val="left" w:pos="907"/>
      </w:tabs>
      <w:autoSpaceDE w:val="0"/>
      <w:autoSpaceDN w:val="0"/>
      <w:adjustRightInd w:val="0"/>
      <w:spacing w:before="120" w:after="120" w:line="360" w:lineRule="auto"/>
      <w:ind w:left="907" w:hanging="907"/>
      <w:jc w:val="center"/>
      <w:textAlignment w:val="baseline"/>
    </w:pPr>
    <w:rPr>
      <w:rFonts w:eastAsia="宋体"/>
      <w:kern w:val="0"/>
      <w:sz w:val="24"/>
      <w:szCs w:val="20"/>
    </w:rPr>
  </w:style>
  <w:style w:type="paragraph" w:customStyle="1" w:styleId="32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322">
    <w:name w:val="样式4"/>
    <w:basedOn w:val="1"/>
    <w:next w:val="4"/>
    <w:qFormat/>
    <w:uiPriority w:val="0"/>
    <w:pPr>
      <w:tabs>
        <w:tab w:val="left" w:pos="360"/>
      </w:tabs>
      <w:spacing w:line="360" w:lineRule="auto"/>
      <w:ind w:left="360" w:hanging="360"/>
    </w:pPr>
    <w:rPr>
      <w:rFonts w:ascii="宋体" w:hAnsi="宋体"/>
      <w:b/>
      <w:sz w:val="28"/>
      <w:szCs w:val="20"/>
    </w:rPr>
  </w:style>
  <w:style w:type="paragraph" w:customStyle="1" w:styleId="323">
    <w:name w:val="一"/>
    <w:basedOn w:val="3"/>
    <w:qFormat/>
    <w:uiPriority w:val="0"/>
    <w:pPr>
      <w:keepNext w:val="0"/>
      <w:keepLines w:val="0"/>
      <w:autoSpaceDE w:val="0"/>
      <w:autoSpaceDN w:val="0"/>
      <w:adjustRightInd w:val="0"/>
      <w:spacing w:before="0" w:after="0" w:line="360" w:lineRule="auto"/>
      <w:jc w:val="left"/>
    </w:pPr>
    <w:rPr>
      <w:rFonts w:ascii="宋体" w:hAnsi="宋体"/>
      <w:kern w:val="0"/>
      <w:sz w:val="28"/>
      <w:szCs w:val="20"/>
    </w:rPr>
  </w:style>
  <w:style w:type="paragraph" w:customStyle="1" w:styleId="324">
    <w:name w:val="样式 样式 正文段落 + 段前: 0.2 行 + 段前: 0.5 行"/>
    <w:basedOn w:val="1"/>
    <w:qFormat/>
    <w:uiPriority w:val="0"/>
    <w:pPr>
      <w:autoSpaceDE w:val="0"/>
      <w:autoSpaceDN w:val="0"/>
      <w:adjustRightInd w:val="0"/>
      <w:snapToGrid w:val="0"/>
      <w:spacing w:beforeLines="20" w:line="540" w:lineRule="exact"/>
      <w:ind w:firstLine="567"/>
      <w:textAlignment w:val="baseline"/>
    </w:pPr>
    <w:rPr>
      <w:rFonts w:ascii="宋体" w:hAnsi="Tms Rmn" w:cs="宋体"/>
      <w:kern w:val="0"/>
      <w:sz w:val="26"/>
      <w:szCs w:val="20"/>
    </w:rPr>
  </w:style>
  <w:style w:type="paragraph" w:customStyle="1" w:styleId="325">
    <w:name w:val="xl50"/>
    <w:basedOn w:val="1"/>
    <w:qFormat/>
    <w:uiPriority w:val="0"/>
    <w:pPr>
      <w:widowControl/>
      <w:pBdr>
        <w:top w:val="single" w:color="auto" w:sz="4" w:space="0"/>
        <w:bottom w:val="single" w:color="auto" w:sz="4" w:space="0"/>
      </w:pBdr>
      <w:spacing w:before="100" w:after="100"/>
      <w:ind w:firstLine="200" w:firstLineChars="200"/>
      <w:jc w:val="center"/>
    </w:pPr>
    <w:rPr>
      <w:rFonts w:ascii="Arial Unicode MS" w:hAnsi="Arial Unicode MS" w:eastAsia="Arial Unicode MS"/>
      <w:color w:val="7030A0"/>
      <w:kern w:val="0"/>
      <w:szCs w:val="20"/>
    </w:rPr>
  </w:style>
  <w:style w:type="paragraph" w:customStyle="1" w:styleId="326">
    <w:name w:val="font0"/>
    <w:basedOn w:val="1"/>
    <w:qFormat/>
    <w:uiPriority w:val="0"/>
    <w:pPr>
      <w:widowControl/>
      <w:spacing w:before="100" w:beforeAutospacing="1" w:after="100" w:afterAutospacing="1"/>
      <w:jc w:val="left"/>
    </w:pPr>
    <w:rPr>
      <w:rFonts w:ascii="Arial" w:hAnsi="Arial" w:cs="Arial"/>
      <w:kern w:val="0"/>
      <w:sz w:val="20"/>
      <w:szCs w:val="20"/>
    </w:rPr>
  </w:style>
  <w:style w:type="paragraph" w:customStyle="1" w:styleId="327">
    <w:name w:val="xl49"/>
    <w:basedOn w:val="1"/>
    <w:qFormat/>
    <w:uiPriority w:val="0"/>
    <w:pPr>
      <w:widowControl/>
      <w:pBdr>
        <w:top w:val="single" w:color="auto" w:sz="4" w:space="0"/>
        <w:left w:val="single" w:color="auto" w:sz="4" w:space="0"/>
        <w:bottom w:val="single" w:color="auto" w:sz="4" w:space="0"/>
      </w:pBdr>
      <w:spacing w:before="100" w:after="100"/>
      <w:ind w:firstLine="200" w:firstLineChars="200"/>
      <w:jc w:val="center"/>
    </w:pPr>
    <w:rPr>
      <w:rFonts w:ascii="Arial Unicode MS" w:hAnsi="Arial Unicode MS" w:eastAsia="Arial Unicode MS"/>
      <w:color w:val="7030A0"/>
      <w:kern w:val="0"/>
      <w:szCs w:val="20"/>
    </w:rPr>
  </w:style>
  <w:style w:type="paragraph" w:customStyle="1" w:styleId="328">
    <w:name w:val="三点段 Char"/>
    <w:basedOn w:val="1"/>
    <w:qFormat/>
    <w:uiPriority w:val="0"/>
    <w:pPr>
      <w:spacing w:line="360" w:lineRule="auto"/>
      <w:ind w:left="1200" w:hanging="1200" w:hangingChars="500"/>
    </w:pPr>
    <w:rPr>
      <w:rFonts w:hint="eastAsia" w:ascii="宋体"/>
      <w:sz w:val="24"/>
    </w:rPr>
  </w:style>
  <w:style w:type="paragraph" w:customStyle="1" w:styleId="329">
    <w:name w:val="样式2"/>
    <w:basedOn w:val="1"/>
    <w:qFormat/>
    <w:uiPriority w:val="0"/>
    <w:pPr>
      <w:adjustRightInd w:val="0"/>
      <w:spacing w:before="120" w:after="120" w:line="312" w:lineRule="atLeast"/>
      <w:jc w:val="center"/>
      <w:textAlignment w:val="baseline"/>
    </w:pPr>
    <w:rPr>
      <w:kern w:val="0"/>
      <w:sz w:val="24"/>
      <w:szCs w:val="20"/>
    </w:rPr>
  </w:style>
  <w:style w:type="paragraph" w:customStyle="1" w:styleId="330">
    <w:name w:val="小标题一"/>
    <w:basedOn w:val="1"/>
    <w:next w:val="1"/>
    <w:qFormat/>
    <w:uiPriority w:val="0"/>
    <w:pPr>
      <w:tabs>
        <w:tab w:val="left" w:pos="1080"/>
      </w:tabs>
      <w:spacing w:line="500" w:lineRule="exact"/>
      <w:ind w:left="1080" w:hanging="1080"/>
    </w:pPr>
    <w:rPr>
      <w:sz w:val="28"/>
      <w:szCs w:val="20"/>
    </w:rPr>
  </w:style>
  <w:style w:type="paragraph" w:customStyle="1" w:styleId="331">
    <w:name w:val="Char"/>
    <w:basedOn w:val="1"/>
    <w:qFormat/>
    <w:uiPriority w:val="0"/>
    <w:rPr>
      <w:rFonts w:ascii="仿宋_GB2312" w:eastAsia="仿宋_GB2312"/>
      <w:b/>
      <w:sz w:val="32"/>
      <w:szCs w:val="32"/>
    </w:rPr>
  </w:style>
  <w:style w:type="paragraph" w:customStyle="1" w:styleId="332">
    <w:name w:val="文档正文"/>
    <w:basedOn w:val="1"/>
    <w:qFormat/>
    <w:uiPriority w:val="0"/>
    <w:pPr>
      <w:spacing w:line="360" w:lineRule="auto"/>
      <w:ind w:firstLine="200" w:firstLineChars="200"/>
    </w:pPr>
    <w:rPr>
      <w:rFonts w:ascii="宋体" w:hAnsi="宋体"/>
      <w:sz w:val="24"/>
    </w:rPr>
  </w:style>
  <w:style w:type="paragraph" w:customStyle="1" w:styleId="333">
    <w:name w:val="标题1"/>
    <w:basedOn w:val="3"/>
    <w:qFormat/>
    <w:uiPriority w:val="0"/>
    <w:pPr>
      <w:tabs>
        <w:tab w:val="left" w:pos="450"/>
        <w:tab w:val="left" w:pos="709"/>
        <w:tab w:val="left" w:pos="907"/>
        <w:tab w:val="clear" w:pos="1440"/>
      </w:tabs>
      <w:adjustRightInd w:val="0"/>
      <w:spacing w:before="120" w:after="0" w:line="360" w:lineRule="auto"/>
      <w:ind w:left="450" w:hanging="450"/>
      <w:textAlignment w:val="baseline"/>
    </w:pPr>
    <w:rPr>
      <w:rFonts w:ascii="宋体" w:hAnsi="宋体"/>
      <w:bCs w:val="0"/>
      <w:sz w:val="28"/>
      <w:szCs w:val="20"/>
    </w:rPr>
  </w:style>
  <w:style w:type="paragraph" w:customStyle="1" w:styleId="334">
    <w:name w:val="合同书"/>
    <w:basedOn w:val="1"/>
    <w:qFormat/>
    <w:uiPriority w:val="0"/>
    <w:pPr>
      <w:spacing w:afterLines="100"/>
      <w:jc w:val="center"/>
    </w:pPr>
    <w:rPr>
      <w:rFonts w:hAnsi="宋体"/>
      <w:b/>
      <w:color w:val="000000"/>
      <w:sz w:val="44"/>
      <w:szCs w:val="44"/>
    </w:rPr>
  </w:style>
  <w:style w:type="paragraph" w:customStyle="1" w:styleId="335">
    <w:name w:val="条文 0"/>
    <w:next w:val="1"/>
    <w:qFormat/>
    <w:uiPriority w:val="0"/>
    <w:pPr>
      <w:spacing w:before="240" w:after="240"/>
    </w:pPr>
    <w:rPr>
      <w:rFonts w:ascii="Times New Roman" w:hAnsi="Times New Roman" w:eastAsia="黑体" w:cs="Times New Roman"/>
      <w:sz w:val="21"/>
      <w:lang w:val="en-US" w:eastAsia="zh-CN" w:bidi="ar-SA"/>
    </w:rPr>
  </w:style>
  <w:style w:type="paragraph" w:customStyle="1" w:styleId="336">
    <w:name w:val="条文 4"/>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337">
    <w:name w:val="图名图序"/>
    <w:qFormat/>
    <w:uiPriority w:val="0"/>
    <w:pPr>
      <w:adjustRightInd w:val="0"/>
      <w:spacing w:before="120" w:after="240"/>
      <w:jc w:val="center"/>
    </w:pPr>
    <w:rPr>
      <w:rFonts w:ascii="宋体" w:hAnsi="宋体" w:eastAsia="宋体" w:cs="Times New Roman"/>
      <w:kern w:val="2"/>
      <w:sz w:val="21"/>
      <w:lang w:val="en-US" w:eastAsia="zh-CN" w:bidi="ar-SA"/>
    </w:rPr>
  </w:style>
  <w:style w:type="paragraph" w:customStyle="1" w:styleId="338">
    <w:name w:val="条文 3"/>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339">
    <w:name w:val="Char Char Char Char Char Char Char"/>
    <w:basedOn w:val="1"/>
    <w:qFormat/>
    <w:uiPriority w:val="0"/>
    <w:rPr>
      <w:rFonts w:ascii="仿宋_GB2312" w:eastAsia="仿宋_GB2312"/>
      <w:b/>
      <w:sz w:val="32"/>
      <w:szCs w:val="32"/>
    </w:rPr>
  </w:style>
  <w:style w:type="paragraph" w:customStyle="1" w:styleId="340">
    <w:name w:val="样式 目录 1 + 左侧:  3 字符"/>
    <w:basedOn w:val="51"/>
    <w:qFormat/>
    <w:uiPriority w:val="0"/>
    <w:pPr>
      <w:tabs>
        <w:tab w:val="left" w:pos="425"/>
        <w:tab w:val="left" w:pos="1680"/>
        <w:tab w:val="right" w:leader="dot" w:pos="8495"/>
        <w:tab w:val="right" w:pos="9060"/>
        <w:tab w:val="clear" w:pos="8778"/>
      </w:tabs>
      <w:snapToGrid/>
      <w:spacing w:line="240" w:lineRule="auto"/>
      <w:ind w:left="425" w:hanging="425"/>
    </w:pPr>
    <w:rPr>
      <w:bCs w:val="0"/>
      <w:iCs w:val="0"/>
      <w:caps w:val="0"/>
      <w:color w:val="7030A0"/>
      <w:kern w:val="2"/>
      <w:sz w:val="21"/>
      <w:szCs w:val="20"/>
    </w:rPr>
  </w:style>
  <w:style w:type="paragraph" w:customStyle="1" w:styleId="341">
    <w:name w:val="章节标题 BJ8"/>
    <w:basedOn w:val="177"/>
    <w:next w:val="177"/>
    <w:qFormat/>
    <w:uiPriority w:val="0"/>
    <w:pPr>
      <w:ind w:firstLine="0" w:firstLineChars="0"/>
      <w:jc w:val="center"/>
    </w:pPr>
    <w:rPr>
      <w:rFonts w:eastAsia="黑体"/>
      <w:b/>
      <w:sz w:val="44"/>
      <w:szCs w:val="84"/>
    </w:rPr>
  </w:style>
  <w:style w:type="paragraph" w:customStyle="1" w:styleId="342">
    <w:name w:val="条文 1"/>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343">
    <w:name w:val="表格"/>
    <w:basedOn w:val="1"/>
    <w:qFormat/>
    <w:uiPriority w:val="0"/>
    <w:pPr>
      <w:widowControl/>
      <w:snapToGrid w:val="0"/>
      <w:spacing w:before="60" w:after="60"/>
      <w:jc w:val="left"/>
    </w:pPr>
    <w:rPr>
      <w:rFonts w:ascii="宋体"/>
      <w:sz w:val="20"/>
      <w:szCs w:val="20"/>
    </w:rPr>
  </w:style>
  <w:style w:type="paragraph" w:customStyle="1" w:styleId="344">
    <w:name w:val="xl2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345">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46">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347">
    <w:name w:val="条文 表"/>
    <w:next w:val="1"/>
    <w:qFormat/>
    <w:uiPriority w:val="0"/>
    <w:pPr>
      <w:jc w:val="center"/>
    </w:pPr>
    <w:rPr>
      <w:rFonts w:ascii="Times New Roman" w:hAnsi="Times New Roman" w:eastAsia="黑体" w:cs="Times New Roman"/>
      <w:sz w:val="21"/>
      <w:lang w:val="en-US" w:eastAsia="zh-CN" w:bidi="ar-SA"/>
    </w:rPr>
  </w:style>
  <w:style w:type="paragraph" w:customStyle="1" w:styleId="348">
    <w:name w:val="大标题"/>
    <w:qFormat/>
    <w:uiPriority w:val="0"/>
    <w:pPr>
      <w:tabs>
        <w:tab w:val="left" w:pos="1134"/>
      </w:tabs>
      <w:snapToGrid w:val="0"/>
      <w:spacing w:before="240" w:after="240" w:line="288" w:lineRule="auto"/>
    </w:pPr>
    <w:rPr>
      <w:rFonts w:ascii="黑体" w:hAnsi="Times New Roman" w:eastAsia="黑体" w:cs="Times New Roman"/>
      <w:sz w:val="24"/>
      <w:lang w:val="en-US" w:eastAsia="zh-CN" w:bidi="ar-SA"/>
    </w:rPr>
  </w:style>
  <w:style w:type="paragraph" w:customStyle="1" w:styleId="349">
    <w:name w:val="重点"/>
    <w:basedOn w:val="1"/>
    <w:qFormat/>
    <w:uiPriority w:val="0"/>
    <w:pPr>
      <w:tabs>
        <w:tab w:val="left" w:pos="0"/>
        <w:tab w:val="left" w:pos="814"/>
      </w:tabs>
      <w:adjustRightInd w:val="0"/>
      <w:snapToGrid w:val="0"/>
      <w:spacing w:line="560" w:lineRule="atLeast"/>
      <w:ind w:left="737" w:hanging="283" w:firstLineChars="200"/>
      <w:jc w:val="left"/>
    </w:pPr>
    <w:rPr>
      <w:color w:val="7030A0"/>
      <w:kern w:val="24"/>
      <w:sz w:val="30"/>
      <w:szCs w:val="20"/>
    </w:rPr>
  </w:style>
  <w:style w:type="paragraph" w:customStyle="1" w:styleId="350">
    <w:name w:val="青岛正文"/>
    <w:basedOn w:val="1"/>
    <w:qFormat/>
    <w:uiPriority w:val="0"/>
    <w:pPr>
      <w:spacing w:line="360" w:lineRule="auto"/>
    </w:pPr>
    <w:rPr>
      <w:sz w:val="28"/>
    </w:rPr>
  </w:style>
  <w:style w:type="paragraph" w:customStyle="1" w:styleId="351">
    <w:name w:val="样式 样式 列表框 Char Char Char Char Char + 右侧:  -0.05 字符 段后: 0.5 行 + 右..."/>
    <w:basedOn w:val="352"/>
    <w:qFormat/>
    <w:uiPriority w:val="0"/>
    <w:pPr>
      <w:tabs>
        <w:tab w:val="left" w:pos="375"/>
        <w:tab w:val="left" w:pos="630"/>
      </w:tabs>
    </w:pPr>
  </w:style>
  <w:style w:type="paragraph" w:customStyle="1" w:styleId="352">
    <w:name w:val="样式 列表框 Char Char Char Char Char + 右侧:  -0.05 字符 段后: 0.5 行"/>
    <w:basedOn w:val="234"/>
    <w:qFormat/>
    <w:uiPriority w:val="0"/>
    <w:pPr>
      <w:tabs>
        <w:tab w:val="left" w:pos="375"/>
        <w:tab w:val="clear" w:pos="450"/>
        <w:tab w:val="clear" w:pos="874"/>
      </w:tabs>
      <w:ind w:left="0" w:firstLine="0"/>
    </w:pPr>
    <w:rPr>
      <w:szCs w:val="20"/>
    </w:rPr>
  </w:style>
  <w:style w:type="paragraph" w:customStyle="1" w:styleId="353">
    <w:name w:val="xl39"/>
    <w:basedOn w:val="1"/>
    <w:qFormat/>
    <w:uiPriority w:val="0"/>
    <w:pPr>
      <w:widowControl/>
      <w:pBdr>
        <w:top w:val="single" w:color="auto" w:sz="4" w:space="0"/>
        <w:bottom w:val="single" w:color="auto" w:sz="4" w:space="0"/>
      </w:pBdr>
      <w:spacing w:before="100" w:beforeAutospacing="1" w:after="100" w:afterAutospacing="1"/>
      <w:jc w:val="left"/>
    </w:pPr>
    <w:rPr>
      <w:kern w:val="0"/>
      <w:sz w:val="24"/>
    </w:rPr>
  </w:style>
  <w:style w:type="paragraph" w:customStyle="1" w:styleId="354">
    <w:name w:val="正文文本 21"/>
    <w:basedOn w:val="1"/>
    <w:qFormat/>
    <w:uiPriority w:val="0"/>
    <w:pPr>
      <w:autoSpaceDE w:val="0"/>
      <w:autoSpaceDN w:val="0"/>
      <w:adjustRightInd w:val="0"/>
      <w:ind w:left="525" w:firstLine="525" w:firstLineChars="200"/>
      <w:jc w:val="left"/>
      <w:textAlignment w:val="baseline"/>
    </w:pPr>
    <w:rPr>
      <w:color w:val="7030A0"/>
      <w:szCs w:val="20"/>
    </w:rPr>
  </w:style>
  <w:style w:type="paragraph" w:customStyle="1" w:styleId="355">
    <w:name w:val="Report Heading"/>
    <w:basedOn w:val="1"/>
    <w:next w:val="1"/>
    <w:qFormat/>
    <w:uiPriority w:val="0"/>
    <w:pPr>
      <w:keepNext/>
      <w:widowControl/>
      <w:spacing w:before="120" w:after="138"/>
      <w:ind w:left="1080" w:firstLine="200" w:firstLineChars="200"/>
      <w:jc w:val="left"/>
    </w:pPr>
    <w:rPr>
      <w:rFonts w:ascii="Arial" w:hAnsi="Arial"/>
      <w:b/>
      <w:color w:val="7030A0"/>
      <w:kern w:val="0"/>
      <w:sz w:val="22"/>
      <w:szCs w:val="20"/>
      <w:lang w:val="en-GB"/>
    </w:rPr>
  </w:style>
  <w:style w:type="paragraph" w:customStyle="1" w:styleId="356">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357">
    <w:name w:val="修订1"/>
    <w:qFormat/>
    <w:uiPriority w:val="0"/>
    <w:rPr>
      <w:rFonts w:ascii="Times New Roman" w:hAnsi="Times New Roman" w:eastAsia="宋体" w:cs="Times New Roman"/>
      <w:kern w:val="2"/>
      <w:sz w:val="21"/>
      <w:lang w:val="en-US" w:eastAsia="zh-CN" w:bidi="ar-SA"/>
    </w:rPr>
  </w:style>
  <w:style w:type="paragraph" w:customStyle="1" w:styleId="358">
    <w:name w:val="正文C"/>
    <w:qFormat/>
    <w:uiPriority w:val="0"/>
    <w:pPr>
      <w:widowControl w:val="0"/>
      <w:adjustRightInd w:val="0"/>
      <w:snapToGrid w:val="0"/>
      <w:spacing w:line="360" w:lineRule="auto"/>
      <w:ind w:right="31" w:rightChars="15" w:firstLine="420" w:firstLineChars="200"/>
      <w:jc w:val="both"/>
    </w:pPr>
    <w:rPr>
      <w:rFonts w:ascii="Times New Roman" w:hAnsi="Times New Roman" w:eastAsia="宋体" w:cs="宋体"/>
      <w:kern w:val="44"/>
      <w:sz w:val="24"/>
      <w:lang w:val="en-US" w:eastAsia="zh-CN" w:bidi="ar-SA"/>
    </w:rPr>
  </w:style>
  <w:style w:type="paragraph" w:customStyle="1" w:styleId="359">
    <w:name w:val="文档结构图2"/>
    <w:basedOn w:val="1"/>
    <w:qFormat/>
    <w:uiPriority w:val="0"/>
    <w:pPr>
      <w:shd w:val="clear" w:color="auto" w:fill="000080"/>
      <w:autoSpaceDE w:val="0"/>
      <w:autoSpaceDN w:val="0"/>
      <w:adjustRightInd w:val="0"/>
      <w:ind w:firstLine="200" w:firstLineChars="200"/>
      <w:jc w:val="left"/>
      <w:textAlignment w:val="baseline"/>
    </w:pPr>
    <w:rPr>
      <w:color w:val="7030A0"/>
      <w:szCs w:val="20"/>
    </w:rPr>
  </w:style>
  <w:style w:type="paragraph" w:customStyle="1" w:styleId="360">
    <w:name w:val="Char Char Char Char11"/>
    <w:basedOn w:val="1"/>
    <w:qFormat/>
    <w:uiPriority w:val="0"/>
    <w:pPr>
      <w:ind w:firstLine="200" w:firstLineChars="200"/>
      <w:jc w:val="left"/>
    </w:pPr>
    <w:rPr>
      <w:rFonts w:ascii="仿宋_GB2312" w:eastAsia="仿宋_GB2312"/>
      <w:b/>
      <w:color w:val="7030A0"/>
      <w:sz w:val="32"/>
      <w:szCs w:val="32"/>
    </w:rPr>
  </w:style>
  <w:style w:type="paragraph" w:customStyle="1" w:styleId="361">
    <w:name w:val="样式 标题 2标题 1.1编号标题2head:2#2 headlinehheadlineS&amp;R2ERMH2He..."/>
    <w:basedOn w:val="4"/>
    <w:qFormat/>
    <w:uiPriority w:val="0"/>
    <w:pPr>
      <w:keepNext w:val="0"/>
      <w:keepLines w:val="0"/>
      <w:spacing w:before="120" w:after="120" w:line="500" w:lineRule="exact"/>
      <w:jc w:val="left"/>
    </w:pPr>
    <w:rPr>
      <w:rFonts w:cs="宋体"/>
      <w:color w:val="C00000"/>
      <w:kern w:val="44"/>
      <w:sz w:val="28"/>
      <w:szCs w:val="20"/>
    </w:rPr>
  </w:style>
  <w:style w:type="paragraph" w:customStyle="1" w:styleId="362">
    <w:name w:val="章节标题 QD3"/>
    <w:basedOn w:val="175"/>
    <w:next w:val="175"/>
    <w:qFormat/>
    <w:uiPriority w:val="0"/>
    <w:pPr>
      <w:ind w:firstLine="0" w:firstLineChars="0"/>
      <w:jc w:val="center"/>
    </w:pPr>
    <w:rPr>
      <w:rFonts w:eastAsia="黑体"/>
      <w:b/>
      <w:sz w:val="44"/>
      <w:szCs w:val="84"/>
    </w:rPr>
  </w:style>
  <w:style w:type="paragraph" w:customStyle="1" w:styleId="363">
    <w:name w:val="Char2"/>
    <w:basedOn w:val="1"/>
    <w:qFormat/>
    <w:uiPriority w:val="0"/>
    <w:pPr>
      <w:widowControl/>
      <w:spacing w:after="160" w:line="240" w:lineRule="exact"/>
      <w:ind w:firstLine="200" w:firstLineChars="200"/>
      <w:jc w:val="left"/>
    </w:pPr>
    <w:rPr>
      <w:rFonts w:ascii="Verdana" w:hAnsi="Verdana" w:eastAsia="仿宋_GB2312"/>
      <w:color w:val="7030A0"/>
      <w:kern w:val="0"/>
      <w:sz w:val="24"/>
      <w:szCs w:val="20"/>
      <w:lang w:eastAsia="en-US"/>
    </w:rPr>
  </w:style>
  <w:style w:type="paragraph" w:customStyle="1" w:styleId="364">
    <w:name w:val="xiao b"/>
    <w:basedOn w:val="1"/>
    <w:qFormat/>
    <w:uiPriority w:val="0"/>
    <w:pPr>
      <w:ind w:firstLine="200" w:firstLineChars="200"/>
      <w:jc w:val="center"/>
    </w:pPr>
    <w:rPr>
      <w:rFonts w:eastAsia="黑体"/>
      <w:color w:val="7030A0"/>
      <w:sz w:val="24"/>
      <w:szCs w:val="20"/>
    </w:rPr>
  </w:style>
  <w:style w:type="paragraph" w:customStyle="1" w:styleId="365">
    <w:name w:val="样式 标题 4 + 加粗"/>
    <w:basedOn w:val="8"/>
    <w:qFormat/>
    <w:uiPriority w:val="0"/>
    <w:pPr>
      <w:keepNext w:val="0"/>
      <w:keepLines w:val="0"/>
      <w:spacing w:before="120" w:after="0" w:line="240" w:lineRule="auto"/>
      <w:jc w:val="left"/>
    </w:pPr>
    <w:rPr>
      <w:rFonts w:ascii="Times New Roman" w:hAnsi="Times New Roman"/>
      <w:b w:val="0"/>
      <w:color w:val="00B050"/>
      <w:sz w:val="24"/>
    </w:rPr>
  </w:style>
  <w:style w:type="paragraph" w:customStyle="1" w:styleId="366">
    <w:name w:val="Plain Text1"/>
    <w:basedOn w:val="1"/>
    <w:qFormat/>
    <w:uiPriority w:val="0"/>
    <w:pPr>
      <w:adjustRightInd w:val="0"/>
      <w:spacing w:line="312" w:lineRule="atLeast"/>
      <w:ind w:firstLine="200" w:firstLineChars="200"/>
      <w:jc w:val="left"/>
      <w:textAlignment w:val="baseline"/>
    </w:pPr>
    <w:rPr>
      <w:rFonts w:ascii="宋体" w:hAnsi="Courier New"/>
      <w:color w:val="7030A0"/>
      <w:kern w:val="0"/>
      <w:sz w:val="28"/>
      <w:szCs w:val="20"/>
    </w:rPr>
  </w:style>
  <w:style w:type="paragraph" w:customStyle="1" w:styleId="367">
    <w:name w:val="Char Char Char Char1"/>
    <w:basedOn w:val="1"/>
    <w:qFormat/>
    <w:uiPriority w:val="0"/>
    <w:pPr>
      <w:ind w:firstLine="200" w:firstLineChars="200"/>
      <w:jc w:val="left"/>
    </w:pPr>
    <w:rPr>
      <w:rFonts w:ascii="仿宋_GB2312" w:eastAsia="仿宋_GB2312"/>
      <w:b/>
      <w:color w:val="7030A0"/>
      <w:sz w:val="32"/>
      <w:szCs w:val="32"/>
    </w:rPr>
  </w:style>
  <w:style w:type="paragraph" w:customStyle="1" w:styleId="368">
    <w:name w:val="Plain Text2"/>
    <w:basedOn w:val="1"/>
    <w:qFormat/>
    <w:uiPriority w:val="0"/>
    <w:pPr>
      <w:adjustRightInd w:val="0"/>
      <w:spacing w:line="312" w:lineRule="atLeast"/>
      <w:ind w:firstLine="200" w:firstLineChars="200"/>
      <w:jc w:val="left"/>
      <w:textAlignment w:val="baseline"/>
    </w:pPr>
    <w:rPr>
      <w:rFonts w:ascii="宋体" w:hAnsi="Courier New"/>
      <w:color w:val="7030A0"/>
      <w:kern w:val="0"/>
      <w:sz w:val="28"/>
      <w:szCs w:val="20"/>
    </w:rPr>
  </w:style>
  <w:style w:type="paragraph" w:customStyle="1" w:styleId="369">
    <w:name w:val="正文2"/>
    <w:basedOn w:val="71"/>
    <w:qFormat/>
    <w:uiPriority w:val="0"/>
    <w:pPr>
      <w:ind w:firstLine="480" w:firstLineChars="200"/>
      <w:jc w:val="left"/>
    </w:pPr>
    <w:rPr>
      <w:rFonts w:ascii="宋体"/>
      <w:color w:val="7030A0"/>
      <w:szCs w:val="24"/>
    </w:rPr>
  </w:style>
  <w:style w:type="paragraph" w:customStyle="1" w:styleId="370">
    <w:name w:val="列表框1"/>
    <w:basedOn w:val="306"/>
    <w:next w:val="306"/>
    <w:qFormat/>
    <w:uiPriority w:val="0"/>
    <w:pPr>
      <w:tabs>
        <w:tab w:val="left" w:pos="960"/>
        <w:tab w:val="left" w:pos="1314"/>
      </w:tabs>
      <w:snapToGrid w:val="0"/>
      <w:ind w:left="1328" w:leftChars="397" w:hanging="375" w:hangingChars="163"/>
    </w:pPr>
    <w:rPr>
      <w:rFonts w:cs="Arial"/>
    </w:rPr>
  </w:style>
  <w:style w:type="paragraph" w:customStyle="1" w:styleId="371">
    <w:name w:val="Body text"/>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372">
    <w:name w:val="五级"/>
    <w:basedOn w:val="4"/>
    <w:qFormat/>
    <w:uiPriority w:val="0"/>
    <w:pPr>
      <w:keepNext w:val="0"/>
      <w:keepLines w:val="0"/>
      <w:tabs>
        <w:tab w:val="left" w:pos="851"/>
      </w:tabs>
      <w:spacing w:before="0" w:after="0" w:line="360" w:lineRule="auto"/>
      <w:ind w:left="851" w:hanging="851"/>
      <w:jc w:val="left"/>
    </w:pPr>
    <w:rPr>
      <w:rFonts w:ascii="宋体" w:hAnsi="宋体" w:eastAsia="宋体"/>
      <w:b w:val="0"/>
      <w:color w:val="C00000"/>
      <w:sz w:val="24"/>
    </w:rPr>
  </w:style>
  <w:style w:type="paragraph" w:customStyle="1" w:styleId="373">
    <w:name w:val="1."/>
    <w:basedOn w:val="1"/>
    <w:qFormat/>
    <w:uiPriority w:val="0"/>
    <w:pPr>
      <w:tabs>
        <w:tab w:val="left" w:pos="0"/>
        <w:tab w:val="left" w:pos="426"/>
      </w:tabs>
      <w:adjustRightInd w:val="0"/>
      <w:spacing w:before="60" w:after="60" w:line="360" w:lineRule="atLeast"/>
      <w:ind w:left="426" w:hanging="426" w:firstLineChars="200"/>
      <w:jc w:val="left"/>
      <w:textAlignment w:val="baseline"/>
    </w:pPr>
    <w:rPr>
      <w:rFonts w:ascii="Arial" w:hAnsi="Arial"/>
      <w:color w:val="7030A0"/>
      <w:kern w:val="0"/>
      <w:szCs w:val="20"/>
    </w:rPr>
  </w:style>
  <w:style w:type="paragraph" w:customStyle="1" w:styleId="374">
    <w:name w:val="xl57"/>
    <w:basedOn w:val="1"/>
    <w:qFormat/>
    <w:uiPriority w:val="0"/>
    <w:pPr>
      <w:widowControl/>
      <w:pBdr>
        <w:top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375">
    <w:name w:val="正文点缩进"/>
    <w:basedOn w:val="1"/>
    <w:qFormat/>
    <w:uiPriority w:val="0"/>
    <w:pPr>
      <w:widowControl/>
      <w:tabs>
        <w:tab w:val="left" w:pos="1758"/>
      </w:tabs>
      <w:snapToGrid w:val="0"/>
      <w:spacing w:after="60" w:line="288" w:lineRule="auto"/>
      <w:ind w:firstLine="200" w:firstLineChars="200"/>
      <w:jc w:val="left"/>
    </w:pPr>
    <w:rPr>
      <w:rFonts w:ascii="宋体"/>
      <w:color w:val="7030A0"/>
      <w:sz w:val="22"/>
      <w:szCs w:val="20"/>
      <w:shd w:val="clear" w:color="auto" w:fill="FFFFFF"/>
    </w:rPr>
  </w:style>
  <w:style w:type="paragraph" w:customStyle="1" w:styleId="376">
    <w:name w:val="xl41"/>
    <w:basedOn w:val="1"/>
    <w:qFormat/>
    <w:uiPriority w:val="0"/>
    <w:pPr>
      <w:widowControl/>
      <w:spacing w:before="100" w:beforeAutospacing="1" w:after="100" w:afterAutospacing="1"/>
      <w:ind w:firstLine="200" w:firstLineChars="200"/>
      <w:jc w:val="center"/>
      <w:textAlignment w:val="center"/>
    </w:pPr>
    <w:rPr>
      <w:rFonts w:ascii="宋体" w:hAnsi="宋体"/>
      <w:color w:val="7030A0"/>
      <w:kern w:val="0"/>
      <w:szCs w:val="21"/>
    </w:rPr>
  </w:style>
  <w:style w:type="paragraph" w:customStyle="1" w:styleId="377">
    <w:name w:val="样式 左侧:  2 字符 首行缩进:  0.85 厘米"/>
    <w:basedOn w:val="1"/>
    <w:qFormat/>
    <w:uiPriority w:val="0"/>
    <w:pPr>
      <w:adjustRightInd w:val="0"/>
      <w:snapToGrid w:val="0"/>
      <w:spacing w:line="360" w:lineRule="auto"/>
      <w:ind w:firstLine="425" w:firstLineChars="200"/>
      <w:jc w:val="left"/>
    </w:pPr>
    <w:rPr>
      <w:rFonts w:ascii="宋体" w:hAnsi="宋体" w:cs="宋体"/>
      <w:color w:val="7030A0"/>
      <w:szCs w:val="20"/>
    </w:rPr>
  </w:style>
  <w:style w:type="paragraph" w:customStyle="1" w:styleId="378">
    <w:name w:val="xl55"/>
    <w:basedOn w:val="1"/>
    <w:qFormat/>
    <w:uiPriority w:val="0"/>
    <w:pPr>
      <w:widowControl/>
      <w:pBdr>
        <w:top w:val="single" w:color="auto" w:sz="4" w:space="0"/>
        <w:lef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379">
    <w:name w:val="Char Char Char Char Char Char Char Char"/>
    <w:basedOn w:val="1"/>
    <w:qFormat/>
    <w:uiPriority w:val="0"/>
    <w:pPr>
      <w:ind w:firstLine="200" w:firstLineChars="200"/>
      <w:jc w:val="left"/>
    </w:pPr>
    <w:rPr>
      <w:rFonts w:ascii="Tahoma" w:hAnsi="Tahoma"/>
      <w:color w:val="7030A0"/>
      <w:sz w:val="24"/>
      <w:szCs w:val="20"/>
    </w:rPr>
  </w:style>
  <w:style w:type="paragraph" w:customStyle="1" w:styleId="380">
    <w:name w:val="StandardOhneEinzug"/>
    <w:basedOn w:val="1"/>
    <w:qFormat/>
    <w:uiPriority w:val="0"/>
    <w:pPr>
      <w:widowControl/>
      <w:tabs>
        <w:tab w:val="left" w:pos="560"/>
      </w:tabs>
      <w:spacing w:after="240" w:line="288" w:lineRule="auto"/>
      <w:ind w:left="200" w:firstLine="200" w:firstLineChars="200"/>
      <w:jc w:val="left"/>
    </w:pPr>
    <w:rPr>
      <w:rFonts w:ascii="Arial" w:hAnsi="Arial"/>
      <w:color w:val="7030A0"/>
      <w:kern w:val="0"/>
      <w:sz w:val="22"/>
      <w:szCs w:val="20"/>
      <w:lang w:val="de-DE"/>
    </w:rPr>
  </w:style>
  <w:style w:type="paragraph" w:customStyle="1" w:styleId="381">
    <w:name w:val="投标正文"/>
    <w:basedOn w:val="1"/>
    <w:qFormat/>
    <w:uiPriority w:val="0"/>
    <w:pPr>
      <w:spacing w:line="360" w:lineRule="auto"/>
      <w:ind w:firstLine="200" w:firstLineChars="200"/>
      <w:jc w:val="left"/>
    </w:pPr>
    <w:rPr>
      <w:rFonts w:eastAsia="黑体"/>
      <w:color w:val="7030A0"/>
      <w:spacing w:val="20"/>
      <w:sz w:val="32"/>
      <w:szCs w:val="32"/>
    </w:rPr>
  </w:style>
  <w:style w:type="paragraph" w:customStyle="1" w:styleId="382">
    <w:name w:val="招标文件A）"/>
    <w:qFormat/>
    <w:uiPriority w:val="0"/>
    <w:pPr>
      <w:spacing w:before="120" w:after="120" w:line="300" w:lineRule="auto"/>
      <w:outlineLvl w:val="6"/>
    </w:pPr>
    <w:rPr>
      <w:rFonts w:ascii="宋体" w:hAnsi="Times New Roman" w:eastAsia="宋体" w:cs="Times New Roman"/>
      <w:spacing w:val="10"/>
      <w:w w:val="95"/>
      <w:sz w:val="21"/>
      <w:lang w:val="en-US" w:eastAsia="zh-CN" w:bidi="ar-SA"/>
    </w:rPr>
  </w:style>
  <w:style w:type="paragraph" w:customStyle="1" w:styleId="383">
    <w:name w:val="标书正文"/>
    <w:basedOn w:val="1"/>
    <w:qFormat/>
    <w:uiPriority w:val="0"/>
    <w:pPr>
      <w:spacing w:before="100" w:after="100" w:line="440" w:lineRule="atLeast"/>
      <w:ind w:left="176" w:firstLine="200" w:firstLineChars="200"/>
      <w:jc w:val="left"/>
    </w:pPr>
    <w:rPr>
      <w:rFonts w:ascii="宋体" w:hAnsi="宋体"/>
      <w:color w:val="7030A0"/>
      <w:spacing w:val="20"/>
      <w:sz w:val="24"/>
    </w:rPr>
  </w:style>
  <w:style w:type="paragraph" w:customStyle="1" w:styleId="384">
    <w:name w:val="xl44"/>
    <w:basedOn w:val="1"/>
    <w:qFormat/>
    <w:uiPriority w:val="0"/>
    <w:pPr>
      <w:widowControl/>
      <w:pBdr>
        <w:right w:val="single" w:color="auto" w:sz="4" w:space="0"/>
      </w:pBdr>
      <w:spacing w:before="100" w:after="100"/>
      <w:ind w:firstLine="200" w:firstLineChars="200"/>
      <w:jc w:val="center"/>
    </w:pPr>
    <w:rPr>
      <w:rFonts w:ascii="宋体" w:hAnsi="宋体"/>
      <w:color w:val="7030A0"/>
      <w:kern w:val="0"/>
      <w:sz w:val="24"/>
      <w:szCs w:val="20"/>
    </w:rPr>
  </w:style>
  <w:style w:type="paragraph" w:customStyle="1" w:styleId="385">
    <w:name w:val="招标文件1.1"/>
    <w:qFormat/>
    <w:uiPriority w:val="0"/>
    <w:pPr>
      <w:tabs>
        <w:tab w:val="left" w:pos="630"/>
      </w:tabs>
      <w:spacing w:before="120" w:after="120" w:line="480" w:lineRule="exact"/>
      <w:ind w:left="200"/>
      <w:outlineLvl w:val="2"/>
    </w:pPr>
    <w:rPr>
      <w:rFonts w:ascii="宋体" w:hAnsi="Times New Roman" w:eastAsia="宋体" w:cs="Times New Roman"/>
      <w:b/>
      <w:spacing w:val="10"/>
      <w:w w:val="95"/>
      <w:sz w:val="24"/>
      <w:lang w:val="en-US" w:eastAsia="zh-CN" w:bidi="ar-SA"/>
    </w:rPr>
  </w:style>
  <w:style w:type="paragraph" w:customStyle="1" w:styleId="386">
    <w:name w:val="xl42"/>
    <w:basedOn w:val="1"/>
    <w:qFormat/>
    <w:uiPriority w:val="0"/>
    <w:pPr>
      <w:widowControl/>
      <w:pBdr>
        <w:top w:val="single" w:color="auto" w:sz="4" w:space="0"/>
        <w:left w:val="single" w:color="auto" w:sz="4" w:space="0"/>
        <w:bottom w:val="single" w:color="auto" w:sz="4" w:space="0"/>
        <w:right w:val="single" w:color="auto" w:sz="4" w:space="0"/>
      </w:pBdr>
      <w:spacing w:before="100" w:after="100"/>
      <w:ind w:firstLine="200" w:firstLineChars="200"/>
      <w:jc w:val="center"/>
      <w:textAlignment w:val="center"/>
    </w:pPr>
    <w:rPr>
      <w:rFonts w:eastAsia="Arial Unicode MS"/>
      <w:color w:val="7030A0"/>
      <w:kern w:val="0"/>
      <w:szCs w:val="20"/>
    </w:rPr>
  </w:style>
  <w:style w:type="paragraph" w:customStyle="1" w:styleId="387">
    <w:name w:val="xl46"/>
    <w:basedOn w:val="1"/>
    <w:qFormat/>
    <w:uiPriority w:val="0"/>
    <w:pPr>
      <w:widowControl/>
      <w:pBdr>
        <w:top w:val="single" w:color="auto" w:sz="4" w:space="0"/>
        <w:left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388">
    <w:name w:val="xl48"/>
    <w:basedOn w:val="1"/>
    <w:qFormat/>
    <w:uiPriority w:val="0"/>
    <w:pPr>
      <w:widowControl/>
      <w:pBdr>
        <w:left w:val="single" w:color="auto" w:sz="4" w:space="0"/>
        <w:bottom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389">
    <w:name w:val="xl60"/>
    <w:basedOn w:val="1"/>
    <w:qFormat/>
    <w:uiPriority w:val="0"/>
    <w:pPr>
      <w:widowControl/>
      <w:pBdr>
        <w:top w:val="single" w:color="auto" w:sz="4" w:space="0"/>
        <w:left w:val="single" w:color="auto" w:sz="4" w:space="0"/>
        <w:bottom w:val="single" w:color="auto" w:sz="4" w:space="0"/>
      </w:pBdr>
      <w:spacing w:before="100" w:after="100"/>
      <w:ind w:firstLine="200" w:firstLineChars="200"/>
      <w:jc w:val="center"/>
      <w:textAlignment w:val="center"/>
    </w:pPr>
    <w:rPr>
      <w:rFonts w:eastAsia="Arial Unicode MS"/>
      <w:color w:val="7030A0"/>
      <w:kern w:val="0"/>
      <w:szCs w:val="20"/>
    </w:rPr>
  </w:style>
  <w:style w:type="paragraph" w:customStyle="1" w:styleId="390">
    <w:name w:val="样式 目录 1"/>
    <w:basedOn w:val="51"/>
    <w:qFormat/>
    <w:uiPriority w:val="0"/>
    <w:pPr>
      <w:tabs>
        <w:tab w:val="left" w:pos="420"/>
        <w:tab w:val="left" w:pos="525"/>
        <w:tab w:val="left" w:pos="1680"/>
        <w:tab w:val="right" w:leader="dot" w:pos="8495"/>
        <w:tab w:val="right" w:pos="9060"/>
        <w:tab w:val="clear" w:pos="8778"/>
      </w:tabs>
      <w:snapToGrid/>
      <w:spacing w:line="240" w:lineRule="auto"/>
      <w:ind w:left="525" w:hanging="425"/>
    </w:pPr>
    <w:rPr>
      <w:bCs w:val="0"/>
      <w:iCs w:val="0"/>
      <w:caps w:val="0"/>
      <w:color w:val="7030A0"/>
      <w:kern w:val="2"/>
      <w:sz w:val="21"/>
      <w:szCs w:val="20"/>
    </w:rPr>
  </w:style>
  <w:style w:type="paragraph" w:customStyle="1" w:styleId="391">
    <w:name w:val="A-12"/>
    <w:basedOn w:val="1"/>
    <w:qFormat/>
    <w:uiPriority w:val="0"/>
    <w:pPr>
      <w:widowControl/>
      <w:ind w:firstLine="200" w:firstLineChars="200"/>
      <w:jc w:val="left"/>
    </w:pPr>
    <w:rPr>
      <w:rFonts w:ascii="Arial" w:hAnsi="Arial"/>
      <w:color w:val="7030A0"/>
      <w:kern w:val="0"/>
      <w:sz w:val="24"/>
      <w:szCs w:val="20"/>
      <w:lang w:val="en-GB"/>
    </w:rPr>
  </w:style>
  <w:style w:type="paragraph" w:customStyle="1" w:styleId="392">
    <w:name w:val="样式 样式 样式 宋体 小四 左侧:  1.85 厘米 段前: 11.15 磅 段后: 11.15 磅 + 图案: 清除 (白色..."/>
    <w:basedOn w:val="286"/>
    <w:qFormat/>
    <w:uiPriority w:val="0"/>
    <w:pPr>
      <w:spacing w:beforeLines="50" w:afterLines="50"/>
      <w:ind w:left="318"/>
    </w:pPr>
    <w:rPr>
      <w:szCs w:val="20"/>
    </w:rPr>
  </w:style>
  <w:style w:type="paragraph" w:customStyle="1" w:styleId="393">
    <w:name w:val="无间隔1"/>
    <w:qFormat/>
    <w:uiPriority w:val="1"/>
    <w:pPr>
      <w:widowControl w:val="0"/>
      <w:ind w:firstLine="200" w:firstLineChars="200"/>
    </w:pPr>
    <w:rPr>
      <w:rFonts w:ascii="Times New Roman" w:hAnsi="Times New Roman" w:eastAsia="宋体" w:cs="Times New Roman"/>
      <w:color w:val="7030A0"/>
      <w:kern w:val="2"/>
      <w:sz w:val="24"/>
      <w:szCs w:val="24"/>
      <w:lang w:val="en-US" w:eastAsia="zh-CN" w:bidi="ar-SA"/>
    </w:rPr>
  </w:style>
  <w:style w:type="paragraph" w:customStyle="1" w:styleId="394">
    <w:name w:val="正文文本缩进 32"/>
    <w:basedOn w:val="1"/>
    <w:qFormat/>
    <w:uiPriority w:val="0"/>
    <w:pPr>
      <w:autoSpaceDE w:val="0"/>
      <w:autoSpaceDN w:val="0"/>
      <w:adjustRightInd w:val="0"/>
      <w:ind w:firstLine="525" w:firstLineChars="200"/>
      <w:jc w:val="left"/>
      <w:textAlignment w:val="baseline"/>
    </w:pPr>
    <w:rPr>
      <w:color w:val="7030A0"/>
      <w:sz w:val="24"/>
      <w:szCs w:val="20"/>
    </w:rPr>
  </w:style>
  <w:style w:type="paragraph" w:customStyle="1" w:styleId="395">
    <w:name w:val="一级条标题"/>
    <w:basedOn w:val="1"/>
    <w:next w:val="1"/>
    <w:qFormat/>
    <w:uiPriority w:val="0"/>
    <w:pPr>
      <w:widowControl/>
      <w:tabs>
        <w:tab w:val="left" w:pos="425"/>
        <w:tab w:val="left" w:pos="525"/>
      </w:tabs>
      <w:ind w:left="425" w:hanging="425" w:firstLineChars="200"/>
      <w:jc w:val="left"/>
      <w:outlineLvl w:val="2"/>
    </w:pPr>
    <w:rPr>
      <w:rFonts w:ascii="黑体" w:eastAsia="黑体"/>
      <w:color w:val="7030A0"/>
      <w:kern w:val="0"/>
      <w:szCs w:val="20"/>
    </w:rPr>
  </w:style>
  <w:style w:type="paragraph" w:customStyle="1" w:styleId="396">
    <w:name w:val="样式 样式 正文（首行缩进两字） + 宋体 小四 首行缩进:  0 厘米 段前: 11.15 磅 段后: 11.15 磅 + 左...1"/>
    <w:basedOn w:val="1"/>
    <w:qFormat/>
    <w:uiPriority w:val="0"/>
    <w:pPr>
      <w:tabs>
        <w:tab w:val="left" w:pos="425"/>
        <w:tab w:val="left" w:pos="720"/>
      </w:tabs>
      <w:snapToGrid w:val="0"/>
      <w:spacing w:before="223" w:after="223"/>
      <w:ind w:left="200" w:leftChars="200" w:firstLine="200" w:firstLineChars="200"/>
      <w:jc w:val="left"/>
    </w:pPr>
    <w:rPr>
      <w:rFonts w:ascii="宋体" w:hAnsi="宋体"/>
      <w:color w:val="7030A0"/>
      <w:sz w:val="24"/>
      <w:szCs w:val="20"/>
    </w:rPr>
  </w:style>
  <w:style w:type="paragraph" w:customStyle="1" w:styleId="397">
    <w:name w:val="Char Char Char Char Char Char Char Char1"/>
    <w:basedOn w:val="1"/>
    <w:qFormat/>
    <w:uiPriority w:val="0"/>
    <w:pPr>
      <w:ind w:firstLine="200" w:firstLineChars="200"/>
      <w:jc w:val="left"/>
    </w:pPr>
    <w:rPr>
      <w:rFonts w:ascii="Tahoma" w:hAnsi="Tahoma"/>
      <w:color w:val="7030A0"/>
      <w:sz w:val="24"/>
      <w:szCs w:val="20"/>
    </w:rPr>
  </w:style>
  <w:style w:type="paragraph" w:customStyle="1" w:styleId="398">
    <w:name w:val="三级条标题"/>
    <w:basedOn w:val="399"/>
    <w:next w:val="1"/>
    <w:qFormat/>
    <w:uiPriority w:val="0"/>
    <w:pPr>
      <w:tabs>
        <w:tab w:val="left" w:pos="425"/>
      </w:tabs>
      <w:outlineLvl w:val="4"/>
    </w:pPr>
  </w:style>
  <w:style w:type="paragraph" w:customStyle="1" w:styleId="399">
    <w:name w:val="二级条标题"/>
    <w:basedOn w:val="395"/>
    <w:next w:val="1"/>
    <w:qFormat/>
    <w:uiPriority w:val="0"/>
    <w:pPr>
      <w:tabs>
        <w:tab w:val="clear" w:pos="525"/>
      </w:tabs>
      <w:ind w:firstLine="0" w:firstLineChars="0"/>
      <w:outlineLvl w:val="3"/>
    </w:pPr>
  </w:style>
  <w:style w:type="paragraph" w:customStyle="1" w:styleId="400">
    <w:name w:val="样式 宋体 小四 左 图案: 清除 (白色) 行距: 1.5 倍行距"/>
    <w:basedOn w:val="1"/>
    <w:qFormat/>
    <w:uiPriority w:val="0"/>
    <w:pPr>
      <w:tabs>
        <w:tab w:val="left" w:pos="840"/>
      </w:tabs>
      <w:spacing w:beforeLines="50" w:afterLines="50"/>
      <w:ind w:firstLine="200" w:firstLineChars="200"/>
      <w:jc w:val="left"/>
    </w:pPr>
    <w:rPr>
      <w:rFonts w:ascii="宋体" w:hAnsi="宋体"/>
      <w:color w:val="7030A0"/>
      <w:sz w:val="24"/>
      <w:szCs w:val="20"/>
      <w:shd w:val="clear" w:color="auto" w:fill="FFFFFF"/>
    </w:rPr>
  </w:style>
  <w:style w:type="paragraph" w:customStyle="1" w:styleId="401">
    <w:name w:val="四级条标题"/>
    <w:basedOn w:val="398"/>
    <w:next w:val="1"/>
    <w:qFormat/>
    <w:uiPriority w:val="0"/>
    <w:pPr>
      <w:outlineLvl w:val="5"/>
    </w:pPr>
  </w:style>
  <w:style w:type="paragraph" w:customStyle="1" w:styleId="402">
    <w:name w:val="六级标题格式"/>
    <w:basedOn w:val="1"/>
    <w:qFormat/>
    <w:uiPriority w:val="0"/>
    <w:pPr>
      <w:spacing w:afterLines="50" w:line="336" w:lineRule="auto"/>
      <w:ind w:firstLine="200" w:firstLineChars="200"/>
      <w:jc w:val="left"/>
      <w:outlineLvl w:val="5"/>
    </w:pPr>
    <w:rPr>
      <w:color w:val="7030A0"/>
      <w:sz w:val="24"/>
    </w:rPr>
  </w:style>
  <w:style w:type="paragraph" w:customStyle="1" w:styleId="403">
    <w:name w:val="附图 BJ15"/>
    <w:basedOn w:val="1"/>
    <w:qFormat/>
    <w:uiPriority w:val="0"/>
    <w:pPr>
      <w:adjustRightInd w:val="0"/>
      <w:snapToGrid w:val="0"/>
      <w:ind w:firstLine="200" w:firstLineChars="200"/>
      <w:jc w:val="center"/>
    </w:pPr>
    <w:rPr>
      <w:rFonts w:hAnsi="Arial"/>
      <w:color w:val="7030A0"/>
      <w:kern w:val="0"/>
    </w:rPr>
  </w:style>
  <w:style w:type="paragraph" w:customStyle="1" w:styleId="404">
    <w:name w:val="正文文本缩进 31"/>
    <w:basedOn w:val="1"/>
    <w:qFormat/>
    <w:uiPriority w:val="0"/>
    <w:pPr>
      <w:autoSpaceDE w:val="0"/>
      <w:autoSpaceDN w:val="0"/>
      <w:adjustRightInd w:val="0"/>
      <w:ind w:firstLine="525" w:firstLineChars="200"/>
      <w:jc w:val="left"/>
      <w:textAlignment w:val="baseline"/>
    </w:pPr>
    <w:rPr>
      <w:color w:val="7030A0"/>
      <w:sz w:val="24"/>
      <w:szCs w:val="20"/>
    </w:rPr>
  </w:style>
  <w:style w:type="paragraph" w:customStyle="1" w:styleId="405">
    <w:name w:val="TOC 标题1"/>
    <w:basedOn w:val="3"/>
    <w:next w:val="1"/>
    <w:qFormat/>
    <w:uiPriority w:val="0"/>
    <w:pPr>
      <w:widowControl/>
      <w:spacing w:before="480" w:after="0" w:line="276" w:lineRule="auto"/>
      <w:ind w:left="0" w:firstLine="0"/>
      <w:jc w:val="left"/>
      <w:outlineLvl w:val="9"/>
    </w:pPr>
    <w:rPr>
      <w:rFonts w:ascii="Cambria" w:hAnsi="Cambria"/>
      <w:color w:val="365F91"/>
      <w:kern w:val="0"/>
      <w:sz w:val="30"/>
      <w:szCs w:val="28"/>
    </w:rPr>
  </w:style>
  <w:style w:type="paragraph" w:customStyle="1" w:styleId="406">
    <w:name w:val="Report Level 2"/>
    <w:basedOn w:val="296"/>
    <w:next w:val="297"/>
    <w:qFormat/>
    <w:uiPriority w:val="0"/>
    <w:pPr>
      <w:tabs>
        <w:tab w:val="left" w:pos="1500"/>
        <w:tab w:val="clear" w:pos="1080"/>
      </w:tabs>
      <w:ind w:left="1500"/>
      <w:outlineLvl w:val="1"/>
    </w:pPr>
    <w:rPr>
      <w:caps w:val="0"/>
    </w:rPr>
  </w:style>
  <w:style w:type="paragraph" w:customStyle="1" w:styleId="407">
    <w:name w:val="Report Level 3"/>
    <w:basedOn w:val="296"/>
    <w:next w:val="297"/>
    <w:qFormat/>
    <w:uiPriority w:val="0"/>
    <w:pPr>
      <w:tabs>
        <w:tab w:val="left" w:pos="1889"/>
        <w:tab w:val="clear" w:pos="1080"/>
      </w:tabs>
      <w:spacing w:before="120"/>
      <w:ind w:left="1889" w:hanging="420"/>
      <w:outlineLvl w:val="2"/>
    </w:pPr>
    <w:rPr>
      <w:caps w:val="0"/>
      <w:sz w:val="20"/>
    </w:rPr>
  </w:style>
  <w:style w:type="paragraph" w:customStyle="1" w:styleId="408">
    <w:name w:val="Report Level 4"/>
    <w:basedOn w:val="407"/>
    <w:next w:val="297"/>
    <w:qFormat/>
    <w:uiPriority w:val="0"/>
    <w:pPr>
      <w:tabs>
        <w:tab w:val="left" w:pos="720"/>
        <w:tab w:val="left" w:pos="2309"/>
        <w:tab w:val="clear" w:pos="1889"/>
      </w:tabs>
      <w:ind w:left="720" w:hanging="720"/>
      <w:outlineLvl w:val="3"/>
    </w:pPr>
    <w:rPr>
      <w:rFonts w:ascii="Times New Roman" w:hAnsi="Times New Roman"/>
    </w:rPr>
  </w:style>
  <w:style w:type="paragraph" w:customStyle="1" w:styleId="409">
    <w:name w:val="样式3"/>
    <w:basedOn w:val="7"/>
    <w:next w:val="1"/>
    <w:qFormat/>
    <w:uiPriority w:val="0"/>
    <w:pPr>
      <w:tabs>
        <w:tab w:val="left" w:pos="709"/>
      </w:tabs>
      <w:spacing w:before="0" w:after="0" w:line="240" w:lineRule="auto"/>
      <w:ind w:left="709" w:hanging="709"/>
      <w:jc w:val="left"/>
    </w:pPr>
    <w:rPr>
      <w:rFonts w:ascii="Tahoma" w:hAnsi="Tahoma"/>
      <w:b w:val="0"/>
      <w:bCs w:val="0"/>
      <w:sz w:val="28"/>
      <w:szCs w:val="20"/>
    </w:rPr>
  </w:style>
  <w:style w:type="paragraph" w:customStyle="1" w:styleId="410">
    <w:name w:val="小标4"/>
    <w:basedOn w:val="1"/>
    <w:next w:val="1"/>
    <w:qFormat/>
    <w:uiPriority w:val="0"/>
    <w:pPr>
      <w:tabs>
        <w:tab w:val="left" w:pos="900"/>
      </w:tabs>
      <w:spacing w:line="400" w:lineRule="exact"/>
      <w:ind w:left="900" w:firstLine="200" w:firstLineChars="200"/>
      <w:jc w:val="left"/>
    </w:pPr>
    <w:rPr>
      <w:rFonts w:ascii="宋体"/>
      <w:color w:val="7030A0"/>
      <w:sz w:val="24"/>
    </w:rPr>
  </w:style>
  <w:style w:type="paragraph" w:customStyle="1" w:styleId="411">
    <w:name w:val="样式 标题2 1.1 + 段前: 0 磅 段后: 0 磅"/>
    <w:basedOn w:val="1"/>
    <w:qFormat/>
    <w:uiPriority w:val="0"/>
    <w:pPr>
      <w:keepNext/>
      <w:tabs>
        <w:tab w:val="left" w:pos="567"/>
      </w:tabs>
      <w:spacing w:line="480" w:lineRule="atLeast"/>
      <w:ind w:left="567" w:hanging="567" w:firstLineChars="200"/>
      <w:jc w:val="left"/>
      <w:outlineLvl w:val="1"/>
    </w:pPr>
    <w:rPr>
      <w:color w:val="7030A0"/>
      <w:sz w:val="28"/>
      <w:szCs w:val="20"/>
    </w:rPr>
  </w:style>
  <w:style w:type="paragraph" w:customStyle="1" w:styleId="412">
    <w:name w:val="表格文字格式"/>
    <w:basedOn w:val="1"/>
    <w:qFormat/>
    <w:uiPriority w:val="0"/>
    <w:pPr>
      <w:snapToGrid w:val="0"/>
      <w:jc w:val="center"/>
    </w:pPr>
    <w:rPr>
      <w:rFonts w:cs="宋体"/>
      <w:szCs w:val="20"/>
    </w:rPr>
  </w:style>
  <w:style w:type="paragraph" w:customStyle="1" w:styleId="413">
    <w:name w:val="正文文本 22"/>
    <w:basedOn w:val="1"/>
    <w:qFormat/>
    <w:uiPriority w:val="0"/>
    <w:pPr>
      <w:autoSpaceDE w:val="0"/>
      <w:autoSpaceDN w:val="0"/>
      <w:adjustRightInd w:val="0"/>
      <w:ind w:left="525" w:firstLine="525" w:firstLineChars="200"/>
      <w:jc w:val="left"/>
      <w:textAlignment w:val="baseline"/>
    </w:pPr>
    <w:rPr>
      <w:color w:val="7030A0"/>
      <w:szCs w:val="20"/>
    </w:rPr>
  </w:style>
  <w:style w:type="paragraph" w:customStyle="1" w:styleId="414">
    <w:name w:val="样式 宋体 小四 首行缩进:  0.93 厘米 段前: 11.15 磅 段后: 11.15 磅1 Char"/>
    <w:basedOn w:val="1"/>
    <w:qFormat/>
    <w:uiPriority w:val="0"/>
    <w:pPr>
      <w:adjustRightInd w:val="0"/>
      <w:snapToGrid w:val="0"/>
      <w:ind w:left="200" w:leftChars="200" w:firstLine="200" w:firstLineChars="200"/>
      <w:jc w:val="left"/>
    </w:pPr>
    <w:rPr>
      <w:rFonts w:ascii="宋体"/>
      <w:color w:val="7030A0"/>
      <w:sz w:val="24"/>
      <w:szCs w:val="20"/>
    </w:rPr>
  </w:style>
  <w:style w:type="paragraph" w:customStyle="1" w:styleId="415">
    <w:name w:val="五级条标题"/>
    <w:basedOn w:val="401"/>
    <w:next w:val="1"/>
    <w:qFormat/>
    <w:uiPriority w:val="0"/>
    <w:pPr>
      <w:outlineLvl w:val="6"/>
    </w:pPr>
  </w:style>
  <w:style w:type="paragraph" w:customStyle="1" w:styleId="416">
    <w:name w:val="文档结构图1"/>
    <w:basedOn w:val="1"/>
    <w:qFormat/>
    <w:uiPriority w:val="0"/>
    <w:pPr>
      <w:shd w:val="clear" w:color="auto" w:fill="000080"/>
      <w:autoSpaceDE w:val="0"/>
      <w:autoSpaceDN w:val="0"/>
      <w:adjustRightInd w:val="0"/>
      <w:ind w:firstLine="200" w:firstLineChars="200"/>
      <w:jc w:val="left"/>
      <w:textAlignment w:val="baseline"/>
    </w:pPr>
    <w:rPr>
      <w:color w:val="7030A0"/>
      <w:szCs w:val="20"/>
    </w:rPr>
  </w:style>
  <w:style w:type="paragraph" w:customStyle="1" w:styleId="417">
    <w:name w:val="註解方塊文字2"/>
    <w:basedOn w:val="1"/>
    <w:semiHidden/>
    <w:qFormat/>
    <w:uiPriority w:val="0"/>
    <w:rPr>
      <w:rFonts w:ascii="Arial" w:hAnsi="Arial" w:eastAsia="PMingLiU"/>
      <w:color w:val="7030A0"/>
      <w:sz w:val="18"/>
      <w:szCs w:val="18"/>
    </w:rPr>
  </w:style>
  <w:style w:type="paragraph" w:customStyle="1" w:styleId="418">
    <w:name w:val="正文文本缩进 22"/>
    <w:basedOn w:val="1"/>
    <w:qFormat/>
    <w:uiPriority w:val="0"/>
    <w:pPr>
      <w:autoSpaceDE w:val="0"/>
      <w:autoSpaceDN w:val="0"/>
      <w:adjustRightInd w:val="0"/>
      <w:ind w:firstLine="420" w:firstLineChars="200"/>
      <w:jc w:val="left"/>
      <w:textAlignment w:val="baseline"/>
    </w:pPr>
    <w:rPr>
      <w:color w:val="7030A0"/>
      <w:szCs w:val="20"/>
    </w:rPr>
  </w:style>
  <w:style w:type="paragraph" w:customStyle="1" w:styleId="419">
    <w:name w:val="纯文本2"/>
    <w:basedOn w:val="1"/>
    <w:qFormat/>
    <w:uiPriority w:val="0"/>
    <w:pPr>
      <w:adjustRightInd w:val="0"/>
      <w:spacing w:line="312" w:lineRule="atLeast"/>
      <w:ind w:firstLine="200" w:firstLineChars="200"/>
      <w:jc w:val="left"/>
      <w:textAlignment w:val="baseline"/>
    </w:pPr>
    <w:rPr>
      <w:rFonts w:ascii="宋体" w:hAnsi="Courier New"/>
      <w:color w:val="7030A0"/>
      <w:kern w:val="0"/>
      <w:sz w:val="28"/>
      <w:szCs w:val="20"/>
    </w:rPr>
  </w:style>
  <w:style w:type="paragraph" w:customStyle="1" w:styleId="420">
    <w:name w:val="三级标题格式"/>
    <w:basedOn w:val="7"/>
    <w:qFormat/>
    <w:uiPriority w:val="0"/>
    <w:pPr>
      <w:keepNext w:val="0"/>
      <w:keepLines w:val="0"/>
      <w:spacing w:before="0" w:afterLines="100" w:line="240" w:lineRule="auto"/>
      <w:jc w:val="left"/>
    </w:pPr>
    <w:rPr>
      <w:rFonts w:eastAsia="黑体"/>
      <w:b w:val="0"/>
      <w:sz w:val="28"/>
      <w:szCs w:val="28"/>
    </w:rPr>
  </w:style>
  <w:style w:type="table" w:customStyle="1" w:styleId="421">
    <w:name w:val="样式-表格"/>
    <w:basedOn w:val="73"/>
    <w:qFormat/>
    <w:uiPriority w:val="0"/>
    <w:rPr>
      <w:sz w:val="21"/>
    </w:rPr>
    <w:tblPr>
      <w:jc w:val="center"/>
      <w:tblCellMar>
        <w:top w:w="0" w:type="dxa"/>
        <w:left w:w="108" w:type="dxa"/>
        <w:bottom w:w="0" w:type="dxa"/>
        <w:right w:w="108" w:type="dxa"/>
      </w:tblCellMar>
    </w:tblPr>
    <w:trPr>
      <w:jc w:val="center"/>
    </w:trPr>
    <w:tcPr>
      <w:vAlign w:val="center"/>
    </w:tcPr>
  </w:style>
  <w:style w:type="character" w:customStyle="1" w:styleId="422">
    <w:name w:val="正文缩进 Char Char"/>
    <w:link w:val="86"/>
    <w:qFormat/>
    <w:uiPriority w:val="0"/>
    <w:rPr>
      <w:kern w:val="2"/>
      <w:sz w:val="21"/>
      <w:szCs w:val="24"/>
    </w:rPr>
  </w:style>
  <w:style w:type="paragraph" w:customStyle="1" w:styleId="423">
    <w:name w:val="图文"/>
    <w:basedOn w:val="1"/>
    <w:qFormat/>
    <w:uiPriority w:val="0"/>
    <w:pPr>
      <w:adjustRightInd w:val="0"/>
      <w:snapToGrid w:val="0"/>
      <w:spacing w:after="50" w:line="360" w:lineRule="auto"/>
    </w:pPr>
    <w:rPr>
      <w:sz w:val="24"/>
    </w:rPr>
  </w:style>
  <w:style w:type="paragraph" w:styleId="424">
    <w:name w:val="List Paragraph"/>
    <w:basedOn w:val="1"/>
    <w:unhideWhenUsed/>
    <w:qFormat/>
    <w:uiPriority w:val="34"/>
    <w:pPr>
      <w:ind w:firstLine="420" w:firstLineChars="200"/>
    </w:pPr>
  </w:style>
  <w:style w:type="character" w:customStyle="1" w:styleId="425">
    <w:name w:val="Char Char"/>
    <w:basedOn w:val="75"/>
    <w:qFormat/>
    <w:uiPriority w:val="0"/>
    <w:rPr>
      <w:rFonts w:ascii="Arial" w:hAnsi="Arial" w:eastAsia="黑体"/>
      <w:b/>
      <w:bCs/>
      <w:kern w:val="2"/>
      <w:sz w:val="32"/>
      <w:szCs w:val="32"/>
      <w:lang w:val="en-US" w:eastAsia="zh-CN" w:bidi="ar-SA"/>
    </w:rPr>
  </w:style>
  <w:style w:type="character" w:customStyle="1" w:styleId="426">
    <w:name w:val="font161"/>
    <w:basedOn w:val="75"/>
    <w:qFormat/>
    <w:uiPriority w:val="0"/>
    <w:rPr>
      <w:b/>
      <w:bCs/>
      <w:sz w:val="32"/>
      <w:szCs w:val="32"/>
    </w:rPr>
  </w:style>
  <w:style w:type="character" w:customStyle="1" w:styleId="427">
    <w:name w:val="Char Char7"/>
    <w:basedOn w:val="75"/>
    <w:qFormat/>
    <w:uiPriority w:val="0"/>
    <w:rPr>
      <w:rFonts w:ascii="Arial" w:hAnsi="Arial" w:eastAsia="黑体"/>
      <w:b/>
      <w:bCs/>
      <w:kern w:val="2"/>
      <w:sz w:val="32"/>
      <w:szCs w:val="32"/>
      <w:lang w:val="en-US" w:eastAsia="zh-CN" w:bidi="ar-SA"/>
    </w:rPr>
  </w:style>
  <w:style w:type="paragraph" w:customStyle="1" w:styleId="428">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429">
    <w:name w:val="样式 标题 1 + 黑体 三号 非加粗 居中 段前: 6 磅 段后: 6 磅 行距: 固定值 20 磅"/>
    <w:basedOn w:val="3"/>
    <w:qFormat/>
    <w:uiPriority w:val="0"/>
    <w:pPr>
      <w:tabs>
        <w:tab w:val="clear" w:pos="1440"/>
      </w:tabs>
      <w:spacing w:before="120" w:after="120" w:line="400" w:lineRule="exact"/>
      <w:ind w:left="0" w:firstLine="0"/>
      <w:jc w:val="center"/>
    </w:pPr>
    <w:rPr>
      <w:rFonts w:ascii="黑体" w:hAnsi="黑体" w:eastAsia="黑体" w:cs="宋体"/>
      <w:b w:val="0"/>
      <w:bCs w:val="0"/>
      <w:sz w:val="32"/>
      <w:szCs w:val="20"/>
    </w:rPr>
  </w:style>
  <w:style w:type="paragraph" w:customStyle="1" w:styleId="430">
    <w:name w:val="样式 标题 3 + (中文) 黑体 小四 非加粗 段前: 7.8 磅 段后: 0 磅 行距: 固定值 20 磅"/>
    <w:basedOn w:val="7"/>
    <w:link w:val="432"/>
    <w:qFormat/>
    <w:uiPriority w:val="0"/>
    <w:pPr>
      <w:spacing w:before="0" w:after="0" w:line="400" w:lineRule="exact"/>
    </w:pPr>
    <w:rPr>
      <w:rFonts w:eastAsia="黑体" w:cs="宋体"/>
      <w:b w:val="0"/>
      <w:bCs w:val="0"/>
      <w:sz w:val="24"/>
      <w:szCs w:val="20"/>
    </w:rPr>
  </w:style>
  <w:style w:type="paragraph" w:customStyle="1" w:styleId="431">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sz w:val="28"/>
      <w:szCs w:val="20"/>
    </w:rPr>
  </w:style>
  <w:style w:type="character" w:customStyle="1" w:styleId="432">
    <w:name w:val="样式 标题 3 + (中文) 黑体 小四 非加粗 段前: 7.8 磅 段后: 0 磅 行距: 固定值 20 磅 Char Char"/>
    <w:link w:val="430"/>
    <w:qFormat/>
    <w:uiPriority w:val="0"/>
    <w:rPr>
      <w:rFonts w:eastAsia="黑体" w:cs="宋体"/>
      <w:kern w:val="2"/>
      <w:sz w:val="24"/>
    </w:rPr>
  </w:style>
  <w:style w:type="paragraph" w:customStyle="1" w:styleId="433">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434">
    <w:name w:val="Table Paragraph"/>
    <w:basedOn w:val="1"/>
    <w:qFormat/>
    <w:uiPriority w:val="1"/>
  </w:style>
  <w:style w:type="paragraph" w:customStyle="1" w:styleId="435">
    <w:name w:val="WPSOffice手动目录 1"/>
    <w:qFormat/>
    <w:uiPriority w:val="0"/>
    <w:pPr>
      <w:ind w:leftChars="0"/>
    </w:pPr>
    <w:rPr>
      <w:rFonts w:ascii="Times New Roman" w:hAnsi="Times New Roman" w:eastAsia="宋体" w:cs="Times New Roman"/>
      <w:sz w:val="20"/>
      <w:szCs w:val="20"/>
    </w:rPr>
  </w:style>
  <w:style w:type="paragraph" w:customStyle="1" w:styleId="436">
    <w:name w:val="列出段落11"/>
    <w:basedOn w:val="1"/>
    <w:semiHidden/>
    <w:qFormat/>
    <w:uiPriority w:val="99"/>
    <w:pPr>
      <w:widowControl/>
      <w:adjustRightInd/>
      <w:spacing w:before="40" w:after="160" w:line="240" w:lineRule="auto"/>
      <w:ind w:firstLine="420" w:firstLineChars="200"/>
      <w:textAlignment w:val="auto"/>
    </w:pPr>
    <w:rPr>
      <w:rFonts w:ascii="Cambria" w:hAnsi="Cambria" w:eastAsia="微软雅黑" w:cs="Cambria"/>
      <w:color w:val="565656"/>
      <w:kern w:val="20"/>
      <w:sz w:val="21"/>
      <w:szCs w:val="21"/>
      <w:lang w:val="zh-CN"/>
    </w:rPr>
  </w:style>
  <w:style w:type="character" w:customStyle="1" w:styleId="437">
    <w:name w:val="font01"/>
    <w:basedOn w:val="75"/>
    <w:qFormat/>
    <w:uiPriority w:val="0"/>
    <w:rPr>
      <w:rFonts w:hint="eastAsia" w:ascii="微软雅黑" w:hAnsi="微软雅黑" w:eastAsia="微软雅黑" w:cs="微软雅黑"/>
      <w:color w:val="000000"/>
      <w:sz w:val="20"/>
      <w:szCs w:val="20"/>
      <w:u w:val="none"/>
    </w:rPr>
  </w:style>
  <w:style w:type="character" w:customStyle="1" w:styleId="438">
    <w:name w:val="font61"/>
    <w:basedOn w:val="75"/>
    <w:qFormat/>
    <w:uiPriority w:val="0"/>
    <w:rPr>
      <w:rFonts w:hint="eastAsia" w:ascii="微软雅黑" w:hAnsi="微软雅黑" w:eastAsia="微软雅黑" w:cs="微软雅黑"/>
      <w:color w:val="000000"/>
      <w:sz w:val="20"/>
      <w:szCs w:val="20"/>
      <w:u w:val="none"/>
    </w:rPr>
  </w:style>
  <w:style w:type="paragraph" w:customStyle="1" w:styleId="439">
    <w:name w:val="纯文本11"/>
    <w:basedOn w:val="1"/>
    <w:autoRedefine/>
    <w:qFormat/>
    <w:uiPriority w:val="0"/>
    <w:pPr>
      <w:adjustRightInd w:val="0"/>
      <w:spacing w:line="312" w:lineRule="atLeast"/>
      <w:ind w:firstLine="567" w:firstLineChars="200"/>
      <w:jc w:val="left"/>
      <w:textAlignment w:val="baseline"/>
    </w:pPr>
    <w:rPr>
      <w:rFonts w:ascii="宋体" w:hAnsi="Courier New"/>
      <w:color w:val="7030A0"/>
      <w:kern w:val="0"/>
      <w:sz w:val="28"/>
    </w:rPr>
  </w:style>
  <w:style w:type="paragraph" w:customStyle="1" w:styleId="440">
    <w:name w:val="List Paragraph_489f5276-8f4d-4339-9631-af45d570b7a5"/>
    <w:basedOn w:val="1"/>
    <w:qFormat/>
    <w:uiPriority w:val="34"/>
    <w:pPr>
      <w:ind w:firstLine="420" w:firstLineChars="200"/>
    </w:pPr>
  </w:style>
  <w:style w:type="paragraph" w:customStyle="1" w:styleId="441">
    <w:name w:val="表格+4"/>
    <w:basedOn w:val="1"/>
    <w:autoRedefine/>
    <w:qFormat/>
    <w:uiPriority w:val="0"/>
    <w:pPr>
      <w:adjustRightInd w:val="0"/>
      <w:spacing w:before="58" w:beforeLines="58" w:after="12" w:line="276" w:lineRule="auto"/>
      <w:jc w:val="center"/>
      <w:textAlignment w:val="baseline"/>
    </w:pPr>
    <w:rPr>
      <w:kern w:val="0"/>
      <w:sz w:val="24"/>
      <w:szCs w:val="22"/>
    </w:rPr>
  </w:style>
  <w:style w:type="paragraph" w:customStyle="1" w:styleId="442">
    <w:name w:val="正文缩进2"/>
    <w:basedOn w:val="1"/>
    <w:next w:val="443"/>
    <w:qFormat/>
    <w:uiPriority w:val="0"/>
    <w:pPr>
      <w:widowControl w:val="0"/>
      <w:autoSpaceDE/>
      <w:autoSpaceDN/>
      <w:spacing w:before="0" w:after="0" w:line="240" w:lineRule="auto"/>
      <w:ind w:left="0" w:firstLine="420"/>
      <w:jc w:val="both"/>
    </w:pPr>
    <w:rPr>
      <w:rFonts w:ascii="Times New Roman" w:cs="Times New Roman"/>
    </w:rPr>
  </w:style>
  <w:style w:type="paragraph" w:customStyle="1" w:styleId="443">
    <w:name w:val="目录 91"/>
    <w:next w:val="1"/>
    <w:qFormat/>
    <w:uiPriority w:val="0"/>
    <w:pPr>
      <w:wordWrap w:val="0"/>
      <w:ind w:left="2975"/>
      <w:jc w:val="both"/>
    </w:pPr>
    <w:rPr>
      <w:rFonts w:ascii="Times New Roman" w:hAnsi="Times New Roman" w:eastAsia="宋体" w:cs="Times New Roman"/>
      <w:sz w:val="21"/>
      <w:lang w:val="en-US" w:eastAsia="zh-CN" w:bidi="ar-SA"/>
    </w:rPr>
  </w:style>
  <w:style w:type="paragraph" w:customStyle="1" w:styleId="444">
    <w:name w:val="Table Text"/>
    <w:basedOn w:val="1"/>
    <w:semiHidden/>
    <w:qFormat/>
    <w:uiPriority w:val="0"/>
    <w:rPr>
      <w:rFonts w:ascii="宋体" w:hAnsi="宋体" w:eastAsia="宋体" w:cs="宋体"/>
      <w:sz w:val="28"/>
      <w:szCs w:val="28"/>
      <w:lang w:val="en-US" w:eastAsia="en-US" w:bidi="ar-SA"/>
    </w:rPr>
  </w:style>
  <w:style w:type="table" w:customStyle="1" w:styleId="44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89</Pages>
  <Words>19468</Words>
  <Characters>20732</Characters>
  <Lines>61</Lines>
  <Paragraphs>78</Paragraphs>
  <TotalTime>25</TotalTime>
  <ScaleCrop>false</ScaleCrop>
  <LinksUpToDate>false</LinksUpToDate>
  <CharactersWithSpaces>20840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2018-11-03T02:37:00Z</dcterms:created>
  <dc:creator>Administrator</dc:creator>
  <cp:lastModifiedBy>云南辰胤工程项目管理有限公司</cp:lastModifiedBy>
  <cp:lastPrinted>2022-11-29T01:11:00Z</cp:lastPrinted>
  <dcterms:modified xsi:type="dcterms:W3CDTF">2026-07-23T14:28:39Z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0999CF2F45E94A1B83E1F4BC8F440555_13</vt:lpwstr>
  </property>
  <property fmtid="{D5CDD505-2E9C-101B-9397-08002B2CF9AE}" pid="4" name="KSOTemplateDocerSaveRecord">
    <vt:lpwstr>eyJoZGlkIjoiOWUwOWY1OThjOTBmY2I1M2U5OGEyOWE4OWU3MTI0MDIiLCJ1c2VySWQiOiIxMzU5MzE1Njc5In0=</vt:lpwstr>
  </property>
</Properties>
</file>