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49D40E">
      <w:pPr>
        <w:adjustRightInd w:val="0"/>
        <w:snapToGrid w:val="0"/>
        <w:spacing w:after="156" w:afterLines="50" w:line="360" w:lineRule="auto"/>
        <w:jc w:val="center"/>
        <w:outlineLvl w:val="0"/>
        <w:rPr>
          <w:rFonts w:hint="eastAsia" w:ascii="黑体" w:hAnsi="Times New Roman" w:eastAsia="黑体" w:cs="Times New Roman"/>
          <w:b/>
          <w:color w:val="auto"/>
          <w:kern w:val="44"/>
          <w:sz w:val="48"/>
          <w:szCs w:val="20"/>
          <w:highlight w:val="none"/>
        </w:rPr>
      </w:pPr>
      <w:r>
        <w:rPr>
          <w:rFonts w:hint="eastAsia" w:ascii="宋体" w:hAnsi="宋体" w:eastAsia="宋体" w:cs="Times New Roman"/>
          <w:b/>
          <w:color w:val="auto"/>
          <w:sz w:val="30"/>
          <w:szCs w:val="30"/>
          <w:highlight w:val="none"/>
        </w:rPr>
        <w:t>第八部分 采购需求</w:t>
      </w:r>
    </w:p>
    <w:p w14:paraId="4C1BDA67">
      <w:pPr>
        <w:adjustRightInd w:val="0"/>
        <w:snapToGrid w:val="0"/>
        <w:spacing w:before="156" w:beforeLines="50" w:after="156" w:afterLines="50" w:line="360" w:lineRule="auto"/>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货物需求一览表</w:t>
      </w:r>
    </w:p>
    <w:p w14:paraId="5C625C21">
      <w:pPr>
        <w:adjustRightInd w:val="0"/>
        <w:snapToGrid w:val="0"/>
        <w:jc w:val="center"/>
        <w:rPr>
          <w:rFonts w:hint="eastAsia" w:ascii="宋体" w:hAnsi="宋体" w:eastAsia="宋体" w:cs="Times New Roman"/>
          <w:b/>
          <w:color w:val="auto"/>
          <w:sz w:val="30"/>
          <w:szCs w:val="30"/>
          <w:highlight w:val="none"/>
        </w:rPr>
      </w:pPr>
    </w:p>
    <w:tbl>
      <w:tblPr>
        <w:tblStyle w:val="3"/>
        <w:tblW w:w="81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83"/>
        <w:gridCol w:w="2715"/>
        <w:gridCol w:w="653"/>
        <w:gridCol w:w="1357"/>
        <w:gridCol w:w="2592"/>
      </w:tblGrid>
      <w:tr w14:paraId="76BC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44" w:hRule="atLeast"/>
          <w:jc w:val="center"/>
        </w:trPr>
        <w:tc>
          <w:tcPr>
            <w:tcW w:w="783" w:type="dxa"/>
            <w:noWrap w:val="0"/>
            <w:vAlign w:val="center"/>
          </w:tcPr>
          <w:p w14:paraId="19FC199A">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包号</w:t>
            </w:r>
          </w:p>
        </w:tc>
        <w:tc>
          <w:tcPr>
            <w:tcW w:w="2715" w:type="dxa"/>
            <w:noWrap w:val="0"/>
            <w:vAlign w:val="center"/>
          </w:tcPr>
          <w:p w14:paraId="2B686FE7">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货物名称</w:t>
            </w:r>
          </w:p>
        </w:tc>
        <w:tc>
          <w:tcPr>
            <w:tcW w:w="653" w:type="dxa"/>
            <w:noWrap w:val="0"/>
            <w:vAlign w:val="center"/>
          </w:tcPr>
          <w:p w14:paraId="45C1105C">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数量</w:t>
            </w:r>
          </w:p>
        </w:tc>
        <w:tc>
          <w:tcPr>
            <w:tcW w:w="1357" w:type="dxa"/>
            <w:noWrap w:val="0"/>
            <w:vAlign w:val="center"/>
          </w:tcPr>
          <w:p w14:paraId="3348736E">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交货期</w:t>
            </w:r>
          </w:p>
        </w:tc>
        <w:tc>
          <w:tcPr>
            <w:tcW w:w="2592" w:type="dxa"/>
            <w:noWrap w:val="0"/>
            <w:vAlign w:val="center"/>
          </w:tcPr>
          <w:p w14:paraId="26D48D33">
            <w:pPr>
              <w:jc w:val="center"/>
              <w:rPr>
                <w:rFonts w:ascii="宋体" w:hAnsi="Bookman Old Style" w:eastAsia="宋体" w:cs="Times New Roman"/>
                <w:color w:val="auto"/>
                <w:sz w:val="24"/>
                <w:highlight w:val="none"/>
                <w:shd w:val="pct10" w:color="auto" w:fill="FFFFFF"/>
              </w:rPr>
            </w:pPr>
            <w:r>
              <w:rPr>
                <w:rFonts w:hint="eastAsia" w:ascii="宋体" w:hAnsi="Bookman Old Style" w:eastAsia="宋体" w:cs="Times New Roman"/>
                <w:color w:val="auto"/>
                <w:sz w:val="24"/>
                <w:highlight w:val="none"/>
              </w:rPr>
              <w:t>项目现场（交货地点）</w:t>
            </w:r>
          </w:p>
        </w:tc>
      </w:tr>
      <w:tr w14:paraId="40427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191" w:hRule="atLeast"/>
          <w:jc w:val="center"/>
        </w:trPr>
        <w:tc>
          <w:tcPr>
            <w:tcW w:w="783" w:type="dxa"/>
            <w:noWrap w:val="0"/>
            <w:vAlign w:val="center"/>
          </w:tcPr>
          <w:p w14:paraId="33DFA3AA">
            <w:pPr>
              <w:jc w:val="center"/>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t>1</w:t>
            </w:r>
          </w:p>
        </w:tc>
        <w:tc>
          <w:tcPr>
            <w:tcW w:w="2715" w:type="dxa"/>
            <w:noWrap w:val="0"/>
            <w:vAlign w:val="center"/>
          </w:tcPr>
          <w:p w14:paraId="65E41E49">
            <w:pPr>
              <w:widowControl/>
              <w:spacing w:line="360" w:lineRule="auto"/>
              <w:jc w:val="center"/>
              <w:textAlignment w:val="center"/>
              <w:rPr>
                <w:rFonts w:hint="eastAsia" w:ascii="宋体" w:hAnsi="Bookman Old Style" w:eastAsia="宋体" w:cs="Times New Roman"/>
                <w:color w:val="auto"/>
                <w:sz w:val="24"/>
                <w:highlight w:val="none"/>
              </w:rPr>
            </w:pPr>
            <w:r>
              <w:rPr>
                <w:rFonts w:hint="eastAsia" w:ascii="宋体" w:hAnsi="宋体" w:eastAsia="宋体" w:cs="Arial Unicode MS"/>
                <w:color w:val="auto"/>
                <w:kern w:val="0"/>
                <w:sz w:val="24"/>
                <w:highlight w:val="none"/>
              </w:rPr>
              <w:t>介观神经网络成像&amp;电生理同步观测系统</w:t>
            </w:r>
          </w:p>
        </w:tc>
        <w:tc>
          <w:tcPr>
            <w:tcW w:w="653" w:type="dxa"/>
            <w:noWrap w:val="0"/>
            <w:vAlign w:val="center"/>
          </w:tcPr>
          <w:p w14:paraId="5AE09EC5">
            <w:pPr>
              <w:jc w:val="center"/>
              <w:rPr>
                <w:rFonts w:hint="eastAsia" w:ascii="宋体" w:hAnsi="Bookman Old Style" w:eastAsia="宋体" w:cs="Times New Roman"/>
                <w:color w:val="auto"/>
                <w:sz w:val="24"/>
                <w:highlight w:val="none"/>
              </w:rPr>
            </w:pPr>
            <w:r>
              <w:rPr>
                <w:rFonts w:hint="eastAsia" w:ascii="宋体" w:hAnsi="Bookman Old Style" w:cs="Times New Roman"/>
                <w:color w:val="auto"/>
                <w:sz w:val="24"/>
                <w:highlight w:val="none"/>
                <w:lang w:val="en-US" w:eastAsia="zh-CN"/>
              </w:rPr>
              <w:t>1</w:t>
            </w:r>
            <w:r>
              <w:rPr>
                <w:rFonts w:hint="eastAsia" w:ascii="宋体" w:hAnsi="Bookman Old Style" w:eastAsia="宋体" w:cs="Times New Roman"/>
                <w:color w:val="auto"/>
                <w:sz w:val="24"/>
                <w:highlight w:val="none"/>
              </w:rPr>
              <w:t>套</w:t>
            </w:r>
          </w:p>
        </w:tc>
        <w:tc>
          <w:tcPr>
            <w:tcW w:w="1357" w:type="dxa"/>
            <w:noWrap w:val="0"/>
            <w:vAlign w:val="center"/>
          </w:tcPr>
          <w:p w14:paraId="713F2963">
            <w:pPr>
              <w:jc w:val="center"/>
              <w:rPr>
                <w:rFonts w:hint="eastAsia" w:ascii="宋体" w:hAnsi="Bookman Old Style" w:eastAsia="宋体" w:cs="Times New Roman"/>
                <w:color w:val="auto"/>
                <w:sz w:val="24"/>
                <w:highlight w:val="none"/>
              </w:rPr>
            </w:pPr>
            <w:r>
              <w:rPr>
                <w:rFonts w:ascii="宋体" w:hAnsi="Bookman Old Style" w:eastAsia="宋体" w:cs="Times New Roman"/>
                <w:color w:val="auto"/>
                <w:sz w:val="24"/>
                <w:highlight w:val="none"/>
              </w:rPr>
              <w:t>合同签订生效后3个月内完成交货。</w:t>
            </w:r>
          </w:p>
        </w:tc>
        <w:tc>
          <w:tcPr>
            <w:tcW w:w="2592" w:type="dxa"/>
            <w:noWrap w:val="0"/>
            <w:vAlign w:val="center"/>
          </w:tcPr>
          <w:p w14:paraId="542060FF">
            <w:pPr>
              <w:jc w:val="center"/>
              <w:rPr>
                <w:rFonts w:hint="eastAsia"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用户指定地点</w:t>
            </w:r>
          </w:p>
        </w:tc>
      </w:tr>
    </w:tbl>
    <w:p w14:paraId="0CC3D48B">
      <w:pPr>
        <w:adjustRightInd w:val="0"/>
        <w:snapToGrid w:val="0"/>
        <w:rPr>
          <w:rFonts w:hint="eastAsia" w:ascii="宋体" w:hAnsi="宋体" w:eastAsia="宋体" w:cs="Times New Roman"/>
          <w:b/>
          <w:color w:val="auto"/>
          <w:sz w:val="30"/>
          <w:szCs w:val="30"/>
          <w:highlight w:val="none"/>
        </w:rPr>
      </w:pPr>
    </w:p>
    <w:p w14:paraId="7CFEAB1C">
      <w:pPr>
        <w:rPr>
          <w:rFonts w:hint="eastAsia" w:ascii="Bookman Old Style" w:hAnsi="Bookman Old Style" w:eastAsia="宋体" w:cs="Times New Roman"/>
          <w:color w:val="auto"/>
          <w:sz w:val="24"/>
          <w:highlight w:val="none"/>
        </w:rPr>
      </w:pPr>
      <w:r>
        <w:rPr>
          <w:rFonts w:hint="eastAsia" w:ascii="Times New Roman" w:hAnsi="Times New Roman" w:eastAsia="宋体" w:cs="Times New Roman"/>
          <w:color w:val="auto"/>
          <w:sz w:val="24"/>
          <w:highlight w:val="none"/>
        </w:rPr>
        <w:t>注：投标人须对上述投标内容中完整的一包进行投标，</w:t>
      </w:r>
      <w:r>
        <w:rPr>
          <w:rFonts w:hint="eastAsia" w:ascii="Bookman Old Style" w:hAnsi="Bookman Old Style" w:eastAsia="宋体" w:cs="Times New Roman"/>
          <w:color w:val="auto"/>
          <w:sz w:val="24"/>
          <w:highlight w:val="none"/>
        </w:rPr>
        <w:t>不完整的投标将视为非响应性投标予以拒绝。</w:t>
      </w:r>
    </w:p>
    <w:p w14:paraId="043E2E30">
      <w:pPr>
        <w:adjustRightInd w:val="0"/>
        <w:snapToGrid w:val="0"/>
        <w:rPr>
          <w:rFonts w:hint="eastAsia" w:ascii="宋体" w:hAnsi="宋体" w:eastAsia="宋体" w:cs="Times New Roman"/>
          <w:color w:val="auto"/>
          <w:szCs w:val="21"/>
          <w:highlight w:val="none"/>
        </w:rPr>
      </w:pPr>
    </w:p>
    <w:p w14:paraId="21CB5DC5">
      <w:pPr>
        <w:adjustRightInd w:val="0"/>
        <w:snapToGrid w:val="0"/>
        <w:rPr>
          <w:rFonts w:hint="eastAsia" w:ascii="宋体" w:hAnsi="宋体" w:eastAsia="宋体" w:cs="Times New Roman"/>
          <w:color w:val="auto"/>
          <w:szCs w:val="21"/>
          <w:highlight w:val="none"/>
        </w:rPr>
      </w:pPr>
    </w:p>
    <w:p w14:paraId="35849A7A">
      <w:pPr>
        <w:adjustRightInd w:val="0"/>
        <w:snapToGrid w:val="0"/>
        <w:rPr>
          <w:rFonts w:hint="eastAsia" w:ascii="宋体" w:hAnsi="宋体" w:eastAsia="宋体" w:cs="Times New Roman"/>
          <w:color w:val="auto"/>
          <w:szCs w:val="21"/>
          <w:highlight w:val="none"/>
        </w:rPr>
      </w:pPr>
    </w:p>
    <w:p w14:paraId="4D8C2B97">
      <w:pPr>
        <w:adjustRightInd w:val="0"/>
        <w:snapToGrid w:val="0"/>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30"/>
          <w:szCs w:val="30"/>
          <w:highlight w:val="none"/>
        </w:rPr>
        <w:br w:type="page"/>
      </w:r>
      <w:r>
        <w:rPr>
          <w:rFonts w:hint="eastAsia" w:ascii="宋体" w:hAnsi="宋体" w:eastAsia="宋体" w:cs="Times New Roman"/>
          <w:b/>
          <w:color w:val="auto"/>
          <w:sz w:val="28"/>
          <w:szCs w:val="28"/>
          <w:highlight w:val="none"/>
        </w:rPr>
        <w:t>一、总则</w:t>
      </w:r>
    </w:p>
    <w:p w14:paraId="3031EBE0">
      <w:pPr>
        <w:adjustRightInd w:val="0"/>
        <w:snapToGrid w:val="0"/>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w:t>
      </w:r>
      <w:r>
        <w:rPr>
          <w:rFonts w:hint="eastAsia" w:ascii="宋体" w:hAnsi="宋体" w:eastAsia="宋体" w:cs="Times New Roman"/>
          <w:b/>
          <w:color w:val="auto"/>
          <w:sz w:val="28"/>
          <w:szCs w:val="28"/>
          <w:highlight w:val="none"/>
        </w:rPr>
        <w:t>、投标要求</w:t>
      </w:r>
    </w:p>
    <w:p w14:paraId="7C99A928">
      <w:pPr>
        <w:spacing w:line="360" w:lineRule="auto"/>
        <w:ind w:left="554" w:hanging="554" w:hangingChars="231"/>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1.1 </w:t>
      </w:r>
      <w:r>
        <w:rPr>
          <w:rFonts w:hint="eastAsia" w:ascii="宋体" w:hAnsi="宋体" w:eastAsia="宋体" w:cs="Times New Roman"/>
          <w:color w:val="auto"/>
          <w:sz w:val="24"/>
          <w:highlight w:val="none"/>
        </w:rPr>
        <w:t>投标人在准备投标书时，务必在所提供的商品的技术规格文件中，标明型号、商标名称、目录号。</w:t>
      </w:r>
    </w:p>
    <w:p w14:paraId="3ED84FB9">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B4A120B">
      <w:pPr>
        <w:spacing w:line="360" w:lineRule="auto"/>
        <w:ind w:left="554" w:hanging="554" w:hangingChars="231"/>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Times New Roman" w:hAnsi="Times New Roman" w:eastAsia="宋体" w:cs="Times New Roman"/>
          <w:color w:val="auto"/>
          <w:sz w:val="24"/>
          <w:highlight w:val="none"/>
        </w:rPr>
        <w:t>投标人提供的</w:t>
      </w:r>
      <w:r>
        <w:rPr>
          <w:rFonts w:hint="eastAsia" w:ascii="宋体" w:hAnsi="Times New Roman" w:eastAsia="宋体" w:cs="Times New Roman"/>
          <w:color w:val="auto"/>
          <w:sz w:val="24"/>
          <w:highlight w:val="none"/>
        </w:rPr>
        <w:t>产品</w:t>
      </w:r>
      <w:r>
        <w:rPr>
          <w:rFonts w:hint="eastAsia" w:ascii="Times New Roman" w:hAnsi="Times New Roman" w:eastAsia="宋体" w:cs="Times New Roman"/>
          <w:color w:val="auto"/>
          <w:sz w:val="24"/>
          <w:highlight w:val="none"/>
        </w:rPr>
        <w:t>样本，必须是“原件”而非复印件，</w:t>
      </w:r>
      <w:r>
        <w:rPr>
          <w:rFonts w:hint="eastAsia" w:ascii="宋体" w:hAnsi="Times New Roman" w:eastAsia="宋体" w:cs="Times New Roman"/>
          <w:color w:val="auto"/>
          <w:sz w:val="24"/>
          <w:highlight w:val="none"/>
        </w:rPr>
        <w:t>图表、简图、电路图以及印刷电路板图等都应</w:t>
      </w:r>
      <w:r>
        <w:rPr>
          <w:rFonts w:hint="eastAsia" w:ascii="Times New Roman" w:hAnsi="Times New Roman" w:eastAsia="宋体" w:cs="Times New Roman"/>
          <w:color w:val="auto"/>
          <w:sz w:val="24"/>
          <w:highlight w:val="none"/>
        </w:rPr>
        <w:t>清晰易读。买方有权</w:t>
      </w:r>
      <w:r>
        <w:rPr>
          <w:rFonts w:hint="eastAsia" w:ascii="宋体" w:hAnsi="Times New Roman" w:eastAsia="宋体" w:cs="Times New Roman"/>
          <w:color w:val="auto"/>
          <w:sz w:val="24"/>
          <w:highlight w:val="none"/>
        </w:rPr>
        <w:t>不付任何附加费用</w:t>
      </w:r>
      <w:r>
        <w:rPr>
          <w:rFonts w:hint="eastAsia" w:ascii="Times New Roman" w:hAnsi="Times New Roman" w:eastAsia="宋体" w:cs="Times New Roman"/>
          <w:color w:val="auto"/>
          <w:sz w:val="24"/>
          <w:highlight w:val="none"/>
        </w:rPr>
        <w:t>复制这些资料</w:t>
      </w:r>
      <w:r>
        <w:rPr>
          <w:rFonts w:hint="eastAsia" w:ascii="宋体" w:hAnsi="Times New Roman" w:eastAsia="宋体" w:cs="Times New Roman"/>
          <w:color w:val="auto"/>
          <w:sz w:val="24"/>
          <w:highlight w:val="none"/>
        </w:rPr>
        <w:t>以供参考。</w:t>
      </w:r>
    </w:p>
    <w:p w14:paraId="3140579F">
      <w:pPr>
        <w:spacing w:line="360" w:lineRule="auto"/>
        <w:ind w:left="554" w:hanging="554" w:hangingChars="231"/>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ED0BCF2">
      <w:pPr>
        <w:adjustRightInd w:val="0"/>
        <w:snapToGrid w:val="0"/>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2、评标标准</w:t>
      </w:r>
    </w:p>
    <w:p w14:paraId="0828C7AF">
      <w:pPr>
        <w:spacing w:line="360" w:lineRule="auto"/>
        <w:ind w:left="554" w:hanging="554" w:hangingChars="231"/>
        <w:rPr>
          <w:rFonts w:hint="eastAsia" w:ascii="宋体" w:hAnsi="Times New Roman"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 xml:space="preserve">1 </w:t>
      </w:r>
      <w:r>
        <w:rPr>
          <w:rFonts w:hint="eastAsia" w:ascii="Times New Roman" w:hAnsi="Times New Roman" w:eastAsia="宋体" w:cs="Times New Roman"/>
          <w:color w:val="auto"/>
          <w:sz w:val="24"/>
          <w:highlight w:val="none"/>
        </w:rPr>
        <w:t>除招标文件中指定的附件和专用工具外，</w:t>
      </w:r>
      <w:r>
        <w:rPr>
          <w:rFonts w:hint="eastAsia" w:ascii="宋体" w:hAnsi="Times New Roman" w:eastAsia="宋体" w:cs="Times New Roman"/>
          <w:color w:val="auto"/>
          <w:sz w:val="24"/>
          <w:highlight w:val="none"/>
        </w:rPr>
        <w:t>投标人应提供仪器设备的正常运行和常规保养所需的全套标准附件、专用工具</w:t>
      </w:r>
      <w:r>
        <w:rPr>
          <w:rFonts w:hint="eastAsia" w:ascii="Times New Roman" w:hAnsi="Times New Roman" w:eastAsia="宋体" w:cs="Times New Roman"/>
          <w:color w:val="auto"/>
          <w:sz w:val="24"/>
          <w:highlight w:val="none"/>
        </w:rPr>
        <w:t>和消耗品</w:t>
      </w:r>
      <w:r>
        <w:rPr>
          <w:rFonts w:hint="eastAsia" w:ascii="宋体" w:hAnsi="Times New Roman" w:eastAsia="宋体" w:cs="Times New Roman"/>
          <w:color w:val="auto"/>
          <w:sz w:val="24"/>
          <w:highlight w:val="none"/>
        </w:rPr>
        <w:t>。投标人在投标书中需列出这些附件和工具的数量和单价的清单，这些附件和工具的报价的总值需计入投标价中。</w:t>
      </w:r>
    </w:p>
    <w:p w14:paraId="6F260034">
      <w:pPr>
        <w:spacing w:line="360" w:lineRule="auto"/>
        <w:ind w:left="554" w:hanging="554" w:hangingChars="231"/>
        <w:rPr>
          <w:rFonts w:hint="eastAsia"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hint="eastAsia" w:ascii="Times New Roman" w:hAnsi="Times New Roman" w:eastAsia="宋体" w:cs="Times New Roman"/>
          <w:color w:val="auto"/>
          <w:sz w:val="24"/>
          <w:highlight w:val="none"/>
        </w:rPr>
        <w:t>对于标书</w:t>
      </w:r>
      <w:r>
        <w:rPr>
          <w:rFonts w:hint="eastAsia" w:ascii="宋体" w:hAnsi="Times New Roman" w:eastAsia="宋体" w:cs="Times New Roman"/>
          <w:color w:val="auto"/>
          <w:sz w:val="24"/>
          <w:highlight w:val="none"/>
        </w:rPr>
        <w:t>技术规范中已列</w:t>
      </w:r>
      <w:r>
        <w:rPr>
          <w:rFonts w:hint="eastAsia" w:ascii="Times New Roman" w:hAnsi="Times New Roman" w:eastAsia="宋体" w:cs="Times New Roman"/>
          <w:color w:val="auto"/>
          <w:sz w:val="24"/>
          <w:highlight w:val="none"/>
        </w:rPr>
        <w:t>出的作为查询选件的附件、零配件、专用工具和消耗品，投标书中</w:t>
      </w:r>
      <w:r>
        <w:rPr>
          <w:rFonts w:hint="eastAsia" w:ascii="宋体" w:hAnsi="Times New Roman" w:eastAsia="宋体" w:cs="Times New Roman"/>
          <w:color w:val="auto"/>
          <w:sz w:val="24"/>
          <w:highlight w:val="none"/>
        </w:rPr>
        <w:t>应列明其数量、单价、总价供买方参考。投标人也可推荐买方没有要求的附件或专用工具作为选件，并列明其数量、单价、总价供买方参考。选件价格不计入评标价中。</w:t>
      </w:r>
    </w:p>
    <w:p w14:paraId="3D2CD7E4">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2.3 为便于用户进行接收仪器的准备工作，卖方应在合同生效后</w:t>
      </w:r>
      <w:r>
        <w:rPr>
          <w:rFonts w:hint="eastAsia" w:ascii="宋体" w:hAnsi="宋体" w:eastAsia="宋体" w:cs="Times New Roman"/>
          <w:b/>
          <w:color w:val="auto"/>
          <w:sz w:val="24"/>
          <w:highlight w:val="none"/>
        </w:rPr>
        <w:t>60</w:t>
      </w:r>
      <w:r>
        <w:rPr>
          <w:rFonts w:hint="eastAsia" w:ascii="宋体" w:hAnsi="宋体" w:eastAsia="宋体" w:cs="Times New Roman"/>
          <w:color w:val="auto"/>
          <w:sz w:val="24"/>
          <w:highlight w:val="none"/>
        </w:rPr>
        <w:t>天内向用户提供一套完整的使用说明书、操作手册、维修及安装说明等文件。另一套完整上述资料应在交货时随货包装提供给用户，这些费用应计入投标价中。</w:t>
      </w:r>
    </w:p>
    <w:p w14:paraId="080A317C">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关于设备的安装调试，如果有必要的安装准备条件，卖方应在合同生效后一个月内向买方提出详细的要求或计划。安装调试的费用应计入投标价中，并应单独列出，供评标使用。</w:t>
      </w:r>
    </w:p>
    <w:p w14:paraId="0B55E9E2">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2AECC80">
      <w:pPr>
        <w:adjustRightInd w:val="0"/>
        <w:snapToGrid w:val="0"/>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3、工作条件</w:t>
      </w:r>
    </w:p>
    <w:p w14:paraId="211C822F">
      <w:pPr>
        <w:spacing w:after="312" w:afterLines="10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除非在技术规格中另有说明，所有仪器、设备和系统都应符合下列要求：</w:t>
      </w:r>
      <w:r>
        <w:rPr>
          <w:rFonts w:ascii="宋体" w:hAnsi="宋体" w:eastAsia="宋体" w:cs="Times New Roman"/>
          <w:color w:val="auto"/>
          <w:sz w:val="24"/>
          <w:highlight w:val="none"/>
        </w:rPr>
        <w:t xml:space="preserve"> </w:t>
      </w:r>
    </w:p>
    <w:p w14:paraId="4E5C239C">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3.1 适于在气温为摄氏</w:t>
      </w:r>
      <w:r>
        <w:rPr>
          <w:rFonts w:ascii="宋体" w:hAnsi="宋体" w:eastAsia="宋体" w:cs="Times New Roman"/>
          <w:b/>
          <w:color w:val="auto"/>
          <w:sz w:val="24"/>
          <w:highlight w:val="none"/>
        </w:rPr>
        <w:t>-40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w:t>
      </w:r>
      <w:r>
        <w:rPr>
          <w:rFonts w:ascii="宋体" w:hAnsi="宋体" w:eastAsia="宋体" w:cs="Times New Roman"/>
          <w:b/>
          <w:color w:val="auto"/>
          <w:sz w:val="24"/>
          <w:highlight w:val="none"/>
        </w:rPr>
        <w:t>90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的环境条件下运输和贮存。</w:t>
      </w:r>
    </w:p>
    <w:p w14:paraId="628F6F11">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3.2 适于在电源</w:t>
      </w:r>
      <w:r>
        <w:rPr>
          <w:rFonts w:ascii="宋体" w:hAnsi="宋体" w:eastAsia="宋体" w:cs="Times New Roman"/>
          <w:b/>
          <w:color w:val="auto"/>
          <w:sz w:val="24"/>
          <w:highlight w:val="none"/>
        </w:rPr>
        <w:t>220V</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sym w:font="Symbol" w:char="F0B1"/>
      </w:r>
      <w:r>
        <w:rPr>
          <w:rFonts w:ascii="宋体" w:hAnsi="宋体" w:eastAsia="宋体" w:cs="Times New Roman"/>
          <w:b/>
          <w:color w:val="auto"/>
          <w:sz w:val="24"/>
          <w:highlight w:val="none"/>
        </w:rPr>
        <w:t>10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/50Hz</w:t>
      </w:r>
      <w:r>
        <w:rPr>
          <w:rFonts w:hint="eastAsia" w:ascii="宋体" w:hAnsi="宋体" w:eastAsia="宋体" w:cs="Times New Roman"/>
          <w:color w:val="auto"/>
          <w:sz w:val="24"/>
          <w:highlight w:val="none"/>
        </w:rPr>
        <w:t>、气温摄氏</w:t>
      </w:r>
      <w:r>
        <w:rPr>
          <w:rFonts w:hint="eastAsia" w:ascii="宋体" w:hAnsi="宋体" w:eastAsia="宋体" w:cs="Times New Roman"/>
          <w:b/>
          <w:color w:val="auto"/>
          <w:sz w:val="24"/>
          <w:highlight w:val="none"/>
        </w:rPr>
        <w:t>+1</w:t>
      </w:r>
      <w:r>
        <w:rPr>
          <w:rFonts w:ascii="宋体" w:hAnsi="宋体" w:eastAsia="宋体" w:cs="Times New Roman"/>
          <w:b/>
          <w:color w:val="auto"/>
          <w:sz w:val="24"/>
          <w:highlight w:val="none"/>
        </w:rPr>
        <w:t>5</w:t>
      </w:r>
      <w:r>
        <w:rPr>
          <w:rFonts w:hint="eastAsia" w:ascii="宋体" w:hAnsi="宋体" w:eastAsia="宋体" w:cs="Times New Roman"/>
          <w:b/>
          <w:color w:val="auto"/>
          <w:sz w:val="24"/>
          <w:highlight w:val="none"/>
        </w:rPr>
        <w:t>℃～＋3</w:t>
      </w:r>
      <w:r>
        <w:rPr>
          <w:rFonts w:ascii="宋体" w:hAnsi="宋体" w:eastAsia="宋体" w:cs="Times New Roman"/>
          <w:b/>
          <w:color w:val="auto"/>
          <w:sz w:val="24"/>
          <w:highlight w:val="none"/>
        </w:rPr>
        <w:t>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和相对湿度小于</w:t>
      </w:r>
      <w:r>
        <w:rPr>
          <w:rFonts w:ascii="宋体" w:hAnsi="宋体" w:eastAsia="宋体" w:cs="Times New Roman"/>
          <w:b/>
          <w:color w:val="auto"/>
          <w:sz w:val="24"/>
          <w:highlight w:val="none"/>
        </w:rPr>
        <w:t>8</w:t>
      </w:r>
      <w:r>
        <w:rPr>
          <w:rFonts w:hint="eastAsia" w:ascii="宋体" w:hAnsi="宋体" w:eastAsia="宋体" w:cs="Times New Roman"/>
          <w:b/>
          <w:color w:val="auto"/>
          <w:sz w:val="24"/>
          <w:highlight w:val="none"/>
        </w:rPr>
        <w:t>0％</w:t>
      </w:r>
      <w:r>
        <w:rPr>
          <w:rFonts w:hint="eastAsia" w:ascii="宋体" w:hAnsi="宋体" w:eastAsia="宋体" w:cs="Times New Roman"/>
          <w:color w:val="auto"/>
          <w:sz w:val="24"/>
          <w:highlight w:val="none"/>
        </w:rPr>
        <w:t>的环境条件下运行。</w:t>
      </w:r>
      <w:r>
        <w:rPr>
          <w:rFonts w:hint="eastAsia" w:ascii="宋体" w:hAnsi="宋体" w:eastAsia="宋体" w:cs="Times New Roman"/>
          <w:b/>
          <w:color w:val="auto"/>
          <w:sz w:val="24"/>
          <w:highlight w:val="none"/>
        </w:rPr>
        <w:t>能够连续正常工作。</w:t>
      </w:r>
    </w:p>
    <w:p w14:paraId="305583B8">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3.3 配置符合中国有关标准要求的插头，如果没有这样的插头，则需</w:t>
      </w:r>
      <w:r>
        <w:rPr>
          <w:rFonts w:hint="eastAsia" w:ascii="宋体" w:hAnsi="Times New Roman" w:eastAsia="宋体" w:cs="Times New Roman"/>
          <w:color w:val="auto"/>
          <w:sz w:val="24"/>
          <w:highlight w:val="none"/>
        </w:rPr>
        <w:t>提供适当的转</w:t>
      </w:r>
      <w:r>
        <w:rPr>
          <w:rFonts w:hint="eastAsia" w:ascii="宋体" w:hAnsi="宋体" w:eastAsia="宋体" w:cs="Times New Roman"/>
          <w:color w:val="auto"/>
          <w:sz w:val="24"/>
          <w:highlight w:val="none"/>
        </w:rPr>
        <w:t>换插座。</w:t>
      </w:r>
    </w:p>
    <w:p w14:paraId="30E685A4">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3.4 如产品达不到上述要求，投标人应注明其偏差。如仪器设备需要特殊工作条件（如水、电源、磁场强度、温度、湿度、动强度等）投标人应在投标书中加以说明。</w:t>
      </w:r>
    </w:p>
    <w:p w14:paraId="5A976BA0">
      <w:pPr>
        <w:rPr>
          <w:rFonts w:hint="eastAsia" w:ascii="Times New Roman" w:hAnsi="Times New Roman" w:eastAsia="黑体" w:cs="Times New Roman"/>
          <w:b/>
          <w:bCs/>
          <w:color w:val="auto"/>
          <w:kern w:val="44"/>
          <w:sz w:val="24"/>
          <w:highlight w:val="none"/>
        </w:rPr>
      </w:pPr>
    </w:p>
    <w:p w14:paraId="3E926E46">
      <w:pPr>
        <w:adjustRightInd w:val="0"/>
        <w:snapToGrid w:val="0"/>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4、验收标准</w:t>
      </w:r>
    </w:p>
    <w:p w14:paraId="4C28A0C0">
      <w:pPr>
        <w:spacing w:after="312" w:afterLines="10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除非另有说明，所有仪器、设备和系统按下列要求进行验收：</w:t>
      </w:r>
      <w:r>
        <w:rPr>
          <w:rFonts w:ascii="宋体" w:hAnsi="宋体" w:eastAsia="宋体" w:cs="Times New Roman"/>
          <w:color w:val="auto"/>
          <w:sz w:val="24"/>
          <w:highlight w:val="none"/>
        </w:rPr>
        <w:t xml:space="preserve"> </w:t>
      </w:r>
    </w:p>
    <w:p w14:paraId="3B5C5731">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4.1 仪器设备运抵安装现场后，买方将与卖方共同开箱验收</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如卖方届时不派人来</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则验收结果应以买方的验收报告为最终验收结果。验收时发现短缺、破损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买方有权要求卖方负责更换。</w:t>
      </w:r>
    </w:p>
    <w:p w14:paraId="1DC9F6A0">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w:t>
      </w:r>
      <w:r>
        <w:rPr>
          <w:rFonts w:hint="eastAsia" w:ascii="Times New Roman" w:hAnsi="Times New Roman" w:eastAsia="宋体" w:cs="Times New Roman"/>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2A45DCCA">
      <w:pPr>
        <w:spacing w:line="360" w:lineRule="auto"/>
        <w:ind w:left="554" w:hanging="554" w:hangingChars="23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w:t>
      </w:r>
      <w:r>
        <w:rPr>
          <w:rFonts w:ascii="宋体" w:hAnsi="宋体" w:eastAsia="宋体" w:cs="Times New Roman"/>
          <w:color w:val="auto"/>
          <w:sz w:val="24"/>
          <w:highlight w:val="none"/>
        </w:rPr>
        <w:t>验收由采购人、中标人及相关人员依国家有关标准、合同及有关附件要求进行，验收完毕由采购人及中标人在验收报告上签名。</w:t>
      </w:r>
    </w:p>
    <w:p w14:paraId="5103E4F7">
      <w:pPr>
        <w:pStyle w:val="2"/>
        <w:spacing w:line="360" w:lineRule="auto"/>
        <w:ind w:left="410" w:hanging="410" w:hangingChars="170"/>
        <w:rPr>
          <w:rFonts w:hint="eastAsia" w:hAnsi="宋体" w:eastAsia="宋体" w:cs="Times New Roman"/>
          <w:b/>
          <w:color w:val="auto"/>
          <w:sz w:val="24"/>
          <w:szCs w:val="24"/>
          <w:highlight w:val="none"/>
        </w:rPr>
      </w:pPr>
    </w:p>
    <w:p w14:paraId="38E085EF">
      <w:pPr>
        <w:adjustRightInd w:val="0"/>
        <w:snapToGrid w:val="0"/>
        <w:spacing w:line="360" w:lineRule="auto"/>
        <w:rPr>
          <w:rFonts w:hint="eastAsia" w:ascii="Times New Roman" w:hAnsi="宋体" w:eastAsia="宋体" w:cs="Times New Roman"/>
          <w:b/>
          <w:color w:val="auto"/>
          <w:sz w:val="24"/>
          <w:highlight w:val="none"/>
        </w:rPr>
      </w:pPr>
      <w:r>
        <w:rPr>
          <w:rFonts w:hint="eastAsia" w:ascii="Times New Roman" w:hAnsi="Times New Roman" w:eastAsia="宋体" w:cs="Times New Roman"/>
          <w:b/>
          <w:bCs/>
          <w:color w:val="auto"/>
          <w:sz w:val="24"/>
          <w:highlight w:val="none"/>
        </w:rPr>
        <w:t>5、本采购需求书中标注“★”号技术条款的为实质性要求，不满足其投标将视为无效投标被拒绝。</w:t>
      </w:r>
    </w:p>
    <w:p w14:paraId="6E985853">
      <w:pPr>
        <w:adjustRightInd w:val="0"/>
        <w:snapToGrid w:val="0"/>
        <w:spacing w:line="360" w:lineRule="auto"/>
        <w:rPr>
          <w:rFonts w:hint="eastAsia" w:ascii="宋体" w:hAnsi="宋体" w:eastAsia="宋体" w:cs="Times New Roman"/>
          <w:b/>
          <w:color w:val="auto"/>
          <w:sz w:val="24"/>
          <w:highlight w:val="none"/>
        </w:rPr>
      </w:pPr>
    </w:p>
    <w:p w14:paraId="494655B9">
      <w:pPr>
        <w:adjustRightInd w:val="0"/>
        <w:snapToGrid w:val="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6、如在具体规格要求中有本总则不一致之处，以具体规格中的要求为准。</w:t>
      </w:r>
    </w:p>
    <w:p w14:paraId="45B6206F">
      <w:pPr>
        <w:adjustRightInd w:val="0"/>
        <w:snapToGrid w:val="0"/>
        <w:spacing w:line="360" w:lineRule="auto"/>
        <w:rPr>
          <w:rFonts w:hint="eastAsia" w:ascii="宋体" w:hAnsi="宋体" w:eastAsia="宋体" w:cs="Times New Roman"/>
          <w:b/>
          <w:color w:val="auto"/>
          <w:sz w:val="24"/>
          <w:highlight w:val="none"/>
        </w:rPr>
      </w:pPr>
    </w:p>
    <w:p w14:paraId="64906190">
      <w:pPr>
        <w:spacing w:after="156" w:afterLines="50"/>
        <w:rPr>
          <w:rFonts w:hint="eastAsia" w:ascii="宋体" w:hAnsi="宋体" w:eastAsia="宋体" w:cs="Times New Roman"/>
          <w:b/>
          <w:color w:val="auto"/>
          <w:sz w:val="28"/>
          <w:highlight w:val="none"/>
        </w:rPr>
      </w:pPr>
      <w:r>
        <w:rPr>
          <w:rFonts w:hint="eastAsia" w:ascii="宋体" w:hAnsi="宋体" w:eastAsia="宋体" w:cs="Times New Roman"/>
          <w:b/>
          <w:color w:val="auto"/>
          <w:sz w:val="28"/>
          <w:highlight w:val="none"/>
        </w:rPr>
        <w:br w:type="page"/>
      </w:r>
      <w:r>
        <w:rPr>
          <w:rFonts w:hint="eastAsia" w:ascii="宋体" w:hAnsi="宋体" w:eastAsia="宋体" w:cs="Times New Roman"/>
          <w:b/>
          <w:color w:val="auto"/>
          <w:sz w:val="28"/>
          <w:highlight w:val="none"/>
        </w:rPr>
        <w:t>二、具体技术规格</w:t>
      </w:r>
    </w:p>
    <w:p w14:paraId="4F61B794">
      <w:p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(一）技术要求：</w:t>
      </w:r>
    </w:p>
    <w:p w14:paraId="0294E0AF">
      <w:pPr>
        <w:spacing w:line="360" w:lineRule="auto"/>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1.介观神经网络成模块技术指标：</w:t>
      </w:r>
    </w:p>
    <w:p w14:paraId="4AB9D914">
      <w:pPr>
        <w:numPr>
          <w:ilvl w:val="1"/>
          <w:numId w:val="0"/>
        </w:numPr>
        <w:spacing w:line="360" w:lineRule="auto"/>
        <w:ind w:left="840" w:hanging="420"/>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A.</w:t>
      </w:r>
      <w:r>
        <w:rPr>
          <w:rFonts w:ascii="Times New Roman" w:hAnsi="Times New Roman" w:eastAsia="宋体" w:cs="Times New Roman"/>
          <w:color w:val="auto"/>
          <w:highlight w:val="none"/>
        </w:rPr>
        <w:t xml:space="preserve"> </w:t>
      </w:r>
      <w:r>
        <w:rPr>
          <w:rFonts w:ascii="Times New Roman" w:hAnsi="Times New Roman" w:eastAsia="宋体" w:cs="Times New Roman"/>
          <w:b/>
          <w:color w:val="auto"/>
          <w:sz w:val="24"/>
          <w:highlight w:val="none"/>
        </w:rPr>
        <w:t>成像硬件与光路</w:t>
      </w:r>
    </w:p>
    <w:p w14:paraId="525DDC92">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w:t>
      </w:r>
      <w:r>
        <w:rPr>
          <w:rFonts w:hint="eastAsia" w:ascii="Times New Roman" w:hAnsi="Times New Roman" w:eastAsia="宋体" w:cs="Times New Roman"/>
          <w:color w:val="auto"/>
          <w:sz w:val="24"/>
          <w:szCs w:val="20"/>
          <w:highlight w:val="none"/>
        </w:rPr>
        <w:t>系</w:t>
      </w:r>
      <w:r>
        <w:rPr>
          <w:rFonts w:hint="eastAsia" w:ascii="Times New Roman" w:hAnsi="Times New Roman" w:eastAsia="宋体" w:cs="Times New Roman"/>
          <w:color w:val="auto"/>
          <w:sz w:val="24"/>
          <w:szCs w:val="22"/>
          <w:highlight w:val="none"/>
        </w:rPr>
        <w:t>统兼容各种规格（至少包含1.6、5.8mm等）的透镜，可以对前部脑区（如大脑皮层、海马区等）和深部脑区（如下丘脑、纹状体等）神经元钙信号进行大规模（≥100个神经元）成像，</w:t>
      </w:r>
      <w:r>
        <w:rPr>
          <w:rFonts w:ascii="Times New Roman" w:hAnsi="Times New Roman" w:eastAsia="宋体" w:cs="Times New Roman"/>
          <w:color w:val="auto"/>
          <w:sz w:val="24"/>
          <w:szCs w:val="22"/>
          <w:highlight w:val="none"/>
        </w:rPr>
        <w:t>分辨率能够达到单细胞级</w:t>
      </w:r>
      <w:r>
        <w:rPr>
          <w:rFonts w:hint="eastAsia" w:ascii="Times New Roman" w:hAnsi="Times New Roman" w:eastAsia="宋体" w:cs="Times New Roman"/>
          <w:color w:val="auto"/>
          <w:sz w:val="24"/>
          <w:szCs w:val="22"/>
          <w:highlight w:val="none"/>
        </w:rPr>
        <w:t>；</w:t>
      </w:r>
    </w:p>
    <w:p w14:paraId="26191F19">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1.2.微型成像单元 CMOS：峰值量子效率</w:t>
      </w:r>
      <w:r>
        <w:rPr>
          <w:rFonts w:ascii="Times New Roman" w:hAnsi="Times New Roman" w:eastAsia="宋体" w:cs="Times New Roman"/>
          <w:color w:val="auto"/>
          <w:sz w:val="24"/>
          <w:highlight w:val="none"/>
        </w:rPr>
        <w:t>≥</w:t>
      </w:r>
      <w:r>
        <w:rPr>
          <w:rFonts w:hint="eastAsia" w:ascii="Times New Roman" w:hAnsi="Times New Roman" w:eastAsia="宋体" w:cs="Times New Roman"/>
          <w:color w:val="auto"/>
          <w:sz w:val="24"/>
          <w:szCs w:val="22"/>
          <w:highlight w:val="none"/>
        </w:rPr>
        <w:t xml:space="preserve"> 95%，分辨率≥1000 × 1000 px，采样率</w:t>
      </w:r>
      <w:r>
        <w:rPr>
          <w:rFonts w:ascii="Times New Roman" w:hAnsi="Times New Roman" w:eastAsia="宋体" w:cs="Times New Roman"/>
          <w:color w:val="auto"/>
          <w:sz w:val="24"/>
          <w:highlight w:val="none"/>
        </w:rPr>
        <w:t>≥</w:t>
      </w:r>
      <w:r>
        <w:rPr>
          <w:rFonts w:hint="eastAsia" w:ascii="Times New Roman" w:hAnsi="Times New Roman" w:eastAsia="宋体" w:cs="Times New Roman"/>
          <w:color w:val="auto"/>
          <w:sz w:val="24"/>
          <w:szCs w:val="22"/>
          <w:highlight w:val="none"/>
        </w:rPr>
        <w:t xml:space="preserve"> 90 FPS；</w:t>
      </w:r>
    </w:p>
    <w:p w14:paraId="0CC26989">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1.3.工作模式：单色成像；电子调焦范围：≥400 μm；</w:t>
      </w:r>
    </w:p>
    <w:p w14:paraId="60A23F81">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1.4.光学防抖功能：减少运动引入的视野模糊和错位；</w:t>
      </w:r>
    </w:p>
    <w:p w14:paraId="53320E2E">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1.5.激发光：激光光源，波长470nm±5nm，激发光源与CMOS模块分离设计，光源外置，减少显微镜发热，通过光纤传输激发光至动物组织；</w:t>
      </w:r>
    </w:p>
    <w:p w14:paraId="06A7028A">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1.6.发射光采集范围 ：500 nm - 540 nm；</w:t>
      </w:r>
    </w:p>
    <w:p w14:paraId="7ECD5B0F">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1.7.头戴采集器体积：高度 ≤26 mm，质量 ≤ 3 g；</w:t>
      </w:r>
    </w:p>
    <w:p w14:paraId="7B0C3540">
      <w:pPr>
        <w:numPr>
          <w:ilvl w:val="1"/>
          <w:numId w:val="0"/>
        </w:numPr>
        <w:spacing w:line="360" w:lineRule="auto"/>
        <w:ind w:left="840" w:hanging="420"/>
        <w:rPr>
          <w:rFonts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1.8.固定基板和成像透镜（Base Plate和 Lens）一体化结构，</w:t>
      </w:r>
      <w:r>
        <w:rPr>
          <w:rFonts w:ascii="Times New Roman" w:hAnsi="Times New Roman" w:eastAsia="宋体" w:cs="Times New Roman"/>
          <w:color w:val="auto"/>
          <w:sz w:val="24"/>
          <w:szCs w:val="22"/>
          <w:highlight w:val="none"/>
        </w:rPr>
        <w:t>多种规格可选</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至少包含1.6、5.8mm等</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，减少手术次数</w:t>
      </w:r>
      <w:r>
        <w:rPr>
          <w:rFonts w:hint="eastAsia" w:ascii="Times New Roman" w:hAnsi="Times New Roman" w:eastAsia="宋体" w:cs="Times New Roman"/>
          <w:color w:val="auto"/>
          <w:sz w:val="24"/>
          <w:szCs w:val="22"/>
          <w:highlight w:val="none"/>
        </w:rPr>
        <w:t>,景深距离固定（埋置透镜时免校准景深），配合调焦距可同时采集 3 层焦平面视频；</w:t>
      </w:r>
    </w:p>
    <w:p w14:paraId="56C3EB9A">
      <w:pPr>
        <w:numPr>
          <w:ilvl w:val="1"/>
          <w:numId w:val="0"/>
        </w:numPr>
        <w:spacing w:line="360" w:lineRule="auto"/>
        <w:ind w:left="840" w:hanging="420"/>
        <w:rPr>
          <w:rFonts w:ascii="Times New Roman" w:hAnsi="Times New Roman" w:eastAsia="宋体" w:cs="Times New Roman"/>
          <w:color w:val="auto"/>
          <w:sz w:val="24"/>
          <w:szCs w:val="22"/>
          <w:highlight w:val="none"/>
        </w:rPr>
      </w:pPr>
      <w:r>
        <w:rPr>
          <w:rFonts w:ascii="Times New Roman" w:hAnsi="Times New Roman" w:eastAsia="宋体" w:cs="Times New Roman"/>
          <w:color w:val="auto"/>
          <w:sz w:val="24"/>
          <w:szCs w:val="22"/>
          <w:highlight w:val="none"/>
        </w:rPr>
        <w:t>#1.</w:t>
      </w:r>
      <w:r>
        <w:rPr>
          <w:rFonts w:hint="eastAsia" w:ascii="Times New Roman" w:hAnsi="Times New Roman" w:eastAsia="宋体" w:cs="Times New Roman"/>
          <w:color w:val="auto"/>
          <w:sz w:val="24"/>
          <w:szCs w:val="22"/>
          <w:highlight w:val="none"/>
        </w:rPr>
        <w:t>9</w:t>
      </w:r>
      <w:r>
        <w:rPr>
          <w:rFonts w:ascii="Times New Roman" w:hAnsi="Times New Roman" w:eastAsia="宋体" w:cs="Times New Roman"/>
          <w:color w:val="auto"/>
          <w:sz w:val="24"/>
          <w:szCs w:val="22"/>
          <w:highlight w:val="none"/>
        </w:rPr>
        <w:t>.主动式电滑环，信号传输速率≥ 6 GHz；远程在线（OTA） 升级支持：确保系统始终保持最新状态及最佳性能表现。</w:t>
      </w:r>
    </w:p>
    <w:p w14:paraId="4F79272B">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p>
    <w:p w14:paraId="0A983888">
      <w:pPr>
        <w:numPr>
          <w:ilvl w:val="1"/>
          <w:numId w:val="0"/>
        </w:numPr>
        <w:spacing w:line="360" w:lineRule="auto"/>
        <w:ind w:left="840" w:hanging="420"/>
        <w:rPr>
          <w:rFonts w:hint="eastAsia"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B.采集、触发与同步</w:t>
      </w:r>
    </w:p>
    <w:p w14:paraId="56807615">
      <w:pPr>
        <w:numPr>
          <w:ilvl w:val="1"/>
          <w:numId w:val="0"/>
        </w:numPr>
        <w:spacing w:line="360" w:lineRule="auto"/>
        <w:ind w:left="840" w:hanging="420"/>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1.10.同步行为学视频采集，支持红外摄像头下动物识别；</w:t>
      </w:r>
    </w:p>
    <w:p w14:paraId="4BE13FF0">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1.11.支持外部触发、内部触发。外部触发接收电压范围 0.5 -10 V，预触发时间范围 </w:t>
      </w:r>
    </w:p>
    <w:p w14:paraId="5688D189">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1 - 9999 ms；</w:t>
      </w:r>
    </w:p>
    <w:p w14:paraId="5E40F6FB">
      <w:pPr>
        <w:numPr>
          <w:ilvl w:val="1"/>
          <w:numId w:val="0"/>
        </w:numPr>
        <w:spacing w:line="360" w:lineRule="auto"/>
        <w:ind w:left="840" w:hanging="420"/>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1.12.手动打标或输出，可在任意时间范围内传出 TTL 信号，与脑电设备打标同步或者触发脑电设备开始记录；多种打标和输出方式，包括外部设备、仪器内部信号传输、快捷键、ΔF/F超过阈值、开始和结束等；</w:t>
      </w:r>
      <w:r>
        <w:rPr>
          <w:rFonts w:ascii="Times New Roman" w:hAnsi="Times New Roman" w:eastAsia="宋体" w:cs="Times New Roman"/>
          <w:color w:val="auto"/>
          <w:sz w:val="24"/>
          <w:szCs w:val="22"/>
          <w:highlight w:val="none"/>
        </w:rPr>
        <w:t>Trigger</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支持外部信号触发开始及停止记录</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亦可通过软件设置延时或定时开始及结束</w:t>
      </w:r>
      <w:r>
        <w:rPr>
          <w:rFonts w:hint="eastAsia" w:ascii="Times New Roman" w:hAnsi="Times New Roman" w:eastAsia="宋体" w:cs="Times New Roman"/>
          <w:color w:val="auto"/>
          <w:sz w:val="24"/>
          <w:szCs w:val="22"/>
          <w:highlight w:val="none"/>
        </w:rPr>
        <w:t xml:space="preserve">； </w:t>
      </w:r>
    </w:p>
    <w:p w14:paraId="0F3B72B2">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1.13.配备数据实时采集工作站，配置不低于：CPU i7，内存16GB，硬盘512G；配备数据实时接收工作站，集成32 路常速 DIO 接口（精度1μs），4 路高速 DIO 接口（精度10 ns），均可配置为输入或输出状态，用于事件标记和信号同步；</w:t>
      </w:r>
    </w:p>
    <w:p w14:paraId="57E1D2DE">
      <w:pPr>
        <w:numPr>
          <w:ilvl w:val="1"/>
          <w:numId w:val="0"/>
        </w:numPr>
        <w:spacing w:line="360" w:lineRule="auto"/>
        <w:ind w:left="840" w:hanging="420"/>
        <w:rPr>
          <w:rFonts w:ascii="Times New Roman" w:hAnsi="Times New Roman" w:eastAsia="宋体" w:cs="Times New Roman"/>
          <w:color w:val="auto"/>
          <w:sz w:val="24"/>
          <w:szCs w:val="22"/>
          <w:highlight w:val="none"/>
        </w:rPr>
      </w:pPr>
    </w:p>
    <w:p w14:paraId="38582BC2">
      <w:pPr>
        <w:numPr>
          <w:ilvl w:val="1"/>
          <w:numId w:val="0"/>
        </w:numPr>
        <w:spacing w:line="360" w:lineRule="auto"/>
        <w:ind w:left="840" w:hanging="420"/>
        <w:rPr>
          <w:rFonts w:hint="eastAsia"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C.软件功能和数据分析</w:t>
      </w:r>
    </w:p>
    <w:p w14:paraId="3FAEFC86">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1.14.视野缩放，可选择≤ 100 ×</w:t>
      </w:r>
      <w:r>
        <w:rPr>
          <w:rFonts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szCs w:val="22"/>
          <w:highlight w:val="none"/>
        </w:rPr>
        <w:t>100 px 视野进行放大，清晰查看局部荧光信号变化；</w:t>
      </w:r>
      <w:r>
        <w:rPr>
          <w:rFonts w:ascii="Times New Roman" w:hAnsi="Times New Roman" w:eastAsia="宋体" w:cs="Times New Roman"/>
          <w:color w:val="auto"/>
          <w:sz w:val="24"/>
          <w:szCs w:val="22"/>
          <w:highlight w:val="none"/>
        </w:rPr>
        <w:t>适配夹持器，埋置BasePlate、Lens稳定无抖动</w:t>
      </w:r>
      <w:r>
        <w:rPr>
          <w:rFonts w:hint="eastAsia" w:ascii="Times New Roman" w:hAnsi="Times New Roman" w:eastAsia="宋体" w:cs="Times New Roman"/>
          <w:color w:val="auto"/>
          <w:sz w:val="24"/>
          <w:szCs w:val="22"/>
          <w:highlight w:val="none"/>
        </w:rPr>
        <w:t>;</w:t>
      </w:r>
    </w:p>
    <w:p w14:paraId="0B1F0927">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1.15.实时ΔF/F 观测，可选取特定区域，并对选取区域进行 ΔF/F 计算；可绘制 ROI，支持矩形、圆形和不规则多边形，并实时展示荧光变化曲线；</w:t>
      </w:r>
    </w:p>
    <w:p w14:paraId="3682E374">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1.16.实时显示荧光强度分布直方图，可用于判定曝光时间和采样率是否合适，以达到最佳成像标准。</w:t>
      </w:r>
    </w:p>
    <w:p w14:paraId="0EDBF384">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1.17.支持视频合并分析；支持图像配准，确保不同时间或不同条件下的成像数据在空间上的一致性；支持神经元经算法分析后在时间和空间序列上对应，可在任意分析阶段导出数据；</w:t>
      </w:r>
    </w:p>
    <w:p w14:paraId="15BA329A">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1.18.支持运动校正，降低运动噪音的影响；</w:t>
      </w:r>
    </w:p>
    <w:p w14:paraId="3032D009">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1.19.支持手动选取处理结果，对感兴趣的神经元进行分类群展示；配备离线分析工作站，配置不低于：CPU i714代，内存16GB，硬盘512G，配备独立显卡≥6G，显示器27寸；</w:t>
      </w:r>
    </w:p>
    <w:p w14:paraId="3D17A945">
      <w:pPr>
        <w:numPr>
          <w:ilvl w:val="1"/>
          <w:numId w:val="0"/>
        </w:numPr>
        <w:spacing w:line="360" w:lineRule="auto"/>
        <w:ind w:left="840" w:hanging="42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1.20.支持 ΔF/F 数据提取、视频帧处理、事件检测、峰值计算等；</w:t>
      </w:r>
    </w:p>
    <w:p w14:paraId="2692D87B">
      <w:pPr>
        <w:spacing w:line="360" w:lineRule="auto"/>
        <w:ind w:firstLine="480" w:firstLineChars="200"/>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1.21.配置模版（Config） 文件保存，便于使用相同参数重复实验。</w:t>
      </w:r>
    </w:p>
    <w:p w14:paraId="0D1DFE7D">
      <w:pPr>
        <w:spacing w:line="360" w:lineRule="auto"/>
        <w:rPr>
          <w:rFonts w:hint="eastAsia" w:ascii="Times New Roman" w:hAnsi="Times New Roman" w:eastAsia="宋体" w:cs="Times New Roman"/>
          <w:color w:val="auto"/>
          <w:sz w:val="24"/>
          <w:szCs w:val="22"/>
          <w:highlight w:val="none"/>
        </w:rPr>
      </w:pPr>
    </w:p>
    <w:p w14:paraId="5900B7E2">
      <w:pPr>
        <w:spacing w:line="360" w:lineRule="auto"/>
        <w:rPr>
          <w:rFonts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2.电生理同步观测模块</w:t>
      </w:r>
      <w:r>
        <w:rPr>
          <w:rFonts w:hint="eastAsia" w:ascii="Times New Roman" w:hAnsi="Times New Roman" w:eastAsia="宋体" w:cs="Times New Roman"/>
          <w:b/>
          <w:color w:val="auto"/>
          <w:sz w:val="24"/>
          <w:highlight w:val="none"/>
        </w:rPr>
        <w:t>技术指标</w:t>
      </w:r>
      <w:r>
        <w:rPr>
          <w:rFonts w:hint="eastAsia" w:ascii="Times New Roman" w:hAnsi="Times New Roman" w:eastAsia="宋体" w:cs="Times New Roman"/>
          <w:b/>
          <w:bCs/>
          <w:color w:val="auto"/>
          <w:sz w:val="24"/>
          <w:szCs w:val="22"/>
          <w:highlight w:val="none"/>
        </w:rPr>
        <w:t>：</w:t>
      </w:r>
    </w:p>
    <w:p w14:paraId="305DDF46">
      <w:pPr>
        <w:spacing w:line="360" w:lineRule="auto"/>
        <w:rPr>
          <w:rFonts w:hint="eastAsia"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A.</w:t>
      </w:r>
      <w:r>
        <w:rPr>
          <w:rFonts w:ascii="Times New Roman" w:hAnsi="Times New Roman" w:eastAsia="宋体" w:cs="Times New Roman"/>
          <w:b/>
          <w:bCs/>
          <w:color w:val="auto"/>
          <w:sz w:val="24"/>
          <w:szCs w:val="22"/>
          <w:highlight w:val="none"/>
        </w:rPr>
        <w:t>记录主机与放大器</w:t>
      </w:r>
    </w:p>
    <w:p w14:paraId="44AB5E86">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2.1</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系统主机：用于记录大小鼠脑电（EEG）/肌电（EMG）/局部场电位（LFP）等神经电生理信号的记录，微型放大器≥4通道数据记录，系统主机至少支持≥4只动物同时且独立记录，每通道可进行自定义记录EEG/EMG/LFP；系统主机的同一端口兼容有线和无线微型放大器，分别应用不同实验场景。</w:t>
      </w:r>
    </w:p>
    <w:p w14:paraId="030B453D">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2.2</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数字输入/输出：主机至少配备16位数字输入端口、16位数字输出端口，</w:t>
      </w:r>
      <w:r>
        <w:rPr>
          <w:rFonts w:ascii="Times New Roman" w:hAnsi="Times New Roman" w:eastAsia="宋体" w:cs="Times New Roman"/>
          <w:color w:val="auto"/>
          <w:sz w:val="24"/>
          <w:szCs w:val="22"/>
          <w:highlight w:val="none"/>
        </w:rPr>
        <w:t>可与其他外部设备相连，如超微显微成像系统、行为学系统及电刺激系统等，提供独立的外部触发输入，并全部支持TTL信号</w:t>
      </w:r>
      <w:r>
        <w:rPr>
          <w:rFonts w:hint="eastAsia" w:ascii="Times New Roman" w:hAnsi="Times New Roman" w:eastAsia="宋体" w:cs="Times New Roman"/>
          <w:color w:val="auto"/>
          <w:sz w:val="24"/>
          <w:szCs w:val="22"/>
          <w:highlight w:val="none"/>
        </w:rPr>
        <w:t>；配备红外视频同步监测系统，摄像头可实现生物电信号与视频信号的精准同步，并可采用自带的记录软件进行同步的记录与回放；生物电信号数据采样率：每通道≤500- ≥2 kHz</w:t>
      </w:r>
    </w:p>
    <w:p w14:paraId="39776A31">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2.3</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供电方式：系统主机具备交流 220V供电和直流5V供电灵活切换的两种供电方式。</w:t>
      </w:r>
    </w:p>
    <w:p w14:paraId="69B23BC1">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2.4.系统主机兼容的无线微型放大器：无线的微型放大器重量≤2.5g（含电池），可随时更换低成本电池，电池工作寿命≥120h，无线传输信号接收器，实现有线数据放大处理，无线数据传输。放大器和接收器之间的传输距离不小于3米，内置3轴加速度传感器采集动物运动信息，无需配对操作，开机直接使用。</w:t>
      </w:r>
    </w:p>
    <w:p w14:paraId="690912F6">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b/>
          <w:bCs/>
          <w:color w:val="auto"/>
          <w:sz w:val="24"/>
          <w:szCs w:val="22"/>
          <w:highlight w:val="none"/>
        </w:rPr>
        <w:t>#</w:t>
      </w:r>
      <w:r>
        <w:rPr>
          <w:rFonts w:hint="eastAsia" w:ascii="Times New Roman" w:hAnsi="Times New Roman" w:eastAsia="宋体" w:cs="Times New Roman"/>
          <w:color w:val="auto"/>
          <w:sz w:val="24"/>
          <w:szCs w:val="22"/>
          <w:highlight w:val="none"/>
        </w:rPr>
        <w:t>2.5.系统主机重量不超过2.0kg。系统配备4个微型有线前置放大器，重量≤1.8g，可以用于自由活动状态下动物的睡眠脑电记录。配套线缆采用6芯的线缆，并且长度在2米以上；前置放大器集成加速度传感器用于检测动物运动状态，微型放大器支持三轴加速度记录，可以实时监测运动状态，将X、Y、Z轴的采样结果展示在采集软件中并可与电生理信号记录在一个数据文件中。</w:t>
      </w:r>
    </w:p>
    <w:p w14:paraId="05A437E8">
      <w:pPr>
        <w:spacing w:line="360" w:lineRule="auto"/>
        <w:ind w:left="425" w:hanging="425"/>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2.6</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放大器采样精度：≥24bit，500Hz/1000Hz/2000Hz三种采样率可调。噪音≤2uVpp.</w:t>
      </w:r>
    </w:p>
    <w:p w14:paraId="08E762B9">
      <w:pPr>
        <w:spacing w:line="360" w:lineRule="auto"/>
        <w:ind w:left="425" w:hanging="425"/>
        <w:rPr>
          <w:rFonts w:ascii="Times New Roman" w:hAnsi="Times New Roman" w:eastAsia="宋体" w:cs="Times New Roman"/>
          <w:color w:val="auto"/>
          <w:sz w:val="24"/>
          <w:szCs w:val="22"/>
          <w:highlight w:val="none"/>
        </w:rPr>
      </w:pPr>
    </w:p>
    <w:p w14:paraId="79EFF451">
      <w:pPr>
        <w:spacing w:line="360" w:lineRule="auto"/>
        <w:ind w:left="425" w:hanging="425"/>
        <w:rPr>
          <w:rFonts w:hint="eastAsia"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B.换向与环境控制</w:t>
      </w:r>
    </w:p>
    <w:p w14:paraId="33372C0F">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2.7</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配备换向系统，接触电阻：≤450 mΩ，动态电阻波动值：≤35mΩ，旋转扭矩：≤3gf*cm，工作转速：0~100rpm.</w:t>
      </w:r>
    </w:p>
    <w:p w14:paraId="45D54F6D">
      <w:pPr>
        <w:spacing w:line="360" w:lineRule="auto"/>
        <w:ind w:left="425" w:hanging="425"/>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2.8</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系统配备隔音节律箱一组（4只），光照强度：0-500Lux无极可调，用户可自定义实验动物节律控制的控制系统，可根据北京时间设置照明/黑暗时间。降噪性能：≤50dB。</w:t>
      </w:r>
    </w:p>
    <w:p w14:paraId="5DD65846">
      <w:pPr>
        <w:spacing w:line="360" w:lineRule="auto"/>
        <w:ind w:left="425" w:hanging="425"/>
        <w:rPr>
          <w:rFonts w:ascii="Times New Roman" w:hAnsi="Times New Roman" w:eastAsia="宋体" w:cs="Times New Roman"/>
          <w:color w:val="auto"/>
          <w:sz w:val="24"/>
          <w:szCs w:val="22"/>
          <w:highlight w:val="none"/>
        </w:rPr>
      </w:pPr>
    </w:p>
    <w:p w14:paraId="63D9EF8D">
      <w:pPr>
        <w:spacing w:line="360" w:lineRule="auto"/>
        <w:ind w:left="425" w:hanging="425"/>
        <w:rPr>
          <w:rFonts w:ascii="Times New Roman" w:hAnsi="Times New Roman" w:eastAsia="宋体" w:cs="Times New Roman"/>
          <w:b/>
          <w:bCs/>
          <w:color w:val="auto"/>
          <w:sz w:val="24"/>
          <w:szCs w:val="22"/>
          <w:highlight w:val="none"/>
        </w:rPr>
      </w:pPr>
      <w:r>
        <w:rPr>
          <w:rFonts w:hint="eastAsia" w:ascii="Times New Roman" w:hAnsi="Times New Roman" w:eastAsia="宋体" w:cs="Times New Roman"/>
          <w:b/>
          <w:bCs/>
          <w:color w:val="auto"/>
          <w:sz w:val="24"/>
          <w:szCs w:val="22"/>
          <w:highlight w:val="none"/>
        </w:rPr>
        <w:t>C.</w:t>
      </w:r>
      <w:r>
        <w:rPr>
          <w:rFonts w:hint="eastAsia" w:ascii="Times New Roman" w:hAnsi="Times New Roman" w:eastAsia="宋体" w:cs="Times New Roman"/>
          <w:b/>
          <w:bCs/>
          <w:color w:val="auto"/>
          <w:highlight w:val="none"/>
        </w:rPr>
        <w:t xml:space="preserve"> </w:t>
      </w:r>
      <w:r>
        <w:rPr>
          <w:rFonts w:ascii="Times New Roman" w:hAnsi="Times New Roman" w:eastAsia="宋体" w:cs="Times New Roman"/>
          <w:b/>
          <w:bCs/>
          <w:color w:val="auto"/>
          <w:sz w:val="24"/>
          <w:szCs w:val="22"/>
          <w:highlight w:val="none"/>
        </w:rPr>
        <w:t>软件、分析与配套</w:t>
      </w:r>
    </w:p>
    <w:p w14:paraId="4B0FF190">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2.9</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数字滤波器：系统记录软件自带数字滤波器，用户可以根据具体需求选择≥3种滤波器类型、1~8阶滤波器阶数。</w:t>
      </w:r>
    </w:p>
    <w:p w14:paraId="25072DDD">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2.10</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频谱分析：系统记录软件自带频谱分析，可以实时查看输入信号的频率分布。</w:t>
      </w:r>
    </w:p>
    <w:p w14:paraId="0047ECCB">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2.11</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兼容线上频谱分析平台，脑电分析时长线上储备≥500小时。</w:t>
      </w:r>
    </w:p>
    <w:p w14:paraId="070900DA">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2.12</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数据记录：通过专用的数据记录方式可达7×24h连续记录。</w:t>
      </w:r>
    </w:p>
    <w:p w14:paraId="54028BEF">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2.13</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通道配置：可以预设通道名称、滤波、数字差分的模板，实现个性化通道配置，无需每次进行设置。</w:t>
      </w:r>
    </w:p>
    <w:p w14:paraId="3C3A0EED">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2.14</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提供全自动睡眠分期软件，可按时间对数据文件进行切割，拥有绝对时刻和相对时刻两种显示形式，支持单文件以及多文件自动睡眠分期，分析准确度大于等于90%，可以进行时频图，频谱图，睡眠时相图和波形图的绘制及分析结果的保存与导出。</w:t>
      </w:r>
    </w:p>
    <w:p w14:paraId="775D5243">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2.15</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配备采集与分析工作站，配置不低于：CPU i7，内存16GB，硬盘1T，显示器27寸。</w:t>
      </w:r>
    </w:p>
    <w:p w14:paraId="65FBB92F">
      <w:pPr>
        <w:spacing w:line="360" w:lineRule="auto"/>
        <w:ind w:left="425" w:hanging="425"/>
        <w:rPr>
          <w:rFonts w:hint="eastAsia"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2.16</w:t>
      </w:r>
      <w:r>
        <w:rPr>
          <w:rFonts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rPr>
        <w:t>配备精细操作透镜、电极埋置显微操作仪，视野直径20mm，放大倍数7X-45X,工作距离150mm，变倍可调，三目配置，万向双杆十字支架臂。</w:t>
      </w:r>
    </w:p>
    <w:p w14:paraId="3C071411">
      <w:pPr>
        <w:adjustRightInd w:val="0"/>
        <w:snapToGrid w:val="0"/>
        <w:spacing w:line="360" w:lineRule="auto"/>
        <w:rPr>
          <w:rFonts w:hint="eastAsia" w:ascii="Times New Roman" w:hAnsi="Times New Roman" w:eastAsia="宋体" w:cs="Times New Roman"/>
          <w:color w:val="auto"/>
          <w:sz w:val="24"/>
          <w:highlight w:val="none"/>
        </w:rPr>
      </w:pPr>
    </w:p>
    <w:p w14:paraId="504E9BA6">
      <w:pPr>
        <w:tabs>
          <w:tab w:val="left" w:pos="360"/>
        </w:tabs>
        <w:spacing w:line="360" w:lineRule="auto"/>
        <w:rPr>
          <w:rFonts w:hint="eastAsia" w:ascii="Times New Roman" w:hAnsi="Times New Roman" w:eastAsia="宋体" w:cs="Times New Roman"/>
          <w:b/>
          <w:color w:val="auto"/>
          <w:sz w:val="24"/>
          <w:highlight w:val="none"/>
        </w:rPr>
      </w:pPr>
      <w:r>
        <w:rPr>
          <w:rFonts w:hint="eastAsia" w:ascii="华文楷体" w:hAnsi="华文楷体" w:eastAsia="华文楷体" w:cs="华文楷体"/>
          <w:color w:val="auto"/>
          <w:sz w:val="24"/>
          <w:highlight w:val="none"/>
        </w:rPr>
        <w:t xml:space="preserve">★ 3. </w:t>
      </w:r>
      <w:r>
        <w:rPr>
          <w:rFonts w:hint="eastAsia" w:ascii="Times New Roman" w:hAnsi="Times New Roman" w:eastAsia="宋体" w:cs="Times New Roman"/>
          <w:b/>
          <w:color w:val="auto"/>
          <w:sz w:val="24"/>
          <w:highlight w:val="none"/>
        </w:rPr>
        <w:t>介观神经网络成像&amp;电生理同步观测系统配置要求</w:t>
      </w:r>
    </w:p>
    <w:p w14:paraId="3C394F16">
      <w:pPr>
        <w:tabs>
          <w:tab w:val="left" w:pos="360"/>
        </w:tabs>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介观神经网络成像模块：</w:t>
      </w:r>
    </w:p>
    <w:p w14:paraId="01BF5687">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微型显微内窥镜4个</w:t>
      </w:r>
    </w:p>
    <w:p w14:paraId="3AB96CEC">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数据采集盒主机（带便携工作站(i7/16G/512G）4台， </w:t>
      </w:r>
    </w:p>
    <w:p w14:paraId="461921A8">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基座夹持器4个</w:t>
      </w:r>
    </w:p>
    <w:p w14:paraId="52FC9057">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基座假体4个</w:t>
      </w:r>
    </w:p>
    <w:p w14:paraId="08CBF963">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基座（含透镜）10个</w:t>
      </w:r>
    </w:p>
    <w:p w14:paraId="14CA84EE">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基座（防尘帽）10个</w:t>
      </w:r>
    </w:p>
    <w:p w14:paraId="32E9F34E">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数据采集软件4套</w:t>
      </w:r>
    </w:p>
    <w:p w14:paraId="312E64E6">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数据分析软件4套</w:t>
      </w:r>
    </w:p>
    <w:p w14:paraId="703FB52C">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组织移除真空泵  4件</w:t>
      </w:r>
    </w:p>
    <w:p w14:paraId="4AA61D63">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通针（持针器）4件</w:t>
      </w:r>
    </w:p>
    <w:p w14:paraId="6157C541">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微透镜埋置夹持器4件</w:t>
      </w:r>
    </w:p>
    <w:p w14:paraId="71AC5AB9">
      <w:pPr>
        <w:numPr>
          <w:ilvl w:val="1"/>
          <w:numId w:val="0"/>
        </w:numPr>
        <w:tabs>
          <w:tab w:val="left" w:pos="540"/>
        </w:tabs>
        <w:spacing w:line="360" w:lineRule="auto"/>
        <w:ind w:left="567" w:hanging="567"/>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内六角螺丝M1.4（垫片5个）螺丝刀4套</w:t>
      </w:r>
    </w:p>
    <w:p w14:paraId="381D7EB0">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p>
    <w:p w14:paraId="4459F464">
      <w:pPr>
        <w:tabs>
          <w:tab w:val="left" w:pos="540"/>
        </w:tabs>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b/>
          <w:color w:val="auto"/>
          <w:sz w:val="24"/>
          <w:highlight w:val="none"/>
        </w:rPr>
        <w:t>电生理同步观测模块：</w:t>
      </w:r>
    </w:p>
    <w:p w14:paraId="1255BCFD">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脑电和肌电数据采集主机（同时记录4只动物)  1台                                                                                          </w:t>
      </w:r>
    </w:p>
    <w:p w14:paraId="1E23C773">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脑电记录软件    1套</w:t>
      </w:r>
    </w:p>
    <w:p w14:paraId="117FAB3B">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单只动物使用许可   4份</w:t>
      </w:r>
    </w:p>
    <w:p w14:paraId="54F2E242">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小鼠脑电肌电微型放大器4个</w:t>
      </w:r>
    </w:p>
    <w:p w14:paraId="7615119E">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小鼠电换向器  4个</w:t>
      </w:r>
    </w:p>
    <w:p w14:paraId="33960F8C">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小鼠换向器后端线缆（Medusa）4根</w:t>
      </w:r>
    </w:p>
    <w:p w14:paraId="62AF8F91">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小动物专用记录隔音箱  4套</w:t>
      </w:r>
    </w:p>
    <w:p w14:paraId="36535874">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视频同步记录系统（带摄像头） 4套</w:t>
      </w:r>
    </w:p>
    <w:p w14:paraId="28A53710">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系统工作站（</w:t>
      </w:r>
      <w:r>
        <w:rPr>
          <w:rFonts w:hint="eastAsia" w:ascii="Times New Roman" w:hAnsi="Times New Roman" w:eastAsia="宋体" w:cs="Times New Roman"/>
          <w:color w:val="auto"/>
          <w:sz w:val="24"/>
          <w:szCs w:val="22"/>
          <w:highlight w:val="none"/>
        </w:rPr>
        <w:t xml:space="preserve"> i7/16GB/1T ） 1台  </w:t>
      </w:r>
    </w:p>
    <w:p w14:paraId="72EE56E4">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小鼠换向器前端线缆（Medusa）4根</w:t>
      </w:r>
    </w:p>
    <w:p w14:paraId="732D941E">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无线数据接收器     2个</w:t>
      </w:r>
    </w:p>
    <w:p w14:paraId="31A5593D">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无线头戴放大器     2个</w:t>
      </w:r>
    </w:p>
    <w:p w14:paraId="0CDCAC36">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小鼠脑电肌电电极   20个</w:t>
      </w:r>
    </w:p>
    <w:p w14:paraId="240F0446">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睡眠数据分析软件   1套</w:t>
      </w:r>
    </w:p>
    <w:p w14:paraId="6A8831A3">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线上储备脑电分析时长500小时</w:t>
      </w:r>
    </w:p>
    <w:p w14:paraId="109A19ED">
      <w:pPr>
        <w:numPr>
          <w:ilvl w:val="1"/>
          <w:numId w:val="0"/>
        </w:numPr>
        <w:tabs>
          <w:tab w:val="left" w:pos="540"/>
        </w:tabs>
        <w:spacing w:line="360" w:lineRule="auto"/>
        <w:ind w:left="567" w:hanging="56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三目万向支架手术显微镜  1台</w:t>
      </w:r>
    </w:p>
    <w:p w14:paraId="1FC7190A">
      <w:pPr>
        <w:numPr>
          <w:ilvl w:val="1"/>
          <w:numId w:val="0"/>
        </w:numPr>
        <w:tabs>
          <w:tab w:val="left" w:pos="540"/>
        </w:tabs>
        <w:spacing w:line="360" w:lineRule="auto"/>
        <w:ind w:left="567" w:hanging="567"/>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数据分析台式工作站(i7/16G/512G/6G)  1套</w:t>
      </w:r>
    </w:p>
    <w:p w14:paraId="1088FE4D">
      <w:pPr>
        <w:tabs>
          <w:tab w:val="left" w:pos="540"/>
        </w:tabs>
        <w:spacing w:line="360" w:lineRule="auto"/>
        <w:rPr>
          <w:rFonts w:hint="eastAsia" w:ascii="Times New Roman" w:hAnsi="Times New Roman" w:eastAsia="宋体" w:cs="Times New Roman"/>
          <w:color w:val="auto"/>
          <w:sz w:val="24"/>
          <w:highlight w:val="none"/>
        </w:rPr>
      </w:pPr>
    </w:p>
    <w:p w14:paraId="56165DF2">
      <w:pPr>
        <w:widowControl/>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（二）</w:t>
      </w:r>
      <w:r>
        <w:rPr>
          <w:rFonts w:hint="eastAsia" w:ascii="Times New Roman" w:hAnsi="Times New Roman" w:eastAsia="宋体" w:cs="Times New Roman"/>
          <w:b/>
          <w:color w:val="auto"/>
          <w:sz w:val="24"/>
          <w:highlight w:val="none"/>
        </w:rPr>
        <w:t>商务要求</w:t>
      </w:r>
    </w:p>
    <w:p w14:paraId="3AE770BA">
      <w:pPr>
        <w:spacing w:line="360" w:lineRule="auto"/>
        <w:ind w:firstLine="482" w:firstLineChars="200"/>
        <w:jc w:val="left"/>
        <w:rPr>
          <w:rFonts w:ascii="新宋体" w:hAnsi="新宋体" w:eastAsia="新宋体" w:cs="新宋体"/>
          <w:b/>
          <w:color w:val="auto"/>
          <w:sz w:val="24"/>
          <w:highlight w:val="none"/>
        </w:rPr>
      </w:pPr>
      <w:r>
        <w:rPr>
          <w:rFonts w:ascii="新宋体" w:hAnsi="新宋体" w:eastAsia="新宋体" w:cs="新宋体"/>
          <w:b/>
          <w:color w:val="auto"/>
          <w:sz w:val="24"/>
          <w:highlight w:val="none"/>
        </w:rPr>
        <w:t>1.包装、运输及保险：</w:t>
      </w:r>
    </w:p>
    <w:p w14:paraId="6D7B5AF1">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1.1.包装要求：供应商提供的全部货物，均应采用本行业通用的方式进行包装，且该包装应符合国家有关包装的法律、法规及其他行业规范性文件的规定。包装应适应于远距离运输、防潮、防震、防锈和防粗暴装卸，确保货物安全无损，运抵现场。由于包装不善所引起的货物锈蚀、损坏和损失均由供应商承担。</w:t>
      </w:r>
    </w:p>
    <w:p w14:paraId="25EF5C78">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1.2.运输要求：现场交货，供应商负责办理运输和保险事宜，将货物运抵现场（采购人指定地点）。</w:t>
      </w:r>
    </w:p>
    <w:p w14:paraId="50EA41C1">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1.3.保险要求：供应商对提供的货物应对其在制造、购置、运输、存放及交货过程中的丢失或损坏进行全面保险, 还应对其在项目现场进行技术服务的人员进行必要的保险，供应商保证在采购人指定地点交付安装的货物必须是完好无损的，否则采购人有权拒绝接受货物且由此引起的一切损失均由供应商自行承担。</w:t>
      </w:r>
    </w:p>
    <w:p w14:paraId="5E82469C">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1.4开箱验收：供应商应将设备的相关技术文件，包括相应的图纸、操作手册、维护手册、质量保证文件、服务指南等随货物</w:t>
      </w:r>
      <w:r>
        <w:rPr>
          <w:rFonts w:ascii="新宋体" w:hAnsi="新宋体" w:eastAsia="新宋体" w:cs="新宋体"/>
          <w:color w:val="auto"/>
          <w:sz w:val="24"/>
          <w:highlight w:val="none"/>
        </w:rPr>
        <w:t>运抵交货地点，采购人将与供应商共同开箱验收，验收时发现短缺、破损, 采购人有权要求中标人立即补发和负责更换，中标人须无条件配合，</w:t>
      </w:r>
      <w:r>
        <w:rPr>
          <w:rFonts w:ascii="新宋体" w:hAnsi="新宋体" w:eastAsia="新宋体" w:cs="新宋体"/>
          <w:bCs/>
          <w:color w:val="auto"/>
          <w:sz w:val="24"/>
          <w:highlight w:val="none"/>
        </w:rPr>
        <w:t>经采购人检验合格视为交货完成。</w:t>
      </w:r>
    </w:p>
    <w:p w14:paraId="2C39A02D">
      <w:pPr>
        <w:spacing w:line="360" w:lineRule="auto"/>
        <w:ind w:firstLine="482" w:firstLineChars="200"/>
        <w:jc w:val="left"/>
        <w:rPr>
          <w:rFonts w:ascii="新宋体" w:hAnsi="新宋体" w:eastAsia="新宋体" w:cs="新宋体"/>
          <w:b/>
          <w:color w:val="auto"/>
          <w:sz w:val="24"/>
          <w:highlight w:val="none"/>
        </w:rPr>
      </w:pPr>
      <w:r>
        <w:rPr>
          <w:rFonts w:ascii="新宋体" w:hAnsi="新宋体" w:eastAsia="新宋体" w:cs="新宋体"/>
          <w:b/>
          <w:color w:val="auto"/>
          <w:sz w:val="24"/>
          <w:highlight w:val="none"/>
        </w:rPr>
        <w:t>2.安装调试与验收：</w:t>
      </w:r>
    </w:p>
    <w:p w14:paraId="0B953E73">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2.1.</w:t>
      </w:r>
      <w:r>
        <w:rPr>
          <w:rFonts w:ascii="新宋体" w:hAnsi="新宋体" w:eastAsia="新宋体" w:cs="新宋体"/>
          <w:color w:val="auto"/>
          <w:sz w:val="24"/>
          <w:highlight w:val="none"/>
        </w:rPr>
        <w:t>开箱验收合格后，进行安装调试和试运行。供应商应该保留测试结果，测试结果涵盖采购人所需的项目验收指标。试运行结束后</w:t>
      </w:r>
      <w:r>
        <w:rPr>
          <w:rFonts w:ascii="新宋体" w:hAnsi="新宋体" w:eastAsia="新宋体" w:cs="新宋体"/>
          <w:color w:val="auto"/>
          <w:sz w:val="24"/>
          <w:highlight w:val="none"/>
          <w:lang w:eastAsia="zh"/>
        </w:rPr>
        <w:t>，</w:t>
      </w:r>
      <w:r>
        <w:rPr>
          <w:rFonts w:ascii="新宋体" w:hAnsi="新宋体" w:eastAsia="新宋体" w:cs="新宋体"/>
          <w:color w:val="auto"/>
          <w:sz w:val="24"/>
          <w:highlight w:val="none"/>
        </w:rPr>
        <w:t>采购人负责组织专家按约定的技术指标对标的货物进行最终技术验收。以招标文件、投标文件、合同及相关文件约定的技术、指标为准，整个系统达到要求即完成最终验收，采购人出具最终验收报告。若产品不能满足验收标准，中标人负责解决产品存在的问题，如导致进度拖延，供货商还应按合同相关条款要求承担违约责任。</w:t>
      </w:r>
    </w:p>
    <w:p w14:paraId="5D4BF58F">
      <w:pPr>
        <w:spacing w:line="360" w:lineRule="auto"/>
        <w:ind w:firstLine="482" w:firstLineChars="200"/>
        <w:jc w:val="left"/>
        <w:rPr>
          <w:rFonts w:ascii="新宋体" w:hAnsi="新宋体" w:eastAsia="新宋体" w:cs="新宋体"/>
          <w:bCs/>
          <w:color w:val="auto"/>
          <w:sz w:val="24"/>
          <w:highlight w:val="none"/>
        </w:rPr>
      </w:pPr>
      <w:r>
        <w:rPr>
          <w:rFonts w:ascii="新宋体" w:hAnsi="新宋体" w:eastAsia="新宋体" w:cs="新宋体"/>
          <w:b/>
          <w:color w:val="auto"/>
          <w:sz w:val="24"/>
          <w:highlight w:val="none"/>
        </w:rPr>
        <w:t>3.技术培训：</w:t>
      </w:r>
      <w:r>
        <w:rPr>
          <w:rFonts w:ascii="新宋体" w:hAnsi="新宋体" w:eastAsia="新宋体" w:cs="新宋体"/>
          <w:bCs/>
          <w:color w:val="auto"/>
          <w:sz w:val="24"/>
          <w:highlight w:val="none"/>
        </w:rPr>
        <w:t>供应商负责进行设备的安装、使用及维护培训，包括仪器基本原理和结构介绍、仪器操作方法、数据处理、软件的使用和结果分析、仪器基本保养维护程序等内容（不额外收费）。根据采购人实际需求，双方协商时间，每年进行1-2次培训，参加培训的人员数量由采购人自行确定，确保采购人掌握设备使用及维护的相关技能。</w:t>
      </w:r>
    </w:p>
    <w:p w14:paraId="75734ACC">
      <w:pPr>
        <w:spacing w:line="360" w:lineRule="auto"/>
        <w:ind w:firstLine="482" w:firstLineChars="200"/>
        <w:jc w:val="left"/>
        <w:rPr>
          <w:rFonts w:ascii="新宋体" w:hAnsi="新宋体" w:eastAsia="新宋体" w:cs="新宋体"/>
          <w:b/>
          <w:color w:val="auto"/>
          <w:sz w:val="24"/>
          <w:highlight w:val="none"/>
        </w:rPr>
      </w:pPr>
      <w:r>
        <w:rPr>
          <w:rFonts w:ascii="新宋体" w:hAnsi="新宋体" w:eastAsia="新宋体" w:cs="新宋体"/>
          <w:b/>
          <w:color w:val="auto"/>
          <w:sz w:val="24"/>
          <w:highlight w:val="none"/>
        </w:rPr>
        <w:t>4.质量及售后保证：</w:t>
      </w:r>
    </w:p>
    <w:p w14:paraId="6651E332">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4.1.供应商保证提供的设备是全新成套的合格产品，由原厂商在原产地生产的合格产品，质量完全符合生产厂家出厂的技术指标和中国国家有关技术标准。产品</w:t>
      </w:r>
      <w:r>
        <w:rPr>
          <w:rFonts w:hint="eastAsia" w:ascii="新宋体" w:hAnsi="新宋体" w:eastAsia="新宋体" w:cs="新宋体"/>
          <w:bCs/>
          <w:color w:val="auto"/>
          <w:sz w:val="24"/>
          <w:highlight w:val="none"/>
        </w:rPr>
        <w:t>原厂</w:t>
      </w:r>
      <w:r>
        <w:rPr>
          <w:rFonts w:ascii="新宋体" w:hAnsi="新宋体" w:eastAsia="新宋体" w:cs="新宋体"/>
          <w:bCs/>
          <w:color w:val="auto"/>
          <w:sz w:val="24"/>
          <w:highlight w:val="none"/>
        </w:rPr>
        <w:t>质保期≥3年，需提供制造商出具的售后服务承诺书，</w:t>
      </w:r>
      <w:r>
        <w:rPr>
          <w:rFonts w:ascii="新宋体" w:hAnsi="新宋体" w:eastAsia="新宋体" w:cs="新宋体"/>
          <w:color w:val="auto"/>
          <w:kern w:val="0"/>
          <w:sz w:val="24"/>
          <w:highlight w:val="none"/>
        </w:rPr>
        <w:t>质保期</w:t>
      </w:r>
      <w:r>
        <w:rPr>
          <w:rFonts w:ascii="新宋体" w:hAnsi="新宋体" w:eastAsia="新宋体" w:cs="新宋体"/>
          <w:bCs/>
          <w:color w:val="auto"/>
          <w:sz w:val="24"/>
          <w:highlight w:val="none"/>
        </w:rPr>
        <w:t>自最终技术验收合格之日起计算</w:t>
      </w:r>
      <w:r>
        <w:rPr>
          <w:rFonts w:ascii="新宋体" w:hAnsi="新宋体" w:eastAsia="新宋体" w:cs="新宋体"/>
          <w:color w:val="auto"/>
          <w:kern w:val="0"/>
          <w:sz w:val="24"/>
          <w:highlight w:val="none"/>
        </w:rPr>
        <w:t>。</w:t>
      </w:r>
    </w:p>
    <w:p w14:paraId="106B11AC">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4.2.质保期内的服务内容：包括但不限于：①</w:t>
      </w:r>
      <w:r>
        <w:rPr>
          <w:rFonts w:hint="eastAsia" w:ascii="新宋体" w:hAnsi="新宋体" w:eastAsia="新宋体" w:cs="新宋体"/>
          <w:bCs/>
          <w:color w:val="auto"/>
          <w:sz w:val="24"/>
          <w:highlight w:val="none"/>
        </w:rPr>
        <w:t>无偿</w:t>
      </w:r>
      <w:r>
        <w:rPr>
          <w:rFonts w:ascii="新宋体" w:hAnsi="新宋体" w:eastAsia="新宋体" w:cs="新宋体"/>
          <w:bCs/>
          <w:color w:val="auto"/>
          <w:sz w:val="24"/>
          <w:highlight w:val="none"/>
        </w:rPr>
        <w:t>修复因生产制造中存在的缺陷或因供应商的过失造成的设备故障；②在设备质保期内由于正常磨损导致的零部件故障，供应商负责</w:t>
      </w:r>
      <w:r>
        <w:rPr>
          <w:rFonts w:hint="eastAsia" w:ascii="新宋体" w:hAnsi="新宋体" w:eastAsia="新宋体" w:cs="新宋体"/>
          <w:bCs/>
          <w:color w:val="auto"/>
          <w:sz w:val="24"/>
          <w:highlight w:val="none"/>
        </w:rPr>
        <w:t>无偿</w:t>
      </w:r>
      <w:r>
        <w:rPr>
          <w:rFonts w:ascii="新宋体" w:hAnsi="新宋体" w:eastAsia="新宋体" w:cs="新宋体"/>
          <w:bCs/>
          <w:color w:val="auto"/>
          <w:sz w:val="24"/>
          <w:highlight w:val="none"/>
        </w:rPr>
        <w:t>维修或更换；③因采购人操作不当或其他人为因素造成的设备故障或损伤，</w:t>
      </w:r>
      <w:r>
        <w:rPr>
          <w:rFonts w:ascii="新宋体" w:hAnsi="新宋体" w:eastAsia="新宋体" w:cs="新宋体"/>
          <w:color w:val="auto"/>
          <w:sz w:val="24"/>
          <w:highlight w:val="none"/>
        </w:rPr>
        <w:t>供应商负责</w:t>
      </w:r>
      <w:r>
        <w:rPr>
          <w:rFonts w:hint="eastAsia" w:ascii="新宋体" w:hAnsi="新宋体" w:eastAsia="新宋体" w:cs="新宋体"/>
          <w:color w:val="auto"/>
          <w:sz w:val="24"/>
          <w:highlight w:val="none"/>
        </w:rPr>
        <w:t>无偿</w:t>
      </w:r>
      <w:r>
        <w:rPr>
          <w:rFonts w:ascii="新宋体" w:hAnsi="新宋体" w:eastAsia="新宋体" w:cs="新宋体"/>
          <w:color w:val="auto"/>
          <w:sz w:val="24"/>
          <w:highlight w:val="none"/>
        </w:rPr>
        <w:t>维修或更换；</w:t>
      </w:r>
      <w:bookmarkStart w:id="0" w:name="OLE_LINK3"/>
      <w:r>
        <w:rPr>
          <w:rFonts w:ascii="新宋体" w:hAnsi="新宋体" w:eastAsia="新宋体" w:cs="新宋体"/>
          <w:bCs/>
          <w:color w:val="auto"/>
          <w:sz w:val="24"/>
          <w:highlight w:val="none"/>
        </w:rPr>
        <w:t>④供应商</w:t>
      </w:r>
      <w:r>
        <w:rPr>
          <w:rFonts w:hint="eastAsia" w:ascii="新宋体" w:hAnsi="新宋体" w:eastAsia="新宋体" w:cs="新宋体"/>
          <w:bCs/>
          <w:color w:val="auto"/>
          <w:sz w:val="24"/>
          <w:highlight w:val="none"/>
        </w:rPr>
        <w:t>无偿</w:t>
      </w:r>
      <w:r>
        <w:rPr>
          <w:rFonts w:ascii="新宋体" w:hAnsi="新宋体" w:eastAsia="新宋体" w:cs="新宋体"/>
          <w:bCs/>
          <w:color w:val="auto"/>
          <w:sz w:val="24"/>
          <w:highlight w:val="none"/>
        </w:rPr>
        <w:t>提供零部件、易损件以成本价给到甲方；⑤质保期内供应商向采购人提供每年不少于1次机器维护保养，并与采购人保持沟通，定期了解甲方使用情况和意见，解决采购人疑问。⑥质保期内供应商应对设备实行每年至少1次巡检，巡检过程中协助采购人对设备进行检查和提供再次指导，并与采购人保持密切沟通。⑦质保期内发生技术升级时，供应商应及时通知采购人，如采购人有相应需求，供应商须提供</w:t>
      </w:r>
      <w:r>
        <w:rPr>
          <w:rFonts w:hint="eastAsia" w:ascii="新宋体" w:hAnsi="新宋体" w:eastAsia="新宋体" w:cs="新宋体"/>
          <w:bCs/>
          <w:color w:val="auto"/>
          <w:sz w:val="24"/>
          <w:highlight w:val="none"/>
        </w:rPr>
        <w:t>无偿</w:t>
      </w:r>
      <w:r>
        <w:rPr>
          <w:rFonts w:ascii="新宋体" w:hAnsi="新宋体" w:eastAsia="新宋体" w:cs="新宋体"/>
          <w:bCs/>
          <w:color w:val="auto"/>
          <w:sz w:val="24"/>
          <w:highlight w:val="none"/>
        </w:rPr>
        <w:t>设备技术升级服务；</w:t>
      </w:r>
      <w:bookmarkEnd w:id="0"/>
      <w:r>
        <w:rPr>
          <w:rFonts w:ascii="新宋体" w:hAnsi="新宋体" w:eastAsia="新宋体" w:cs="新宋体"/>
          <w:bCs/>
          <w:color w:val="auto"/>
          <w:sz w:val="24"/>
          <w:highlight w:val="none"/>
        </w:rPr>
        <w:t>⑧质保期满前1个月内供应商应负责一次全面检查</w:t>
      </w:r>
      <w:r>
        <w:rPr>
          <w:rFonts w:hint="eastAsia" w:ascii="新宋体" w:hAnsi="新宋体" w:eastAsia="新宋体" w:cs="新宋体"/>
          <w:bCs/>
          <w:color w:val="auto"/>
          <w:sz w:val="24"/>
          <w:highlight w:val="none"/>
        </w:rPr>
        <w:t>（不收取费用）</w:t>
      </w:r>
      <w:r>
        <w:rPr>
          <w:rFonts w:ascii="新宋体" w:hAnsi="新宋体" w:eastAsia="新宋体" w:cs="新宋体"/>
          <w:bCs/>
          <w:color w:val="auto"/>
          <w:sz w:val="24"/>
          <w:highlight w:val="none"/>
        </w:rPr>
        <w:t>，并写出正式报告，如发现潜在问题，应负责排除。</w:t>
      </w:r>
    </w:p>
    <w:p w14:paraId="00C75DFF">
      <w:pPr>
        <w:spacing w:line="360" w:lineRule="auto"/>
        <w:ind w:firstLine="480" w:firstLineChars="200"/>
        <w:jc w:val="left"/>
        <w:rPr>
          <w:rFonts w:ascii="新宋体" w:hAnsi="新宋体" w:eastAsia="新宋体" w:cs="新宋体"/>
          <w:bCs/>
          <w:color w:val="auto"/>
          <w:sz w:val="24"/>
          <w:highlight w:val="none"/>
        </w:rPr>
      </w:pPr>
      <w:r>
        <w:rPr>
          <w:rFonts w:ascii="新宋体" w:hAnsi="新宋体" w:eastAsia="新宋体" w:cs="新宋体"/>
          <w:bCs/>
          <w:color w:val="auto"/>
          <w:sz w:val="24"/>
          <w:highlight w:val="none"/>
        </w:rPr>
        <w:t>4.3.质保期后的服务内容：①质保期满后，供应商须继续提供设备的终生维修保养服务。②保修期届满后,凡投标人可自行处理的维修保养,不收取服务费,仅按零配件(含耗材及易损件)成本价结算;凡需原厂(生产厂家)介入处理的,按投标人所报人工服务费单价收取。投标人须在投标文件中明确报出该单价,作为计费基准,此后每年的人工服务费均不得超过投标报价的105%(即以投标报价为固定基数,年涨幅上限5%,不逐年累加)。③如出现零配件（含耗材和易损件）价格上调，每年涨幅不得超过3%；④供应商须承诺终身免费升级软件，如涉及到硬件更换及更换设备的后续软件升级服务，由甲方承担相关费用。</w:t>
      </w:r>
    </w:p>
    <w:p w14:paraId="08F6EA0F">
      <w:pPr>
        <w:spacing w:line="360" w:lineRule="auto"/>
        <w:ind w:firstLine="482" w:firstLineChars="200"/>
        <w:jc w:val="left"/>
        <w:rPr>
          <w:rFonts w:ascii="新宋体" w:hAnsi="新宋体" w:eastAsia="新宋体" w:cs="新宋体"/>
          <w:bCs/>
          <w:color w:val="auto"/>
          <w:sz w:val="24"/>
          <w:highlight w:val="none"/>
        </w:rPr>
      </w:pPr>
      <w:r>
        <w:rPr>
          <w:rFonts w:ascii="新宋体" w:hAnsi="新宋体" w:eastAsia="新宋体" w:cs="新宋体"/>
          <w:b/>
          <w:color w:val="auto"/>
          <w:sz w:val="24"/>
          <w:highlight w:val="none"/>
        </w:rPr>
        <w:t>5.响应时间：</w:t>
      </w:r>
      <w:r>
        <w:rPr>
          <w:rFonts w:ascii="新宋体" w:hAnsi="新宋体" w:eastAsia="新宋体" w:cs="新宋体"/>
          <w:bCs/>
          <w:color w:val="auto"/>
          <w:sz w:val="24"/>
          <w:highlight w:val="none"/>
        </w:rPr>
        <w:t>对于操作故障，乙方应在接到甲方故障通知后4小时内对甲方的服务要求作出响应并给予解答；设备故障影响使用的，乙方应在接到甲方故障通知后，4小时内做出响应并提出解决方案，如无法远程解决需在72小时内到设备使用现场进行维修工作。重大紧急情况8小时内到达甲方指定地点，重大问题或其它无法迅速解决的问题应在一周内解决或提出明确解决方案，否则乙方应赔偿相应损失。</w:t>
      </w:r>
    </w:p>
    <w:p w14:paraId="5BCBE049">
      <w:pPr>
        <w:spacing w:line="360" w:lineRule="auto"/>
        <w:ind w:firstLine="480" w:firstLineChars="200"/>
        <w:jc w:val="left"/>
        <w:rPr>
          <w:rFonts w:ascii="新宋体" w:hAnsi="新宋体" w:eastAsia="新宋体" w:cs="新宋体"/>
          <w:color w:val="auto"/>
          <w:sz w:val="24"/>
          <w:highlight w:val="none"/>
        </w:rPr>
      </w:pPr>
      <w:r>
        <w:rPr>
          <w:rFonts w:ascii="新宋体" w:hAnsi="新宋体" w:eastAsia="新宋体" w:cs="新宋体"/>
          <w:bCs/>
          <w:color w:val="auto"/>
          <w:sz w:val="24"/>
          <w:highlight w:val="none"/>
        </w:rPr>
        <w:t>6、质保期内、质保期后，在维修过程中，若因特殊原因严重延误维修时间，供应商应提前说明，相应延长保修期，并提供替代设备，不影响整套系统的使用。</w:t>
      </w:r>
    </w:p>
    <w:p w14:paraId="786C3510">
      <w:pPr>
        <w:spacing w:line="360" w:lineRule="auto"/>
        <w:ind w:firstLine="482" w:firstLineChars="200"/>
        <w:rPr>
          <w:rFonts w:hint="eastAsia" w:ascii="Times New Roman" w:hAnsi="Times New Roman" w:eastAsia="宋体" w:cs="Times New Roman"/>
          <w:b/>
          <w:color w:val="auto"/>
          <w:sz w:val="24"/>
          <w:highlight w:val="none"/>
        </w:rPr>
      </w:pPr>
    </w:p>
    <w:p w14:paraId="0CF03C4C">
      <w:p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（三） 订货数量：</w:t>
      </w:r>
    </w:p>
    <w:p w14:paraId="258E1556">
      <w:pPr>
        <w:spacing w:line="360" w:lineRule="auto"/>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1</w:t>
      </w:r>
      <w:r>
        <w:rPr>
          <w:rFonts w:hint="eastAsia" w:ascii="Times New Roman" w:hAnsi="Times New Roman" w:eastAsia="宋体" w:cs="Times New Roman"/>
          <w:color w:val="auto"/>
          <w:sz w:val="24"/>
          <w:highlight w:val="none"/>
        </w:rPr>
        <w:t>套</w:t>
      </w:r>
    </w:p>
    <w:p w14:paraId="334E8744">
      <w:pPr>
        <w:spacing w:line="360" w:lineRule="auto"/>
        <w:rPr>
          <w:rFonts w:hint="eastAsia" w:ascii="Times New Roman" w:hAnsi="Times New Roman" w:eastAsia="宋体" w:cs="Times New Roman"/>
          <w:color w:val="auto"/>
          <w:sz w:val="24"/>
          <w:highlight w:val="none"/>
        </w:rPr>
      </w:pPr>
    </w:p>
    <w:p w14:paraId="688C6DAC">
      <w:p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（四）交货日期和交货地点（项目现场）：</w:t>
      </w:r>
    </w:p>
    <w:p w14:paraId="66B2E02E">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交货日期：详见第八部分 采购需求 货物需求一览表</w:t>
      </w:r>
    </w:p>
    <w:p w14:paraId="44470D12">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交货地点：详见第八部分 采购需求 货物需求一览表</w:t>
      </w:r>
    </w:p>
    <w:p w14:paraId="3AE4BAFF">
      <w:pPr>
        <w:spacing w:line="360" w:lineRule="auto"/>
        <w:rPr>
          <w:rFonts w:hint="eastAsia" w:ascii="Times New Roman" w:hAnsi="Times New Roman" w:eastAsia="宋体" w:cs="Times New Roman"/>
          <w:color w:val="auto"/>
          <w:sz w:val="24"/>
          <w:highlight w:val="none"/>
        </w:rPr>
      </w:pPr>
    </w:p>
    <w:p w14:paraId="35DCF587">
      <w:pPr>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（五）付款方式：      </w:t>
      </w:r>
    </w:p>
    <w:p w14:paraId="2386066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国产产品：</w:t>
      </w:r>
    </w:p>
    <w:p w14:paraId="08CB12A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履约保证金：合同金额的10%</w:t>
      </w:r>
      <w:r>
        <w:rPr>
          <w:rFonts w:hint="eastAsia" w:ascii="宋体" w:hAnsi="宋体" w:eastAsia="宋体" w:cs="宋体"/>
          <w:color w:val="auto"/>
          <w:sz w:val="24"/>
          <w:highlight w:val="none"/>
        </w:rPr>
        <w:t>（形式为网银、电汇或转账支票或保函（见索即付）方式。）</w:t>
      </w:r>
      <w:r>
        <w:rPr>
          <w:rFonts w:hint="eastAsia" w:ascii="宋体" w:hAnsi="宋体" w:eastAsia="宋体" w:cs="宋体"/>
          <w:color w:val="auto"/>
          <w:sz w:val="24"/>
          <w:highlight w:val="none"/>
          <w:lang w:bidi="ar"/>
        </w:rPr>
        <w:t>，合同生效之日起20个日历日内提供，设备技术验收合格签字后无息返还。</w:t>
      </w:r>
    </w:p>
    <w:p w14:paraId="11BBAB5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第一期付款：采购方自收到中标商的履约保证金后30个日历日内，采购方向中标商支付合同金额的50%；</w:t>
      </w:r>
    </w:p>
    <w:p w14:paraId="65306B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第二期付款：完成所有设备交货（到货验收合格）之日起30个日历日内，采购方向中标商支付合同金额的30%；</w:t>
      </w:r>
    </w:p>
    <w:p w14:paraId="79B00F19">
      <w:pPr>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第三期付款：设备完成安装调试工作并通过技术验收合格之日起30个日历日内，采购方向中标商支付合同金额的20%。</w:t>
      </w:r>
    </w:p>
    <w:p w14:paraId="19924238">
      <w:pPr>
        <w:spacing w:line="360" w:lineRule="auto"/>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w:t>
      </w:r>
    </w:p>
    <w:p w14:paraId="75743DE8">
      <w:p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（六）执行的相关标准</w:t>
      </w:r>
    </w:p>
    <w:p w14:paraId="6A2313A2">
      <w:pPr>
        <w:spacing w:line="360" w:lineRule="auto"/>
        <w:rPr>
          <w:rFonts w:hint="eastAsia" w:ascii="inherit" w:hAnsi="inherit" w:eastAsia="宋体" w:cs="宋体"/>
          <w:color w:val="auto"/>
          <w:kern w:val="0"/>
          <w:sz w:val="24"/>
          <w:highlight w:val="none"/>
        </w:rPr>
      </w:pPr>
      <w:r>
        <w:rPr>
          <w:rFonts w:hint="eastAsia" w:ascii="inherit" w:hAnsi="inherit" w:eastAsia="宋体" w:cs="宋体"/>
          <w:color w:val="auto"/>
          <w:kern w:val="0"/>
          <w:sz w:val="24"/>
          <w:highlight w:val="none"/>
        </w:rPr>
        <w:t xml:space="preserve">   产品应满足相关国家标准及行业标准</w:t>
      </w:r>
    </w:p>
    <w:p w14:paraId="1E56165A">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903FBD"/>
    <w:rsid w:val="18005553"/>
    <w:rsid w:val="56903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6377</Words>
  <Characters>6950</Characters>
  <Lines>0</Lines>
  <Paragraphs>0</Paragraphs>
  <TotalTime>17</TotalTime>
  <ScaleCrop>false</ScaleCrop>
  <LinksUpToDate>false</LinksUpToDate>
  <CharactersWithSpaces>7219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2026-08-14T03:28:00Z</dcterms:created>
  <dc:creator>顾嘉宁</dc:creator>
  <cp:lastModifiedBy>顾嘉宁</cp:lastModifiedBy>
  <dcterms:modified xsi:type="dcterms:W3CDTF">2026-08-14T09:00:50Z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A7601E4785374E409FA0E0F18E83DE18_11</vt:lpwstr>
  </property>
  <property fmtid="{D5CDD505-2E9C-101B-9397-08002B2CF9AE}" pid="4" name="KSOTemplateDocerSaveRecord">
    <vt:lpwstr>eyJoZGlkIjoiZjUyMjZiYjQwOTljOWFlMTY1NjA4M2M4Nzk1M2ZiZTAiLCJ1c2VySWQiOiIxNjYzMDExNDYwIn0=</vt:lpwstr>
  </property>
</Properties>
</file>