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207380">
      <w:pPr>
        <w:rPr/>
      </w:pPr>
      <w:r>
        <w:rPr>
          <w:lang w:val="en-US" w:eastAsia="zh-CN"/>
        </w:rPr>
        <w:t xml:space="preserve">以下任选其一： a.可提供2022-2024年度经审计的财务报告（包含审计报告和审计报告中所涉及的财务报表和报表附注）扫描件，执行《小企业会计准则》的可不提供所有者权益变动表）； b.可提供2022-2024年度供应商内部财务报表（至少包括经相关人员签字的资产负债表、利润表、现金流量表）扫描件； c.可提供截至响应截止日一年内基本账户银行出具的资信证明扫描件； d.供应商注册时间截至响应截止日不足一年的，也可提供在市场监督管理部门备案的公司章程扫描件。e. 供应商为事业单位或其他组织（不具备法人条件的组织，如合伙组织、个体工商户、农村承包经营户等）或自然人时，可提供具有健全的财务会计制度的承诺函。供应商需在使用投标（响应）客户端编制响应文件时，按要求上传相应证明材料并进行电子签章。 </w:t>
      </w:r>
    </w:p>
    <w:p w14:paraId="7DF3F32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500B50"/>
    <w:rsid w:val="093C7021"/>
    <w:rsid w:val="0FD6544E"/>
    <w:rsid w:val="14500B50"/>
    <w:rsid w:val="637E6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329</Words>
  <Characters>346</Characters>
  <Lines>0</Lines>
  <Paragraphs>0</Paragraphs>
  <TotalTime>0</TotalTime>
  <ScaleCrop>false</ScaleCrop>
  <LinksUpToDate>false</LinksUpToDate>
  <CharactersWithSpaces>347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2025-05-27T08:04:00Z</dcterms:created>
  <dc:creator>二咩和榴莲</dc:creator>
  <cp:lastModifiedBy>二咩和榴莲</cp:lastModifiedBy>
  <dcterms:modified xsi:type="dcterms:W3CDTF">2025-11-11T03:54:17Z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22445853B85043F1B3FE2F78D922C403_11</vt:lpwstr>
  </property>
  <property fmtid="{D5CDD505-2E9C-101B-9397-08002B2CF9AE}" pid="4" name="KSOTemplateDocerSaveRecord">
    <vt:lpwstr>eyJoZGlkIjoiOGI3MmIyOGRkZjI5MDEyN2ZhMDc0MDYxMjQyMzFkZmEiLCJ1c2VySWQiOiI1NDkwNzU0OTcifQ==</vt:lpwstr>
  </property>
</Properties>
</file>