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440001-2024-57404</w:t>
      </w:r>
    </w:p>
    <w:p>
      <w:pPr>
        <w:pStyle w:val="null3"/>
        <w:jc w:val="center"/>
        <w:outlineLvl w:val="3"/>
      </w:pPr>
      <w:r>
        <w:rPr>
          <w:sz w:val="24"/>
          <w:b/>
        </w:rPr>
        <w:t>采购项目编号：</w:t>
      </w:r>
      <w:r>
        <w:rPr>
          <w:sz w:val="24"/>
          <w:b/>
        </w:rPr>
        <w:t>1210-2441YDZB8606</w:t>
      </w:r>
    </w:p>
    <w:p>
      <w:pPr>
        <w:pStyle w:val="null3"/>
        <w:jc w:val="center"/>
        <w:outlineLvl w:val="3"/>
      </w:pPr>
      <w:r>
        <w:rPr>
          <w:sz w:val="24"/>
          <w:b/>
        </w:rPr>
        <w:t>项目名称：</w:t>
      </w:r>
      <w:r>
        <w:rPr>
          <w:sz w:val="24"/>
          <w:b/>
        </w:rPr>
        <w:t>2024JK-02南方医科大学中心实验室购电镜等科研设备一批</w:t>
      </w:r>
    </w:p>
    <w:p>
      <w:pPr>
        <w:pStyle w:val="null3"/>
        <w:jc w:val="center"/>
        <w:outlineLvl w:val="3"/>
      </w:pPr>
      <w:r>
        <w:rPr>
          <w:sz w:val="24"/>
          <w:b/>
        </w:rPr>
        <w:t>采购人：</w:t>
      </w:r>
      <w:r>
        <w:rPr>
          <w:sz w:val="24"/>
          <w:b/>
        </w:rPr>
        <w:t>南方医科大学</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广东有德招标采购有限公司</w:t>
      </w:r>
      <w:r>
        <w:rPr/>
        <w:t>受</w:t>
      </w:r>
      <w:r>
        <w:rPr/>
        <w:t>南方医科大学</w:t>
      </w:r>
      <w:r>
        <w:rPr/>
        <w:t>的委托，采用</w:t>
      </w:r>
      <w:r>
        <w:rPr/>
        <w:t>公开招标</w:t>
      </w:r>
      <w:r>
        <w:rPr/>
        <w:t>方式组织采购</w:t>
      </w:r>
      <w:r>
        <w:rPr/>
        <w:t>2024JK-02南方医科大学中心实验室购电镜等科研设备一批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2024JK-02南方医科大学中心实验室购电镜等科研设备一批</w:t>
      </w:r>
    </w:p>
    <w:p>
      <w:pPr>
        <w:pStyle w:val="null3"/>
        <w:ind w:firstLine="480"/>
      </w:pPr>
      <w:r>
        <w:rPr/>
        <w:t>采购计划编号：</w:t>
      </w:r>
      <w:r>
        <w:rPr/>
        <w:t>440001-2024-57404</w:t>
      </w:r>
    </w:p>
    <w:p>
      <w:pPr>
        <w:pStyle w:val="null3"/>
        <w:ind w:firstLine="480"/>
      </w:pPr>
      <w:r>
        <w:rPr/>
        <w:t>采购项目编号：</w:t>
      </w:r>
      <w:r>
        <w:rPr/>
        <w:t>1210-2441YDZB8606</w:t>
      </w:r>
    </w:p>
    <w:p>
      <w:pPr>
        <w:pStyle w:val="null3"/>
        <w:ind w:firstLine="480"/>
      </w:pPr>
      <w:r>
        <w:rPr/>
        <w:t>采购方式：</w:t>
      </w:r>
      <w:r>
        <w:rPr/>
        <w:t>公开招标</w:t>
      </w:r>
    </w:p>
    <w:p>
      <w:pPr>
        <w:pStyle w:val="null3"/>
        <w:ind w:firstLine="480"/>
      </w:pPr>
      <w:r>
        <w:rPr/>
        <w:t>预算金额：</w:t>
      </w:r>
      <w:r>
        <w:rPr/>
        <w:t>42,399,000.00</w:t>
      </w:r>
      <w:r>
        <w:rPr/>
        <w:t>元</w:t>
      </w:r>
    </w:p>
    <w:p>
      <w:pPr>
        <w:pStyle w:val="null3"/>
        <w:outlineLvl w:val="3"/>
      </w:pPr>
      <w:r>
        <w:rPr>
          <w:sz w:val="24"/>
          <w:b/>
        </w:rPr>
        <w:t>2.项目内容及需求情况（采购项目技术规格、参数及要求）</w:t>
      </w:r>
    </w:p>
    <w:p>
      <w:pPr>
        <w:pStyle w:val="null3"/>
      </w:pPr>
      <w:r>
        <w:rPr/>
        <w:t>采购包1(冷冻双束高分辨扫描电镜超微结构分析一体化平台):</w:t>
      </w:r>
    </w:p>
    <w:p>
      <w:pPr>
        <w:pStyle w:val="null3"/>
      </w:pPr>
      <w:r>
        <w:rPr/>
        <w:t>采购包预算金额：16,700,000.00元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其他试验仪器及装置</w:t>
            </w:r>
          </w:p>
        </w:tc>
        <w:tc>
          <w:tcPr>
            <w:tcW w:type="dxa" w:w="2052"/>
          </w:tcPr>
          <w:p>
            <w:pPr>
              <w:pStyle w:val="null3"/>
            </w:pPr>
            <w:r>
              <w:rPr/>
              <w:t>冷冻双束高分辨扫描电镜超微结构分析一体化平台(内部流水号35095)</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16,700,000.00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合同履行期限：详见招标文件第二章</w:t>
      </w:r>
    </w:p>
    <w:p>
      <w:pPr>
        <w:pStyle w:val="null3"/>
      </w:pPr>
      <w:r>
        <w:rPr/>
        <w:t>采购包2(超高效液相色谱-三重四极杆质谱联用仪一体化平台等):</w:t>
      </w:r>
    </w:p>
    <w:p>
      <w:pPr>
        <w:pStyle w:val="null3"/>
      </w:pPr>
      <w:r>
        <w:rPr/>
        <w:t>采购包预算金额：16,699,000.00元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其他试验仪器及装置</w:t>
            </w:r>
          </w:p>
        </w:tc>
        <w:tc>
          <w:tcPr>
            <w:tcW w:type="dxa" w:w="2052"/>
          </w:tcPr>
          <w:p>
            <w:pPr>
              <w:pStyle w:val="null3"/>
            </w:pPr>
            <w:r>
              <w:rPr/>
              <w:t>超高效液相色谱-三重四极杆质谱联用仪一体化平台(内部流水号35098)</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3,299,000.00</w:t>
            </w:r>
          </w:p>
        </w:tc>
        <w:tc>
          <w:tcPr>
            <w:tcW w:type="dxa" w:w="977"/>
          </w:tcPr>
          <w:p>
            <w:pPr>
              <w:pStyle w:val="null3"/>
            </w:pPr>
            <w:r>
              <w:rPr/>
              <w:t>是</w:t>
            </w:r>
          </w:p>
        </w:tc>
      </w:tr>
      <w:tr>
        <w:tc>
          <w:tcPr>
            <w:tcW w:type="dxa" w:w="977"/>
          </w:tcPr>
          <w:p>
            <w:pPr>
              <w:pStyle w:val="null3"/>
            </w:pPr>
            <w:r>
              <w:rPr/>
              <w:t>2-2</w:t>
            </w:r>
          </w:p>
        </w:tc>
        <w:tc>
          <w:tcPr>
            <w:tcW w:type="dxa" w:w="1368"/>
          </w:tcPr>
          <w:p>
            <w:pPr>
              <w:pStyle w:val="null3"/>
            </w:pPr>
            <w:r>
              <w:rPr/>
              <w:t>其他试验仪器及装置</w:t>
            </w:r>
          </w:p>
        </w:tc>
        <w:tc>
          <w:tcPr>
            <w:tcW w:type="dxa" w:w="2052"/>
          </w:tcPr>
          <w:p>
            <w:pPr>
              <w:pStyle w:val="null3"/>
            </w:pPr>
            <w:r>
              <w:rPr/>
              <w:t>4D蛋白组学微量样本分析系统一体化平台(内部流水号35099)</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10,500,000.00</w:t>
            </w:r>
          </w:p>
        </w:tc>
        <w:tc>
          <w:tcPr>
            <w:tcW w:type="dxa" w:w="977"/>
          </w:tcPr>
          <w:p>
            <w:pPr>
              <w:pStyle w:val="null3"/>
            </w:pPr>
            <w:r>
              <w:rPr/>
              <w:t>是</w:t>
            </w:r>
          </w:p>
        </w:tc>
      </w:tr>
      <w:tr>
        <w:tc>
          <w:tcPr>
            <w:tcW w:type="dxa" w:w="977"/>
          </w:tcPr>
          <w:p>
            <w:pPr>
              <w:pStyle w:val="null3"/>
            </w:pPr>
            <w:r>
              <w:rPr/>
              <w:t>2-3</w:t>
            </w:r>
          </w:p>
        </w:tc>
        <w:tc>
          <w:tcPr>
            <w:tcW w:type="dxa" w:w="1368"/>
          </w:tcPr>
          <w:p>
            <w:pPr>
              <w:pStyle w:val="null3"/>
            </w:pPr>
            <w:r>
              <w:rPr/>
              <w:t>其他试验仪器及装置</w:t>
            </w:r>
          </w:p>
        </w:tc>
        <w:tc>
          <w:tcPr>
            <w:tcW w:type="dxa" w:w="2052"/>
          </w:tcPr>
          <w:p>
            <w:pPr>
              <w:pStyle w:val="null3"/>
            </w:pPr>
            <w:r>
              <w:rPr/>
              <w:t>4D蛋白组学微量样本分析系统配套设备(纳升液相色谱仪、超高效液相色谱仪、高场非对称波形离子迁移谱组件)(内部流水号35104)</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2,900,000.00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合同履行期限：详见招标文件第二章</w:t>
      </w:r>
    </w:p>
    <w:p>
      <w:pPr>
        <w:pStyle w:val="null3"/>
      </w:pPr>
      <w:r>
        <w:rPr/>
        <w:t>采购包3(场发射扫描电镜等):</w:t>
      </w:r>
    </w:p>
    <w:p>
      <w:pPr>
        <w:pStyle w:val="null3"/>
      </w:pPr>
      <w:r>
        <w:rPr/>
        <w:t>采购包预算金额：9,000,000.00元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其他试验仪器及装置</w:t>
            </w:r>
          </w:p>
        </w:tc>
        <w:tc>
          <w:tcPr>
            <w:tcW w:type="dxa" w:w="2052"/>
          </w:tcPr>
          <w:p>
            <w:pPr>
              <w:pStyle w:val="null3"/>
            </w:pPr>
            <w:r>
              <w:rPr/>
              <w:t>场发射扫描电镜(内部流水号34993)</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是</w:t>
            </w:r>
          </w:p>
        </w:tc>
      </w:tr>
      <w:tr>
        <w:tc>
          <w:tcPr>
            <w:tcW w:type="dxa" w:w="977"/>
          </w:tcPr>
          <w:p>
            <w:pPr>
              <w:pStyle w:val="null3"/>
            </w:pPr>
            <w:r>
              <w:rPr/>
              <w:t>3-2</w:t>
            </w:r>
          </w:p>
        </w:tc>
        <w:tc>
          <w:tcPr>
            <w:tcW w:type="dxa" w:w="1368"/>
          </w:tcPr>
          <w:p>
            <w:pPr>
              <w:pStyle w:val="null3"/>
            </w:pPr>
            <w:r>
              <w:rPr/>
              <w:t>其他试验仪器及装置</w:t>
            </w:r>
          </w:p>
        </w:tc>
        <w:tc>
          <w:tcPr>
            <w:tcW w:type="dxa" w:w="2052"/>
          </w:tcPr>
          <w:p>
            <w:pPr>
              <w:pStyle w:val="null3"/>
            </w:pPr>
            <w:r>
              <w:rPr/>
              <w:t>透射电镜超微结构分析一体化平台(内部流水号34996)</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合同履行期限：详见招标文件第二章</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采购包1（冷冻双束高分辨扫描电镜超微结构分析一体化平台）：</w:t>
      </w:r>
      <w:r>
        <w:rPr/>
        <w:t>采购包不属于专门面向中小企业采购。</w:t>
      </w:r>
    </w:p>
    <w:p>
      <w:pPr>
        <w:pStyle w:val="null3"/>
        <w:jc w:val="left"/>
      </w:pPr>
      <w:r>
        <w:rPr/>
        <w:t>采购包2（超高效液相色谱-三重四极杆质谱联用仪一体化平台等）：</w:t>
      </w:r>
      <w:r>
        <w:rPr/>
        <w:t>采购包不属于专门面向中小企业采购。</w:t>
      </w:r>
    </w:p>
    <w:p>
      <w:pPr>
        <w:pStyle w:val="null3"/>
        <w:jc w:val="left"/>
      </w:pPr>
      <w:r>
        <w:rPr/>
        <w:t>采购包3（场发射扫描电镜等）：</w:t>
      </w:r>
      <w:r>
        <w:rPr/>
        <w:t>采购包不属于专门面向中小企业采购。</w:t>
      </w:r>
    </w:p>
    <w:p>
      <w:pPr>
        <w:pStyle w:val="null3"/>
        <w:outlineLvl w:val="3"/>
      </w:pPr>
      <w:r>
        <w:rPr>
          <w:sz w:val="24"/>
          <w:b/>
        </w:rPr>
        <w:t>3.本项目特定的资格要求：</w:t>
      </w:r>
    </w:p>
    <w:p>
      <w:pPr>
        <w:pStyle w:val="null3"/>
      </w:pPr>
      <w:r>
        <w:rPr/>
        <w:t>采购包1（冷冻双束高分辨扫描电镜超微结构分析一体化平台）：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p>
      <w:pPr>
        <w:pStyle w:val="null3"/>
      </w:pPr>
      <w:r>
        <w:rPr/>
        <w:t>采购包2（超高效液相色谱-三重四极杆质谱联用仪一体化平台等）：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p>
      <w:pPr>
        <w:pStyle w:val="null3"/>
      </w:pPr>
      <w:r>
        <w:rPr/>
        <w:t>采购包3（场发射扫描电镜等）：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广东有德招标采购有限公司网站（www.youde.net）。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w:t>
      </w:r>
    </w:p>
    <w:p>
      <w:pPr>
        <w:pStyle w:val="null3"/>
        <w:ind w:firstLine="480"/>
      </w:pPr>
      <w:r>
        <w:rPr/>
        <w:t xml:space="preserve"> 地址：</w:t>
      </w:r>
      <w:r>
        <w:rPr/>
        <w:t>广州市白云区京溪沙太南路1023号</w:t>
      </w:r>
    </w:p>
    <w:p>
      <w:pPr>
        <w:pStyle w:val="null3"/>
        <w:ind w:firstLine="480"/>
      </w:pPr>
      <w:r>
        <w:rPr/>
        <w:t xml:space="preserve"> 联系方式：</w:t>
      </w:r>
      <w:r>
        <w:rPr/>
        <w:t>020-61648822</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广州市天河北路626号保利中宇广场A座25楼</w:t>
      </w:r>
    </w:p>
    <w:p>
      <w:pPr>
        <w:pStyle w:val="null3"/>
        <w:ind w:firstLine="480"/>
      </w:pPr>
      <w:r>
        <w:rPr/>
        <w:t xml:space="preserve"> 联系方式：</w:t>
      </w:r>
      <w:r>
        <w:rPr/>
        <w:t>020-83629157</w:t>
      </w:r>
    </w:p>
    <w:p>
      <w:pPr>
        <w:pStyle w:val="null3"/>
        <w:outlineLvl w:val="3"/>
      </w:pPr>
      <w:r>
        <w:rPr>
          <w:sz w:val="24"/>
          <w:b/>
        </w:rPr>
        <w:t xml:space="preserve"> 3.项目联系方式</w:t>
      </w:r>
    </w:p>
    <w:p>
      <w:pPr>
        <w:pStyle w:val="null3"/>
        <w:ind w:firstLine="480"/>
      </w:pPr>
      <w:r>
        <w:rPr/>
        <w:t xml:space="preserve"> 项目联系人：</w:t>
      </w:r>
      <w:r>
        <w:rPr/>
        <w:t>汪小姐</w:t>
      </w:r>
    </w:p>
    <w:p>
      <w:pPr>
        <w:pStyle w:val="null3"/>
        <w:ind w:firstLine="480"/>
      </w:pPr>
      <w:r>
        <w:rPr/>
        <w:t xml:space="preserve"> 电话：</w:t>
      </w:r>
      <w:r>
        <w:rPr/>
        <w:t>020-83629157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1.投标人必须对“2.技术标准与要求”中采购包内的全部货物、安装和服务进行报价。</w:t>
      </w:r>
      <w:r>
        <w:br/>
      </w:r>
      <w:r>
        <w:rPr/>
        <w:t xml:space="preserve"> 2.投标人必须提供全新的原厂原装货物和完善的服务。</w:t>
      </w:r>
      <w:r>
        <w:br/>
      </w:r>
      <w:r>
        <w:rPr/>
        <w:t xml:space="preserve"> 3.投标人提供相应货物的技术规格文件，说明货物的型号、商标名称及生产厂家。</w:t>
      </w:r>
      <w:r>
        <w:br/>
      </w:r>
      <w:r>
        <w:rPr/>
        <w:t xml:space="preserve"> 4.货物的制造和检验，必须是按照现行的中国国家标准，或通用国际标准。</w:t>
      </w:r>
      <w:r>
        <w:br/>
      </w:r>
      <w:r>
        <w:rPr/>
        <w:t xml:space="preserve"> 5.仪器设备如需特殊工作条件（如：水、电源、磁场强度、特殊温度、湿度、振动强度等），应在相关文件中加以说明，并提供安装场地要求。</w:t>
      </w:r>
      <w:r>
        <w:br/>
      </w:r>
      <w:r>
        <w:rPr/>
        <w:t xml:space="preserve"> 6.所提供的货物的技术规格应与采购文件要求相符。应根据产品的正式出版样本（原本）和说明书如实逐项填写技术规格响应表。</w:t>
      </w:r>
      <w:r>
        <w:br/>
      </w:r>
      <w:r>
        <w:rPr/>
        <w:t xml:space="preserve"> 7.如果投标人所报设备为进口设备，因采购单位为教育部门，享受进口科教用品免税，请报设备免税人民币价。（此价格已含外贸公司代理费用、清关费用、银行手续费、海关监管手续费、报关费用、商检费用、申办机电批文费用、机场码头费、广州市区内运费等所有费用。报价人不需要为最终用户做外贸，外贸公司由最终用户指定）。计算方法为：CIP南方医科大学指定地点 投标人民币价＝免税货物价格+免税货物价格×(报价费率)元人民币。（免税货物价格×(报价费率)为外贸公司上述相应服务手续费用，若外贸公司上述相应服务手续费用≤3000元人民币，该费用按照3000元人民币计算，即此时投标人民币价＝免税货物价格+3000元人民币，报价费率按照每个采购包中标人民币X元折算，折算方法见下表）。若可以在国内提供现货，应报含税的人民币价格。在价目表上应分别列出每台（套）设备的单价及每台（套）设备的详细配置清单及配置单价。国内合同及外贸合同均以人民币价格签订。中标价以人民币方式签订内贸合同，不再涉及汇率问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进口合同货款金额</w:t>
            </w:r>
          </w:p>
        </w:tc>
        <w:tc>
          <w:tcPr>
            <w:tcW w:type="dxa" w:w="4153"/>
          </w:tcPr>
          <w:p>
            <w:pPr>
              <w:pStyle w:val="null3"/>
            </w:pPr>
            <w:r>
              <w:rPr/>
              <w:t>报价费率</w:t>
            </w:r>
          </w:p>
        </w:tc>
      </w:tr>
      <w:tr>
        <w:tc>
          <w:tcPr>
            <w:tcW w:type="dxa" w:w="4153"/>
          </w:tcPr>
          <w:p>
            <w:pPr>
              <w:pStyle w:val="null3"/>
            </w:pPr>
            <w:r>
              <w:rPr/>
              <w:t>最低代理费（元)</w:t>
            </w:r>
          </w:p>
        </w:tc>
        <w:tc>
          <w:tcPr>
            <w:tcW w:type="dxa" w:w="4153"/>
          </w:tcPr>
          <w:p>
            <w:pPr>
              <w:pStyle w:val="null3"/>
            </w:pPr>
            <w:r>
              <w:rPr/>
              <w:t>3000元</w:t>
            </w:r>
          </w:p>
        </w:tc>
      </w:tr>
      <w:tr>
        <w:tc>
          <w:tcPr>
            <w:tcW w:type="dxa" w:w="4153"/>
          </w:tcPr>
          <w:p>
            <w:pPr>
              <w:pStyle w:val="null3"/>
            </w:pPr>
            <w:r>
              <w:rPr/>
              <w:t>X&lt;50万元</w:t>
            </w:r>
          </w:p>
        </w:tc>
        <w:tc>
          <w:tcPr>
            <w:tcW w:type="dxa" w:w="4153"/>
          </w:tcPr>
          <w:p>
            <w:pPr>
              <w:pStyle w:val="null3"/>
            </w:pPr>
            <w:r>
              <w:rPr/>
              <w:t>1.10%</w:t>
            </w:r>
          </w:p>
        </w:tc>
      </w:tr>
      <w:tr>
        <w:tc>
          <w:tcPr>
            <w:tcW w:type="dxa" w:w="4153"/>
          </w:tcPr>
          <w:p>
            <w:pPr>
              <w:pStyle w:val="null3"/>
            </w:pPr>
            <w:r>
              <w:rPr/>
              <w:t>50≤X&lt;200万元</w:t>
            </w:r>
          </w:p>
        </w:tc>
        <w:tc>
          <w:tcPr>
            <w:tcW w:type="dxa" w:w="4153"/>
          </w:tcPr>
          <w:p>
            <w:pPr>
              <w:pStyle w:val="null3"/>
            </w:pPr>
            <w:r>
              <w:rPr/>
              <w:t>1.00%</w:t>
            </w:r>
          </w:p>
        </w:tc>
      </w:tr>
      <w:tr>
        <w:tc>
          <w:tcPr>
            <w:tcW w:type="dxa" w:w="4153"/>
          </w:tcPr>
          <w:p>
            <w:pPr>
              <w:pStyle w:val="null3"/>
            </w:pPr>
            <w:r>
              <w:rPr/>
              <w:t>200≤X&lt;500万元</w:t>
            </w:r>
          </w:p>
        </w:tc>
        <w:tc>
          <w:tcPr>
            <w:tcW w:type="dxa" w:w="4153"/>
          </w:tcPr>
          <w:p>
            <w:pPr>
              <w:pStyle w:val="null3"/>
            </w:pPr>
            <w:r>
              <w:rPr/>
              <w:t>0.90%</w:t>
            </w:r>
          </w:p>
        </w:tc>
      </w:tr>
      <w:tr>
        <w:tc>
          <w:tcPr>
            <w:tcW w:type="dxa" w:w="4153"/>
          </w:tcPr>
          <w:p>
            <w:pPr>
              <w:pStyle w:val="null3"/>
            </w:pPr>
            <w:r>
              <w:rPr/>
              <w:t>500≤X&lt;1000万元</w:t>
            </w:r>
          </w:p>
        </w:tc>
        <w:tc>
          <w:tcPr>
            <w:tcW w:type="dxa" w:w="4153"/>
          </w:tcPr>
          <w:p>
            <w:pPr>
              <w:pStyle w:val="null3"/>
            </w:pPr>
            <w:r>
              <w:rPr/>
              <w:t>0.90%</w:t>
            </w:r>
          </w:p>
        </w:tc>
      </w:tr>
      <w:tr>
        <w:tc>
          <w:tcPr>
            <w:tcW w:type="dxa" w:w="4153"/>
          </w:tcPr>
          <w:p>
            <w:pPr>
              <w:pStyle w:val="null3"/>
            </w:pPr>
            <w:r>
              <w:rPr/>
              <w:t>X≥1000万元</w:t>
            </w:r>
          </w:p>
        </w:tc>
        <w:tc>
          <w:tcPr>
            <w:tcW w:type="dxa" w:w="4153"/>
          </w:tcPr>
          <w:p>
            <w:pPr>
              <w:pStyle w:val="null3"/>
            </w:pPr>
            <w:r>
              <w:rPr/>
              <w:t>0.80%</w:t>
            </w:r>
          </w:p>
        </w:tc>
      </w:tr>
    </w:tbl>
    <w:p>
      <w:pPr>
        <w:pStyle w:val="null3"/>
      </w:pPr>
      <w:r>
        <w:rPr/>
        <w:t>1)若可以在国内提供现货，应注明并报含税的人民币价格。</w:t>
      </w:r>
      <w:r>
        <w:br/>
      </w:r>
      <w:r>
        <w:rPr/>
        <w:t xml:space="preserve"> 2)在价目表上应分别列出每台（套）设备的单价及每台（套）设备的详细配置清单及配置单价。</w:t>
      </w:r>
      <w:r>
        <w:br/>
      </w:r>
      <w:r>
        <w:rPr/>
        <w:t xml:space="preserve"> 3)国内合同及外贸合同均以人民币价格签订。</w:t>
      </w:r>
      <w:r>
        <w:br/>
      </w:r>
      <w:r>
        <w:rPr/>
        <w:t xml:space="preserve"> 4)中标价以人民币方式签订内贸合同，不再涉及汇率问题。在合同实行过程中，汇率变化的风险由供货商承担。</w:t>
      </w:r>
      <w:r>
        <w:br/>
      </w:r>
      <w:r>
        <w:rPr/>
        <w:t xml:space="preserve"> 5)因特别原因导致本项目无法享受免税的，由采购人与中标人协商解决。</w:t>
      </w:r>
      <w:r>
        <w:br/>
      </w:r>
      <w:r>
        <w:rPr/>
        <w:t xml:space="preserve"> 6)▲报价时，请分别报免税货物单价、免税货物总价、外贸手续费单价(计算方法见第7条)、外贸手续费总价（计算方法见第7条)、合同单价（免税货物单价+外贸手续费单价）、合同总价（免税货物总价+外贸手续费总价）。关境内供货，无需支付外贸手续费的设备无需填写此表；关境外供货，需支付外贸手续费的设备需填写此表。</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t>流水号</w:t>
            </w:r>
          </w:p>
        </w:tc>
        <w:tc>
          <w:tcPr>
            <w:tcW w:type="dxa" w:w="755"/>
          </w:tcPr>
          <w:p>
            <w:pPr>
              <w:pStyle w:val="null3"/>
            </w:pPr>
            <w:r>
              <w:rPr/>
              <w:t>设备名称</w:t>
            </w:r>
          </w:p>
          <w:p>
            <w:pPr>
              <w:pStyle w:val="null3"/>
            </w:pPr>
            <w:r>
              <w:rPr/>
              <w:t>（彩页名称）</w:t>
            </w:r>
          </w:p>
        </w:tc>
        <w:tc>
          <w:tcPr>
            <w:tcW w:type="dxa" w:w="755"/>
          </w:tcPr>
          <w:p>
            <w:pPr>
              <w:pStyle w:val="null3"/>
            </w:pPr>
            <w:r>
              <w:rPr/>
              <w:t>品牌/型号规格</w:t>
            </w:r>
          </w:p>
        </w:tc>
        <w:tc>
          <w:tcPr>
            <w:tcW w:type="dxa" w:w="755"/>
          </w:tcPr>
          <w:p>
            <w:pPr>
              <w:pStyle w:val="null3"/>
            </w:pPr>
            <w:r>
              <w:rPr/>
              <w:t>制造商/产地</w:t>
            </w:r>
          </w:p>
        </w:tc>
        <w:tc>
          <w:tcPr>
            <w:tcW w:type="dxa" w:w="755"/>
          </w:tcPr>
          <w:p>
            <w:pPr>
              <w:pStyle w:val="null3"/>
            </w:pPr>
            <w:r>
              <w:rPr/>
              <w:t>数量</w:t>
            </w:r>
          </w:p>
        </w:tc>
        <w:tc>
          <w:tcPr>
            <w:tcW w:type="dxa" w:w="755"/>
          </w:tcPr>
          <w:p>
            <w:pPr>
              <w:pStyle w:val="null3"/>
            </w:pPr>
            <w:r>
              <w:rPr/>
              <w:t>免税货物单价（元）</w:t>
            </w:r>
          </w:p>
        </w:tc>
        <w:tc>
          <w:tcPr>
            <w:tcW w:type="dxa" w:w="755"/>
          </w:tcPr>
          <w:p>
            <w:pPr>
              <w:pStyle w:val="null3"/>
            </w:pPr>
            <w:r>
              <w:rPr/>
              <w:t>免税货物总价（元)</w:t>
            </w:r>
          </w:p>
        </w:tc>
        <w:tc>
          <w:tcPr>
            <w:tcW w:type="dxa" w:w="755"/>
          </w:tcPr>
          <w:p>
            <w:pPr>
              <w:pStyle w:val="null3"/>
            </w:pPr>
            <w:r>
              <w:rPr/>
              <w:t>外贸手续费单价</w:t>
            </w:r>
          </w:p>
        </w:tc>
        <w:tc>
          <w:tcPr>
            <w:tcW w:type="dxa" w:w="755"/>
          </w:tcPr>
          <w:p>
            <w:pPr>
              <w:pStyle w:val="null3"/>
            </w:pPr>
            <w:r>
              <w:rPr/>
              <w:t>外贸手续费总价</w:t>
            </w:r>
          </w:p>
        </w:tc>
        <w:tc>
          <w:tcPr>
            <w:tcW w:type="dxa" w:w="755"/>
          </w:tcPr>
          <w:p>
            <w:pPr>
              <w:pStyle w:val="null3"/>
            </w:pPr>
            <w:r>
              <w:rPr/>
              <w:t>合同单价（免税货物单价+外贸手续费单价）</w:t>
            </w:r>
          </w:p>
        </w:tc>
        <w:tc>
          <w:tcPr>
            <w:tcW w:type="dxa" w:w="755"/>
          </w:tcPr>
          <w:p>
            <w:pPr>
              <w:pStyle w:val="null3"/>
            </w:pPr>
            <w:r>
              <w:rPr/>
              <w:t>合同总价（免税货物总价+外贸手续费总价）</w:t>
            </w:r>
          </w:p>
        </w:tc>
      </w:tr>
      <w:tr>
        <w:tc>
          <w:tcPr>
            <w:tcW w:type="dxa" w:w="755"/>
          </w:tcPr>
          <w:p>
            <w:pPr>
              <w:pStyle w:val="null3"/>
            </w:pPr>
            <w:r>
              <w:rPr/>
              <w:t xml:space="preserve"> </w:t>
            </w:r>
          </w:p>
        </w:tc>
        <w:tc>
          <w:tcPr>
            <w:tcW w:type="dxa" w:w="755"/>
          </w:tcPr>
          <w:p>
            <w:pPr>
              <w:pStyle w:val="null3"/>
            </w:pPr>
            <w:r>
              <w:rPr/>
              <w:t xml:space="preserve"> </w:t>
            </w:r>
          </w:p>
          <w:p>
            <w:pPr>
              <w:pStyle w:val="null3"/>
            </w:pPr>
            <w:r>
              <w:rPr/>
              <w:t xml:space="preserve"> </w:t>
            </w:r>
          </w:p>
        </w:tc>
        <w:tc>
          <w:tcPr>
            <w:tcW w:type="dxa" w:w="755"/>
          </w:tcPr>
          <w:p>
            <w:pPr>
              <w:pStyle w:val="null3"/>
            </w:pPr>
            <w:r>
              <w:rPr/>
              <w:t>品牌:</w:t>
            </w:r>
          </w:p>
          <w:p>
            <w:pPr>
              <w:pStyle w:val="null3"/>
            </w:pPr>
            <w:r>
              <w:rPr/>
              <w:t>型号:</w:t>
            </w:r>
          </w:p>
        </w:tc>
        <w:tc>
          <w:tcPr>
            <w:tcW w:type="dxa" w:w="755"/>
          </w:tcPr>
          <w:p>
            <w:pPr>
              <w:pStyle w:val="null3"/>
            </w:pPr>
            <w:r>
              <w:rPr/>
              <w:t xml:space="preserve"> </w:t>
            </w:r>
          </w:p>
        </w:tc>
        <w:tc>
          <w:tcPr>
            <w:tcW w:type="dxa" w:w="755"/>
          </w:tcPr>
          <w:p>
            <w:pPr>
              <w:pStyle w:val="null3"/>
            </w:pPr>
            <w:r>
              <w:rPr/>
              <w:t>台</w:t>
            </w:r>
          </w:p>
        </w:tc>
        <w:tc>
          <w:tcPr>
            <w:tcW w:type="dxa" w:w="755"/>
          </w:tcPr>
          <w:p>
            <w:pPr>
              <w:pStyle w:val="null3"/>
            </w:pPr>
            <w:r>
              <w:rPr/>
              <w:t>￥</w:t>
            </w:r>
          </w:p>
        </w:tc>
        <w:tc>
          <w:tcPr>
            <w:tcW w:type="dxa" w:w="755"/>
          </w:tcPr>
          <w:p>
            <w:pPr>
              <w:pStyle w:val="null3"/>
            </w:pPr>
            <w:r>
              <w:rPr/>
              <w:t>￥</w:t>
            </w:r>
          </w:p>
        </w:tc>
        <w:tc>
          <w:tcPr>
            <w:tcW w:type="dxa" w:w="755"/>
          </w:tcPr>
          <w:p>
            <w:pPr>
              <w:pStyle w:val="null3"/>
            </w:pPr>
            <w:r>
              <w:rPr/>
              <w:t>￥</w:t>
            </w:r>
          </w:p>
        </w:tc>
        <w:tc>
          <w:tcPr>
            <w:tcW w:type="dxa" w:w="755"/>
          </w:tcPr>
          <w:p>
            <w:pPr>
              <w:pStyle w:val="null3"/>
            </w:pPr>
            <w:r>
              <w:rPr/>
              <w:t>￥</w:t>
            </w:r>
          </w:p>
        </w:tc>
        <w:tc>
          <w:tcPr>
            <w:tcW w:type="dxa" w:w="755"/>
          </w:tcPr>
          <w:p>
            <w:pPr>
              <w:pStyle w:val="null3"/>
            </w:pPr>
            <w:r>
              <w:rPr/>
              <w:t>￥</w:t>
            </w:r>
          </w:p>
        </w:tc>
        <w:tc>
          <w:tcPr>
            <w:tcW w:type="dxa" w:w="755"/>
          </w:tcPr>
          <w:p>
            <w:pPr>
              <w:pStyle w:val="null3"/>
            </w:pPr>
            <w:r>
              <w:rPr/>
              <w:t>￥</w:t>
            </w:r>
          </w:p>
        </w:tc>
      </w:tr>
    </w:tbl>
    <w:p>
      <w:pPr>
        <w:pStyle w:val="null3"/>
      </w:pPr>
      <w:r>
        <w:rPr/>
        <w:t>8.伴随服务（费用包含在报价总价内）：全部设备的运输、安装、调试和人员培训、售后服务。</w:t>
      </w:r>
      <w:r>
        <w:br/>
      </w:r>
      <w:r>
        <w:rPr/>
        <w:t xml:space="preserve"> 9.本用户需求中没有在报价文件中注明偏离（文字说明或在技术、商务对比表注明）的参数、配置、条款视为被投标人完全接受。</w:t>
      </w:r>
      <w:r>
        <w:br/>
      </w:r>
      <w:r>
        <w:rPr/>
        <w:t xml:space="preserve"> 10.质量指标达到相应的生产国标准，行业标准及厂家在本文件中提交并确定遵照的有关标准及技术要求。仪器设备须经中国政府批准在中国境内销售，并在中国有关监督管理部门办理注册登记。仪器设备须适合中国国家标准，或通用国际标准。</w:t>
      </w:r>
      <w:r>
        <w:br/>
      </w:r>
      <w:r>
        <w:rPr/>
        <w:t xml:space="preserve"> 11.★授权要求：所投设备为进口设备满足以下情况之一的投标人应为制造商或制造商指定的代理商（经销商）或制造商指定的代理商（经销商）的授权供应商。</w:t>
      </w:r>
      <w:r>
        <w:br/>
      </w:r>
      <w:r>
        <w:rPr/>
        <w:t xml:space="preserve"> （1)投标产品单价在5万元以上的</w:t>
      </w:r>
      <w:r>
        <w:br/>
      </w:r>
      <w:r>
        <w:rPr/>
        <w:t xml:space="preserve"> （2)投标单项产品总价在10万元以上的</w:t>
      </w:r>
      <w:r>
        <w:br/>
      </w:r>
      <w:r>
        <w:rPr/>
        <w:t xml:space="preserve"> （3)同品牌产品超过10万元以上的</w:t>
      </w:r>
      <w:r>
        <w:br/>
      </w:r>
      <w:r>
        <w:rPr/>
        <w:t xml:space="preserve"> 12.技术资料：提供仪器设备的安装手册、操作手册；工作软件说明书、维修保养手册等技术文件及产品合格证、质量保证书和产品软件等全套资料。</w:t>
      </w:r>
      <w:r>
        <w:br/>
      </w:r>
      <w:r>
        <w:rPr/>
        <w:t xml:space="preserve"> 13.培训：由中标人向采购人提供相关免费技术培训。</w:t>
      </w:r>
      <w:r>
        <w:br/>
      </w:r>
      <w:r>
        <w:rPr/>
        <w:t xml:space="preserve"> 14.▲明确所有设备及零配件的配置清单及配置单价，按照表格要求填写准确的设备规格、品牌、型号、产地、数量及分项报价等信息。合同将严格根据投标文件内容制定，所填写清单内容须与实际到货的品牌型号等信息保持严格一致。投标人须对其所投产品的生产厂家、品牌、型号等信息予以核实，必须与实际供货产品铭牌上所标识的完全一致，否则将无法验收，由此导致的包括合同违约等一切后果将由投标人承担。若设备与投标文件不符或不完全一致，且在签订合同及开箱验收阶段提出补充或修改设备或零配件规格、型号、产地、数量、价格等信息的，须按照设备款项5%缴纳处罚。</w:t>
      </w:r>
      <w:r>
        <w:br/>
      </w:r>
      <w:r>
        <w:rPr/>
        <w:t xml:space="preserve"> 15.中标人或其指定境外公司、厂家应及时与外贸代理公司签订外贸合同，自采购人委托外贸代理公司之日起7个工作日内签订，若因中标人原因，原则上不超过20天。递交海关的免税申请在外贸合同签订之日起7个工作日内填写完毕，若因中标人原因，导致外贸合同及免税申请在规定时间内无法完成或完成质量不高，超过时间期限则酌情处罚。双方签订的内贸合同在中标通知书发出后3个工作日内中标人必须将合同纸质版递交至采购人。</w:t>
      </w:r>
      <w:r>
        <w:br/>
      </w:r>
      <w:r>
        <w:rPr/>
        <w:t xml:space="preserve"> 16.一份外贸合同免税申请原则上不能拆分为3个以上（不含三个）。</w:t>
      </w:r>
      <w:r>
        <w:br/>
      </w:r>
      <w:r>
        <w:rPr/>
        <w:t xml:space="preserve"> 17.进口设备原则上不允许异地报关。</w:t>
      </w:r>
      <w:r>
        <w:br/>
      </w:r>
      <w:r>
        <w:rPr/>
        <w:t xml:space="preserve"> 18.▲在办理进口设备的免税申请程序中，由于设备价格过高而被海关质疑的，中标人需在3个工作日内向学校和海关提供合法、合规的支撑性材料和解释说明文件，超过10个工作日的或所提供的解释说明文件不能被合理采纳的，则取消合同（含内贸合同与外贸合同以及其他涉及该台设备的协议）中该台设备的采购，因此造成的所有损失均由中标人承担。</w:t>
      </w:r>
      <w:r>
        <w:br/>
      </w:r>
      <w:r>
        <w:rPr/>
        <w:t xml:space="preserve"> 19.★投标人必须对采购包内全部采购设备进行分项报价，且投标设备报价不能超过单项设备采购的最高预算，否则其投标将被否决。</w:t>
      </w:r>
      <w:r>
        <w:br/>
      </w:r>
      <w:r>
        <w:rPr/>
        <w:t xml:space="preserve"> 20.双方签订的内贸合同在中标通知书发出后3个自然日内中标人必须将合同纸质版递交至采购人。</w:t>
      </w:r>
      <w:r>
        <w:br/>
      </w:r>
      <w:r>
        <w:rPr/>
        <w:t xml:space="preserve"> 21.中标人若是中小企业的，需按本项目行业标准提供相关证明材料，不提供或提供资料不实、不准确的，视为非中小企业，不享受付款方式中的预付款形式。</w:t>
      </w:r>
      <w:r>
        <w:br/>
      </w:r>
      <w:r>
        <w:rPr/>
        <w:t xml:space="preserve"> 22.招标文件中设备名称后部括号内的5位数字为采购人内部标识，仅供采购人内部使用，不具其它意义，特此说明。</w:t>
      </w:r>
      <w:r>
        <w:br/>
      </w:r>
      <w:r>
        <w:rPr/>
        <w:t xml:space="preserve"> 23.本项目采购的设备分A组、B组，说明如下：</w:t>
      </w:r>
      <w:r>
        <w:br/>
      </w:r>
      <w:r>
        <w:rPr/>
        <w:t xml:space="preserve"> A 组：冷冻双束高分辨扫描电镜超微结构分析一体化平台(内部流水号35095)、超高效液相色谱-三重四极杆质谱联用仪一体化平台(内部流水号35098)、4D蛋白组学微量样本分析系统一体化平台(内部流水号35099)、透射电镜超微结构分析一体化平台(内部流水号34996)，以上设备为不免税报进口含税价，货款由中国银行股份有限公司广州白云支行支付</w:t>
      </w:r>
      <w:r>
        <w:br/>
      </w:r>
      <w:r>
        <w:rPr/>
        <w:t xml:space="preserve"> B组：4D蛋白组学微量样本分析系统配套设备(纳升液相色谱仪、超高效液相色谱仪、高场非对称波形离子迁移谱组件(内部流水号35104)、场发射扫描电镜(内部流水号34993)，以上设备为报进口免税价，货款由南方医科大学支付。</w:t>
      </w:r>
      <w:r>
        <w:br/>
      </w:r>
      <w:r>
        <w:rPr/>
        <w:t xml:space="preserve"> 24.本章主要商务要求中的“付款方式”、“履约保证金”内容为实质性的条款，投标人必须对此响应并完全满足或优于这些条款，否则将按无效投标处理。</w:t>
      </w:r>
    </w:p>
    <w:p>
      <w:pPr>
        <w:pStyle w:val="null3"/>
      </w:pPr>
      <w:r>
        <w:rPr/>
        <w:t>采购包1（冷冻双束高分辨扫描电镜超微结构分析一体化平台）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合同签订后300天内。</w:t>
            </w:r>
          </w:p>
        </w:tc>
      </w:tr>
      <w:tr>
        <w:tc>
          <w:tcPr>
            <w:tcW w:type="dxa" w:w="4153"/>
          </w:tcPr>
          <w:p>
            <w:pPr>
              <w:pStyle w:val="null3"/>
            </w:pPr>
            <w:r>
              <w:rPr/>
              <w:t>标的提供的地点</w:t>
            </w:r>
          </w:p>
        </w:tc>
        <w:tc>
          <w:tcPr>
            <w:tcW w:type="dxa" w:w="4153"/>
          </w:tcPr>
          <w:p>
            <w:pPr>
              <w:pStyle w:val="null3"/>
            </w:pPr>
            <w:r>
              <w:rPr/>
              <w:t>中国银行股份有限公司广州白云支行指定的地点。</w:t>
            </w:r>
          </w:p>
        </w:tc>
      </w:tr>
      <w:tr>
        <w:tc>
          <w:tcPr>
            <w:tcW w:type="dxa" w:w="4153"/>
          </w:tcPr>
          <w:p>
            <w:pPr>
              <w:pStyle w:val="null3"/>
            </w:pPr>
            <w:r>
              <w:rPr/>
              <w:t>付款方式</w:t>
            </w:r>
          </w:p>
        </w:tc>
        <w:tc>
          <w:tcPr>
            <w:tcW w:type="dxa" w:w="4153"/>
          </w:tcPr>
          <w:p>
            <w:pPr>
              <w:pStyle w:val="null3"/>
            </w:pPr>
            <w:r>
              <w:rPr/>
              <w:t>1期：支付比例100%,1、若中标人属于中小企业的，付款方式按第2条的约定执行；若中标人不属于中小企业的，付款方式按第3条执行。本条所述的中小企业，按《中小企业划型标准规定》(工信部联企业(2011)300号)及《金融业企业划型标准规定》(银发(2015)309号)界定。 2、中标人属于中小企业的，按以下方式付款： （1）预付款支付：占合同总价款的[30]%，该预付款含发票付款和垫付款。发票付款占合同总价款的[20]%，合同生效后，中国银行股份有限公司广州白云支行在收到中标人提供的合法有效的增值税专用发票（金额为合同总价款的20%）等材料后在[10]个工作日内支付；垫付款占合同总价款的[10]%，合同生效后，采购人在中国银行股份有限公司广州白云支行支付总价款的20%款项后予以垫付，项目经三方验收合格后，中标人将该垫付款项退还到采购人指定账户上，具体账户信息如下: 收款账户名称：南方医科大学， 账 号： 632757745044， 开户银行名称：中国银行广州同和支行。 （2）验收付款：占本合同总价款的[80]%,在采购人、中国银行股份有限公司广州白云支行、中标人三方共同签署盖章的验收报告后，中标人向中国银行股份有限公司广州白云支行提供合法有效的增值税专用等额发票（金额为合同总价款的80%）及材料，同时中标人按采购人约定的收款账号予以退还垫付款项到达采购人指定账户，中国银行股份有限公司广州白云支行收到采购人财务部门提供的中标人已退还垫付款项的到账凭据以及对应的增值税专用等额发票后，在[10]个工作日内支付。 3、中标人不属于中小企业或者属于境外企业的，三方确认，按以下方式付款： （1）预付款支付：占合同总价款的[20]%,本合同生效后，中国银行股份有限公司广州白云支行在收到中标人提供的合法有效的增值税专用发票（金额为合同总价款的20%）等材料后在[10]个工作日内支付。 （2）验收付款：占本合同总价款的[80]%,在中国银行股份有限公司广州白云支行、采购人、中标人三方共同签署盖章的验收报告后，中标人向中国银行股份有限公司广州白云支行提供合法有效的增值税专用等额发票（金额为合同总价款的80%）及材料后，中国银行股份有限公司广州白云支行在[10]个工作日内支付。 3.中标人户名、开户银行名称和账号为： 户 名:XXX 开户行: XXX 账 号: XXX 联行行号：XXX 财务联系人及电话：XXX 4.发票： 中标人须在要求中国银行股份有限公司广州白云支行支付每期合同款时，且符合付款条件后，向中国银行股份有限公司广州白云支行开具本次付款金额对应的增值税专用发票，同时明细项与项目价格清单保持一致。中标人如为一般纳税人，应向中国银行股份有限公司广州白云支行开具增值税专用发票；如为小规模纳税人，须要求税务局代开增值税专用发票。中标人须在增值税专用发票开具后20个自然日（原则上不超过20个自然日）内，将增值税专用发票提交至中国银行股份有限公司广州白云支行。 中标人开具的增值税专用发票符合以下情形之一的，中国银行股份有限公司广州白云支行有权延迟支付应付款项，并要求中标人重新提供，且不承担任何违约责任，中标人各项义务仍按合同约定履行且须向中国银行股份有限公司广州白云支行重新开具增值税专用发票： （1）开具虚假、作废、无效发票或因违反国家法律法规开具、提供发票的； （2）开具发票种类错误或开具发票税率与合同约定不符的； （3）发票信息错误的； （4）因中标人延迟送达、开具错误等原因造成发票认证失败的其他情况。 如中标人拒绝重新提供或提供的发票仍不符合法律法规和监管规定的要求，中国银行股份有限公司广州白云支行有权解除本合同，并要求中标人承担由此对中国银行股份有限公司广州白云支行造成的全部损失。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1期：1.中标人应委派技术人员进行现场安装、调试，并提供货物安装调试的一切技术支持。安装调试的具体时间由中标人提前3天通知采购人。 2.本合同约定的硬件产品到达中国银行股份有限公司广州白云支行指定的交付地点后，中标人完成货物的安装调试和人员的技术培训，且中国银行股份有限公司广州白云支行、采购人确认设备正常运转后，3个月内三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设备需与采购方科研数字化管理服务平台相连接，接入校园一卡通等系统，实现科研刷卡启动计费、收费等功能；（9）其他需验收的事项。 3.验收标准：按本合同约定的设备及价格、质量要求、详细配置清单及技术指标、符合采购文件和响应承诺中中国银行股份有限公司广州白云支行、采购人认可的合理最佳配置、参数及各项要求、国家相关标准和行业规范进行验收（该等标准不一致的，以较高者为准）。验收时如发现所交付的设备有短装、次品、损坏或其它不符合本合同规定之情形者，中国银行股份有限公司广州白云支行、采购人应做出详尽的现场记录，并由中国银行股份有限公司广州白云支行、中标人、采购人三方共同签署中国银行股份有限公司广州白云支行制式开箱报告。此开箱报告可用作补充、缺失和更换损坏部件的有效证据。由此产生的有关费用由中标人承担。 4. 中国银行股份有限公司广州白云支行所购货物全部通过验收的，必须经采中国银行股份有限公司广州白云支行、采购人盖章确认并出具验收合格证明后，方可视为验收合格。验收合格文件的签署不使中国银行股份有限公司广州白云支行丧失因质量问题而向中标人索赔和求偿的权利，同时亦不免除中标人对于货物质量缺陷或瑕疵负有的相应责任。 5. 中国银行股份有限公司广州白云支行、采购人在验收中如发现货物不符合合同的约定，有权拒绝接受货物，并签发拒绝收货通知书。中标人应于本合同约定的交货期限内重新提供符合合同约定的货物，否则，视为中标人逾期交货。 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w:t>
            </w:r>
          </w:p>
        </w:tc>
      </w:tr>
      <w:tr>
        <w:tc>
          <w:tcPr>
            <w:tcW w:type="dxa" w:w="4153"/>
          </w:tcPr>
          <w:p>
            <w:pPr>
              <w:pStyle w:val="null3"/>
            </w:pPr>
            <w:r>
              <w:rPr/>
              <w:t>履约保证金</w:t>
            </w:r>
          </w:p>
        </w:tc>
        <w:tc>
          <w:tcPr>
            <w:tcW w:type="dxa" w:w="4153"/>
          </w:tcPr>
          <w:p>
            <w:pPr>
              <w:pStyle w:val="null3"/>
            </w:pPr>
            <w:r>
              <w:rPr/>
              <w:t>收取比例：5%,说明：三方签订合同之日起5个工作日内，中标人应按合同总价款的5%作为履约保证金提交给中国银行股份有限公司广州白云支行，并提供凭据。如在质保期内，中标人已按本合同规定全部履行完毕且无违约行为或未结款项（包括但不限于违约金、赔偿金等）的情况下，中标人可向中国银行股份有限公司广州白云支行申请退还履约保证金，中国银行股份有限公司广州白云支行于退还申请审批手续办理完毕后30日内向中标人无息退还履约保证金。中标人逾期交纳履约保证金的，中国银行股份有限公司广州白云支行按照逾期天数3倍的时间无息延长退还履约保证金的时间。合同期内中标人存在违约行为或因中标人原因导致中国银行股份有限公司广州白云支行解除合同的，中国银行股份有限公司广州白云支行有权不予退回履约保证金且无需就此承担任何责任。履约保证金的退还，不免除中标人因货物或服务质量问题而应承担的任何责任（包括但不限于对中国银行股份有限公司广州白云支行损失的赔偿责任等）。</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（一）交付要求，中标人应在交货时同时向中国银行股份有限公司广州白云支行、采购人提供与本合同项下的硬件产品相符且完整的技术资料，技术资料必须以简体中文书写。</w:t>
            </w:r>
          </w:p>
          <w:p>
            <w:pPr>
              <w:pStyle w:val="null3"/>
            </w:pPr>
            <w:r>
              <w:rPr/>
              <w:t>（二）包装运输要求，1、中标人应保证货物的包装符合运输的要求，符合相关包装储运指示标志的规定，按照最新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 2、中标人负责将货物运输至中国银行股份有限公司广州白云支行指定的交货地点并交付采购人（应有中国银行股份有限公司广州白云支行、采购人人员在场，采购人工作人员电话：020-61647405），并承担因运输货物所发生的一切费用，包括但不限于运输费、保险费、装卸费等，如设备外包装存在二次封箱现象，中标人无法提供相关开封箱证明，中国银行股份有限公司广州白云支行、采购人有权视实际情况提出退、换货要求，中标人应在中国银行股份有限公司广州白云支行、采购人指定期限内完成退、换货；设备及其配件有破损或污渍，中国银行股份有限公司广州白云支行、采购人亦有权视实际情况提出退、换货要求，中标人应在中国银行股份有限公司广州白云支行、采购人指定期限内完成退、换货。因退、换货产生的一切费用（包括但不限于运输费、保险费、装卸费等）均由中标人自行承担。</w:t>
            </w:r>
          </w:p>
          <w:p>
            <w:pPr>
              <w:pStyle w:val="null3"/>
            </w:pPr>
            <w:r>
              <w:rPr/>
              <w:t>（三）售后服务，1.中标人向中国银行股份有限公司广州白云支行和采购人提供售后服务，其中本合同所购的硬件产品售后服务[按每台设备里技术参数要求售后服务计算]，质保期为[不少于三年（技术参数要求中另有要求且优于免费质保期期限规定期限的除外）]。售后服务、质保期在自中国银行股份有限公司广州白云支行、中标人和采购人三方在最终验收报告上签字盖章之日起开始计算。 2.中标人负责提供货物的安装、调试和技术支持服务。在质保期内，货物出现故障，中标人负责提供免费保修服务，对于在质保期内维修或更换的零部件应重新计算质保期；在售后服务期内、质保期外，如采购人需继续使用，中标人提供无偿维护服务，但产生的硬件费用由中标人和采购人双方协商确认；在售后服务期外，如采购方需继续使用，后续维保服务费由采购人支付。但无论是否在售后服务期内，中标人均保证在[2]小时内响应，并在[12]小时内解决问题。 3．中标人承诺至少三年以上保证提供货物的零配件供应，避免因相关零配件停产造成货物无法正常维护的情形发生，承诺期限内无法供应零配件的中标人应当提供方案予以协助解决，不予配合协助解决的按违约责任处理。 4. 如中标人需要维修或更换含有采购人数据信息的设备时（如存有数据的硬盘或其它带有数据存储功能的配件），应征得中国银行股份有限公司广州白云支行、采购人同意维修或更换，被更换的含有采购人数据信息的设备归中国银行股份有限公司广州白云支行所有，数据信息所有权归采购人所有。 5．中标人提供的详细技术支持和服务措施等方案, 如有提供，请附附件。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冷冻双束高分辨扫描电镜超微结构分析一体化平台(内部流水号35095)</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16,700,000.00</w:t>
            </w:r>
          </w:p>
        </w:tc>
        <w:tc>
          <w:tcPr>
            <w:tcW w:type="dxa" w:w="831"/>
          </w:tcPr>
          <w:p>
            <w:pPr>
              <w:pStyle w:val="null3"/>
              <w:jc w:val="right"/>
            </w:pPr>
            <w:r>
              <w:rPr/>
              <w:t>16,700,000.00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冷冻双束高分辨扫描电镜超微结构分析一体化平台(内部流水号35095)</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1.电子发射源的类型：肖特基热场发射灯丝；</w:t>
            </w:r>
          </w:p>
        </w:tc>
      </w:tr>
      <w:tr>
        <w:tc>
          <w:tcPr>
            <w:tcW w:type="dxa" w:w="2076"/>
          </w:tcPr>
          <w:p/>
        </w:tc>
        <w:tc>
          <w:tcPr>
            <w:tcW w:type="dxa" w:w="415"/>
          </w:tcPr>
          <w:p>
            <w:pPr>
              <w:pStyle w:val="null3"/>
            </w:pPr>
            <w:r>
              <w:rPr/>
              <w:t>2</w:t>
            </w:r>
          </w:p>
        </w:tc>
        <w:tc>
          <w:tcPr>
            <w:tcW w:type="dxa" w:w="5814"/>
          </w:tcPr>
          <w:p>
            <w:pPr>
              <w:pStyle w:val="null3"/>
            </w:pPr>
            <w:r>
              <w:rPr/>
              <w:t>2.电子枪内置单色器，用于降低电子束的色差，提高扫描电子成像分辨率；</w:t>
            </w:r>
          </w:p>
        </w:tc>
      </w:tr>
      <w:tr>
        <w:tc>
          <w:tcPr>
            <w:tcW w:type="dxa" w:w="2076"/>
          </w:tcPr>
          <w:p/>
        </w:tc>
        <w:tc>
          <w:tcPr>
            <w:tcW w:type="dxa" w:w="415"/>
          </w:tcPr>
          <w:p>
            <w:pPr>
              <w:pStyle w:val="null3"/>
            </w:pPr>
            <w:r>
              <w:rPr/>
              <w:t>3</w:t>
            </w:r>
          </w:p>
        </w:tc>
        <w:tc>
          <w:tcPr>
            <w:tcW w:type="dxa" w:w="5814"/>
          </w:tcPr>
          <w:p>
            <w:pPr>
              <w:pStyle w:val="null3"/>
            </w:pPr>
            <w:r>
              <w:rPr/>
              <w:t>3.电子束流强度0.8pA-90nA或更宽；</w:t>
            </w:r>
          </w:p>
        </w:tc>
      </w:tr>
      <w:tr>
        <w:tc>
          <w:tcPr>
            <w:tcW w:type="dxa" w:w="2076"/>
          </w:tcPr>
          <w:p/>
        </w:tc>
        <w:tc>
          <w:tcPr>
            <w:tcW w:type="dxa" w:w="415"/>
          </w:tcPr>
          <w:p>
            <w:pPr>
              <w:pStyle w:val="null3"/>
            </w:pPr>
            <w:r>
              <w:rPr/>
              <w:t>4</w:t>
            </w:r>
          </w:p>
        </w:tc>
        <w:tc>
          <w:tcPr>
            <w:tcW w:type="dxa" w:w="5814"/>
          </w:tcPr>
          <w:p>
            <w:pPr>
              <w:pStyle w:val="null3"/>
            </w:pPr>
            <w:r>
              <w:rPr/>
              <w:t>4.电子束成像的最高分辨率：≤0.7nm @ 1kV；≤1.0nm @ 0.5kV(镜筒内探测器)；</w:t>
            </w:r>
          </w:p>
        </w:tc>
      </w:tr>
      <w:tr>
        <w:tc>
          <w:tcPr>
            <w:tcW w:type="dxa" w:w="2076"/>
          </w:tcPr>
          <w:p/>
        </w:tc>
        <w:tc>
          <w:tcPr>
            <w:tcW w:type="dxa" w:w="415"/>
          </w:tcPr>
          <w:p>
            <w:pPr>
              <w:pStyle w:val="null3"/>
            </w:pPr>
            <w:r>
              <w:rPr/>
              <w:t>5</w:t>
            </w:r>
          </w:p>
        </w:tc>
        <w:tc>
          <w:tcPr>
            <w:tcW w:type="dxa" w:w="5814"/>
          </w:tcPr>
          <w:p>
            <w:pPr>
              <w:pStyle w:val="null3"/>
            </w:pPr>
            <w:r>
              <w:rPr/>
              <w:t>5.在离子束和电子束交汇点的最高分辨率：≤0.7nm @ 15kV；</w:t>
            </w:r>
          </w:p>
        </w:tc>
      </w:tr>
      <w:tr>
        <w:tc>
          <w:tcPr>
            <w:tcW w:type="dxa" w:w="2076"/>
          </w:tcPr>
          <w:p/>
        </w:tc>
        <w:tc>
          <w:tcPr>
            <w:tcW w:type="dxa" w:w="415"/>
          </w:tcPr>
          <w:p>
            <w:pPr>
              <w:pStyle w:val="null3"/>
            </w:pPr>
            <w:r>
              <w:rPr/>
              <w:t>6</w:t>
            </w:r>
          </w:p>
        </w:tc>
        <w:tc>
          <w:tcPr>
            <w:tcW w:type="dxa" w:w="5814"/>
          </w:tcPr>
          <w:p>
            <w:pPr>
              <w:pStyle w:val="null3"/>
            </w:pPr>
            <w:r>
              <w:rPr/>
              <w:t>6.加速电压范围：350 V-30 kV或更宽；</w:t>
            </w:r>
          </w:p>
        </w:tc>
      </w:tr>
      <w:tr>
        <w:tc>
          <w:tcPr>
            <w:tcW w:type="dxa" w:w="2076"/>
          </w:tcPr>
          <w:p/>
        </w:tc>
        <w:tc>
          <w:tcPr>
            <w:tcW w:type="dxa" w:w="415"/>
          </w:tcPr>
          <w:p>
            <w:pPr>
              <w:pStyle w:val="null3"/>
            </w:pPr>
            <w:r>
              <w:rPr/>
              <w:t>7</w:t>
            </w:r>
          </w:p>
        </w:tc>
        <w:tc>
          <w:tcPr>
            <w:tcW w:type="dxa" w:w="5814"/>
          </w:tcPr>
          <w:p>
            <w:pPr>
              <w:pStyle w:val="null3"/>
            </w:pPr>
            <w:r>
              <w:rPr/>
              <w:t>7.最大水平视野宽度：2.3 mm @WD≥4 mm；</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8.离子源种类≥三种，至少包含O+、N+、Xe+；</w:t>
            </w:r>
          </w:p>
        </w:tc>
      </w:tr>
      <w:tr>
        <w:tc>
          <w:tcPr>
            <w:tcW w:type="dxa" w:w="2076"/>
          </w:tcPr>
          <w:p/>
        </w:tc>
        <w:tc>
          <w:tcPr>
            <w:tcW w:type="dxa" w:w="415"/>
          </w:tcPr>
          <w:p>
            <w:pPr>
              <w:pStyle w:val="null3"/>
            </w:pPr>
            <w:r>
              <w:rPr/>
              <w:t>9</w:t>
            </w:r>
          </w:p>
        </w:tc>
        <w:tc>
          <w:tcPr>
            <w:tcW w:type="dxa" w:w="5814"/>
          </w:tcPr>
          <w:p>
            <w:pPr>
              <w:pStyle w:val="null3"/>
            </w:pPr>
            <w:r>
              <w:rPr/>
              <w:t>9.离子源可通过软件控制切换，切换时间≤10 min；</w:t>
            </w:r>
          </w:p>
        </w:tc>
      </w:tr>
      <w:tr>
        <w:tc>
          <w:tcPr>
            <w:tcW w:type="dxa" w:w="2076"/>
          </w:tcPr>
          <w:p/>
        </w:tc>
        <w:tc>
          <w:tcPr>
            <w:tcW w:type="dxa" w:w="415"/>
          </w:tcPr>
          <w:p>
            <w:pPr>
              <w:pStyle w:val="null3"/>
            </w:pPr>
            <w:r>
              <w:rPr/>
              <w:t>10</w:t>
            </w:r>
          </w:p>
        </w:tc>
        <w:tc>
          <w:tcPr>
            <w:tcW w:type="dxa" w:w="5814"/>
          </w:tcPr>
          <w:p>
            <w:pPr>
              <w:pStyle w:val="null3"/>
            </w:pPr>
            <w:r>
              <w:rPr/>
              <w:t>10.离子束加速电压：0.5kV-30kV或更宽；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11.离子束最大束流强度：≥2.0uA；</w:t>
            </w:r>
          </w:p>
        </w:tc>
      </w:tr>
      <w:tr>
        <w:tc>
          <w:tcPr>
            <w:tcW w:type="dxa" w:w="2076"/>
          </w:tcPr>
          <w:p/>
        </w:tc>
        <w:tc>
          <w:tcPr>
            <w:tcW w:type="dxa" w:w="415"/>
          </w:tcPr>
          <w:p>
            <w:pPr>
              <w:pStyle w:val="null3"/>
            </w:pPr>
            <w:r>
              <w:rPr/>
              <w:t>12</w:t>
            </w:r>
          </w:p>
        </w:tc>
        <w:tc>
          <w:tcPr>
            <w:tcW w:type="dxa" w:w="5814"/>
          </w:tcPr>
          <w:p>
            <w:pPr>
              <w:pStyle w:val="null3"/>
            </w:pPr>
            <w:r>
              <w:rPr/>
              <w:t>12.样品仓气体注入系统的单独接口≥4个；</w:t>
            </w:r>
          </w:p>
        </w:tc>
      </w:tr>
      <w:tr>
        <w:tc>
          <w:tcPr>
            <w:tcW w:type="dxa" w:w="2076"/>
          </w:tcPr>
          <w:p/>
        </w:tc>
        <w:tc>
          <w:tcPr>
            <w:tcW w:type="dxa" w:w="415"/>
          </w:tcPr>
          <w:p>
            <w:pPr>
              <w:pStyle w:val="null3"/>
            </w:pPr>
            <w:r>
              <w:rPr/>
              <w:t>13</w:t>
            </w:r>
          </w:p>
        </w:tc>
        <w:tc>
          <w:tcPr>
            <w:tcW w:type="dxa" w:w="5814"/>
          </w:tcPr>
          <w:p>
            <w:pPr>
              <w:pStyle w:val="null3"/>
            </w:pPr>
            <w:r>
              <w:rPr/>
              <w:t>13.至少配置GIS铂沉积系统；</w:t>
            </w:r>
          </w:p>
        </w:tc>
      </w:tr>
      <w:tr>
        <w:tc>
          <w:tcPr>
            <w:tcW w:type="dxa" w:w="2076"/>
          </w:tcPr>
          <w:p/>
        </w:tc>
        <w:tc>
          <w:tcPr>
            <w:tcW w:type="dxa" w:w="415"/>
          </w:tcPr>
          <w:p>
            <w:pPr>
              <w:pStyle w:val="null3"/>
            </w:pPr>
            <w:r>
              <w:rPr/>
              <w:t>14</w:t>
            </w:r>
          </w:p>
        </w:tc>
        <w:tc>
          <w:tcPr>
            <w:tcW w:type="dxa" w:w="5814"/>
          </w:tcPr>
          <w:p>
            <w:pPr>
              <w:pStyle w:val="null3"/>
            </w:pPr>
            <w:r>
              <w:rPr/>
              <w:t>14.内径≥300mm；</w:t>
            </w:r>
          </w:p>
        </w:tc>
      </w:tr>
      <w:tr>
        <w:tc>
          <w:tcPr>
            <w:tcW w:type="dxa" w:w="2076"/>
          </w:tcPr>
          <w:p/>
        </w:tc>
        <w:tc>
          <w:tcPr>
            <w:tcW w:type="dxa" w:w="415"/>
          </w:tcPr>
          <w:p>
            <w:pPr>
              <w:pStyle w:val="null3"/>
            </w:pPr>
            <w:r>
              <w:rPr/>
              <w:t>15</w:t>
            </w:r>
          </w:p>
        </w:tc>
        <w:tc>
          <w:tcPr>
            <w:tcW w:type="dxa" w:w="5814"/>
          </w:tcPr>
          <w:p>
            <w:pPr>
              <w:pStyle w:val="null3"/>
            </w:pPr>
            <w:r>
              <w:rPr/>
              <w:t>15.附件或探测器接口≥20个；</w:t>
            </w:r>
          </w:p>
        </w:tc>
      </w:tr>
      <w:tr>
        <w:tc>
          <w:tcPr>
            <w:tcW w:type="dxa" w:w="2076"/>
          </w:tcPr>
          <w:p/>
        </w:tc>
        <w:tc>
          <w:tcPr>
            <w:tcW w:type="dxa" w:w="415"/>
          </w:tcPr>
          <w:p>
            <w:pPr>
              <w:pStyle w:val="null3"/>
            </w:pPr>
            <w:r>
              <w:rPr/>
              <w:t>16</w:t>
            </w:r>
          </w:p>
        </w:tc>
        <w:tc>
          <w:tcPr>
            <w:tcW w:type="dxa" w:w="5814"/>
          </w:tcPr>
          <w:p>
            <w:pPr>
              <w:pStyle w:val="null3"/>
            </w:pPr>
            <w:r>
              <w:rPr/>
              <w:t>16.内置等离子清洁器；</w:t>
            </w:r>
          </w:p>
        </w:tc>
      </w:tr>
      <w:tr>
        <w:tc>
          <w:tcPr>
            <w:tcW w:type="dxa" w:w="2076"/>
          </w:tcPr>
          <w:p/>
        </w:tc>
        <w:tc>
          <w:tcPr>
            <w:tcW w:type="dxa" w:w="415"/>
          </w:tcPr>
          <w:p>
            <w:pPr>
              <w:pStyle w:val="null3"/>
            </w:pPr>
            <w:r>
              <w:rPr/>
              <w:t>17</w:t>
            </w:r>
          </w:p>
        </w:tc>
        <w:tc>
          <w:tcPr>
            <w:tcW w:type="dxa" w:w="5814"/>
          </w:tcPr>
          <w:p>
            <w:pPr>
              <w:pStyle w:val="null3"/>
            </w:pPr>
            <w:r>
              <w:rPr/>
              <w:t>17.样品仓最高真空度：≤2.6*10</w:t>
            </w:r>
            <w:r>
              <w:rPr>
                <w:vertAlign w:val="superscript"/>
              </w:rPr>
              <w:t>-6</w:t>
            </w:r>
            <w:r>
              <w:rPr/>
              <w:t xml:space="preserve"> mbar；</w:t>
            </w:r>
          </w:p>
        </w:tc>
      </w:tr>
      <w:tr>
        <w:tc>
          <w:tcPr>
            <w:tcW w:type="dxa" w:w="2076"/>
          </w:tcPr>
          <w:p/>
        </w:tc>
        <w:tc>
          <w:tcPr>
            <w:tcW w:type="dxa" w:w="415"/>
          </w:tcPr>
          <w:p>
            <w:pPr>
              <w:pStyle w:val="null3"/>
            </w:pPr>
            <w:r>
              <w:rPr/>
              <w:t>18</w:t>
            </w:r>
          </w:p>
        </w:tc>
        <w:tc>
          <w:tcPr>
            <w:tcW w:type="dxa" w:w="5814"/>
          </w:tcPr>
          <w:p>
            <w:pPr>
              <w:pStyle w:val="null3"/>
            </w:pPr>
            <w:r>
              <w:rPr/>
              <w:t>18.抽真空时间≤5分钟；</w:t>
            </w:r>
          </w:p>
        </w:tc>
      </w:tr>
      <w:tr>
        <w:tc>
          <w:tcPr>
            <w:tcW w:type="dxa" w:w="2076"/>
          </w:tcPr>
          <w:p/>
        </w:tc>
        <w:tc>
          <w:tcPr>
            <w:tcW w:type="dxa" w:w="415"/>
          </w:tcPr>
          <w:p>
            <w:pPr>
              <w:pStyle w:val="null3"/>
            </w:pPr>
            <w:r>
              <w:rPr/>
              <w:t>19</w:t>
            </w:r>
          </w:p>
        </w:tc>
        <w:tc>
          <w:tcPr>
            <w:tcW w:type="dxa" w:w="5814"/>
          </w:tcPr>
          <w:p>
            <w:pPr>
              <w:pStyle w:val="null3"/>
            </w:pPr>
            <w:r>
              <w:rPr/>
              <w:t>19.不含油泵的清洁真空系统；</w:t>
            </w:r>
          </w:p>
        </w:tc>
      </w:tr>
      <w:tr>
        <w:tc>
          <w:tcPr>
            <w:tcW w:type="dxa" w:w="2076"/>
          </w:tcPr>
          <w:p/>
        </w:tc>
        <w:tc>
          <w:tcPr>
            <w:tcW w:type="dxa" w:w="415"/>
          </w:tcPr>
          <w:p>
            <w:pPr>
              <w:pStyle w:val="null3"/>
            </w:pPr>
            <w:r>
              <w:rPr/>
              <w:t>20</w:t>
            </w:r>
          </w:p>
        </w:tc>
        <w:tc>
          <w:tcPr>
            <w:tcW w:type="dxa" w:w="5814"/>
          </w:tcPr>
          <w:p>
            <w:pPr>
              <w:pStyle w:val="null3"/>
            </w:pPr>
            <w:r>
              <w:rPr/>
              <w:t>20.五轴马达驱动样品台，样品台移动范围：X/Y方向≥100mm，Z方向≥65mm，可绕Z轴旋转任意角度(360度)，倾角-10至90度或更宽；</w:t>
            </w:r>
          </w:p>
        </w:tc>
      </w:tr>
      <w:tr>
        <w:tc>
          <w:tcPr>
            <w:tcW w:type="dxa" w:w="2076"/>
          </w:tcPr>
          <w:p/>
        </w:tc>
        <w:tc>
          <w:tcPr>
            <w:tcW w:type="dxa" w:w="415"/>
          </w:tcPr>
          <w:p>
            <w:pPr>
              <w:pStyle w:val="null3"/>
            </w:pPr>
            <w:r>
              <w:rPr/>
              <w:t>21</w:t>
            </w:r>
          </w:p>
        </w:tc>
        <w:tc>
          <w:tcPr>
            <w:tcW w:type="dxa" w:w="5814"/>
          </w:tcPr>
          <w:p>
            <w:pPr>
              <w:pStyle w:val="null3"/>
            </w:pPr>
            <w:r>
              <w:rPr/>
              <w:t>21.最大样品直径≥110mm，可全方位旋转；</w:t>
            </w:r>
          </w:p>
        </w:tc>
      </w:tr>
      <w:tr>
        <w:tc>
          <w:tcPr>
            <w:tcW w:type="dxa" w:w="2076"/>
          </w:tcPr>
          <w:p/>
        </w:tc>
        <w:tc>
          <w:tcPr>
            <w:tcW w:type="dxa" w:w="415"/>
          </w:tcPr>
          <w:p>
            <w:pPr>
              <w:pStyle w:val="null3"/>
            </w:pPr>
            <w:r>
              <w:rPr/>
              <w:t>22</w:t>
            </w:r>
          </w:p>
        </w:tc>
        <w:tc>
          <w:tcPr>
            <w:tcW w:type="dxa" w:w="5814"/>
          </w:tcPr>
          <w:p>
            <w:pPr>
              <w:pStyle w:val="null3"/>
            </w:pPr>
            <w:r>
              <w:rPr/>
              <w:t>22.最大样品高度≥80mm（样品最高点在共心点）；</w:t>
            </w:r>
          </w:p>
        </w:tc>
      </w:tr>
      <w:tr>
        <w:tc>
          <w:tcPr>
            <w:tcW w:type="dxa" w:w="2076"/>
          </w:tcPr>
          <w:p/>
        </w:tc>
        <w:tc>
          <w:tcPr>
            <w:tcW w:type="dxa" w:w="415"/>
          </w:tcPr>
          <w:p>
            <w:pPr>
              <w:pStyle w:val="null3"/>
            </w:pPr>
            <w:r>
              <w:rPr/>
              <w:t>23</w:t>
            </w:r>
          </w:p>
        </w:tc>
        <w:tc>
          <w:tcPr>
            <w:tcW w:type="dxa" w:w="5814"/>
          </w:tcPr>
          <w:p>
            <w:pPr>
              <w:pStyle w:val="null3"/>
            </w:pPr>
            <w:r>
              <w:rPr/>
              <w:t>23.非倾斜时的最大样品重量≥5 kg（包括样品托架）；</w:t>
            </w:r>
          </w:p>
        </w:tc>
      </w:tr>
      <w:tr>
        <w:tc>
          <w:tcPr>
            <w:tcW w:type="dxa" w:w="2076"/>
          </w:tcPr>
          <w:p/>
        </w:tc>
        <w:tc>
          <w:tcPr>
            <w:tcW w:type="dxa" w:w="415"/>
          </w:tcPr>
          <w:p>
            <w:pPr>
              <w:pStyle w:val="null3"/>
            </w:pPr>
            <w:r>
              <w:rPr/>
              <w:t>24</w:t>
            </w:r>
          </w:p>
        </w:tc>
        <w:tc>
          <w:tcPr>
            <w:tcW w:type="dxa" w:w="5814"/>
          </w:tcPr>
          <w:p>
            <w:pPr>
              <w:pStyle w:val="null3"/>
            </w:pPr>
            <w:r>
              <w:rPr/>
              <w:t>24.样品仓内的探测器；</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25.样品仓内的探测器，探测二次离子信号和二次电子信号；</w:t>
            </w:r>
          </w:p>
        </w:tc>
      </w:tr>
      <w:tr>
        <w:tc>
          <w:tcPr>
            <w:tcW w:type="dxa" w:w="2076"/>
          </w:tcPr>
          <w:p/>
        </w:tc>
        <w:tc>
          <w:tcPr>
            <w:tcW w:type="dxa" w:w="415"/>
          </w:tcPr>
          <w:p>
            <w:pPr>
              <w:pStyle w:val="null3"/>
            </w:pPr>
            <w:r>
              <w:rPr/>
              <w:t>26</w:t>
            </w:r>
          </w:p>
        </w:tc>
        <w:tc>
          <w:tcPr>
            <w:tcW w:type="dxa" w:w="5814"/>
          </w:tcPr>
          <w:p>
            <w:pPr>
              <w:pStyle w:val="null3"/>
            </w:pPr>
            <w:r>
              <w:rPr/>
              <w:t>26.镜筒内探测器探头，具有二次电子和背散射电子两种模式；</w:t>
            </w:r>
          </w:p>
        </w:tc>
      </w:tr>
      <w:tr>
        <w:tc>
          <w:tcPr>
            <w:tcW w:type="dxa" w:w="2076"/>
          </w:tcPr>
          <w:p/>
        </w:tc>
        <w:tc>
          <w:tcPr>
            <w:tcW w:type="dxa" w:w="415"/>
          </w:tcPr>
          <w:p>
            <w:pPr>
              <w:pStyle w:val="null3"/>
            </w:pPr>
            <w:r>
              <w:rPr/>
              <w:t>27</w:t>
            </w:r>
          </w:p>
        </w:tc>
        <w:tc>
          <w:tcPr>
            <w:tcW w:type="dxa" w:w="5814"/>
          </w:tcPr>
          <w:p>
            <w:pPr>
              <w:pStyle w:val="null3"/>
            </w:pPr>
            <w:r>
              <w:rPr/>
              <w:t>27.可伸缩性高灵敏度和高衬度的背散射电子探测器；</w:t>
            </w:r>
          </w:p>
        </w:tc>
      </w:tr>
      <w:tr>
        <w:tc>
          <w:tcPr>
            <w:tcW w:type="dxa" w:w="2076"/>
          </w:tcPr>
          <w:p/>
        </w:tc>
        <w:tc>
          <w:tcPr>
            <w:tcW w:type="dxa" w:w="415"/>
          </w:tcPr>
          <w:p>
            <w:pPr>
              <w:pStyle w:val="null3"/>
            </w:pPr>
            <w:r>
              <w:rPr/>
              <w:t>28</w:t>
            </w:r>
          </w:p>
        </w:tc>
        <w:tc>
          <w:tcPr>
            <w:tcW w:type="dxa" w:w="5814"/>
          </w:tcPr>
          <w:p>
            <w:pPr>
              <w:pStyle w:val="null3"/>
            </w:pPr>
            <w:r>
              <w:rPr/>
              <w:t>28.镜筒内探测器探头，高位SE/BSE检测器；</w:t>
            </w:r>
          </w:p>
        </w:tc>
      </w:tr>
      <w:tr>
        <w:tc>
          <w:tcPr>
            <w:tcW w:type="dxa" w:w="2076"/>
          </w:tcPr>
          <w:p/>
        </w:tc>
        <w:tc>
          <w:tcPr>
            <w:tcW w:type="dxa" w:w="415"/>
          </w:tcPr>
          <w:p>
            <w:pPr>
              <w:pStyle w:val="null3"/>
            </w:pPr>
            <w:r>
              <w:rPr/>
              <w:t>29</w:t>
            </w:r>
          </w:p>
        </w:tc>
        <w:tc>
          <w:tcPr>
            <w:tcW w:type="dxa" w:w="5814"/>
          </w:tcPr>
          <w:p>
            <w:pPr>
              <w:pStyle w:val="null3"/>
            </w:pPr>
            <w:r>
              <w:rPr/>
              <w:t>29.样品仓内的红外CCD相机；</w:t>
            </w:r>
          </w:p>
        </w:tc>
      </w:tr>
      <w:tr>
        <w:tc>
          <w:tcPr>
            <w:tcW w:type="dxa" w:w="2076"/>
          </w:tcPr>
          <w:p/>
        </w:tc>
        <w:tc>
          <w:tcPr>
            <w:tcW w:type="dxa" w:w="415"/>
          </w:tcPr>
          <w:p>
            <w:pPr>
              <w:pStyle w:val="null3"/>
            </w:pPr>
            <w:r>
              <w:rPr/>
              <w:t>30</w:t>
            </w:r>
          </w:p>
        </w:tc>
        <w:tc>
          <w:tcPr>
            <w:tcW w:type="dxa" w:w="5814"/>
          </w:tcPr>
          <w:p>
            <w:pPr>
              <w:pStyle w:val="null3"/>
            </w:pPr>
            <w:r>
              <w:rPr/>
              <w:t>30.样品仓内的用于样品导航相机；</w:t>
            </w:r>
          </w:p>
        </w:tc>
      </w:tr>
      <w:tr>
        <w:tc>
          <w:tcPr>
            <w:tcW w:type="dxa" w:w="2076"/>
          </w:tcPr>
          <w:p/>
        </w:tc>
        <w:tc>
          <w:tcPr>
            <w:tcW w:type="dxa" w:w="415"/>
          </w:tcPr>
          <w:p>
            <w:pPr>
              <w:pStyle w:val="null3"/>
            </w:pPr>
            <w:r>
              <w:rPr/>
              <w:t>31</w:t>
            </w:r>
          </w:p>
        </w:tc>
        <w:tc>
          <w:tcPr>
            <w:tcW w:type="dxa" w:w="5814"/>
          </w:tcPr>
          <w:p>
            <w:pPr>
              <w:pStyle w:val="null3"/>
            </w:pPr>
            <w:r>
              <w:rPr/>
              <w:t>31.配置大容量液氮杜瓦瓶和自动化冷氮气流量控制器；</w:t>
            </w:r>
          </w:p>
        </w:tc>
      </w:tr>
      <w:tr>
        <w:tc>
          <w:tcPr>
            <w:tcW w:type="dxa" w:w="2076"/>
          </w:tcPr>
          <w:p/>
        </w:tc>
        <w:tc>
          <w:tcPr>
            <w:tcW w:type="dxa" w:w="415"/>
          </w:tcPr>
          <w:p>
            <w:pPr>
              <w:pStyle w:val="null3"/>
            </w:pPr>
            <w:r>
              <w:rPr/>
              <w:t>32</w:t>
            </w:r>
          </w:p>
        </w:tc>
        <w:tc>
          <w:tcPr>
            <w:tcW w:type="dxa" w:w="5814"/>
          </w:tcPr>
          <w:p>
            <w:pPr>
              <w:pStyle w:val="null3"/>
            </w:pPr>
            <w:r>
              <w:rPr/>
              <w:t>32.冷冻样品台可以360°旋转；</w:t>
            </w:r>
          </w:p>
        </w:tc>
      </w:tr>
      <w:tr>
        <w:tc>
          <w:tcPr>
            <w:tcW w:type="dxa" w:w="2076"/>
          </w:tcPr>
          <w:p/>
        </w:tc>
        <w:tc>
          <w:tcPr>
            <w:tcW w:type="dxa" w:w="415"/>
          </w:tcPr>
          <w:p>
            <w:pPr>
              <w:pStyle w:val="null3"/>
            </w:pPr>
            <w:r>
              <w:rPr/>
              <w:t>33</w:t>
            </w:r>
          </w:p>
        </w:tc>
        <w:tc>
          <w:tcPr>
            <w:tcW w:type="dxa" w:w="5814"/>
          </w:tcPr>
          <w:p>
            <w:pPr>
              <w:pStyle w:val="null3"/>
            </w:pPr>
            <w:r>
              <w:rPr/>
              <w:t>33.冷冻样品台的最低温度≤-170℃；</w:t>
            </w:r>
          </w:p>
        </w:tc>
      </w:tr>
      <w:tr>
        <w:tc>
          <w:tcPr>
            <w:tcW w:type="dxa" w:w="2076"/>
          </w:tcPr>
          <w:p/>
        </w:tc>
        <w:tc>
          <w:tcPr>
            <w:tcW w:type="dxa" w:w="415"/>
          </w:tcPr>
          <w:p>
            <w:pPr>
              <w:pStyle w:val="null3"/>
            </w:pPr>
            <w:r>
              <w:rPr/>
              <w:t>34</w:t>
            </w:r>
          </w:p>
        </w:tc>
        <w:tc>
          <w:tcPr>
            <w:tcW w:type="dxa" w:w="5814"/>
          </w:tcPr>
          <w:p>
            <w:pPr>
              <w:pStyle w:val="null3"/>
            </w:pPr>
            <w:r>
              <w:rPr/>
              <w:t>34.冷冻样品台从常温至工作温度的冷却时间&lt;20分钟；</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35.内置荧光系统，包含≥4种LED光源（宽场）；</w:t>
            </w:r>
          </w:p>
        </w:tc>
      </w:tr>
      <w:tr>
        <w:tc>
          <w:tcPr>
            <w:tcW w:type="dxa" w:w="2076"/>
          </w:tcPr>
          <w:p/>
        </w:tc>
        <w:tc>
          <w:tcPr>
            <w:tcW w:type="dxa" w:w="415"/>
          </w:tcPr>
          <w:p>
            <w:pPr>
              <w:pStyle w:val="null3"/>
            </w:pPr>
            <w:r>
              <w:rPr/>
              <w:t>36</w:t>
            </w:r>
          </w:p>
        </w:tc>
        <w:tc>
          <w:tcPr>
            <w:tcW w:type="dxa" w:w="5814"/>
          </w:tcPr>
          <w:p>
            <w:pPr>
              <w:pStyle w:val="null3"/>
            </w:pPr>
            <w:r>
              <w:rPr/>
              <w:t>36.荧光系统具备反射和荧光成像模式；</w:t>
            </w:r>
          </w:p>
        </w:tc>
      </w:tr>
      <w:tr>
        <w:tc>
          <w:tcPr>
            <w:tcW w:type="dxa" w:w="2076"/>
          </w:tcPr>
          <w:p/>
        </w:tc>
        <w:tc>
          <w:tcPr>
            <w:tcW w:type="dxa" w:w="415"/>
          </w:tcPr>
          <w:p>
            <w:pPr>
              <w:pStyle w:val="null3"/>
            </w:pPr>
            <w:r>
              <w:rPr/>
              <w:t>37</w:t>
            </w:r>
          </w:p>
        </w:tc>
        <w:tc>
          <w:tcPr>
            <w:tcW w:type="dxa" w:w="5814"/>
          </w:tcPr>
          <w:p>
            <w:pPr>
              <w:pStyle w:val="null3"/>
            </w:pPr>
            <w:r>
              <w:rPr/>
              <w:t>37.荧光系统物镜数值孔径≥0.7；</w:t>
            </w:r>
          </w:p>
        </w:tc>
      </w:tr>
      <w:tr>
        <w:tc>
          <w:tcPr>
            <w:tcW w:type="dxa" w:w="2076"/>
          </w:tcPr>
          <w:p/>
        </w:tc>
        <w:tc>
          <w:tcPr>
            <w:tcW w:type="dxa" w:w="415"/>
          </w:tcPr>
          <w:p>
            <w:pPr>
              <w:pStyle w:val="null3"/>
            </w:pPr>
            <w:r>
              <w:rPr/>
              <w:t>38</w:t>
            </w:r>
          </w:p>
        </w:tc>
        <w:tc>
          <w:tcPr>
            <w:tcW w:type="dxa" w:w="5814"/>
          </w:tcPr>
          <w:p>
            <w:pPr>
              <w:pStyle w:val="null3"/>
            </w:pPr>
            <w:r>
              <w:rPr/>
              <w:t>38.荧光系统的控制软件集成在电镜操作软件中；</w:t>
            </w:r>
          </w:p>
        </w:tc>
      </w:tr>
      <w:tr>
        <w:tc>
          <w:tcPr>
            <w:tcW w:type="dxa" w:w="2076"/>
          </w:tcPr>
          <w:p/>
        </w:tc>
        <w:tc>
          <w:tcPr>
            <w:tcW w:type="dxa" w:w="415"/>
          </w:tcPr>
          <w:p>
            <w:pPr>
              <w:pStyle w:val="null3"/>
            </w:pPr>
            <w:r>
              <w:rPr/>
              <w:t>39</w:t>
            </w:r>
          </w:p>
        </w:tc>
        <w:tc>
          <w:tcPr>
            <w:tcW w:type="dxa" w:w="5814"/>
          </w:tcPr>
          <w:p>
            <w:pPr>
              <w:pStyle w:val="null3"/>
            </w:pPr>
            <w:r>
              <w:rPr/>
              <w:t>39.一体化冷冻纳米操作器在常温下针尖漂移：≤260nm/min；</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40.冷冻纳米操作器冷冻下针尖温度：≤-155℃；</w:t>
            </w:r>
          </w:p>
        </w:tc>
      </w:tr>
      <w:tr>
        <w:tc>
          <w:tcPr>
            <w:tcW w:type="dxa" w:w="2076"/>
          </w:tcPr>
          <w:p/>
        </w:tc>
        <w:tc>
          <w:tcPr>
            <w:tcW w:type="dxa" w:w="415"/>
          </w:tcPr>
          <w:p>
            <w:pPr>
              <w:pStyle w:val="null3"/>
            </w:pPr>
            <w:r>
              <w:rPr/>
              <w:t>41</w:t>
            </w:r>
          </w:p>
        </w:tc>
        <w:tc>
          <w:tcPr>
            <w:tcW w:type="dxa" w:w="5814"/>
          </w:tcPr>
          <w:p>
            <w:pPr>
              <w:pStyle w:val="null3"/>
            </w:pPr>
            <w:r>
              <w:rPr/>
              <w:t>41.用于载网上超薄切片自动化批处理运行的自动TEM切片软件；</w:t>
            </w:r>
          </w:p>
        </w:tc>
      </w:tr>
      <w:tr>
        <w:tc>
          <w:tcPr>
            <w:tcW w:type="dxa" w:w="2076"/>
          </w:tcPr>
          <w:p/>
        </w:tc>
        <w:tc>
          <w:tcPr>
            <w:tcW w:type="dxa" w:w="415"/>
          </w:tcPr>
          <w:p>
            <w:pPr>
              <w:pStyle w:val="null3"/>
            </w:pPr>
            <w:r>
              <w:rPr/>
              <w:t>42</w:t>
            </w:r>
          </w:p>
        </w:tc>
        <w:tc>
          <w:tcPr>
            <w:tcW w:type="dxa" w:w="5814"/>
          </w:tcPr>
          <w:p>
            <w:pPr>
              <w:pStyle w:val="null3"/>
            </w:pPr>
            <w:r>
              <w:rPr/>
              <w:t>42.配备可通过脚本对系统进行全面控制的软件；</w:t>
            </w:r>
          </w:p>
        </w:tc>
      </w:tr>
      <w:tr>
        <w:tc>
          <w:tcPr>
            <w:tcW w:type="dxa" w:w="2076"/>
          </w:tcPr>
          <w:p/>
        </w:tc>
        <w:tc>
          <w:tcPr>
            <w:tcW w:type="dxa" w:w="415"/>
          </w:tcPr>
          <w:p>
            <w:pPr>
              <w:pStyle w:val="null3"/>
            </w:pPr>
            <w:r>
              <w:rPr/>
              <w:t>43</w:t>
            </w:r>
          </w:p>
        </w:tc>
        <w:tc>
          <w:tcPr>
            <w:tcW w:type="dxa" w:w="5814"/>
          </w:tcPr>
          <w:p>
            <w:pPr>
              <w:pStyle w:val="null3"/>
            </w:pPr>
            <w:r>
              <w:rPr/>
              <w:t>43.配备边切边成像软件系统用于三维立体成像；</w:t>
            </w:r>
          </w:p>
        </w:tc>
      </w:tr>
      <w:tr>
        <w:tc>
          <w:tcPr>
            <w:tcW w:type="dxa" w:w="2076"/>
          </w:tcPr>
          <w:p/>
        </w:tc>
        <w:tc>
          <w:tcPr>
            <w:tcW w:type="dxa" w:w="415"/>
          </w:tcPr>
          <w:p>
            <w:pPr>
              <w:pStyle w:val="null3"/>
            </w:pPr>
            <w:r>
              <w:rPr/>
              <w:t>44</w:t>
            </w:r>
          </w:p>
        </w:tc>
        <w:tc>
          <w:tcPr>
            <w:tcW w:type="dxa" w:w="5814"/>
          </w:tcPr>
          <w:p>
            <w:pPr>
              <w:pStyle w:val="null3"/>
            </w:pPr>
            <w:r>
              <w:rPr/>
              <w:t>44.配备软件用于图像缝合和拼接（支持导入20种以上的图像数据格式），关联光学显微镜和扫描电镜数据（该软件可帮助计算对中位置，用于对样品进行减薄和快速定位感兴趣的区域)；</w:t>
            </w:r>
          </w:p>
        </w:tc>
      </w:tr>
      <w:tr>
        <w:tc>
          <w:tcPr>
            <w:tcW w:type="dxa" w:w="2076"/>
          </w:tcPr>
          <w:p/>
        </w:tc>
        <w:tc>
          <w:tcPr>
            <w:tcW w:type="dxa" w:w="415"/>
          </w:tcPr>
          <w:p>
            <w:pPr>
              <w:pStyle w:val="null3"/>
            </w:pPr>
            <w:r>
              <w:rPr/>
              <w:t>45</w:t>
            </w:r>
          </w:p>
        </w:tc>
        <w:tc>
          <w:tcPr>
            <w:tcW w:type="dxa" w:w="5814"/>
          </w:tcPr>
          <w:p>
            <w:pPr>
              <w:pStyle w:val="null3"/>
            </w:pPr>
            <w:r>
              <w:rPr/>
              <w:t>45.配备用于专业的冷冻控制软件；</w:t>
            </w:r>
          </w:p>
        </w:tc>
      </w:tr>
      <w:tr>
        <w:tc>
          <w:tcPr>
            <w:tcW w:type="dxa" w:w="2076"/>
          </w:tcPr>
          <w:p/>
        </w:tc>
        <w:tc>
          <w:tcPr>
            <w:tcW w:type="dxa" w:w="415"/>
          </w:tcPr>
          <w:p>
            <w:pPr>
              <w:pStyle w:val="null3"/>
            </w:pPr>
            <w:r>
              <w:rPr/>
              <w:t>46</w:t>
            </w:r>
          </w:p>
        </w:tc>
        <w:tc>
          <w:tcPr>
            <w:tcW w:type="dxa" w:w="5814"/>
          </w:tcPr>
          <w:p>
            <w:pPr>
              <w:pStyle w:val="null3"/>
            </w:pPr>
            <w:r>
              <w:rPr/>
              <w:t>46.快速冷冻制样系统可保持100%的相对湿度；</w:t>
            </w:r>
          </w:p>
        </w:tc>
      </w:tr>
      <w:tr>
        <w:tc>
          <w:tcPr>
            <w:tcW w:type="dxa" w:w="2076"/>
          </w:tcPr>
          <w:p/>
        </w:tc>
        <w:tc>
          <w:tcPr>
            <w:tcW w:type="dxa" w:w="415"/>
          </w:tcPr>
          <w:p>
            <w:pPr>
              <w:pStyle w:val="null3"/>
            </w:pPr>
            <w:r>
              <w:rPr/>
              <w:t>47</w:t>
            </w:r>
          </w:p>
        </w:tc>
        <w:tc>
          <w:tcPr>
            <w:tcW w:type="dxa" w:w="5814"/>
          </w:tcPr>
          <w:p>
            <w:pPr>
              <w:pStyle w:val="null3"/>
            </w:pPr>
            <w:r>
              <w:rPr/>
              <w:t>47.快速冷冻制样系统可用触摸屏控制配合脚踏板控制；</w:t>
            </w:r>
          </w:p>
        </w:tc>
      </w:tr>
      <w:tr>
        <w:tc>
          <w:tcPr>
            <w:tcW w:type="dxa" w:w="2076"/>
          </w:tcPr>
          <w:p/>
        </w:tc>
        <w:tc>
          <w:tcPr>
            <w:tcW w:type="dxa" w:w="415"/>
          </w:tcPr>
          <w:p>
            <w:pPr>
              <w:pStyle w:val="null3"/>
            </w:pPr>
            <w:r>
              <w:rPr/>
              <w:t>48</w:t>
            </w:r>
          </w:p>
        </w:tc>
        <w:tc>
          <w:tcPr>
            <w:tcW w:type="dxa" w:w="5814"/>
          </w:tcPr>
          <w:p>
            <w:pPr>
              <w:pStyle w:val="null3"/>
            </w:pPr>
            <w:r>
              <w:rPr/>
              <w:t>48.快速冷冻制样的吸干动作次数和吸干持续时间：最大16次/样品，由软件控制，可在用户界面设置；</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49.快速冷冻制样的吸附方式：双面吸附；</w:t>
            </w:r>
          </w:p>
        </w:tc>
      </w:tr>
      <w:tr>
        <w:tc>
          <w:tcPr>
            <w:tcW w:type="dxa" w:w="2076"/>
          </w:tcPr>
          <w:p/>
        </w:tc>
        <w:tc>
          <w:tcPr>
            <w:tcW w:type="dxa" w:w="415"/>
          </w:tcPr>
          <w:p>
            <w:pPr>
              <w:pStyle w:val="null3"/>
            </w:pPr>
            <w:r>
              <w:rPr/>
              <w:t>50</w:t>
            </w:r>
          </w:p>
        </w:tc>
        <w:tc>
          <w:tcPr>
            <w:tcW w:type="dxa" w:w="5814"/>
          </w:tcPr>
          <w:p>
            <w:pPr>
              <w:pStyle w:val="null3"/>
            </w:pPr>
            <w:r>
              <w:rPr/>
              <w:t>50.快速冷冻制样系统的吸干补偿及排液时间：软件控制，可由用户定义；</w:t>
            </w:r>
          </w:p>
        </w:tc>
      </w:tr>
      <w:tr>
        <w:tc>
          <w:tcPr>
            <w:tcW w:type="dxa" w:w="2076"/>
          </w:tcPr>
          <w:p/>
        </w:tc>
        <w:tc>
          <w:tcPr>
            <w:tcW w:type="dxa" w:w="415"/>
          </w:tcPr>
          <w:p>
            <w:pPr>
              <w:pStyle w:val="null3"/>
            </w:pPr>
            <w:r>
              <w:rPr/>
              <w:t>51</w:t>
            </w:r>
          </w:p>
        </w:tc>
        <w:tc>
          <w:tcPr>
            <w:tcW w:type="dxa" w:w="5814"/>
          </w:tcPr>
          <w:p>
            <w:pPr>
              <w:pStyle w:val="null3"/>
            </w:pPr>
            <w:r>
              <w:rPr/>
              <w:t>51.快速冷冻制样系统有自动遮板控制；</w:t>
            </w:r>
          </w:p>
        </w:tc>
      </w:tr>
      <w:tr>
        <w:tc>
          <w:tcPr>
            <w:tcW w:type="dxa" w:w="2076"/>
          </w:tcPr>
          <w:p/>
        </w:tc>
        <w:tc>
          <w:tcPr>
            <w:tcW w:type="dxa" w:w="415"/>
          </w:tcPr>
          <w:p>
            <w:pPr>
              <w:pStyle w:val="null3"/>
            </w:pPr>
            <w:r>
              <w:rPr/>
              <w:t>52</w:t>
            </w:r>
          </w:p>
        </w:tc>
        <w:tc>
          <w:tcPr>
            <w:tcW w:type="dxa" w:w="5814"/>
          </w:tcPr>
          <w:p>
            <w:pPr>
              <w:pStyle w:val="null3"/>
            </w:pPr>
            <w:r>
              <w:rPr/>
              <w:t>52.快速冷冻制样系统的冷却剂容器包括整合式抗污染圈；</w:t>
            </w:r>
          </w:p>
        </w:tc>
      </w:tr>
      <w:tr>
        <w:tc>
          <w:tcPr>
            <w:tcW w:type="dxa" w:w="2076"/>
          </w:tcPr>
          <w:p/>
        </w:tc>
        <w:tc>
          <w:tcPr>
            <w:tcW w:type="dxa" w:w="415"/>
          </w:tcPr>
          <w:p>
            <w:pPr>
              <w:pStyle w:val="null3"/>
            </w:pPr>
            <w:r>
              <w:rPr/>
              <w:t>53</w:t>
            </w:r>
          </w:p>
        </w:tc>
        <w:tc>
          <w:tcPr>
            <w:tcW w:type="dxa" w:w="5814"/>
          </w:tcPr>
          <w:p>
            <w:pPr>
              <w:pStyle w:val="null3"/>
            </w:pPr>
            <w:r>
              <w:rPr/>
              <w:t>53.快速冷冻制样系统在液氮环境下栅格从冷却剂转移至栅格盒：半自动。</w:t>
            </w:r>
          </w:p>
        </w:tc>
      </w:tr>
      <w:tr>
        <w:tc>
          <w:tcPr>
            <w:tcW w:type="dxa" w:w="2076"/>
          </w:tcPr>
          <w:p/>
        </w:tc>
        <w:tc>
          <w:tcPr>
            <w:tcW w:type="dxa" w:w="415"/>
          </w:tcPr>
          <w:p>
            <w:pPr>
              <w:pStyle w:val="null3"/>
            </w:pPr>
            <w:r>
              <w:rPr/>
              <w:t>54</w:t>
            </w:r>
          </w:p>
        </w:tc>
        <w:tc>
          <w:tcPr>
            <w:tcW w:type="dxa" w:w="5814"/>
          </w:tcPr>
          <w:p>
            <w:pPr>
              <w:pStyle w:val="null3"/>
            </w:pPr>
            <w:r>
              <w:rPr/>
              <w:t>54. 配置清单</w:t>
            </w:r>
          </w:p>
        </w:tc>
      </w:tr>
      <w:tr>
        <w:tc>
          <w:tcPr>
            <w:tcW w:type="dxa" w:w="2076"/>
          </w:tcPr>
          <w:p/>
        </w:tc>
        <w:tc>
          <w:tcPr>
            <w:tcW w:type="dxa" w:w="415"/>
          </w:tcPr>
          <w:p>
            <w:pPr>
              <w:pStyle w:val="null3"/>
            </w:pPr>
            <w:r>
              <w:rPr/>
              <w:t>55</w:t>
            </w:r>
          </w:p>
        </w:tc>
        <w:tc>
          <w:tcPr>
            <w:tcW w:type="dxa" w:w="5814"/>
          </w:tcPr>
          <w:p>
            <w:pPr>
              <w:pStyle w:val="null3"/>
            </w:pPr>
            <w:r>
              <w:rPr/>
              <w:t>54.1 冷冻等离子体聚焦离子束扫描电镜主机，1台；</w:t>
            </w:r>
          </w:p>
        </w:tc>
      </w:tr>
      <w:tr>
        <w:tc>
          <w:tcPr>
            <w:tcW w:type="dxa" w:w="2076"/>
          </w:tcPr>
          <w:p/>
        </w:tc>
        <w:tc>
          <w:tcPr>
            <w:tcW w:type="dxa" w:w="415"/>
          </w:tcPr>
          <w:p>
            <w:pPr>
              <w:pStyle w:val="null3"/>
            </w:pPr>
            <w:r>
              <w:rPr/>
              <w:t>56</w:t>
            </w:r>
          </w:p>
        </w:tc>
        <w:tc>
          <w:tcPr>
            <w:tcW w:type="dxa" w:w="5814"/>
          </w:tcPr>
          <w:p>
            <w:pPr>
              <w:pStyle w:val="null3"/>
            </w:pPr>
            <w:r>
              <w:rPr/>
              <w:t>54.2 内置一体化荧光系统，1套；</w:t>
            </w:r>
          </w:p>
        </w:tc>
      </w:tr>
      <w:tr>
        <w:tc>
          <w:tcPr>
            <w:tcW w:type="dxa" w:w="2076"/>
          </w:tcPr>
          <w:p/>
        </w:tc>
        <w:tc>
          <w:tcPr>
            <w:tcW w:type="dxa" w:w="415"/>
          </w:tcPr>
          <w:p>
            <w:pPr>
              <w:pStyle w:val="null3"/>
            </w:pPr>
            <w:r>
              <w:rPr/>
              <w:t>57</w:t>
            </w:r>
          </w:p>
        </w:tc>
        <w:tc>
          <w:tcPr>
            <w:tcW w:type="dxa" w:w="5814"/>
          </w:tcPr>
          <w:p>
            <w:pPr>
              <w:pStyle w:val="null3"/>
            </w:pPr>
            <w:r>
              <w:rPr/>
              <w:t>54.3 内置一体化冷冻纳米操作系统，1套；</w:t>
            </w:r>
          </w:p>
        </w:tc>
      </w:tr>
      <w:tr>
        <w:tc>
          <w:tcPr>
            <w:tcW w:type="dxa" w:w="2076"/>
          </w:tcPr>
          <w:p/>
        </w:tc>
        <w:tc>
          <w:tcPr>
            <w:tcW w:type="dxa" w:w="415"/>
          </w:tcPr>
          <w:p>
            <w:pPr>
              <w:pStyle w:val="null3"/>
            </w:pPr>
            <w:r>
              <w:rPr/>
              <w:t>58</w:t>
            </w:r>
          </w:p>
        </w:tc>
        <w:tc>
          <w:tcPr>
            <w:tcW w:type="dxa" w:w="5814"/>
          </w:tcPr>
          <w:p>
            <w:pPr>
              <w:pStyle w:val="null3"/>
            </w:pPr>
            <w:r>
              <w:rPr/>
              <w:t>54.4 工作平台（满足54.1工作要求），1套；</w:t>
            </w:r>
          </w:p>
        </w:tc>
      </w:tr>
      <w:tr>
        <w:tc>
          <w:tcPr>
            <w:tcW w:type="dxa" w:w="2076"/>
          </w:tcPr>
          <w:p/>
        </w:tc>
        <w:tc>
          <w:tcPr>
            <w:tcW w:type="dxa" w:w="415"/>
          </w:tcPr>
          <w:p>
            <w:pPr>
              <w:pStyle w:val="null3"/>
            </w:pPr>
            <w:r>
              <w:rPr/>
              <w:t>59</w:t>
            </w:r>
          </w:p>
        </w:tc>
        <w:tc>
          <w:tcPr>
            <w:tcW w:type="dxa" w:w="5814"/>
          </w:tcPr>
          <w:p>
            <w:pPr>
              <w:pStyle w:val="null3"/>
            </w:pPr>
            <w:r>
              <w:rPr/>
              <w:t>54.5 冷水机（满足54.1工作要求），1台；</w:t>
            </w:r>
          </w:p>
        </w:tc>
      </w:tr>
      <w:tr>
        <w:tc>
          <w:tcPr>
            <w:tcW w:type="dxa" w:w="2076"/>
          </w:tcPr>
          <w:p/>
        </w:tc>
        <w:tc>
          <w:tcPr>
            <w:tcW w:type="dxa" w:w="415"/>
          </w:tcPr>
          <w:p>
            <w:pPr>
              <w:pStyle w:val="null3"/>
            </w:pPr>
            <w:r>
              <w:rPr/>
              <w:t>60</w:t>
            </w:r>
          </w:p>
        </w:tc>
        <w:tc>
          <w:tcPr>
            <w:tcW w:type="dxa" w:w="5814"/>
          </w:tcPr>
          <w:p>
            <w:pPr>
              <w:pStyle w:val="null3"/>
            </w:pPr>
            <w:r>
              <w:rPr/>
              <w:t>54.6 空压机（满足54.1工作要求），1台；</w:t>
            </w:r>
          </w:p>
        </w:tc>
      </w:tr>
      <w:tr>
        <w:tc>
          <w:tcPr>
            <w:tcW w:type="dxa" w:w="2076"/>
          </w:tcPr>
          <w:p/>
        </w:tc>
        <w:tc>
          <w:tcPr>
            <w:tcW w:type="dxa" w:w="415"/>
          </w:tcPr>
          <w:p>
            <w:pPr>
              <w:pStyle w:val="null3"/>
            </w:pPr>
            <w:r>
              <w:rPr/>
              <w:t>61</w:t>
            </w:r>
          </w:p>
        </w:tc>
        <w:tc>
          <w:tcPr>
            <w:tcW w:type="dxa" w:w="5814"/>
          </w:tcPr>
          <w:p>
            <w:pPr>
              <w:pStyle w:val="null3"/>
            </w:pPr>
            <w:r>
              <w:rPr/>
              <w:t>54.7 无油真空系统（满足54.1工作要求），1台；</w:t>
            </w:r>
          </w:p>
        </w:tc>
      </w:tr>
      <w:tr>
        <w:tc>
          <w:tcPr>
            <w:tcW w:type="dxa" w:w="2076"/>
          </w:tcPr>
          <w:p/>
        </w:tc>
        <w:tc>
          <w:tcPr>
            <w:tcW w:type="dxa" w:w="415"/>
          </w:tcPr>
          <w:p>
            <w:pPr>
              <w:pStyle w:val="null3"/>
            </w:pPr>
            <w:r>
              <w:rPr/>
              <w:t>62</w:t>
            </w:r>
          </w:p>
        </w:tc>
        <w:tc>
          <w:tcPr>
            <w:tcW w:type="dxa" w:w="5814"/>
          </w:tcPr>
          <w:p>
            <w:pPr>
              <w:pStyle w:val="null3"/>
            </w:pPr>
            <w:r>
              <w:rPr/>
              <w:t>54.8 电源稳定设备（满足54.1工作要求），1台；</w:t>
            </w:r>
          </w:p>
        </w:tc>
      </w:tr>
      <w:tr>
        <w:tc>
          <w:tcPr>
            <w:tcW w:type="dxa" w:w="2076"/>
          </w:tcPr>
          <w:p/>
        </w:tc>
        <w:tc>
          <w:tcPr>
            <w:tcW w:type="dxa" w:w="415"/>
          </w:tcPr>
          <w:p>
            <w:pPr>
              <w:pStyle w:val="null3"/>
            </w:pPr>
            <w:r>
              <w:rPr/>
              <w:t>63</w:t>
            </w:r>
          </w:p>
        </w:tc>
        <w:tc>
          <w:tcPr>
            <w:tcW w:type="dxa" w:w="5814"/>
          </w:tcPr>
          <w:p>
            <w:pPr>
              <w:pStyle w:val="null3"/>
            </w:pPr>
            <w:r>
              <w:rPr/>
              <w:t>54.9 3D可视化分析软件，1套；</w:t>
            </w:r>
          </w:p>
        </w:tc>
      </w:tr>
      <w:tr>
        <w:tc>
          <w:tcPr>
            <w:tcW w:type="dxa" w:w="2076"/>
          </w:tcPr>
          <w:p/>
        </w:tc>
        <w:tc>
          <w:tcPr>
            <w:tcW w:type="dxa" w:w="415"/>
          </w:tcPr>
          <w:p>
            <w:pPr>
              <w:pStyle w:val="null3"/>
            </w:pPr>
            <w:r>
              <w:rPr/>
              <w:t>64</w:t>
            </w:r>
          </w:p>
        </w:tc>
        <w:tc>
          <w:tcPr>
            <w:tcW w:type="dxa" w:w="5814"/>
          </w:tcPr>
          <w:p>
            <w:pPr>
              <w:pStyle w:val="null3"/>
            </w:pPr>
            <w:r>
              <w:rPr/>
              <w:t>54.10 快速冷冻制样系统，1台；</w:t>
            </w:r>
          </w:p>
        </w:tc>
      </w:tr>
      <w:tr>
        <w:tc>
          <w:tcPr>
            <w:tcW w:type="dxa" w:w="2076"/>
          </w:tcPr>
          <w:p/>
        </w:tc>
        <w:tc>
          <w:tcPr>
            <w:tcW w:type="dxa" w:w="415"/>
          </w:tcPr>
          <w:p>
            <w:pPr>
              <w:pStyle w:val="null3"/>
            </w:pPr>
            <w:r>
              <w:rPr/>
              <w:t>65</w:t>
            </w:r>
          </w:p>
        </w:tc>
        <w:tc>
          <w:tcPr>
            <w:tcW w:type="dxa" w:w="5814"/>
          </w:tcPr>
          <w:p>
            <w:pPr>
              <w:pStyle w:val="null3"/>
            </w:pPr>
            <w:r>
              <w:rPr/>
              <w:t>55. 图像放大倍率范围:50~2,000,000倍；</w:t>
            </w:r>
          </w:p>
        </w:tc>
      </w:tr>
      <w:tr>
        <w:tc>
          <w:tcPr>
            <w:tcW w:type="dxa" w:w="2076"/>
          </w:tcPr>
          <w:p/>
        </w:tc>
        <w:tc>
          <w:tcPr>
            <w:tcW w:type="dxa" w:w="415"/>
          </w:tcPr>
          <w:p>
            <w:pPr>
              <w:pStyle w:val="null3"/>
            </w:pPr>
            <w:r>
              <w:rPr/>
              <w:t>66</w:t>
            </w:r>
          </w:p>
        </w:tc>
        <w:tc>
          <w:tcPr>
            <w:tcW w:type="dxa" w:w="5814"/>
          </w:tcPr>
          <w:p>
            <w:pPr>
              <w:pStyle w:val="null3"/>
            </w:pPr>
            <w:r>
              <w:rPr/>
              <w:t>56. 整机质保≥2年，售后服务期≥5年。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采购包2（超高效液相色谱-三重四极杆质谱联用仪一体化平台等）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1、A组超高效液相色谱-三重四极杆质谱联用仪一体化平台(内部流水号35098)和4D蛋白组学微量样本分析系统一体化平台(内部流水号35099)：交货日期为合同签订后90天内； 2、B组4D蛋白组学微量样本分析系统配套设备(纳升液相色谱仪、超高效液相色谱仪、高场非对称波形离子迁移谱组件)(内部流水号35104)：（1）国外采购设备的交货日期：中标人或者其指定的境外公司或厂家收到设备货款且征免税证明（中华人民共和国海关进出口货物征免税确认通知书、中华人民共和国海关准予办理减免税货物税款担保通知书等）发证日期后90天内。（2）国内采购部分的交货日期：合同签订后45天内。</w:t>
            </w:r>
          </w:p>
        </w:tc>
      </w:tr>
      <w:tr>
        <w:tc>
          <w:tcPr>
            <w:tcW w:type="dxa" w:w="4153"/>
          </w:tcPr>
          <w:p>
            <w:pPr>
              <w:pStyle w:val="null3"/>
            </w:pPr>
            <w:r>
              <w:rPr/>
              <w:t>标的提供的地点</w:t>
            </w:r>
          </w:p>
        </w:tc>
        <w:tc>
          <w:tcPr>
            <w:tcW w:type="dxa" w:w="4153"/>
          </w:tcPr>
          <w:p>
            <w:pPr>
              <w:pStyle w:val="null3"/>
            </w:pPr>
            <w:r>
              <w:rPr/>
              <w:t>1、A组超高效液相色谱-三重四极杆质谱联用仪一体化平台(内部流水号35098)和4D蛋白组学微量样本分析系统一体化平台(内部流水号35099)：中国银行股份有限公司广州白云支行指定的地点。 2、B组4D蛋白组学微量样本分析系统配套设备(纳升液相色谱仪、超高效液相色谱仪、高场非对称波形离子迁移谱组件)(内部流水号35104)：采购人指定地点。</w:t>
            </w:r>
          </w:p>
        </w:tc>
      </w:tr>
      <w:tr>
        <w:tc>
          <w:tcPr>
            <w:tcW w:type="dxa" w:w="4153"/>
          </w:tcPr>
          <w:p>
            <w:pPr>
              <w:pStyle w:val="null3"/>
            </w:pPr>
            <w:r>
              <w:rPr/>
              <w:t>付款方式</w:t>
            </w:r>
          </w:p>
        </w:tc>
        <w:tc>
          <w:tcPr>
            <w:tcW w:type="dxa" w:w="4153"/>
          </w:tcPr>
          <w:p>
            <w:pPr>
              <w:pStyle w:val="null3"/>
            </w:pPr>
            <w:r>
              <w:rPr/>
              <w:t>1期：支付比例100%,（一）A组超高效液相色谱-三重四极杆质谱联用仪一体化平台(内部流水号35098)和4D蛋白组学微量样本分析系统一体化平台(内部流水号35099)： 1、若中标人属于中小企业的，付款方式按第2条的约定执行；若中标人不属于中小企业的，付款方式按第3条执行。本条所述的中小企业，按《中小企业划型标准规定》(工信部联企业(2011)300号)及《金融业企业划型标准规定》(银发(2015)309号)界定。 2、中标人属于中小企业的，按以下方式付款： （1）预付款支付：占合同总价款的[30]%，该预付款含发票付款和垫付款。发票付款占合同总价款的[20]%，合同生效后，中国银行股份有限公司广州白云支行在收到中标人提供的合法有效的增值税专用发票（金额为合同总价款的20%）等材料后在[10]个工作日内支付；垫付款占合同总价款的[10]%，合同生效后，采购人在中国银行股份有限公司广州白云支行支付总价款的20%款项后予以垫付，项目经三方验收合格后，中标人将该垫付款项退还到采购人指定账户上，具体账户信息如下: 收款账户名称：南方医科大学， 账 号： 632757745044， 开户银行名称：中国银行广州同和支行。 （2）验收付款：占合同总价款的[80]%,在采购人、中国银行股份有限公司广州白云支行、中标人三方共同签署盖章的验收报告后，中标人向中国银行股份有限公司广州白云支行提供合法有效的增值税专用等额发票（金额为合同总价款的80%）及材料，同时中标人按采购人约定的收款账号予以退还垫付款项到达采购人指定账户，中国银行股份有限公司广州白云支行收到采购人财务部门提供的中标人已退还垫付款项的到账凭据以及对应的增值税专用等额发票后，在[10]个工作日内支付。 3、 中标人不属于中小企业或者属于境外企业的，三方确认，按以下方式付款： （1）预付款支付：占合同总价款的[20]%,本合同生效后，中国银行股份有限公司广州白云支行在收到中标人提供的合法有效的增值税专用发票（金额为合同总价款的20%）等材料后在[10]个工作日内支付。 （2）验收付款：占合同总价款的[80]%,在中国银行股份有限公司广州白云支行、采购人、中标人三方共同签署盖章的验收报告后，中标人向中国银行股份有限公司广州白云支行提供合法有效的增值税专用等额发票（金额为合同总价款的80%）及材料后，中国银行股份有限公司广州白云支行在[10]个工作日内支付。 3.中标人户名、开户银行名称和账号为： 户 名:XXX 开户行: XXX 账 号:XXX 联行行号：XXX 财务联系人及电话：XXX 4.发票： 中标人须在要求中国银行股份有限公司广州白云支行支付每期合同款时，且符合付款条件后，向中国银行股份有限公司广州白云支行开具本次付款金额对应的增值税专用发票，同时明细项与项目价格清单保持一致。中标人如为一般纳税人，应向中国银行股份有限公司广州白云支行开具增值税专用发票；如为小规模纳税人，须要求税务局代开增值税专用发票。中标人须在增值税专用发票开具后20个自然日（原则上不超过20个自然日）内，将增值税专用发票提交至中国银行股份有限公司广州白云支行。 中标人开具的增值税专用发票符合以下情形之一的，中国银行股份有限公司广州白云支行有权延迟支付应付款项，并要求中标人重新提供，且不承担任何违约责任，中标人各项义务仍按合同约定履行且须向中国银行股份有限公司广州白云支行重新开具增值税专用发票： （1）开具虚假、作废、无效发票或因违反国家法律法规开具、提供发票的； （2）开具发票种类错误或开具发票税率与合同约定不符的； （3）发票信息错误的； （4）因中标人延迟送达、开具错误等原因造成发票认证失败的其他情况。 如中标人拒绝重新提供或提供的发票仍不符合法律法规和监管规定的要求，中国银行股份有限公司广州白云支行有权解除本合同，并要求中标人承担由此对中国银行股份有限公司广州白云支行造成的全部损失。 （二）B组4D蛋白组学微量样本分析系统配套设备(纳升液相色谱仪、超高效液相色谱仪、高场非对称波形离子迁移谱组件)(内部流水号35104)： 1、双方签订合同之日起5个工作日内，中标人应按合同总价款的5%作为履约保证金汇至采购人账户，并提供银行汇款凭据。在中标人将合同义务全部履行完毕且无违约行为或未结款项(包括但不限于违约金、赔偿金等)的情况下，中标人可向采购人申请退还履约保证金，采购人于退还申请审批手续办理完毕后30日内向中标人无息退还履约保证金（如遇采购人寒暑假，采购人有权顺延退回时间且无需承担任何违约责任）。中标人逾期交纳履约保证金的，采购人按照逾期天数3倍的时间无息延长退还履约保证金的时间。合同期内中标人存在违约行为或因中标人原因导致采购人解除合同的，采购人有权不予退回履约保证金且无需就此承担任何责任。履约保证金的退还，不免除中标人因货物或服务质量问题而应承担的任何责任（包括但不限于对采购人损失的赔偿责任等）。 2、国内采购部分执行的付款方式： 2.1 对于国内采购部分的付款，若中标人属于中小企业的，付款方式按第2.2条的约定执行；若中标人不属于中小企业的，付款方式按第2.3条执行。本条所述的中小企业，按《中小企业划型标准规定》（工信部联企业〔2011〕300号）及《金融业企业划型标准规定》（银发〔2015〕309号）界定。 2.2 中标人属于中小企业的，双方确认，按以下方式付款： 采购人在合同签订后5个工作日内，向中标人预付合同金额的30%汇至合同项下载明的中标人账户，合同剩余70%资金采取合同第2.4条约定的预付款资金监管模式支付。 2.3 中标人不属于中小企业的，双方确认，按以下方式付款： 采购人采取合同第2.4条约定的预付款资金监管模式支付全额货款。 2.4 本条款所述的预付款资金监管模式按以下方式执行： （1）采购人合作银行为兴业银行广州分行、中信银行、中国农业银行广州白云支行，中标人需在该3家银行中自行选择资金监管服务银行。 （2）中标人凭采购合同及银行资金监管业务协议，3个工作日内开立银行监管账户。中标人监管账户开设完毕，经中标人或银行通知，采购人将设备款项（具体按本条款前述约定确定付款金额）支付至中标人该监管账户。中标人监管账户中资金的收付及结算必须且仅可通过监管账户实现，非经采购人书面同意，该监管账户不得擅自变更。双方应严格按照《资金监管业务三方协议》约定履行。 （3）采购人收到履约保证金，且设备交付并通过采购人验收合格后，中标人向采购人提供合法有效的等额发票，经采购人审核通过后，采购人在10个工作日内向银行提出资金解除监管申请。 （4）采购人按前述约定向监管账户汇出款项后，即视为已履行付款义务。在汇款过程中，因中标人账户的原因（包括但不限于账号被注销、被冻结等）导致中标人无法收取款项的，由中标人承担相应后果，采购人无需承担任何违约责任。 3、国外采购部分执行的付款方式： 3.1 对于国外采购部分的付款，若中标人属于中小企业的，付款方式按第3.2条的约定执行；若中标人不属于中小企业的，付款方式按第3.3条执行。本条所述的中小企业，按《中小企业划型标准规定》（工信部联企业〔2011〕300号）及《金融业企业划型标准规定》（银发〔2015〕309号）界定。 3.2 中标人属于中小企业的，双方确认，按以下方式付款： （1）采购人和中标人双方采取预付款制度，采购人在合同签订后5个工作日内，向中标人预付合同金额的30%，合同金额的70%执行银行资金监管模式，采购人合作银行为兴业银行广州分行、中信银行、中国农业银行广州白云支行，中标人需在该3家银行中自行选择资金监管服务银行。 （2）中标人应于收到前述30%预付款后15个工作日内将该30%预付款定向支付给外贸代理公司以便其办理信用证。如因中标人未按时将该30%预付款支付至外贸代理公司的后述指定监管帐户，导致设备货期延误、外贸代理公司向采购人主张权利或者产生其他纠纷等全部情形的，采购人无需承担任何责任且采购人因此遭受的损失均由中标人承担，同时，中标人亦应按照合同之约定承担违约责任。 （3）采购人收到履约保证金后，采购人、中标人、银行、外贸代理公司四方应及时签订银行资金监管业务协议，中标人凭采购合同及银行资金监管业务协议，3个工作日内开立银行监管账户。中标人监管账户开设完毕，经中标人或银行通知，采购人将合同金额的70%打至该账户。采购人收到相关到账凭证，确认资金在账后，通知中标人进行资金划付工作，中标人应于收到采购人通知后5个工作日内向银行提出资金划付申请并将设备全额款项（含前述30%预付款在内的100%设备款项）划付至外贸代理公司的指定监管账户上。外贸代理公司再按合同要求开出信用证。中标人、外贸代理公司监管账户中资金的收付及结算必须且仅可通过监管账户实现，非经采购人书面同意，该监管账户不得擅自变更。各方应严格按照《资金监管业务四方协议》约定履行。 （4）外贸代理公司收到设备款及办理好相关免税手续（中华人民共和国海关进出口货物征免税确认通知书、中华人民共和国海关准予办理减免税货物税款担保通知书等）后7个工作日内，开具100%L/C见提单、中标人或其指定的境外公司或厂家（即与外贸代理公司签订外贸合同的合同相对方）所出具的正本发票及装箱单即付。 3.3 中标人不属于中小企业的，双方确认，按以下方式付款： （1）合同金额的100%执行银行资金监管模式，采购人合作银行为兴业银行广州分行、中信银行、中国农业银行广州白云支行，中标人需在该3家银行中自行选择资金监管服务银行。 （2）采购人收到履约保证金后，采购人、中标人、银行、外贸代理公司四方应及时签订银行资金监管业务协议，中标人凭买卖双方盖章的设备采购合同及银行资金监管业务协议，3个工作日内开立银行监管账户。中标人监管账户开设完毕，经中标人或银行通知，采购人将设备全额款项打至该账户。采购人收到相关到账凭证，确认资金在账后，通知中标人进行资金划付工作，中标人收到通知后应在5个工作日内向银行提出资金划付申请并将设备全额款项划付至外贸代理公司的指定监管账户上。外贸代理公司再按合同要求开出信用证。中标人、外贸代理公司监管账户中资金的收付及结算必须且仅可通过监管账户实现，非经采购人书面同意，该监管账户不得擅自变更。各方应严格按照《资金监管业务四方协议》约定履行。 （3）外贸代理公司收到设备款及办理好相关免税手续（中华人民共和国海关进出口货物征免税确认通知书、中华人民共和国海关准予办理减免税货物税款担保通知书等）后7个工作日内，开具100%L/C见提单、中标人或其指定的境外公司或厂家（即与外贸代理公司签订外贸合同的合同相对方）所出具的正本发票及装箱单即付。 3.4 采购人按前述约定向监管账户汇出款项后，采购人付款义务即已全部完成，采购人无需再就合同项下国外采购部分承担任何付款义务，中标人亦不得再以任何理由要求采购人就国外采购部分的付款义务承担任何责任（包括但不限于在外贸代理公司未履行其付款义务的情况下以委托代付关系为由要求采购人再次履行付款义务、以担保等为由要求采购人就外贸代理公司独立承担的付款义务承担连带责任或者补充责任等），亦即，后续付款由外贸代理公司按照其与中标人指定的境外公司或厂家签署的外贸合同独立承担，因外贸代理公司未按时足额支付合同货款产生的纠纷均与采购人无关，由中标人及其指定的境外公司或厂家与外贸代理公司根据外贸合同的约定自行解决。 3.5 双方一致确认：作为合同项下设备的供货方，中标人应当严格履行供货方义务，且中标人在任何情况下均不得以任何理由（包括但不限于主张其作为供货方的义务已经全部或者部分转由外贸代理公司或者转由其指定的境外公司或厂家承担等理由）主张减轻或者免除其任何义务（包括但不限于供货义务、质量保证义务、售后服务义务等）。 3.6 双方一致确认：合同项下所述之外贸合同应按照合同约定的设备交易条件且基于顺利完成合同项下的国外采购部分的目的进行签署，且应当明确外贸合同项下的货款由外贸代理公司以开具信用证的方式支付；中标人应当在完成外贸合同的签署后向采购人提供一份外贸合同副本以供采购人留档使用；采购人承担责任的范围仅以合同的明文约定为限，中标人、外贸代理公司及中标人指定的境外公司或厂家不得再以任何形式为采购人创设任何超出合同的其他义务或者代替采购人作出任何弃权行为（包括但不限于在外贸合同中增设采购人义务、另行签署补充协议或者其他协议增设采购人义务等），否则，该等义务及弃权行为均与采购人无关，且不对采购人产生任何约束效力【但采购人以加盖公章的方式签署追认的除外（特别说明：仅有采购人相关人员的签字但采购人未加盖公章的，不对采购人产生追认或者约束效力）】。 4、若本合同项下的款项支付按本合同的相关条款约定需向某一方支付的，各方一致确认如下银行账户即作为该等款项的指定收款账户： （1）采购人的银行账号信息： 单位名称：南方医科大学 统一社会信用代码(三证合一)：12440000771868596D 地址：广东省广州市白云区沙太南路1023号-1063号 开户行：中行同和支行 开户行账号：632757745044 （2）中标人的银行账号信息（如采取银行资金监管模式，以银行监管协议中相关账户为准）： 单位名称：XXX 统一社会信用代码(三证合一)：XXX 地址：XXX 开户行：XXX 开户行账号：XXX</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A组超高效液相色谱-三重四极杆质谱联用仪一体化平台(内部流水号35098)和4D蛋白组学微量样本分析系统一体化平台(内部流水号35099):（1）中标人应委派技术人员进行现场安装、调试，并提供货物安装调试的一切技术支持。安装调试的具体时间由中标人提前3天通知采购人。（2）本合同约定的硬件产品到达中国银行股份有限公司广州白云支行指定的交付地点后，中标人完成货物的安装调试和人员的技术培训，且中国银行股份有限公司广州白云支行、采购人确认设备正常运转后，3个月内三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设备需与采购方科研数字化管理服务平台相连接，接入校园一卡通等系统，实现科研刷卡启动计费、收费等功能；9）其他需验收的事项。（3）验收标准：按本合同约定的设备及价格、质量要求、详细配置清单及技术指标、符合采购文件和响应承诺中中国银行股份有限公司广州白云支行、采购人认可的合理最佳配置、参数及各项要求、国家相关标准和行业规范进行验收（该等标准不一致的，以较高者为准）。验收时如发现所交付的设备有短装、次品、损坏或其它不符合本合同规定之情形者，中国银行股份有限公司广州白云支行、采购人应做出详尽的现场记录，并由中国银行股份有限公司广州白云支行、中标人、采购人三方共同签署中国银行股份有限公司广州白云支行制式开箱报告。此开箱报告可用作补充、缺失和更换损坏部件的有效证据。由此产生的有关费用由中标人承担。（4）中国银行股份有限公司广州白云支行所购货物全部通过验收的，必须经采中国银行股份有限公司广州白云支行、采购人盖章确认并出具验收合格证明后，方可视为验收合格。验收合格文件的签署不使中国银行股份有限公司广州白云支行丧失因质量问题而向中标人索赔和求偿的权利，同时亦不免除中标人对于货物质量缺陷或瑕疵负有的相应责任。（5）中国银行股份有限公司广州白云支行、采购人在验收中如发现货物不符合合同的约定，有权拒绝接受货物，并签发拒绝收货通知书。中标人应于本合同约定的交货期限内重新提供符合合同约定的货物，否则，视为中标人逾期交货。（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 2、B组4D蛋白组学微量样本分析系统配套设备(纳升液相色谱仪、超高效液相色谱仪、高场非对称波形离子迁移谱组件)(内部流水号35104):（1）中标人应委派技术人员上门进行现场安装、调试，并提供货物安装调试所需的一切技术支持。安装调试的具体时间由采购人提前3天通知中标人。（2）中标人完成货物的安装调试和人员的技术培训，且采购人确认设备正常运转后，3个月内双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其他需验收的事项。（3）验收标准：按合同约定的设备及价格、质量要求、详细配置清单及技术指标、符合采购文件和响应承诺中采购人认可的合理最佳配置、参数及各项要求、国家相关标准和行业规范进行验收（该等标准不一致的，以较高者为准）。验收时如发现所交付的设备有短装、次品、损坏或其它不符合合同规定之情形者，采购人应做出详尽的现场记录，并由中国银行股份有限公司广州白云支行乙双方共同签署采购人制式开箱报告。此开箱报告可用作补充、缺失和更换损坏部件的有效证据。由此产生的有关费用由中标人承担。中标人未按要求缴纳保证金的，采购人有权不履行后续验收流程。（4）采购人所购货物全部通过验收的，必须经采购人确认并出具验收合格证明后，方可视为验收合格。验收合格文件的签署不使采购人丧失因质量问题而向中标人索赔和求偿的权利，同时亦不免除中标人对于货物质量缺陷或瑕疵负有的相应责任。（5）采购人在验收中如发现货物不符合合同的约定，有权拒绝接受货物，并签发拒绝收货通知书。中标人应于合同约定的交货期限内重新提供符合合同约定的货物，否则，视为中标人逾期交货。（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w:t>
            </w:r>
          </w:p>
        </w:tc>
      </w:tr>
      <w:tr>
        <w:tc>
          <w:tcPr>
            <w:tcW w:type="dxa" w:w="4153"/>
          </w:tcPr>
          <w:p>
            <w:pPr>
              <w:pStyle w:val="null3"/>
            </w:pPr>
            <w:r>
              <w:rPr/>
              <w:t>履约保证金</w:t>
            </w:r>
          </w:p>
        </w:tc>
        <w:tc>
          <w:tcPr>
            <w:tcW w:type="dxa" w:w="4153"/>
          </w:tcPr>
          <w:p>
            <w:pPr>
              <w:pStyle w:val="null3"/>
            </w:pPr>
            <w:r>
              <w:rPr/>
              <w:t>收取比例：5%,说明：A组超高效液相色谱-三重四极杆质谱联用仪一体化平台(内部流水号35098)和4D蛋白组学微量样本分析系统一体化平台(内部流水号35099):三方签订合同之日起5个工作日内，中标人应按合同总价款的5%作为履约保证金提交给中国银行股份有限公司广州白云支行，并提供凭据。如在质保期内，中标人已按本合同规定全部履行完毕且无违约行为或未结款项（包括但不限于违约金、赔偿金等）的情况下，中标人可向中国银行股份有限公司广州白云支行申请退还履约保证金，中国银行股份有限公司广州白云支行于退还申请审批手续办理完毕后30日内向中标人无息退还履约保证金。中标人逾期交纳履约保证金的，中国银行股份有限公司广州白云支行按照逾期天数3倍的时间无息延长退还履约保证金的时间。合同期内中标人存在违约行为或因中标人原因导致中国银行股份有限公司广州白云支行解除合同的，中国银行股份有限公司广州白云支行有权不予退回履约保证金且无需就此承担任何责任。履约保证金的退还，不免除中标人因货物或服务质量问题而应承担的任何责任（包括但不限于对中国银行股份有限公司广州白云支行损失的赔偿责任等）。 B组4D蛋白组学微量样本分析系统配套设备(纳升液相色谱仪、超高效液相色谱仪、高场非对称波形离子迁移谱组件)(内部流水号35104)：双方签订合同之日起5个工作日内，中标人应按合同总价款的5%作为履约保证金汇至采购人账户，并提供银行汇款凭据。在中标人将合同义务全部履行完毕且无违约行为或未结款项(包括但不限于违约金、赔偿金等)的情况下，中标人可向采购人申请退还履约保证金，采购人于退还申请审批手续办理完毕后30日内向中标人无息退还履约保证金（如遇采购人寒暑假，采购人有权顺延退回时间且无需承担任何违约责任）。中标人逾期交纳履约保证金的，采购人按照逾期天数3倍的时间无息延长退还履约保证金的时间。合同期内中标人存在违约行为或因中标人原因导致采购人解除合同的，采购人有权不予退回履约保证金且无需就此承担任何责任。履约保证金的退还，不免除中标人因货物或服务质量问题而应承担的任何责任（包括但不限于对采购人损失的赔偿责任等）。</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交付要求，A组超高效液相色谱-三重四极杆质谱联用仪一体化平台(内部流水号35098)和4D蛋白组学微量样本分析系统一体化平台(内部流水号35099)：中标人应在交货时同时向中国银行股份有限公司广州白云支行、采购人提供与本合同项下的硬件产品相符且完整的技术资料，技术资料必须以简体中文书写。</w:t>
            </w:r>
          </w:p>
          <w:p>
            <w:pPr>
              <w:pStyle w:val="null3"/>
            </w:pPr>
            <w:r>
              <w:rPr/>
              <w:t>（二）包装运输要求，1、A组超高效液相色谱-三重四极杆质谱联用仪一体化平台(内部流水号35098)和4D蛋白组学微量样本分析系统一体化平台(内部流水号35099)：（1）中标人应保证货物的包装符合运输的要求，符合相关包装储运指示标志的规定，按照最新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2）中标人负责将货物运输至中国银行股份有限公司广州白云支行指定的交货地点并交付采购人（应有中国银行股份有限公司广州白云支行、采购人人员在场，采购人工作人员电话：020-61647405），并承担因运输货物所发生的一切费用，包括但不限于运输费、保险费、装卸费等，如设备外包装存在二次封箱现象，中标人无法提供相关开封箱证明，中国银行股份有限公司广州白云支行、采购人有权视实际情况提出退、换货要求，中标人应在中国银行股份有限公司广州白云支行、采购人指定期限内完成退、换货；设备及其配件有破损或污渍，中国银行股份有限公司广州白云支行、采购人亦有权视实际情况提出退、换货要求，中标人应在中国银行股份有限公司广州白云支行、采购人指定期限内完成退、换货。因退、换货产生的一切费用（包括但不限于运输费、保险费、装卸费等）均由中标人自行承担。 2、B组4D蛋白组学微量样本分析系统配套设备(纳升液相色谱仪、超高效液相色谱仪、高场非对称波形离子迁移谱组件)(内部流水号35104)：（1）中标人应在交货时同时向采购人提供与合同项下货物相符且完整的技术资料，技术资料必须以简体中文书写。（2）中标人应保证货物的包装符合运输的要求，符合相关包装储运指示标志的规定，按照最新国际、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3）国内采购部分由中标人负责将货物运输至约定的交货地点并交付予采购人；国外采购部分由外贸代理公司负责将货物运输至约定的交货地点并交付予采购人(开箱验货时，必须有采购人、中标人及外贸代理公司三方在场)。货物运至指定交货地点前，中标人应提前联系采购人（联系电话020-61647405）。如设备外包装存在二次封箱现象，中标人须提供包括但不限于海关商检证明等；如中标人无法提供相关证明，采购人有权视实际情况提出退、换货要求，中标人应在采购人指定期限内完成退、换货。设备及其配件有破损或污渍，采购人亦有权视实际情况提出退、换货要求，中标人应在采购人指定期限内完成退、换货。因退、换货产生的一切费用（包括但不限于运输费、保险费、装卸费等）均由中标人自行承担。</w:t>
            </w:r>
          </w:p>
          <w:p>
            <w:pPr>
              <w:pStyle w:val="null3"/>
            </w:pPr>
            <w:r>
              <w:rPr/>
              <w:t>（三）售后服务，1、A组超高效液相色谱-三重四极杆质谱联用仪一体化平台(内部流水号35098)和4D蛋白组学微量样本分析系统一体化平台(内部流水号35099)：（1）中标人向中国银行股份有限公司广州白云支行和采购人提供售后服务，其中本合同所购的硬件产品售后服务[按每台设备里技术参数要求售后服务计算]，质保期为[不少于三年（技术参数要求中另有要求且优于免费质保期期限规定期限的除外）]。售后服务、质保期在自中国银行股份有限公司广州白云支行、中标人和采购人三方在最终验收报告上签字盖章之日起开始计算。（2）中标人负责提供货物的安装、调试和技术支持服务。在质保期内，货物出现故障，中标人负责提供免费保修服务，对于在质保期内维修或更换的零部件应重新计算质保期；在售后服务期内、质保期外，如采购人需继续使用，中标人提供无偿维护服务，但产生的硬件费用由中标人和采购人双方协商确认；在售后服务期外，如采购方需继续使用，后续维保服务费由采购人支付。但无论是否在售后服务期内，中标人均保证在[2]小时内响应，并在[12]小时内解决问题。（3）中标人承诺至少三年以上保证提供货物的零配件供应，避免因相关零配件停产造成货物无法正常维护的情形发生，承诺期限内无法供应零配件的中标人应当提供方案予以协助解决，不予配合协助解决的按违约责任处理。（4）如中标人需要维修或更换含有采购人数据信息的设备时（如存有数据的硬盘或其它带有数据存储功能的配件），应征得中国银行股份有限公司广州白云支行、采购人同意维修或更换，被更换的含有采购人数据信息的设备归中国银行股份有限公司广州白云支行所有，数据信息所有权归采购人所有。（5）中标人提供的详细技术支持和服务措施等方案, 如有提供，请附附件。 2、B组4D蛋白组学微量样本分析系统配套设备(纳升液相色谱仪、超高效液相色谱仪、高场非对称波形离子迁移谱组件)(内部流水号35104):（1）中标人负责采购人使用人员的使用操作技术及维护技术的培训直至其能熟练、独立操作，具体培训内容和时间安排按采购人通知确定（但采购人应当为中标人预留合理的准备时间）。涉及软件类产品的，中标人还应当对采购人使用人员进行必要的现场培训，保证采购人使用人员能独立安装、升级软件和运行算例。（2）质保期期限：不少于三年（技术参数要求中另有要求且优于免费质保期期限规定期限的除外）。质保期自设备验收合格之日起计算。（3）质保期内，中标人负责所有因设备质量问题而产生的费用，中标人应免费派出专业维修人员提供上门保修服务和系统维护，且中标人负责设备升级的服务工作并提供相关的信息技术和跟进服务。（4）质保期内，设备或零部件出现故障而造成短期停用时，则质保期相应顺延。如停用时间累计超过60天则质保期重新计算。（5）质保期内，设备如非采购人人为原因而出现的问题均由中标人负责包修、包换或包退，并由中标人自行承担修理、调换或退货的全部费用。如果设备同一硬件一个月内连续2次出现同一故障时，采购人有权要求中标人在限期内无偿更换同等设备或按合同约定价值做出赔偿（具体以采购人届时的单方决定为准）。（6）质保期内维修人员接到维修通知后到场时间：质保期内中标人接到采购人的维修通知后24小时内给予答复，并派出维修人员在三个工作日内到达用户现场完成维修。（7）质保期后的服务要求：质保期满后，中标人应继续提供终身维护服务，且中标人应仅按厂价收取所换的材料费，而不应收取任何维护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其他试验仪器及装置</w:t>
            </w:r>
          </w:p>
        </w:tc>
        <w:tc>
          <w:tcPr>
            <w:tcW w:type="dxa" w:w="831"/>
          </w:tcPr>
          <w:p>
            <w:pPr>
              <w:pStyle w:val="null3"/>
              <w:jc w:val="left"/>
            </w:pPr>
            <w:r>
              <w:rPr/>
              <w:t>超高效液相色谱-三重四极杆质谱联用仪一体化平台(内部流水号35098)</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3,299,000.00</w:t>
            </w:r>
          </w:p>
        </w:tc>
        <w:tc>
          <w:tcPr>
            <w:tcW w:type="dxa" w:w="831"/>
          </w:tcPr>
          <w:p>
            <w:pPr>
              <w:pStyle w:val="null3"/>
              <w:jc w:val="right"/>
            </w:pPr>
            <w:r>
              <w:rPr/>
              <w:t>3,299,000.00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4D蛋白组学微量样本分析系统一体化平台(内部流水号35099)</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10,500,000.00</w:t>
            </w:r>
          </w:p>
        </w:tc>
        <w:tc>
          <w:tcPr>
            <w:tcW w:type="dxa" w:w="831"/>
          </w:tcPr>
          <w:p>
            <w:pPr>
              <w:pStyle w:val="null3"/>
              <w:jc w:val="right"/>
            </w:pPr>
            <w:r>
              <w:rPr/>
              <w:t>10,500,000.00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其他试验仪器及装置</w:t>
            </w:r>
          </w:p>
        </w:tc>
        <w:tc>
          <w:tcPr>
            <w:tcW w:type="dxa" w:w="831"/>
          </w:tcPr>
          <w:p>
            <w:pPr>
              <w:pStyle w:val="null3"/>
              <w:jc w:val="left"/>
            </w:pPr>
            <w:r>
              <w:rPr/>
              <w:t>4D蛋白组学微量样本分析系统配套设备(纳升液相色谱仪、超高效液相色谱仪、高场非对称波形离子迁移谱组件)(内部流水号35104)</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2,900,000.00</w:t>
            </w:r>
          </w:p>
        </w:tc>
        <w:tc>
          <w:tcPr>
            <w:tcW w:type="dxa" w:w="831"/>
          </w:tcPr>
          <w:p>
            <w:pPr>
              <w:pStyle w:val="null3"/>
              <w:jc w:val="right"/>
            </w:pPr>
            <w:r>
              <w:rPr/>
              <w:t>2,900,000.00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超高效液相色谱-三重四极杆质谱联用仪一体化平台(内部流水号35098)</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可加热电喷雾离子源安装离子源时即可实现气路电路连接，自动识别；</w:t>
            </w:r>
          </w:p>
        </w:tc>
      </w:tr>
      <w:tr>
        <w:tc>
          <w:tcPr>
            <w:tcW w:type="dxa" w:w="2076"/>
          </w:tcPr>
          <w:p/>
        </w:tc>
        <w:tc>
          <w:tcPr>
            <w:tcW w:type="dxa" w:w="415"/>
          </w:tcPr>
          <w:p>
            <w:pPr>
              <w:pStyle w:val="null3"/>
            </w:pPr>
            <w:r>
              <w:rPr/>
              <w:t>2</w:t>
            </w:r>
          </w:p>
        </w:tc>
        <w:tc>
          <w:tcPr>
            <w:tcW w:type="dxa" w:w="5814"/>
          </w:tcPr>
          <w:p>
            <w:pPr>
              <w:pStyle w:val="null3"/>
            </w:pPr>
            <w:r>
              <w:rPr/>
              <w:t>2.离子源探针可实现上下、前后、左右三维连续调节；</w:t>
            </w:r>
          </w:p>
        </w:tc>
      </w:tr>
      <w:tr>
        <w:tc>
          <w:tcPr>
            <w:tcW w:type="dxa" w:w="2076"/>
          </w:tcPr>
          <w:p/>
        </w:tc>
        <w:tc>
          <w:tcPr>
            <w:tcW w:type="dxa" w:w="415"/>
          </w:tcPr>
          <w:p>
            <w:pPr>
              <w:pStyle w:val="null3"/>
            </w:pPr>
            <w:r>
              <w:rPr/>
              <w:t>3</w:t>
            </w:r>
          </w:p>
        </w:tc>
        <w:tc>
          <w:tcPr>
            <w:tcW w:type="dxa" w:w="5814"/>
          </w:tcPr>
          <w:p>
            <w:pPr>
              <w:pStyle w:val="null3"/>
            </w:pPr>
            <w:r>
              <w:rPr/>
              <w:t>3.离子源具有雾化气、辅助雾化气、可调式吹扫气；</w:t>
            </w:r>
          </w:p>
        </w:tc>
      </w:tr>
      <w:tr>
        <w:tc>
          <w:tcPr>
            <w:tcW w:type="dxa" w:w="2076"/>
          </w:tcPr>
          <w:p/>
        </w:tc>
        <w:tc>
          <w:tcPr>
            <w:tcW w:type="dxa" w:w="415"/>
          </w:tcPr>
          <w:p>
            <w:pPr>
              <w:pStyle w:val="null3"/>
            </w:pPr>
            <w:r>
              <w:rPr/>
              <w:t>4</w:t>
            </w:r>
          </w:p>
        </w:tc>
        <w:tc>
          <w:tcPr>
            <w:tcW w:type="dxa" w:w="5814"/>
          </w:tcPr>
          <w:p>
            <w:pPr>
              <w:pStyle w:val="null3"/>
            </w:pPr>
            <w:r>
              <w:rPr/>
              <w:t>4.可拆卸的吹扫挡锥；</w:t>
            </w:r>
          </w:p>
        </w:tc>
      </w:tr>
      <w:tr>
        <w:tc>
          <w:tcPr>
            <w:tcW w:type="dxa" w:w="2076"/>
          </w:tcPr>
          <w:p/>
        </w:tc>
        <w:tc>
          <w:tcPr>
            <w:tcW w:type="dxa" w:w="415"/>
          </w:tcPr>
          <w:p>
            <w:pPr>
              <w:pStyle w:val="null3"/>
            </w:pPr>
            <w:r>
              <w:rPr/>
              <w:t>5</w:t>
            </w:r>
          </w:p>
        </w:tc>
        <w:tc>
          <w:tcPr>
            <w:tcW w:type="dxa" w:w="5814"/>
          </w:tcPr>
          <w:p>
            <w:pPr>
              <w:pStyle w:val="null3"/>
            </w:pPr>
            <w:r>
              <w:rPr/>
              <w:t>5.ESI源，加热最高温度≥540℃；</w:t>
            </w:r>
          </w:p>
        </w:tc>
      </w:tr>
      <w:tr>
        <w:tc>
          <w:tcPr>
            <w:tcW w:type="dxa" w:w="2076"/>
          </w:tcPr>
          <w:p/>
        </w:tc>
        <w:tc>
          <w:tcPr>
            <w:tcW w:type="dxa" w:w="415"/>
          </w:tcPr>
          <w:p>
            <w:pPr>
              <w:pStyle w:val="null3"/>
            </w:pPr>
            <w:r>
              <w:rPr/>
              <w:t>6</w:t>
            </w:r>
          </w:p>
        </w:tc>
        <w:tc>
          <w:tcPr>
            <w:tcW w:type="dxa" w:w="5814"/>
          </w:tcPr>
          <w:p>
            <w:pPr>
              <w:pStyle w:val="null3"/>
            </w:pPr>
            <w:r>
              <w:rPr/>
              <w:t>6.质谱配置软件具备实时监控反馈喷雾稳定性功能；</w:t>
            </w:r>
          </w:p>
        </w:tc>
      </w:tr>
      <w:tr>
        <w:tc>
          <w:tcPr>
            <w:tcW w:type="dxa" w:w="2076"/>
          </w:tcPr>
          <w:p/>
        </w:tc>
        <w:tc>
          <w:tcPr>
            <w:tcW w:type="dxa" w:w="415"/>
          </w:tcPr>
          <w:p>
            <w:pPr>
              <w:pStyle w:val="null3"/>
            </w:pPr>
            <w:r>
              <w:rPr/>
              <w:t>7</w:t>
            </w:r>
          </w:p>
        </w:tc>
        <w:tc>
          <w:tcPr>
            <w:tcW w:type="dxa" w:w="5814"/>
          </w:tcPr>
          <w:p>
            <w:pPr>
              <w:pStyle w:val="null3"/>
            </w:pPr>
            <w:r>
              <w:rPr/>
              <w:t>7.离子传输系统必须配有离子传输管设计；</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8.离子传输管独立加热，最高温度≥380℃；</w:t>
            </w:r>
          </w:p>
        </w:tc>
      </w:tr>
      <w:tr>
        <w:tc>
          <w:tcPr>
            <w:tcW w:type="dxa" w:w="2076"/>
          </w:tcPr>
          <w:p/>
        </w:tc>
        <w:tc>
          <w:tcPr>
            <w:tcW w:type="dxa" w:w="415"/>
          </w:tcPr>
          <w:p>
            <w:pPr>
              <w:pStyle w:val="null3"/>
            </w:pPr>
            <w:r>
              <w:rPr/>
              <w:t>9</w:t>
            </w:r>
          </w:p>
        </w:tc>
        <w:tc>
          <w:tcPr>
            <w:tcW w:type="dxa" w:w="5814"/>
          </w:tcPr>
          <w:p>
            <w:pPr>
              <w:pStyle w:val="null3"/>
            </w:pPr>
            <w:r>
              <w:rPr/>
              <w:t>9.具有真空隔断阀设计；</w:t>
            </w:r>
          </w:p>
        </w:tc>
      </w:tr>
      <w:tr>
        <w:tc>
          <w:tcPr>
            <w:tcW w:type="dxa" w:w="2076"/>
          </w:tcPr>
          <w:p/>
        </w:tc>
        <w:tc>
          <w:tcPr>
            <w:tcW w:type="dxa" w:w="415"/>
          </w:tcPr>
          <w:p>
            <w:pPr>
              <w:pStyle w:val="null3"/>
            </w:pPr>
            <w:r>
              <w:rPr/>
              <w:t>10</w:t>
            </w:r>
          </w:p>
        </w:tc>
        <w:tc>
          <w:tcPr>
            <w:tcW w:type="dxa" w:w="5814"/>
          </w:tcPr>
          <w:p>
            <w:pPr>
              <w:pStyle w:val="null3"/>
            </w:pPr>
            <w:r>
              <w:rPr/>
              <w:t>10.弯曲且带有中性挡杆的离子束导向装置；</w:t>
            </w:r>
          </w:p>
        </w:tc>
      </w:tr>
      <w:tr>
        <w:tc>
          <w:tcPr>
            <w:tcW w:type="dxa" w:w="2076"/>
          </w:tcPr>
          <w:p/>
        </w:tc>
        <w:tc>
          <w:tcPr>
            <w:tcW w:type="dxa" w:w="415"/>
          </w:tcPr>
          <w:p>
            <w:pPr>
              <w:pStyle w:val="null3"/>
            </w:pPr>
            <w:r>
              <w:rPr/>
              <w:t>11</w:t>
            </w:r>
          </w:p>
        </w:tc>
        <w:tc>
          <w:tcPr>
            <w:tcW w:type="dxa" w:w="5814"/>
          </w:tcPr>
          <w:p>
            <w:pPr>
              <w:pStyle w:val="null3"/>
            </w:pPr>
            <w:r>
              <w:rPr/>
              <w:t>11.碰撞气为高纯高惰性氩气或氮气；</w:t>
            </w:r>
          </w:p>
        </w:tc>
      </w:tr>
      <w:tr>
        <w:tc>
          <w:tcPr>
            <w:tcW w:type="dxa" w:w="2076"/>
          </w:tcPr>
          <w:p/>
        </w:tc>
        <w:tc>
          <w:tcPr>
            <w:tcW w:type="dxa" w:w="415"/>
          </w:tcPr>
          <w:p>
            <w:pPr>
              <w:pStyle w:val="null3"/>
            </w:pPr>
            <w:r>
              <w:rPr/>
              <w:t>12</w:t>
            </w:r>
          </w:p>
        </w:tc>
        <w:tc>
          <w:tcPr>
            <w:tcW w:type="dxa" w:w="5814"/>
          </w:tcPr>
          <w:p>
            <w:pPr>
              <w:pStyle w:val="null3"/>
            </w:pPr>
            <w:r>
              <w:rPr/>
              <w:t>12.四极杆分辨率：Q1和Q3在全质量范围，分辨率可到≤0.3amu，无需特殊手动调谐；</w:t>
            </w:r>
          </w:p>
        </w:tc>
      </w:tr>
      <w:tr>
        <w:tc>
          <w:tcPr>
            <w:tcW w:type="dxa" w:w="2076"/>
          </w:tcPr>
          <w:p/>
        </w:tc>
        <w:tc>
          <w:tcPr>
            <w:tcW w:type="dxa" w:w="415"/>
          </w:tcPr>
          <w:p>
            <w:pPr>
              <w:pStyle w:val="null3"/>
            </w:pPr>
            <w:r>
              <w:rPr/>
              <w:t>13</w:t>
            </w:r>
          </w:p>
        </w:tc>
        <w:tc>
          <w:tcPr>
            <w:tcW w:type="dxa" w:w="5814"/>
          </w:tcPr>
          <w:p>
            <w:pPr>
              <w:pStyle w:val="null3"/>
            </w:pPr>
            <w:r>
              <w:rPr/>
              <w:t>13.质量数范围：2-2000amu或更宽，Q1和Q3均可以达到；</w:t>
            </w:r>
          </w:p>
        </w:tc>
      </w:tr>
      <w:tr>
        <w:tc>
          <w:tcPr>
            <w:tcW w:type="dxa" w:w="2076"/>
          </w:tcPr>
          <w:p/>
        </w:tc>
        <w:tc>
          <w:tcPr>
            <w:tcW w:type="dxa" w:w="415"/>
          </w:tcPr>
          <w:p>
            <w:pPr>
              <w:pStyle w:val="null3"/>
            </w:pPr>
            <w:r>
              <w:rPr/>
              <w:t>14</w:t>
            </w:r>
          </w:p>
        </w:tc>
        <w:tc>
          <w:tcPr>
            <w:tcW w:type="dxa" w:w="5814"/>
          </w:tcPr>
          <w:p>
            <w:pPr>
              <w:pStyle w:val="null3"/>
            </w:pPr>
            <w:r>
              <w:rPr/>
              <w:t>14.质量轴稳定性：≤0.1amu/24小时；</w:t>
            </w:r>
          </w:p>
        </w:tc>
      </w:tr>
      <w:tr>
        <w:tc>
          <w:tcPr>
            <w:tcW w:type="dxa" w:w="2076"/>
          </w:tcPr>
          <w:p/>
        </w:tc>
        <w:tc>
          <w:tcPr>
            <w:tcW w:type="dxa" w:w="415"/>
          </w:tcPr>
          <w:p>
            <w:pPr>
              <w:pStyle w:val="null3"/>
            </w:pPr>
            <w:r>
              <w:rPr/>
              <w:t>15</w:t>
            </w:r>
          </w:p>
        </w:tc>
        <w:tc>
          <w:tcPr>
            <w:tcW w:type="dxa" w:w="5814"/>
          </w:tcPr>
          <w:p>
            <w:pPr>
              <w:pStyle w:val="null3"/>
            </w:pPr>
            <w:r>
              <w:rPr/>
              <w:t>15.质量准确度：全质量轴范围内≤0.1amu；</w:t>
            </w:r>
          </w:p>
        </w:tc>
      </w:tr>
      <w:tr>
        <w:tc>
          <w:tcPr>
            <w:tcW w:type="dxa" w:w="2076"/>
          </w:tcPr>
          <w:p/>
        </w:tc>
        <w:tc>
          <w:tcPr>
            <w:tcW w:type="dxa" w:w="415"/>
          </w:tcPr>
          <w:p>
            <w:pPr>
              <w:pStyle w:val="null3"/>
            </w:pPr>
            <w:r>
              <w:rPr/>
              <w:t>16</w:t>
            </w:r>
          </w:p>
        </w:tc>
        <w:tc>
          <w:tcPr>
            <w:tcW w:type="dxa" w:w="5814"/>
          </w:tcPr>
          <w:p>
            <w:pPr>
              <w:pStyle w:val="null3"/>
            </w:pPr>
            <w:r>
              <w:rPr/>
              <w:t>16.MRM或SRM最小驻留时间：≤1ms；</w:t>
            </w:r>
          </w:p>
        </w:tc>
      </w:tr>
      <w:tr>
        <w:tc>
          <w:tcPr>
            <w:tcW w:type="dxa" w:w="2076"/>
          </w:tcPr>
          <w:p/>
        </w:tc>
        <w:tc>
          <w:tcPr>
            <w:tcW w:type="dxa" w:w="415"/>
          </w:tcPr>
          <w:p>
            <w:pPr>
              <w:pStyle w:val="null3"/>
            </w:pPr>
            <w:r>
              <w:rPr/>
              <w:t>17</w:t>
            </w:r>
          </w:p>
        </w:tc>
        <w:tc>
          <w:tcPr>
            <w:tcW w:type="dxa" w:w="5814"/>
          </w:tcPr>
          <w:p>
            <w:pPr>
              <w:pStyle w:val="null3"/>
            </w:pPr>
            <w:r>
              <w:rPr/>
              <w:t>17.四极杆扫描速度：≥12000amu/s；</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18.MRM或SRM扫描速度：≥590MRMs或SRMs/秒；</w:t>
            </w:r>
          </w:p>
        </w:tc>
      </w:tr>
      <w:tr>
        <w:tc>
          <w:tcPr>
            <w:tcW w:type="dxa" w:w="2076"/>
          </w:tcPr>
          <w:p/>
        </w:tc>
        <w:tc>
          <w:tcPr>
            <w:tcW w:type="dxa" w:w="415"/>
          </w:tcPr>
          <w:p>
            <w:pPr>
              <w:pStyle w:val="null3"/>
            </w:pPr>
            <w:r>
              <w:rPr/>
              <w:t>19</w:t>
            </w:r>
          </w:p>
        </w:tc>
        <w:tc>
          <w:tcPr>
            <w:tcW w:type="dxa" w:w="5814"/>
          </w:tcPr>
          <w:p>
            <w:pPr>
              <w:pStyle w:val="null3"/>
            </w:pPr>
            <w:r>
              <w:rPr/>
              <w:t>19.一次分析最多可执行≥25000个MRM或SRM分析；</w:t>
            </w:r>
          </w:p>
        </w:tc>
      </w:tr>
      <w:tr>
        <w:tc>
          <w:tcPr>
            <w:tcW w:type="dxa" w:w="2076"/>
          </w:tcPr>
          <w:p/>
        </w:tc>
        <w:tc>
          <w:tcPr>
            <w:tcW w:type="dxa" w:w="415"/>
          </w:tcPr>
          <w:p>
            <w:pPr>
              <w:pStyle w:val="null3"/>
            </w:pPr>
            <w:r>
              <w:rPr/>
              <w:t>20</w:t>
            </w:r>
          </w:p>
        </w:tc>
        <w:tc>
          <w:tcPr>
            <w:tcW w:type="dxa" w:w="5814"/>
          </w:tcPr>
          <w:p>
            <w:pPr>
              <w:pStyle w:val="null3"/>
            </w:pPr>
            <w:r>
              <w:rPr/>
              <w:t>20.正负离子切换速度：≤5ms；</w:t>
            </w:r>
          </w:p>
        </w:tc>
      </w:tr>
      <w:tr>
        <w:tc>
          <w:tcPr>
            <w:tcW w:type="dxa" w:w="2076"/>
          </w:tcPr>
          <w:p/>
        </w:tc>
        <w:tc>
          <w:tcPr>
            <w:tcW w:type="dxa" w:w="415"/>
          </w:tcPr>
          <w:p>
            <w:pPr>
              <w:pStyle w:val="null3"/>
            </w:pPr>
            <w:r>
              <w:rPr/>
              <w:t>21</w:t>
            </w:r>
          </w:p>
        </w:tc>
        <w:tc>
          <w:tcPr>
            <w:tcW w:type="dxa" w:w="5814"/>
          </w:tcPr>
          <w:p>
            <w:pPr>
              <w:pStyle w:val="null3"/>
            </w:pPr>
            <w:r>
              <w:rPr/>
              <w:t>21.扫描功能：全扫描(Q1或Q3)、选择离子扫描(Q1或Q3)、选择反应监测、时间选择反应监测，子离子扫描、母离子扫描、中性丢失扫描；</w:t>
            </w:r>
          </w:p>
        </w:tc>
      </w:tr>
      <w:tr>
        <w:tc>
          <w:tcPr>
            <w:tcW w:type="dxa" w:w="2076"/>
          </w:tcPr>
          <w:p/>
        </w:tc>
        <w:tc>
          <w:tcPr>
            <w:tcW w:type="dxa" w:w="415"/>
          </w:tcPr>
          <w:p>
            <w:pPr>
              <w:pStyle w:val="null3"/>
            </w:pPr>
            <w:r>
              <w:rPr/>
              <w:t>22</w:t>
            </w:r>
          </w:p>
        </w:tc>
        <w:tc>
          <w:tcPr>
            <w:tcW w:type="dxa" w:w="5814"/>
          </w:tcPr>
          <w:p>
            <w:pPr>
              <w:pStyle w:val="null3"/>
            </w:pPr>
            <w:r>
              <w:rPr/>
              <w:t>22.检测器：动态线性范围≥10</w:t>
            </w:r>
            <w:r>
              <w:rPr>
                <w:vertAlign w:val="superscript"/>
              </w:rPr>
              <w:t>6</w:t>
            </w:r>
            <w:r>
              <w:rPr/>
              <w:t>；</w:t>
            </w:r>
          </w:p>
        </w:tc>
      </w:tr>
      <w:tr>
        <w:tc>
          <w:tcPr>
            <w:tcW w:type="dxa" w:w="2076"/>
          </w:tcPr>
          <w:p/>
        </w:tc>
        <w:tc>
          <w:tcPr>
            <w:tcW w:type="dxa" w:w="415"/>
          </w:tcPr>
          <w:p>
            <w:pPr>
              <w:pStyle w:val="null3"/>
            </w:pPr>
            <w:r>
              <w:rPr/>
              <w:t>23</w:t>
            </w:r>
          </w:p>
        </w:tc>
        <w:tc>
          <w:tcPr>
            <w:tcW w:type="dxa" w:w="5814"/>
          </w:tcPr>
          <w:p>
            <w:pPr>
              <w:pStyle w:val="null3"/>
            </w:pPr>
            <w:r>
              <w:rPr/>
              <w:t>23.真空系统真空度可达到5*10</w:t>
            </w:r>
            <w:r>
              <w:rPr>
                <w:vertAlign w:val="superscript"/>
              </w:rPr>
              <w:t>-6</w:t>
            </w:r>
            <w:r>
              <w:rPr/>
              <w:t>Torr；</w:t>
            </w:r>
          </w:p>
        </w:tc>
      </w:tr>
      <w:tr>
        <w:tc>
          <w:tcPr>
            <w:tcW w:type="dxa" w:w="2076"/>
          </w:tcPr>
          <w:p/>
        </w:tc>
        <w:tc>
          <w:tcPr>
            <w:tcW w:type="dxa" w:w="415"/>
          </w:tcPr>
          <w:p>
            <w:pPr>
              <w:pStyle w:val="null3"/>
            </w:pPr>
            <w:r>
              <w:rPr/>
              <w:t>24</w:t>
            </w:r>
          </w:p>
        </w:tc>
        <w:tc>
          <w:tcPr>
            <w:tcW w:type="dxa" w:w="5814"/>
          </w:tcPr>
          <w:p>
            <w:pPr>
              <w:pStyle w:val="null3"/>
            </w:pPr>
            <w:r>
              <w:rPr/>
              <w:t>24.ESI：1pg利血平柱上进样m/z609≥195，S/N≥1000,000:1；</w:t>
            </w:r>
          </w:p>
        </w:tc>
      </w:tr>
      <w:tr>
        <w:tc>
          <w:tcPr>
            <w:tcW w:type="dxa" w:w="2076"/>
          </w:tcPr>
          <w:p/>
        </w:tc>
        <w:tc>
          <w:tcPr>
            <w:tcW w:type="dxa" w:w="415"/>
          </w:tcPr>
          <w:p>
            <w:pPr>
              <w:pStyle w:val="null3"/>
            </w:pPr>
            <w:r>
              <w:rPr/>
              <w:t>25</w:t>
            </w:r>
          </w:p>
        </w:tc>
        <w:tc>
          <w:tcPr>
            <w:tcW w:type="dxa" w:w="5814"/>
          </w:tcPr>
          <w:p>
            <w:pPr>
              <w:pStyle w:val="null3"/>
            </w:pPr>
            <w:r>
              <w:rPr/>
              <w:t>25.ESI-：1pg氯霉素柱上进样，m/z321≥152,S/N≥1000,000:1；</w:t>
            </w:r>
          </w:p>
        </w:tc>
      </w:tr>
      <w:tr>
        <w:tc>
          <w:tcPr>
            <w:tcW w:type="dxa" w:w="2076"/>
          </w:tcPr>
          <w:p/>
        </w:tc>
        <w:tc>
          <w:tcPr>
            <w:tcW w:type="dxa" w:w="415"/>
          </w:tcPr>
          <w:p>
            <w:pPr>
              <w:pStyle w:val="null3"/>
            </w:pPr>
            <w:r>
              <w:rPr/>
              <w:t>26</w:t>
            </w:r>
          </w:p>
        </w:tc>
        <w:tc>
          <w:tcPr>
            <w:tcW w:type="dxa" w:w="5814"/>
          </w:tcPr>
          <w:p>
            <w:pPr>
              <w:pStyle w:val="null3"/>
            </w:pPr>
            <w:r>
              <w:rPr/>
              <w:t>26.APCI:1pg利血平柱上进样，m/z609≥195，S/N≥100,000:1。</w:t>
            </w:r>
          </w:p>
        </w:tc>
      </w:tr>
      <w:tr>
        <w:tc>
          <w:tcPr>
            <w:tcW w:type="dxa" w:w="2076"/>
          </w:tcPr>
          <w:p/>
        </w:tc>
        <w:tc>
          <w:tcPr>
            <w:tcW w:type="dxa" w:w="415"/>
          </w:tcPr>
          <w:p>
            <w:pPr>
              <w:pStyle w:val="null3"/>
            </w:pPr>
            <w:r>
              <w:rPr/>
              <w:t>27</w:t>
            </w:r>
          </w:p>
        </w:tc>
        <w:tc>
          <w:tcPr>
            <w:tcW w:type="dxa" w:w="5814"/>
          </w:tcPr>
          <w:p>
            <w:pPr>
              <w:pStyle w:val="null3"/>
            </w:pPr>
            <w:r>
              <w:rPr/>
              <w:t>27.整机质保≥3年，售后服务期（至少包括维护服务、技术支持以及零配件供应）≥5年。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4D蛋白组学微量样本分析系统一体化平台(内部流水号35099)</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独立的可加热电喷雾离子源，集成式气路电路设计，安装离子源时即可实现气路电路连接；</w:t>
            </w:r>
          </w:p>
        </w:tc>
      </w:tr>
      <w:tr>
        <w:tc>
          <w:tcPr>
            <w:tcW w:type="dxa" w:w="2076"/>
          </w:tcPr>
          <w:p/>
        </w:tc>
        <w:tc>
          <w:tcPr>
            <w:tcW w:type="dxa" w:w="415"/>
          </w:tcPr>
          <w:p>
            <w:pPr>
              <w:pStyle w:val="null3"/>
            </w:pPr>
            <w:r>
              <w:rPr/>
              <w:t>2</w:t>
            </w:r>
          </w:p>
        </w:tc>
        <w:tc>
          <w:tcPr>
            <w:tcW w:type="dxa" w:w="5814"/>
          </w:tcPr>
          <w:p>
            <w:pPr>
              <w:pStyle w:val="null3"/>
            </w:pPr>
            <w:r>
              <w:rPr/>
              <w:t>2.离子源喷针前后、左右、上下可调；</w:t>
            </w:r>
          </w:p>
        </w:tc>
      </w:tr>
      <w:tr>
        <w:tc>
          <w:tcPr>
            <w:tcW w:type="dxa" w:w="2076"/>
          </w:tcPr>
          <w:p/>
        </w:tc>
        <w:tc>
          <w:tcPr>
            <w:tcW w:type="dxa" w:w="415"/>
          </w:tcPr>
          <w:p>
            <w:pPr>
              <w:pStyle w:val="null3"/>
            </w:pPr>
            <w:r>
              <w:rPr/>
              <w:t>3</w:t>
            </w:r>
          </w:p>
        </w:tc>
        <w:tc>
          <w:tcPr>
            <w:tcW w:type="dxa" w:w="5814"/>
          </w:tcPr>
          <w:p>
            <w:pPr>
              <w:pStyle w:val="null3"/>
            </w:pPr>
            <w:r>
              <w:rPr/>
              <w:t>3.离子源具有雾化气和辅助雾化气；</w:t>
            </w:r>
          </w:p>
        </w:tc>
      </w:tr>
      <w:tr>
        <w:tc>
          <w:tcPr>
            <w:tcW w:type="dxa" w:w="2076"/>
          </w:tcPr>
          <w:p/>
        </w:tc>
        <w:tc>
          <w:tcPr>
            <w:tcW w:type="dxa" w:w="415"/>
          </w:tcPr>
          <w:p>
            <w:pPr>
              <w:pStyle w:val="null3"/>
            </w:pPr>
            <w:r>
              <w:rPr/>
              <w:t>4</w:t>
            </w:r>
          </w:p>
        </w:tc>
        <w:tc>
          <w:tcPr>
            <w:tcW w:type="dxa" w:w="5814"/>
          </w:tcPr>
          <w:p>
            <w:pPr>
              <w:pStyle w:val="null3"/>
            </w:pPr>
            <w:r>
              <w:rPr/>
              <w:t>4.可加热ESI源，离子源加热最高温度≥540℃；</w:t>
            </w:r>
          </w:p>
        </w:tc>
      </w:tr>
      <w:tr>
        <w:tc>
          <w:tcPr>
            <w:tcW w:type="dxa" w:w="2076"/>
          </w:tcPr>
          <w:p/>
        </w:tc>
        <w:tc>
          <w:tcPr>
            <w:tcW w:type="dxa" w:w="415"/>
          </w:tcPr>
          <w:p>
            <w:pPr>
              <w:pStyle w:val="null3"/>
            </w:pPr>
            <w:r>
              <w:rPr/>
              <w:t>5</w:t>
            </w:r>
          </w:p>
        </w:tc>
        <w:tc>
          <w:tcPr>
            <w:tcW w:type="dxa" w:w="5814"/>
          </w:tcPr>
          <w:p>
            <w:pPr>
              <w:pStyle w:val="null3"/>
            </w:pPr>
            <w:r>
              <w:rPr/>
              <w:t>5.具有全自动注射泵实现质谱直接进样，自动调谐和校正，可通过软件自动切换模式；</w:t>
            </w:r>
          </w:p>
        </w:tc>
      </w:tr>
      <w:tr>
        <w:tc>
          <w:tcPr>
            <w:tcW w:type="dxa" w:w="2076"/>
          </w:tcPr>
          <w:p/>
        </w:tc>
        <w:tc>
          <w:tcPr>
            <w:tcW w:type="dxa" w:w="415"/>
          </w:tcPr>
          <w:p>
            <w:pPr>
              <w:pStyle w:val="null3"/>
            </w:pPr>
            <w:r>
              <w:rPr/>
              <w:t>6</w:t>
            </w:r>
          </w:p>
        </w:tc>
        <w:tc>
          <w:tcPr>
            <w:tcW w:type="dxa" w:w="5814"/>
          </w:tcPr>
          <w:p>
            <w:pPr>
              <w:pStyle w:val="null3"/>
            </w:pPr>
            <w:r>
              <w:rPr/>
              <w:t>6.质谱配置软件具备实时监控并反馈喷雾稳定性功能；</w:t>
            </w:r>
          </w:p>
        </w:tc>
      </w:tr>
      <w:tr>
        <w:tc>
          <w:tcPr>
            <w:tcW w:type="dxa" w:w="2076"/>
          </w:tcPr>
          <w:p/>
        </w:tc>
        <w:tc>
          <w:tcPr>
            <w:tcW w:type="dxa" w:w="415"/>
          </w:tcPr>
          <w:p>
            <w:pPr>
              <w:pStyle w:val="null3"/>
            </w:pPr>
            <w:r>
              <w:rPr/>
              <w:t>7</w:t>
            </w:r>
          </w:p>
        </w:tc>
        <w:tc>
          <w:tcPr>
            <w:tcW w:type="dxa" w:w="5814"/>
          </w:tcPr>
          <w:p>
            <w:pPr>
              <w:pStyle w:val="null3"/>
            </w:pPr>
            <w:r>
              <w:rPr/>
              <w:t>7.离子传输系统配有金属离子传输管设计；</w:t>
            </w:r>
          </w:p>
        </w:tc>
      </w:tr>
      <w:tr>
        <w:tc>
          <w:tcPr>
            <w:tcW w:type="dxa" w:w="2076"/>
          </w:tcPr>
          <w:p/>
        </w:tc>
        <w:tc>
          <w:tcPr>
            <w:tcW w:type="dxa" w:w="415"/>
          </w:tcPr>
          <w:p>
            <w:pPr>
              <w:pStyle w:val="null3"/>
            </w:pPr>
            <w:r>
              <w:rPr/>
              <w:t>8</w:t>
            </w:r>
          </w:p>
        </w:tc>
        <w:tc>
          <w:tcPr>
            <w:tcW w:type="dxa" w:w="5814"/>
          </w:tcPr>
          <w:p>
            <w:pPr>
              <w:pStyle w:val="null3"/>
            </w:pPr>
            <w:r>
              <w:rPr/>
              <w:t>8.离子传输管独立加热，最高温度≥380℃；</w:t>
            </w:r>
          </w:p>
        </w:tc>
      </w:tr>
      <w:tr>
        <w:tc>
          <w:tcPr>
            <w:tcW w:type="dxa" w:w="2076"/>
          </w:tcPr>
          <w:p/>
        </w:tc>
        <w:tc>
          <w:tcPr>
            <w:tcW w:type="dxa" w:w="415"/>
          </w:tcPr>
          <w:p>
            <w:pPr>
              <w:pStyle w:val="null3"/>
            </w:pPr>
            <w:r>
              <w:rPr/>
              <w:t>9</w:t>
            </w:r>
          </w:p>
        </w:tc>
        <w:tc>
          <w:tcPr>
            <w:tcW w:type="dxa" w:w="5814"/>
          </w:tcPr>
          <w:p>
            <w:pPr>
              <w:pStyle w:val="null3"/>
            </w:pPr>
            <w:r>
              <w:rPr/>
              <w:t>9.离子传输系统具有真空隔断阀设计；</w:t>
            </w:r>
          </w:p>
        </w:tc>
      </w:tr>
      <w:tr>
        <w:tc>
          <w:tcPr>
            <w:tcW w:type="dxa" w:w="2076"/>
          </w:tcPr>
          <w:p/>
        </w:tc>
        <w:tc>
          <w:tcPr>
            <w:tcW w:type="dxa" w:w="415"/>
          </w:tcPr>
          <w:p>
            <w:pPr>
              <w:pStyle w:val="null3"/>
            </w:pPr>
            <w:r>
              <w:rPr/>
              <w:t>10</w:t>
            </w:r>
          </w:p>
        </w:tc>
        <w:tc>
          <w:tcPr>
            <w:tcW w:type="dxa" w:w="5814"/>
          </w:tcPr>
          <w:p>
            <w:pPr>
              <w:pStyle w:val="null3"/>
            </w:pPr>
            <w:r>
              <w:rPr/>
              <w:t>10.电动离子漏斗：有效捕获离子并聚焦；</w:t>
            </w:r>
          </w:p>
        </w:tc>
      </w:tr>
      <w:tr>
        <w:tc>
          <w:tcPr>
            <w:tcW w:type="dxa" w:w="2076"/>
          </w:tcPr>
          <w:p/>
        </w:tc>
        <w:tc>
          <w:tcPr>
            <w:tcW w:type="dxa" w:w="415"/>
          </w:tcPr>
          <w:p>
            <w:pPr>
              <w:pStyle w:val="null3"/>
            </w:pPr>
            <w:r>
              <w:rPr/>
              <w:t>11</w:t>
            </w:r>
          </w:p>
        </w:tc>
        <w:tc>
          <w:tcPr>
            <w:tcW w:type="dxa" w:w="5814"/>
          </w:tcPr>
          <w:p>
            <w:pPr>
              <w:pStyle w:val="null3"/>
            </w:pPr>
            <w:r>
              <w:rPr/>
              <w:t>11.具有弯曲的主动离子束传输组件；</w:t>
            </w:r>
          </w:p>
        </w:tc>
      </w:tr>
      <w:tr>
        <w:tc>
          <w:tcPr>
            <w:tcW w:type="dxa" w:w="2076"/>
          </w:tcPr>
          <w:p/>
        </w:tc>
        <w:tc>
          <w:tcPr>
            <w:tcW w:type="dxa" w:w="415"/>
          </w:tcPr>
          <w:p>
            <w:pPr>
              <w:pStyle w:val="null3"/>
            </w:pPr>
            <w:r>
              <w:rPr/>
              <w:t>12</w:t>
            </w:r>
          </w:p>
        </w:tc>
        <w:tc>
          <w:tcPr>
            <w:tcW w:type="dxa" w:w="5814"/>
          </w:tcPr>
          <w:p>
            <w:pPr>
              <w:pStyle w:val="null3"/>
            </w:pPr>
            <w:r>
              <w:rPr/>
              <w:t>12.质量分析器之一的质量范围40-6000m/z或更宽；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13.质量分析器之一的最大分辨率：≥300,000FWHM(m/z≤200)；≥4档可调；</w:t>
            </w:r>
          </w:p>
        </w:tc>
      </w:tr>
      <w:tr>
        <w:tc>
          <w:tcPr>
            <w:tcW w:type="dxa" w:w="2076"/>
          </w:tcPr>
          <w:p/>
        </w:tc>
        <w:tc>
          <w:tcPr>
            <w:tcW w:type="dxa" w:w="415"/>
          </w:tcPr>
          <w:p>
            <w:pPr>
              <w:pStyle w:val="null3"/>
            </w:pPr>
            <w:r>
              <w:rPr/>
              <w:t>14</w:t>
            </w:r>
          </w:p>
        </w:tc>
        <w:tc>
          <w:tcPr>
            <w:tcW w:type="dxa" w:w="5814"/>
          </w:tcPr>
          <w:p>
            <w:pPr>
              <w:pStyle w:val="null3"/>
            </w:pPr>
            <w:r>
              <w:rPr/>
              <w:t>14.双曲面分段四极杆，分辨率可到0.4Da；MS/MS母离子选择质量范围40-2500m/z或更宽；</w:t>
            </w:r>
          </w:p>
        </w:tc>
      </w:tr>
      <w:tr>
        <w:tc>
          <w:tcPr>
            <w:tcW w:type="dxa" w:w="2076"/>
          </w:tcPr>
          <w:p/>
        </w:tc>
        <w:tc>
          <w:tcPr>
            <w:tcW w:type="dxa" w:w="415"/>
          </w:tcPr>
          <w:p>
            <w:pPr>
              <w:pStyle w:val="null3"/>
            </w:pPr>
            <w:r>
              <w:rPr/>
              <w:t>15</w:t>
            </w:r>
          </w:p>
        </w:tc>
        <w:tc>
          <w:tcPr>
            <w:tcW w:type="dxa" w:w="5814"/>
          </w:tcPr>
          <w:p>
            <w:pPr>
              <w:pStyle w:val="null3"/>
            </w:pPr>
            <w:r>
              <w:rPr/>
              <w:t>15.质量分析器之一的谱内动态范围：≥5,000；</w:t>
            </w:r>
          </w:p>
        </w:tc>
      </w:tr>
      <w:tr>
        <w:tc>
          <w:tcPr>
            <w:tcW w:type="dxa" w:w="2076"/>
          </w:tcPr>
          <w:p/>
        </w:tc>
        <w:tc>
          <w:tcPr>
            <w:tcW w:type="dxa" w:w="415"/>
          </w:tcPr>
          <w:p>
            <w:pPr>
              <w:pStyle w:val="null3"/>
            </w:pPr>
            <w:r>
              <w:rPr/>
              <w:t>16</w:t>
            </w:r>
          </w:p>
        </w:tc>
        <w:tc>
          <w:tcPr>
            <w:tcW w:type="dxa" w:w="5814"/>
          </w:tcPr>
          <w:p>
            <w:pPr>
              <w:pStyle w:val="null3"/>
            </w:pPr>
            <w:r>
              <w:rPr/>
              <w:t>16.质量分析器之一的采集速率：≥40Hz；</w:t>
            </w:r>
          </w:p>
        </w:tc>
      </w:tr>
      <w:tr>
        <w:tc>
          <w:tcPr>
            <w:tcW w:type="dxa" w:w="2076"/>
          </w:tcPr>
          <w:p/>
        </w:tc>
        <w:tc>
          <w:tcPr>
            <w:tcW w:type="dxa" w:w="415"/>
          </w:tcPr>
          <w:p>
            <w:pPr>
              <w:pStyle w:val="null3"/>
            </w:pPr>
            <w:r>
              <w:rPr/>
              <w:t>17</w:t>
            </w:r>
          </w:p>
        </w:tc>
        <w:tc>
          <w:tcPr>
            <w:tcW w:type="dxa" w:w="5814"/>
          </w:tcPr>
          <w:p>
            <w:pPr>
              <w:pStyle w:val="null3"/>
            </w:pPr>
            <w:r>
              <w:rPr/>
              <w:t>17.质量分析器之一的正负离子切换速度：一个完整周期采集速度≥1.4Hz</w:t>
            </w:r>
          </w:p>
        </w:tc>
      </w:tr>
      <w:tr>
        <w:tc>
          <w:tcPr>
            <w:tcW w:type="dxa" w:w="2076"/>
          </w:tcPr>
          <w:p/>
        </w:tc>
        <w:tc>
          <w:tcPr>
            <w:tcW w:type="dxa" w:w="415"/>
          </w:tcPr>
          <w:p>
            <w:pPr>
              <w:pStyle w:val="null3"/>
            </w:pPr>
            <w:r>
              <w:rPr/>
              <w:t>18</w:t>
            </w:r>
          </w:p>
        </w:tc>
        <w:tc>
          <w:tcPr>
            <w:tcW w:type="dxa" w:w="5814"/>
          </w:tcPr>
          <w:p>
            <w:pPr>
              <w:pStyle w:val="null3"/>
            </w:pPr>
            <w:r>
              <w:rPr/>
              <w:t>18.质量分析器之一的质量准确度：外标法≤3ppmRMS；内标法≤3ppmRMS；</w:t>
            </w:r>
          </w:p>
        </w:tc>
      </w:tr>
      <w:tr>
        <w:tc>
          <w:tcPr>
            <w:tcW w:type="dxa" w:w="2076"/>
          </w:tcPr>
          <w:p/>
        </w:tc>
        <w:tc>
          <w:tcPr>
            <w:tcW w:type="dxa" w:w="415"/>
          </w:tcPr>
          <w:p>
            <w:pPr>
              <w:pStyle w:val="null3"/>
            </w:pPr>
            <w:r>
              <w:rPr/>
              <w:t>19</w:t>
            </w:r>
          </w:p>
        </w:tc>
        <w:tc>
          <w:tcPr>
            <w:tcW w:type="dxa" w:w="5814"/>
          </w:tcPr>
          <w:p>
            <w:pPr>
              <w:pStyle w:val="null3"/>
            </w:pPr>
            <w:r>
              <w:rPr/>
              <w:t>19.质量分析器之一的扫描模式包含：高分辨全扫描MS和MS/MS；高分辨选择离子扫描；高分辨正负离子切换扫描；高分辨数据依赖子离子扫描；高分辨数据非依赖扫描（DIA）；高分辨平行反应监测子离子扫描；</w:t>
            </w:r>
          </w:p>
        </w:tc>
      </w:tr>
      <w:tr>
        <w:tc>
          <w:tcPr>
            <w:tcW w:type="dxa" w:w="2076"/>
          </w:tcPr>
          <w:p/>
        </w:tc>
        <w:tc>
          <w:tcPr>
            <w:tcW w:type="dxa" w:w="415"/>
          </w:tcPr>
          <w:p>
            <w:pPr>
              <w:pStyle w:val="null3"/>
            </w:pPr>
            <w:r>
              <w:rPr/>
              <w:t>20</w:t>
            </w:r>
          </w:p>
        </w:tc>
        <w:tc>
          <w:tcPr>
            <w:tcW w:type="dxa" w:w="5814"/>
          </w:tcPr>
          <w:p>
            <w:pPr>
              <w:pStyle w:val="null3"/>
            </w:pPr>
            <w:r>
              <w:rPr/>
              <w:t>20.质量分析器之一的检测器:无损检测器或消耗型检测器，若采用消耗型检测器电子倍增器或微通道板，需提供≥3个备用；</w:t>
            </w:r>
          </w:p>
        </w:tc>
      </w:tr>
      <w:tr>
        <w:tc>
          <w:tcPr>
            <w:tcW w:type="dxa" w:w="2076"/>
          </w:tcPr>
          <w:p/>
        </w:tc>
        <w:tc>
          <w:tcPr>
            <w:tcW w:type="dxa" w:w="415"/>
          </w:tcPr>
          <w:p>
            <w:pPr>
              <w:pStyle w:val="null3"/>
            </w:pPr>
            <w:r>
              <w:rPr/>
              <w:t>21</w:t>
            </w:r>
          </w:p>
        </w:tc>
        <w:tc>
          <w:tcPr>
            <w:tcW w:type="dxa" w:w="5814"/>
          </w:tcPr>
          <w:p>
            <w:pPr>
              <w:pStyle w:val="null3"/>
            </w:pPr>
            <w:r>
              <w:rPr/>
              <w:t>21.质量分析器之二的质量范围：≥40-6000m/z；</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0"/>
                <w:color w:val="000000"/>
              </w:rPr>
              <w:t>22.质量分析器之二的分辨率：在524m/z下≥80,000FWHM；</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23.质量分析器之二的采集速度：MS2采集最高速度≥200Hz，最大离子注入时间设置为≥3ms;</w:t>
            </w:r>
          </w:p>
        </w:tc>
      </w:tr>
      <w:tr>
        <w:tc>
          <w:tcPr>
            <w:tcW w:type="dxa" w:w="2076"/>
          </w:tcPr>
          <w:p/>
        </w:tc>
        <w:tc>
          <w:tcPr>
            <w:tcW w:type="dxa" w:w="415"/>
          </w:tcPr>
          <w:p>
            <w:pPr>
              <w:pStyle w:val="null3"/>
            </w:pPr>
            <w:r>
              <w:rPr/>
              <w:t>24</w:t>
            </w:r>
          </w:p>
        </w:tc>
        <w:tc>
          <w:tcPr>
            <w:tcW w:type="dxa" w:w="5814"/>
          </w:tcPr>
          <w:p>
            <w:pPr>
              <w:pStyle w:val="null3"/>
            </w:pPr>
            <w:r>
              <w:rPr/>
              <w:t>24.质量分析器之二的质量精度：使用校正液测量，外标校正24小时内≤5ppmRMS；</w:t>
            </w:r>
          </w:p>
        </w:tc>
      </w:tr>
      <w:tr>
        <w:tc>
          <w:tcPr>
            <w:tcW w:type="dxa" w:w="2076"/>
          </w:tcPr>
          <w:p/>
        </w:tc>
        <w:tc>
          <w:tcPr>
            <w:tcW w:type="dxa" w:w="415"/>
          </w:tcPr>
          <w:p>
            <w:pPr>
              <w:pStyle w:val="null3"/>
            </w:pPr>
            <w:r>
              <w:rPr/>
              <w:t>25</w:t>
            </w:r>
          </w:p>
        </w:tc>
        <w:tc>
          <w:tcPr>
            <w:tcW w:type="dxa" w:w="5814"/>
          </w:tcPr>
          <w:p>
            <w:pPr>
              <w:pStyle w:val="null3"/>
            </w:pPr>
            <w:r>
              <w:rPr/>
              <w:t>25.质量分析器之二的动态范围：单张质谱谱图内≥1,000。</w:t>
            </w:r>
          </w:p>
        </w:tc>
      </w:tr>
      <w:tr>
        <w:tc>
          <w:tcPr>
            <w:tcW w:type="dxa" w:w="2076"/>
          </w:tcPr>
          <w:p/>
        </w:tc>
        <w:tc>
          <w:tcPr>
            <w:tcW w:type="dxa" w:w="415"/>
          </w:tcPr>
          <w:p>
            <w:pPr>
              <w:pStyle w:val="null3"/>
            </w:pPr>
            <w:r>
              <w:rPr/>
              <w:t>26</w:t>
            </w:r>
          </w:p>
        </w:tc>
        <w:tc>
          <w:tcPr>
            <w:tcW w:type="dxa" w:w="5814"/>
          </w:tcPr>
          <w:p>
            <w:pPr>
              <w:pStyle w:val="null3"/>
            </w:pPr>
            <w:r>
              <w:rPr/>
              <w:t>26.整机质保≥3年，售后服务期（至少包括维护服务、技术支持以及零配件供应）≥5年。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4D蛋白组学微量样本分析系统配套设备(纳升液相色谱仪、超高效液相色谱仪、高场非对称波形离子迁移谱组件)(内部流水号35104)</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纳流泵：带主动流量控制的高压二元梯度泵；</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 泵压力范围：≥150 MPa；</w:t>
            </w:r>
          </w:p>
        </w:tc>
      </w:tr>
      <w:tr>
        <w:tc>
          <w:tcPr>
            <w:tcW w:type="dxa" w:w="2076"/>
          </w:tcPr>
          <w:p/>
        </w:tc>
        <w:tc>
          <w:tcPr>
            <w:tcW w:type="dxa" w:w="415"/>
          </w:tcPr>
          <w:p>
            <w:pPr>
              <w:pStyle w:val="null3"/>
            </w:pPr>
            <w:r>
              <w:rPr/>
              <w:t>3</w:t>
            </w:r>
          </w:p>
        </w:tc>
        <w:tc>
          <w:tcPr>
            <w:tcW w:type="dxa" w:w="5814"/>
          </w:tcPr>
          <w:p>
            <w:pPr>
              <w:pStyle w:val="null3"/>
            </w:pPr>
            <w:r>
              <w:rPr/>
              <w:t>3.可设定流速范围：1 nL/min–100 µL/min或更宽，无需更换泵头；</w:t>
            </w:r>
          </w:p>
        </w:tc>
      </w:tr>
      <w:tr>
        <w:tc>
          <w:tcPr>
            <w:tcW w:type="dxa" w:w="2076"/>
          </w:tcPr>
          <w:p/>
        </w:tc>
        <w:tc>
          <w:tcPr>
            <w:tcW w:type="dxa" w:w="415"/>
          </w:tcPr>
          <w:p>
            <w:pPr>
              <w:pStyle w:val="null3"/>
            </w:pPr>
            <w:r>
              <w:rPr/>
              <w:t>4</w:t>
            </w:r>
          </w:p>
        </w:tc>
        <w:tc>
          <w:tcPr>
            <w:tcW w:type="dxa" w:w="5814"/>
          </w:tcPr>
          <w:p>
            <w:pPr>
              <w:pStyle w:val="null3"/>
            </w:pPr>
            <w:r>
              <w:rPr/>
              <w:t>4.泵溶剂通道：≥ 2个；</w:t>
            </w:r>
          </w:p>
        </w:tc>
      </w:tr>
      <w:tr>
        <w:tc>
          <w:tcPr>
            <w:tcW w:type="dxa" w:w="2076"/>
          </w:tcPr>
          <w:p/>
        </w:tc>
        <w:tc>
          <w:tcPr>
            <w:tcW w:type="dxa" w:w="415"/>
          </w:tcPr>
          <w:p>
            <w:pPr>
              <w:pStyle w:val="null3"/>
            </w:pPr>
            <w:r>
              <w:rPr/>
              <w:t>5</w:t>
            </w:r>
          </w:p>
        </w:tc>
        <w:tc>
          <w:tcPr>
            <w:tcW w:type="dxa" w:w="5814"/>
          </w:tcPr>
          <w:p>
            <w:pPr>
              <w:pStyle w:val="null3"/>
            </w:pPr>
            <w:r>
              <w:rPr/>
              <w:t>5.纳流泵具有生物兼容性；</w:t>
            </w:r>
          </w:p>
        </w:tc>
      </w:tr>
      <w:tr>
        <w:tc>
          <w:tcPr>
            <w:tcW w:type="dxa" w:w="2076"/>
          </w:tcPr>
          <w:p/>
        </w:tc>
        <w:tc>
          <w:tcPr>
            <w:tcW w:type="dxa" w:w="415"/>
          </w:tcPr>
          <w:p>
            <w:pPr>
              <w:pStyle w:val="null3"/>
            </w:pPr>
            <w:r>
              <w:rPr/>
              <w:t>6</w:t>
            </w:r>
          </w:p>
        </w:tc>
        <w:tc>
          <w:tcPr>
            <w:tcW w:type="dxa" w:w="5814"/>
          </w:tcPr>
          <w:p>
            <w:pPr>
              <w:pStyle w:val="null3"/>
            </w:pPr>
            <w:r>
              <w:rPr/>
              <w:t>6.纳流泵梯度延迟体积：≤0.5 µL；</w:t>
            </w:r>
          </w:p>
        </w:tc>
      </w:tr>
      <w:tr>
        <w:tc>
          <w:tcPr>
            <w:tcW w:type="dxa" w:w="2076"/>
          </w:tcPr>
          <w:p/>
        </w:tc>
        <w:tc>
          <w:tcPr>
            <w:tcW w:type="dxa" w:w="415"/>
          </w:tcPr>
          <w:p>
            <w:pPr>
              <w:pStyle w:val="null3"/>
            </w:pPr>
            <w:r>
              <w:rPr/>
              <w:t>7</w:t>
            </w:r>
          </w:p>
        </w:tc>
        <w:tc>
          <w:tcPr>
            <w:tcW w:type="dxa" w:w="5814"/>
          </w:tcPr>
          <w:p>
            <w:pPr>
              <w:pStyle w:val="null3"/>
            </w:pPr>
            <w:r>
              <w:rPr/>
              <w:t>7.纳流泵pH范围：2-10或更宽；</w:t>
            </w:r>
          </w:p>
        </w:tc>
      </w:tr>
      <w:tr>
        <w:tc>
          <w:tcPr>
            <w:tcW w:type="dxa" w:w="2076"/>
          </w:tcPr>
          <w:p/>
        </w:tc>
        <w:tc>
          <w:tcPr>
            <w:tcW w:type="dxa" w:w="415"/>
          </w:tcPr>
          <w:p>
            <w:pPr>
              <w:pStyle w:val="null3"/>
            </w:pPr>
            <w:r>
              <w:rPr/>
              <w:t>8</w:t>
            </w:r>
          </w:p>
        </w:tc>
        <w:tc>
          <w:tcPr>
            <w:tcW w:type="dxa" w:w="5814"/>
          </w:tcPr>
          <w:p>
            <w:pPr>
              <w:pStyle w:val="null3"/>
            </w:pPr>
            <w:r>
              <w:rPr/>
              <w:t>8.纳流泵用户界面：系统监控；直接系统控制；在系统中诊断和故障排除；</w:t>
            </w:r>
          </w:p>
        </w:tc>
      </w:tr>
      <w:tr>
        <w:tc>
          <w:tcPr>
            <w:tcW w:type="dxa" w:w="2076"/>
          </w:tcPr>
          <w:p/>
        </w:tc>
        <w:tc>
          <w:tcPr>
            <w:tcW w:type="dxa" w:w="415"/>
          </w:tcPr>
          <w:p>
            <w:pPr>
              <w:pStyle w:val="null3"/>
            </w:pPr>
            <w:r>
              <w:rPr/>
              <w:t>9</w:t>
            </w:r>
          </w:p>
        </w:tc>
        <w:tc>
          <w:tcPr>
            <w:tcW w:type="dxa" w:w="5814"/>
          </w:tcPr>
          <w:p>
            <w:pPr>
              <w:pStyle w:val="null3"/>
            </w:pPr>
            <w:r>
              <w:rPr/>
              <w:t>9.安全特性：内置泄漏检测和安全泄漏处理：超压监测、温度监测；</w:t>
            </w:r>
          </w:p>
        </w:tc>
      </w:tr>
      <w:tr>
        <w:tc>
          <w:tcPr>
            <w:tcW w:type="dxa" w:w="2076"/>
          </w:tcPr>
          <w:p/>
        </w:tc>
        <w:tc>
          <w:tcPr>
            <w:tcW w:type="dxa" w:w="415"/>
          </w:tcPr>
          <w:p>
            <w:pPr>
              <w:pStyle w:val="null3"/>
            </w:pPr>
            <w:r>
              <w:rPr/>
              <w:t>10</w:t>
            </w:r>
          </w:p>
        </w:tc>
        <w:tc>
          <w:tcPr>
            <w:tcW w:type="dxa" w:w="5814"/>
          </w:tcPr>
          <w:p>
            <w:pPr>
              <w:pStyle w:val="null3"/>
            </w:pPr>
            <w:r>
              <w:rPr/>
              <w:t>10.自动进样器的进样体积范围：0.01–25 μL或更宽, min 增量 0.01 μL ；</w:t>
            </w:r>
          </w:p>
        </w:tc>
      </w:tr>
      <w:tr>
        <w:tc>
          <w:tcPr>
            <w:tcW w:type="dxa" w:w="2076"/>
          </w:tcPr>
          <w:p/>
        </w:tc>
        <w:tc>
          <w:tcPr>
            <w:tcW w:type="dxa" w:w="415"/>
          </w:tcPr>
          <w:p>
            <w:pPr>
              <w:pStyle w:val="null3"/>
            </w:pPr>
            <w:r>
              <w:rPr/>
              <w:t>11</w:t>
            </w:r>
          </w:p>
        </w:tc>
        <w:tc>
          <w:tcPr>
            <w:tcW w:type="dxa" w:w="5814"/>
          </w:tcPr>
          <w:p>
            <w:pPr>
              <w:pStyle w:val="null3"/>
            </w:pPr>
            <w:r>
              <w:rPr/>
              <w:t>11.自动进样器控温：范围4–40 ℃或更宽；</w:t>
            </w:r>
          </w:p>
        </w:tc>
      </w:tr>
      <w:tr>
        <w:tc>
          <w:tcPr>
            <w:tcW w:type="dxa" w:w="2076"/>
          </w:tcPr>
          <w:p/>
        </w:tc>
        <w:tc>
          <w:tcPr>
            <w:tcW w:type="dxa" w:w="415"/>
          </w:tcPr>
          <w:p>
            <w:pPr>
              <w:pStyle w:val="null3"/>
            </w:pPr>
            <w:r>
              <w:rPr/>
              <w:t>12</w:t>
            </w:r>
          </w:p>
        </w:tc>
        <w:tc>
          <w:tcPr>
            <w:tcW w:type="dxa" w:w="5814"/>
          </w:tcPr>
          <w:p>
            <w:pPr>
              <w:pStyle w:val="null3"/>
            </w:pPr>
            <w:r>
              <w:rPr/>
              <w:t>12.样品盘和容量：1.5ml样品瓶位数≥200个；可支持96孔板和384孔板；</w:t>
            </w:r>
          </w:p>
        </w:tc>
      </w:tr>
      <w:tr>
        <w:tc>
          <w:tcPr>
            <w:tcW w:type="dxa" w:w="2076"/>
          </w:tcPr>
          <w:p/>
        </w:tc>
        <w:tc>
          <w:tcPr>
            <w:tcW w:type="dxa" w:w="415"/>
          </w:tcPr>
          <w:p>
            <w:pPr>
              <w:pStyle w:val="null3"/>
            </w:pPr>
            <w:r>
              <w:rPr/>
              <w:t>13</w:t>
            </w:r>
          </w:p>
        </w:tc>
        <w:tc>
          <w:tcPr>
            <w:tcW w:type="dxa" w:w="5814"/>
          </w:tcPr>
          <w:p>
            <w:pPr>
              <w:pStyle w:val="null3"/>
            </w:pPr>
            <w:r>
              <w:rPr/>
              <w:t>13.自动进样器洗针溶液：≥4 种；</w:t>
            </w:r>
          </w:p>
        </w:tc>
      </w:tr>
      <w:tr>
        <w:tc>
          <w:tcPr>
            <w:tcW w:type="dxa" w:w="2076"/>
          </w:tcPr>
          <w:p/>
        </w:tc>
        <w:tc>
          <w:tcPr>
            <w:tcW w:type="dxa" w:w="415"/>
          </w:tcPr>
          <w:p>
            <w:pPr>
              <w:pStyle w:val="null3"/>
            </w:pPr>
            <w:r>
              <w:rPr/>
              <w:t>14</w:t>
            </w:r>
          </w:p>
        </w:tc>
        <w:tc>
          <w:tcPr>
            <w:tcW w:type="dxa" w:w="5814"/>
          </w:tcPr>
          <w:p>
            <w:pPr>
              <w:pStyle w:val="null3"/>
            </w:pPr>
            <w:r>
              <w:rPr/>
              <w:t>14.带有样品瓶底部检测功能；</w:t>
            </w:r>
          </w:p>
        </w:tc>
      </w:tr>
      <w:tr>
        <w:tc>
          <w:tcPr>
            <w:tcW w:type="dxa" w:w="2076"/>
          </w:tcPr>
          <w:p/>
        </w:tc>
        <w:tc>
          <w:tcPr>
            <w:tcW w:type="dxa" w:w="415"/>
          </w:tcPr>
          <w:p>
            <w:pPr>
              <w:pStyle w:val="null3"/>
            </w:pPr>
            <w:r>
              <w:rPr/>
              <w:t>15</w:t>
            </w:r>
          </w:p>
        </w:tc>
        <w:tc>
          <w:tcPr>
            <w:tcW w:type="dxa" w:w="5814"/>
          </w:tcPr>
          <w:p>
            <w:pPr>
              <w:pStyle w:val="null3"/>
            </w:pPr>
            <w:r>
              <w:rPr/>
              <w:t>15.自动进样器带主动压力监测；</w:t>
            </w:r>
          </w:p>
        </w:tc>
      </w:tr>
      <w:tr>
        <w:tc>
          <w:tcPr>
            <w:tcW w:type="dxa" w:w="2076"/>
          </w:tcPr>
          <w:p/>
        </w:tc>
        <w:tc>
          <w:tcPr>
            <w:tcW w:type="dxa" w:w="415"/>
          </w:tcPr>
          <w:p>
            <w:pPr>
              <w:pStyle w:val="null3"/>
            </w:pPr>
            <w:r>
              <w:rPr/>
              <w:t>16</w:t>
            </w:r>
          </w:p>
        </w:tc>
        <w:tc>
          <w:tcPr>
            <w:tcW w:type="dxa" w:w="5814"/>
          </w:tcPr>
          <w:p>
            <w:pPr>
              <w:pStyle w:val="null3"/>
            </w:pPr>
            <w:r>
              <w:rPr/>
              <w:t>16.超高压二元泵为串联双柱塞原理 ；</w:t>
            </w:r>
          </w:p>
        </w:tc>
      </w:tr>
      <w:tr>
        <w:tc>
          <w:tcPr>
            <w:tcW w:type="dxa" w:w="2076"/>
          </w:tcPr>
          <w:p/>
        </w:tc>
        <w:tc>
          <w:tcPr>
            <w:tcW w:type="dxa" w:w="415"/>
          </w:tcPr>
          <w:p>
            <w:pPr>
              <w:pStyle w:val="null3"/>
            </w:pPr>
            <w:r>
              <w:rPr/>
              <w:t>17</w:t>
            </w:r>
          </w:p>
        </w:tc>
        <w:tc>
          <w:tcPr>
            <w:tcW w:type="dxa" w:w="5814"/>
          </w:tcPr>
          <w:p>
            <w:pPr>
              <w:pStyle w:val="null3"/>
            </w:pPr>
            <w:r>
              <w:rPr/>
              <w:t>17.超高压二元泵的流量范围：0.001-8 mL/min或更宽，增量为 1 μL/min；</w:t>
            </w:r>
          </w:p>
        </w:tc>
      </w:tr>
      <w:tr>
        <w:tc>
          <w:tcPr>
            <w:tcW w:type="dxa" w:w="2076"/>
          </w:tcPr>
          <w:p/>
        </w:tc>
        <w:tc>
          <w:tcPr>
            <w:tcW w:type="dxa" w:w="415"/>
          </w:tcPr>
          <w:p>
            <w:pPr>
              <w:pStyle w:val="null3"/>
            </w:pPr>
            <w:r>
              <w:rPr/>
              <w:t>18</w:t>
            </w:r>
          </w:p>
        </w:tc>
        <w:tc>
          <w:tcPr>
            <w:tcW w:type="dxa" w:w="5814"/>
          </w:tcPr>
          <w:p>
            <w:pPr>
              <w:pStyle w:val="null3"/>
            </w:pPr>
            <w:r>
              <w:rPr/>
              <w:t>18.超高压二元泵的压力范围：2-100 MPa或更宽；</w:t>
            </w:r>
          </w:p>
        </w:tc>
      </w:tr>
      <w:tr>
        <w:tc>
          <w:tcPr>
            <w:tcW w:type="dxa" w:w="2076"/>
          </w:tcPr>
          <w:p/>
        </w:tc>
        <w:tc>
          <w:tcPr>
            <w:tcW w:type="dxa" w:w="415"/>
          </w:tcPr>
          <w:p>
            <w:pPr>
              <w:pStyle w:val="null3"/>
            </w:pPr>
            <w:r>
              <w:rPr/>
              <w:t>19</w:t>
            </w:r>
          </w:p>
        </w:tc>
        <w:tc>
          <w:tcPr>
            <w:tcW w:type="dxa" w:w="5814"/>
          </w:tcPr>
          <w:p>
            <w:pPr>
              <w:pStyle w:val="null3"/>
            </w:pPr>
            <w:r>
              <w:rPr/>
              <w:t>19.超高压二元泵的压力脉动：≤1%；</w:t>
            </w:r>
          </w:p>
        </w:tc>
      </w:tr>
      <w:tr>
        <w:tc>
          <w:tcPr>
            <w:tcW w:type="dxa" w:w="2076"/>
          </w:tcPr>
          <w:p/>
        </w:tc>
        <w:tc>
          <w:tcPr>
            <w:tcW w:type="dxa" w:w="415"/>
          </w:tcPr>
          <w:p>
            <w:pPr>
              <w:pStyle w:val="null3"/>
            </w:pPr>
            <w:r>
              <w:rPr/>
              <w:t>20</w:t>
            </w:r>
          </w:p>
        </w:tc>
        <w:tc>
          <w:tcPr>
            <w:tcW w:type="dxa" w:w="5814"/>
          </w:tcPr>
          <w:p>
            <w:pPr>
              <w:pStyle w:val="null3"/>
            </w:pPr>
            <w:r>
              <w:rPr/>
              <w:t>20.柱塞杆密封圈清洗具有密封垫漏液监测功能；</w:t>
            </w:r>
          </w:p>
        </w:tc>
      </w:tr>
      <w:tr>
        <w:tc>
          <w:tcPr>
            <w:tcW w:type="dxa" w:w="2076"/>
          </w:tcPr>
          <w:p/>
        </w:tc>
        <w:tc>
          <w:tcPr>
            <w:tcW w:type="dxa" w:w="415"/>
          </w:tcPr>
          <w:p>
            <w:pPr>
              <w:pStyle w:val="null3"/>
            </w:pPr>
            <w:r>
              <w:rPr/>
              <w:t>21</w:t>
            </w:r>
          </w:p>
        </w:tc>
        <w:tc>
          <w:tcPr>
            <w:tcW w:type="dxa" w:w="5814"/>
          </w:tcPr>
          <w:p>
            <w:pPr>
              <w:pStyle w:val="null3"/>
            </w:pPr>
            <w:r>
              <w:rPr/>
              <w:t>21.超高压二元泵的溶剂通道数≥6；</w:t>
            </w:r>
          </w:p>
        </w:tc>
      </w:tr>
      <w:tr>
        <w:tc>
          <w:tcPr>
            <w:tcW w:type="dxa" w:w="2076"/>
          </w:tcPr>
          <w:p/>
        </w:tc>
        <w:tc>
          <w:tcPr>
            <w:tcW w:type="dxa" w:w="415"/>
          </w:tcPr>
          <w:p>
            <w:pPr>
              <w:pStyle w:val="null3"/>
            </w:pPr>
            <w:r>
              <w:rPr/>
              <w:t>22</w:t>
            </w:r>
          </w:p>
        </w:tc>
        <w:tc>
          <w:tcPr>
            <w:tcW w:type="dxa" w:w="5814"/>
          </w:tcPr>
          <w:p>
            <w:pPr>
              <w:pStyle w:val="null3"/>
            </w:pPr>
            <w:r>
              <w:rPr/>
              <w:t>22.溶剂脱气内置式，≥6 通道；</w:t>
            </w:r>
          </w:p>
        </w:tc>
      </w:tr>
      <w:tr>
        <w:tc>
          <w:tcPr>
            <w:tcW w:type="dxa" w:w="2076"/>
          </w:tcPr>
          <w:p/>
        </w:tc>
        <w:tc>
          <w:tcPr>
            <w:tcW w:type="dxa" w:w="415"/>
          </w:tcPr>
          <w:p>
            <w:pPr>
              <w:pStyle w:val="null3"/>
            </w:pPr>
            <w:r>
              <w:rPr/>
              <w:t>23</w:t>
            </w:r>
          </w:p>
        </w:tc>
        <w:tc>
          <w:tcPr>
            <w:tcW w:type="dxa" w:w="5814"/>
          </w:tcPr>
          <w:p>
            <w:pPr>
              <w:pStyle w:val="null3"/>
            </w:pPr>
            <w:r>
              <w:rPr/>
              <w:t>23.超高压二元泵配备自动进样器；</w:t>
            </w:r>
          </w:p>
        </w:tc>
      </w:tr>
      <w:tr>
        <w:tc>
          <w:tcPr>
            <w:tcW w:type="dxa" w:w="2076"/>
          </w:tcPr>
          <w:p/>
        </w:tc>
        <w:tc>
          <w:tcPr>
            <w:tcW w:type="dxa" w:w="415"/>
          </w:tcPr>
          <w:p>
            <w:pPr>
              <w:pStyle w:val="null3"/>
            </w:pPr>
            <w:r>
              <w:rPr/>
              <w:t>24</w:t>
            </w:r>
          </w:p>
        </w:tc>
        <w:tc>
          <w:tcPr>
            <w:tcW w:type="dxa" w:w="5814"/>
          </w:tcPr>
          <w:p>
            <w:pPr>
              <w:pStyle w:val="null3"/>
            </w:pPr>
            <w:r>
              <w:rPr/>
              <w:t>24.超高压二元泵的进样量范围：0.01-25 μL或更宽；</w:t>
            </w:r>
          </w:p>
        </w:tc>
      </w:tr>
      <w:tr>
        <w:tc>
          <w:tcPr>
            <w:tcW w:type="dxa" w:w="2076"/>
          </w:tcPr>
          <w:p/>
        </w:tc>
        <w:tc>
          <w:tcPr>
            <w:tcW w:type="dxa" w:w="415"/>
          </w:tcPr>
          <w:p>
            <w:pPr>
              <w:pStyle w:val="null3"/>
            </w:pPr>
            <w:r>
              <w:rPr/>
              <w:t>25</w:t>
            </w:r>
          </w:p>
        </w:tc>
        <w:tc>
          <w:tcPr>
            <w:tcW w:type="dxa" w:w="5814"/>
          </w:tcPr>
          <w:p>
            <w:pPr>
              <w:pStyle w:val="null3"/>
            </w:pPr>
            <w:r>
              <w:rPr/>
              <w:t>25.进样周期时间≤16 s；</w:t>
            </w:r>
          </w:p>
        </w:tc>
      </w:tr>
      <w:tr>
        <w:tc>
          <w:tcPr>
            <w:tcW w:type="dxa" w:w="2076"/>
          </w:tcPr>
          <w:p/>
        </w:tc>
        <w:tc>
          <w:tcPr>
            <w:tcW w:type="dxa" w:w="415"/>
          </w:tcPr>
          <w:p>
            <w:pPr>
              <w:pStyle w:val="null3"/>
            </w:pPr>
            <w:r>
              <w:rPr/>
              <w:t>26</w:t>
            </w:r>
          </w:p>
        </w:tc>
        <w:tc>
          <w:tcPr>
            <w:tcW w:type="dxa" w:w="5814"/>
          </w:tcPr>
          <w:p>
            <w:pPr>
              <w:pStyle w:val="null3"/>
            </w:pPr>
            <w:r>
              <w:rPr/>
              <w:t>26.样品室温度范围4-40℃或更宽；</w:t>
            </w:r>
          </w:p>
        </w:tc>
      </w:tr>
      <w:tr>
        <w:tc>
          <w:tcPr>
            <w:tcW w:type="dxa" w:w="2076"/>
          </w:tcPr>
          <w:p/>
        </w:tc>
        <w:tc>
          <w:tcPr>
            <w:tcW w:type="dxa" w:w="415"/>
          </w:tcPr>
          <w:p>
            <w:pPr>
              <w:pStyle w:val="null3"/>
            </w:pPr>
            <w:r>
              <w:rPr/>
              <w:t>27</w:t>
            </w:r>
          </w:p>
        </w:tc>
        <w:tc>
          <w:tcPr>
            <w:tcW w:type="dxa" w:w="5814"/>
          </w:tcPr>
          <w:p>
            <w:pPr>
              <w:pStyle w:val="null3"/>
            </w:pPr>
            <w:r>
              <w:rPr/>
              <w:t>27. 1.5mL样品瓶容量：≥200个，兼容96孔板进样；</w:t>
            </w:r>
          </w:p>
        </w:tc>
      </w:tr>
      <w:tr>
        <w:tc>
          <w:tcPr>
            <w:tcW w:type="dxa" w:w="2076"/>
          </w:tcPr>
          <w:p/>
        </w:tc>
        <w:tc>
          <w:tcPr>
            <w:tcW w:type="dxa" w:w="415"/>
          </w:tcPr>
          <w:p>
            <w:pPr>
              <w:pStyle w:val="null3"/>
            </w:pPr>
            <w:r>
              <w:rPr/>
              <w:t>28</w:t>
            </w:r>
          </w:p>
        </w:tc>
        <w:tc>
          <w:tcPr>
            <w:tcW w:type="dxa" w:w="5814"/>
          </w:tcPr>
          <w:p>
            <w:pPr>
              <w:pStyle w:val="null3"/>
            </w:pPr>
            <w:r>
              <w:rPr/>
              <w:t>28.柱温箱的加热模式：具有静止空气和强制空气两种模式；</w:t>
            </w:r>
          </w:p>
        </w:tc>
      </w:tr>
      <w:tr>
        <w:tc>
          <w:tcPr>
            <w:tcW w:type="dxa" w:w="2076"/>
          </w:tcPr>
          <w:p/>
        </w:tc>
        <w:tc>
          <w:tcPr>
            <w:tcW w:type="dxa" w:w="415"/>
          </w:tcPr>
          <w:p>
            <w:pPr>
              <w:pStyle w:val="null3"/>
            </w:pPr>
            <w:r>
              <w:rPr/>
              <w:t>29</w:t>
            </w:r>
          </w:p>
        </w:tc>
        <w:tc>
          <w:tcPr>
            <w:tcW w:type="dxa" w:w="5814"/>
          </w:tcPr>
          <w:p>
            <w:pPr>
              <w:pStyle w:val="null3"/>
            </w:pPr>
            <w:r>
              <w:rPr/>
              <w:t>29.柱温箱的温度范围：5-120℃或更宽，增量为 0.1℃；</w:t>
            </w:r>
          </w:p>
        </w:tc>
      </w:tr>
      <w:tr>
        <w:tc>
          <w:tcPr>
            <w:tcW w:type="dxa" w:w="2076"/>
          </w:tcPr>
          <w:p/>
        </w:tc>
        <w:tc>
          <w:tcPr>
            <w:tcW w:type="dxa" w:w="415"/>
          </w:tcPr>
          <w:p>
            <w:pPr>
              <w:pStyle w:val="null3"/>
            </w:pPr>
            <w:r>
              <w:rPr/>
              <w:t>30</w:t>
            </w:r>
          </w:p>
        </w:tc>
        <w:tc>
          <w:tcPr>
            <w:tcW w:type="dxa" w:w="5814"/>
          </w:tcPr>
          <w:p>
            <w:pPr>
              <w:pStyle w:val="null3"/>
            </w:pPr>
            <w:r>
              <w:rPr/>
              <w:t>30.整机质保≥3年。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采购包3（场发射扫描电镜等）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B组场发射扫描电镜(内部流水号34993)交货日期：（1）中标人或者其指定的境外公司或厂家收到设备货款且征免税证明（中华人民共和国海关进出口货物征免税确认通知书、中华人民共和国海关准予办理减免税货物税款担保通知书等）发证日期后300天内。（2）国内采购部分的交货日期：合同签订后45天内。 2、A组透射电镜超微结构分析一体化平台(内部流水号34996)交货日期：合同签订后300天内。</w:t>
            </w:r>
          </w:p>
        </w:tc>
      </w:tr>
      <w:tr>
        <w:tc>
          <w:tcPr>
            <w:tcW w:type="dxa" w:w="4153"/>
          </w:tcPr>
          <w:p>
            <w:pPr>
              <w:pStyle w:val="null3"/>
            </w:pPr>
            <w:r>
              <w:rPr/>
              <w:t>标的提供的地点</w:t>
            </w:r>
          </w:p>
        </w:tc>
        <w:tc>
          <w:tcPr>
            <w:tcW w:type="dxa" w:w="4153"/>
          </w:tcPr>
          <w:p>
            <w:pPr>
              <w:pStyle w:val="null3"/>
            </w:pPr>
            <w:r>
              <w:rPr/>
              <w:t>1、B组场发射扫描电镜(内部流水号34993)：采购人指定地点。 2、A组透射电镜超微结构分析一体化平台(内部流水号34996)：中国银行股份有限公司广州白云支行指定的地点。</w:t>
            </w:r>
          </w:p>
        </w:tc>
      </w:tr>
      <w:tr>
        <w:tc>
          <w:tcPr>
            <w:tcW w:type="dxa" w:w="4153"/>
          </w:tcPr>
          <w:p>
            <w:pPr>
              <w:pStyle w:val="null3"/>
            </w:pPr>
            <w:r>
              <w:rPr/>
              <w:t>付款方式</w:t>
            </w:r>
          </w:p>
        </w:tc>
        <w:tc>
          <w:tcPr>
            <w:tcW w:type="dxa" w:w="4153"/>
          </w:tcPr>
          <w:p>
            <w:pPr>
              <w:pStyle w:val="null3"/>
            </w:pPr>
            <w:r>
              <w:rPr/>
              <w:t>1期：支付比例100%,（一）A组透射电镜超微结构分析一体化平台(内部流水号34996)： 1、若中标人属于中小企业的，付款方式按第2条的约定执行；若中标人不属于中小企业的，付款方式按第3条执行。本条所述的中小企业，按《中小企业划型标准规定》(工信部联企业(2011)300号)及《金融业企业划型标准规定》(银发(2015)309号)界定。 2、中标人属于中小企业的，按以下方式付款： （1）预付款支付：占合同总价款的[30]%，该预付款含发票付款和垫付款。发票付款占合同总价款的[20]%，合同生效后，中国银行股份有限公司广州白云支行在收到中标人提供的合法有效的增值税专用发票（金额为合同总价款的20%）等材料后在[10]个工作日内支付；垫付款占合同总价款的[10]%，合同生效后，采购人在中国银行股份有限公司广州白云支行支付总价款的20%款项后予以垫付，项目经三方验收合格后，中标人将该垫付款项退还到采购人指定账户上，具体账户信息如下: 收款账户名称：南方医科大学， 账 号： 632757745044， 开户银行名称：中国银行广州同和支行。 （2）验收付款：占合同总价款的[80]%,在采购人、中国银行股份有限公司广州白云支行、中标人三方共同签署盖章的验收报告后，中标人向中国银行股份有限公司广州白云支行提供合法有效的增值税专用等额发票（金额为合同总价款的80%）及材料，同时中标人按采购人约定的收款账号予以退还垫付款项到达采购人指定账户，中国银行股份有限公司广州白云支行收到采购人财务部门提供的中标人已退还垫付款项的到账凭据以及对应的增值税专用等额发票后，在[10]个工作日内支付。 3、 中标人不属于中小企业或者属于境外企业的，三方确认，按以下方式付款： （1）预付款支付：占合同总价款的[20]%,本合同生效后，中国银行股份有限公司广州白云支行在收到中标人提供的合法有效的增值税专用发票（金额为合同总价款的20%）等材料后在[10]个工作日内支付。 （2）验收付款：占合同总价款的[80]%,在中国银行股份有限公司广州白云支行、采购人、中标人三方共同签署盖章的验收报告后，中标人向中国银行股份有限公司广州白云支行提供合法有效的增值税专用等额发票（金额为合同总价款的80%）及材料后，中国银行股份有限公司广州白云支行在[10]个工作日内支付。 3.中标人户名、开户银行名称和账号为： 户 名:XXX 开户行: XXX 账 号: XXX 联行行号：XXX 财务联系人及电话：XXX 4.发票： 中标人须在要求中国银行股份有限公司广州白云支行支付每期合同款时，且符合付款条件后，向中国银行股份有限公司广州白云支行开具本次付款金额对应的增值税专用发票，同时明细项与项目价格清单保持一致。中标人如为一般纳税人，应向中国银行股份有限公司广州白云支行开具增值税专用发票；如为小规模纳税人，须要求税务局代开增值税专用发票。中标人须在增值税专用发票开具后20个自然日（原则上不超过20个自然日）内，将增值税专用发票提交至中国银行股份有限公司广州白云支行。 中标人开具的增值税专用发票符合以下情形之一的，中国银行股份有限公司广州白云支行有权延迟支付应付款项，并要求中标人重新提供，且不承担任何违约责任，中标人各项义务仍按合同约定履行且须向中国银行股份有限公司广州白云支行重新开具增值税专用发票： （1）开具虚假、作废、无效发票或因违反国家法律法规开具、提供发票的； （2）开具发票种类错误或开具发票税率与合同约定不符的； （3）发票信息错误的； （4）因中标人延迟送达、开具错误等原因造成发票认证失败的其他情况。 如中标人拒绝重新提供或提供的发票仍不符合法律法规和监管规定的要求，中国银行股份有限公司广州白云支行有权解除本合同，并要求中标人承担由此对中国银行股份有限公司广州白云支行造成的全部损失。 （二）B组场发射扫描电镜(内部流水号34993)： 1、双方签订合同之日起5个工作日内，中标人应按合同总价款的5%作为履约保证金汇至采购人账户，并提供银行汇款凭据。在中标人将合同义务全部履行完毕且无违约行为或未结款项(包括但不限于违约金、赔偿金等)的情况下，中标人可向采购人申请退还履约保证金，采购人于退还申请审批手续办理完毕后30日内向中标人无息退还履约保证金（如遇采购人寒暑假，采购人有权顺延退回时间且无需承担任何违约责任）。中标人逾期交纳履约保证金的，采购人按照逾期天数3倍的时间无息延长退还履约保证金的时间。合同期内中标人存在违约行为或因中标人原因导致采购人解除合同的，采购人有权不予退回履约保证金且无需就此承担任何责任。履约保证金的退还，不免除中标人因货物或服务质量问题而应承担的任何责任（包括但不限于对采购人损失的赔偿责任等）。 2、国内采购部分执行的付款方式： 2.1 对于国内采购部分的付款，若中标人属于中小企业的，付款方式按第2.2条的约定执行；若中标人不属于中小企业的，付款方式按第2.3条执行。本条所述的中小企业，按《中小企业划型标准规定》（工信部联企业〔2011〕300号）及《金融业企业划型标准规定》（银发〔2015〕309号）界定。 2.2 中标人属于中小企业的，双方确认，按以下方式付款： 采购人在合同签订后5个工作日内，向中标人预付合同金额的30%汇至合同项下载明的中标人账户，合同剩余70%资金采取合同第2.4条约定的预付款资金监管模式支付。 2.3 中标人不属于中小企业的，双方确认，按以下方式付款： 采购人采取合同第2.4条约定的预付款资金监管模式支付全额货款。 2.4 本条款所述的预付款资金监管模式按以下方式执行： （1）采购人合作银行为兴业银行广州分行、中信银行、中国农业银行广州白云支行，中标人需在该3家银行中自行选择资金监管服务银行。 （2）中标人凭采购合同及银行资金监管业务协议，3个工作日内开立银行监管账户。中标人监管账户开设完毕，经中标人或银行通知，采购人将设备款项（具体按本条款前述约定确定付款金额）支付至中标人该监管账户。中标人监管账户中资金的收付及结算必须且仅可通过监管账户实现，非经采购人书面同意，该监管账户不得擅自变更。双方应严格按照《资金监管业务三方协议》约定履行。 （3）采购人收到履约保证金，且设备交付并通过采购人验收合格后，中标人向采购人提供合法有效的等额发票，经采购人审核通过后，采购人在10个工作日内向银行提出资金解除监管申请。 （4）采购人按前述约定向监管账户汇出款项后，即视为已履行付款义务。在汇款过程中，因中标人账户的原因（包括但不限于账号被注销、被冻结等）导致中标人无法收取款项的，由中标人承担相应后果，采购人无需承担任何违约责任。 3、国外采购部分执行的付款方式： 3.1 对于国外采购部分的付款，若中标人属于中小企业的，付款方式按第3.2条的约定执行；若中标人不属于中小企业的，付款方式按第3.3条执行。本条所述的中小企业，按《中小企业划型标准规定》（工信部联企业〔2011〕300号）及《金融业企业划型标准规定》（银发〔2015〕309号）界定。 3.2 中标人属于中小企业的，双方确认，按以下方式付款： （1）采购与中标人双方采取预付款制度，采购人在合同签订后5个工作日内，向中标人预付合同金额的30%，合同金额的70%执行银行资金监管模式，采购人合作银行为兴业银行广州分行、中信银行、中国农业银行广州白云支行，中标人需在该3家银行中自行选择资金监管服务银行。 （2）中标人应于收到前述30%预付款后15个工作日内将该30%预付款定向支付给外贸代理公司以便其办理信用证。如因中标人未按时将该30%预付款支付至外贸代理公司的后述指定监管帐户，导致设备货期延误、外贸代理公司向采购人主张权利或者产生其他纠纷等全部情形的，采购人无需承担任何责任且采购人因此遭受的损失均由中标人承担，同时，中标人亦应按照合同之约定承担违约责任。 （3）采购人收到履约保证金后，采购人、中标人、银行、外贸代理公司四方应及时签订银行资金监管业务协议，中标人凭采购合同及银行资金监管业务协议，3个工作日内开立银行监管账户。中标人监管账户开设完毕，经中标人或银行通知，采购人将合同金额的70%打至该账户。采购人收到相关到账凭证，确认资金在账后，通知中标人进行资金划付工作，中标人应于收到采购人通知后5个工作日内向银行提出资金划付申请并将设备全额款项（含前述30%预付款在内的100%设备款项）划付至外贸代理公司的指定监管账户上。外贸代理公司再按合同要求开出信用证。中标人、外贸代理公司监管账户中资金的收付及结算必须且仅可通过监管账户实现，非经采购人书面同意，该监管账户不得擅自变更。各方应严格按照《资金监管业务四方协议》约定履行。 （4）外贸代理公司收到设备款及办理好相关免税手续（中华人民共和国海关进出口货物征免税确认通知书、中华人民共和国海关准予办理减免税货物税款担保通知书等）后7个工作日内，开具100%L/C见提单、中标人或其指定的境外公司或厂家（即与外贸代理公司签订外贸合同的合同相对方）所出具的正本发票及装箱单即付。 3.3 中标人不属于中小企业的，双方确认，按以下方式付款： （1）合同金额的100%执行银行资金监管模式，采购人合作银行为兴业银行广州分行、中信银行、中国农业银行广州白云支行，中标人需在该3家银行中自行选择资金监管服务银行。 （2）采购人收到履约保证金后，采购人、中标人、银行、外贸代理公司四方应及时签订银行资金监管业务协议，中标人凭买卖双方盖章的设备采购合同及银行资金监管业务协议，3个工作日内开立银行监管账户。中标人监管账户开设完毕，经中标人或银行通知，采购人将设备全额款项打至该账户。采购人收到相关到账凭证，确认资金在账后，通知中标人进行资金划付工作，中标人收到通知后应在5个工作日内向银行提出资金划付申请并将设备全额款项划付至外贸代理公司的指定监管账户上。外贸代理公司再按合同要求开出信用证。中标人、外贸代理公司监管账户中资金的收付及结算必须且仅可通过监管账户实现，非经采购人书面同意，该监管账户不得擅自变更。各方应严格按照《资金监管业务四方协议》约定履行。 （3）外贸代理公司收到设备款及办理好相关免税手续（中华人民共和国海关进出口货物征免税确认通知书、中华人民共和国海关准予办理减免税货物税款担保通知书等）后7个工作日内，开具100%L/C见提单、中标人或其指定的境外公司或厂家（即与外贸代理公司签订外贸合同的合同相对方）所出具的正本发票及装箱单即付。 3.4 采购人按前述约定向监管账户汇出款项后，采购人付款义务即已全部完成，采购人无需再就合同项下国外采购部分承担任何付款义务，中标人亦不得再以任何理由要求采购人就国外采购部分的付款义务承担任何责任（包括但不限于在外贸代理公司未履行其付款义务的情况下以委托代付关系为由要求采购人再次履行付款义务、以担保等为由要求采购人就外贸代理公司独立承担的付款义务承担连带责任或者补充责任等），亦即，后续付款由外贸代理公司按照其与中标人指定的境外公司或厂家签署的外贸合同独立承担，因外贸代理公司未按时足额支付合同货款产生的纠纷均与采购人无关，由中标人及其指定的境外公司或厂家与外贸代理公司根据外贸合同的约定自行解决。 3.5 双方一致确认：作为合同项下设备的供货方，中标人应当严格履行供货方义务，且中标人在任何情况下均不得以任何理由（包括但不限于主张其作为供货方的义务已经全部或者部分转由外贸代理公司或者转由其指定的境外公司或厂家承担等理由）主张减轻或者免除其任何义务（包括但不限于供货义务、质量保证义务、售后服务义务等）。 3.6 双方一致确认：合同项下所述之外贸合同应按照合同约定的设备交易条件且基于顺利完成合同项下的国外采购部分的目的进行签署，且应当明确外贸合同项下的货款由外贸代理公司以开具信用证的方式支付；中标人应当在完成外贸合同的签署后向采购人提供一份外贸合同副本以供采购人留档使用；采购人承担责任的范围仅以合同的明文约定为限，中标人、外贸代理公司及中标人指定的境外公司或厂家不得再以任何形式为采购人创设任何超出合同的其他义务或者代替采购人作出任何弃权行为（包括但不限于在外贸合同中增设采购人义务、另行签署补充协议或者其他协议增设采购人义务等），否则，该等义务及弃权行为均与采购人无关，且不对采购人产生任何约束效力【但采购人以加盖公章的方式签署追认的除外（特别说明：仅有采购人相关人员的签字但采购人未加盖公章的，不对采购人产生追认或者约束效力）】。 4、若本合同项下的款项支付按本合同的相关条款约定需向某一方支付的，各方一致确认如下银行账户即作为该等款项的指定收款账户： （1）采购人的银行账号信息： 单位名称：南方医科大学 统一社会信用代码(三证合一)：12440000771868596D 地址：广东省广州市白云区沙太南路1023号-1063号 开户行：中行同和支行 开户行账号：632757745044 （2）中标人的银行账号信息（如采取银行资金监管模式，以银行监管协议中相关账户为准）： 单位名称：XXX 统一社会信用代码(三证合一)：XXX 地址：XXX 开户行：XXX 开户行账号：XXX</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A组透射电镜超微结构分析一体化平台(内部流水号34996):（1）中标人应委派技术人员进行现场安装、调试，并提供货物安装调试的一切技术支持。安装调试的具体时间由中标人提前3天通知采购人。（2）本合同约定的硬件产品到达中国银行股份有限公司广州白云支行指定的交付地点后，中标人完成货物的安装调试和人员的技术培训，且中国银行股份有限公司广州白云支行、采购人确认设备正常运转后，3个月内三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设备需与采购方科研数字化管理服务平台相连接，接入校园一卡通等系统，实现科研刷卡启动计费、收费等功能；9）其他需验收的事项。（3）验收标准：按本合同约定的设备及价格、质量要求、详细配置清单及技术指标、符合采购文件和响应承诺中中国银行股份有限公司广州白云支行、采购人认可的合理最佳配置、参数及各项要求、国家相关标准和行业规范进行验收（该等标准不一致的，以较高者为准）。验收时如发现所交付的设备有短装、次品、损坏或其它不符合本合同规定之情形者，中国银行股份有限公司广州白云支行、采购人应做出详尽的现场记录，并由中国银行股份有限公司广州白云支行、中标人、采购人三方共同签署中国银行股份有限公司广州白云支行制式开箱报告。此开箱报告可用作补充、缺失和更换损坏部件的有效证据。由此产生的有关费用由中标人承担。（4）中国银行股份有限公司广州白云支行所购货物全部通过验收的，必须经采中国银行股份有限公司广州白云支行、采购人盖章确认并出具验收合格证明后，方可视为验收合格。验收合格文件的签署不使中国银行股份有限公司广州白云支行丧失因质量问题而向中标人索赔和求偿的权利，同时亦不免除中标人对于货物质量缺陷或瑕疵负有的相应责任。（5）中国银行股份有限公司广州白云支行、采购人在验收中如发现货物不符合合同的约定，有权拒绝接受货物，并签发拒绝收货通知书。中标人应于本合同约定的交货期限内重新提供符合合同约定的货物，否则，视为中标人逾期交货。（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 2、B组场发射扫描电镜(内部流水号34993):（1）中标人应委派技术人员上门进行现场安装、调试，并提供货物安装调试所需的一切技术支持。安装调试的具体时间由采购人提前3天通知中标人。（2）中标人完成货物的安装调试和人员的技术培训，且采购人确认设备正常运转后，3个月内双方完成验收。验收内容包括但不限于：1）规格型号、数量及外观；2）货物所附技术资料；3）货物组件及配置；4）货物功能、性能及各项技术参数指标；5）品牌；6）设备标识的名称、产地、生产日期（生产日期与到货日期之间的时间间隔最长不得超过两年）；7）是否已缴纳履约保证金；8）其他需验收的事项。（3）验收标准：按合同约定的设备及价格、质量要求、详细配置清单及技术指标、符合采购文件和响应承诺中采购人认可的合理最佳配置、参数及各项要求、国家相关标准和行业规范进行验收（该等标准不一致的，以较高者为准）。验收时如发现所交付的设备有短装、次品、损坏或其它不符合合同规定之情形者，采购人应做出详尽的现场记录，并由中国银行股份有限公司广州白云支行乙双方共同签署采购人制式开箱报告。此开箱报告可用作补充、缺失和更换损坏部件的有效证据。由此产生的有关费用由中标人承担。中标人未按要求缴纳保证金的，采购人有权不履行后续验收流程。（4）采购人所购货物全部通过验收的，必须经采购人确认并出具验收合格证明后，方可视为验收合格。验收合格文件的签署不使采购人丧失因质量问题而向中标人索赔和求偿的权利，同时亦不免除中标人对于货物质量缺陷或瑕疵负有的相应责任。（5）采购人在验收中如发现货物不符合合同的约定，有权拒绝接受货物，并签发拒绝收货通知书。中标人应于合同约定的交货期限内重新提供符合合同约定的货物，否则，视为中标人逾期交货。（6）如中标人对验收结果有异议，可以委托采购人所在地商检部门进行复检。商检部门的检验结果表明货物不符合合同约定的，因复检发生的费用由中标人承担；检验结果表明货物符合合同约定的，因复检发生的费用由采购人承担。</w:t>
            </w:r>
          </w:p>
        </w:tc>
      </w:tr>
      <w:tr>
        <w:tc>
          <w:tcPr>
            <w:tcW w:type="dxa" w:w="4153"/>
          </w:tcPr>
          <w:p>
            <w:pPr>
              <w:pStyle w:val="null3"/>
            </w:pPr>
            <w:r>
              <w:rPr/>
              <w:t>履约保证金</w:t>
            </w:r>
          </w:p>
        </w:tc>
        <w:tc>
          <w:tcPr>
            <w:tcW w:type="dxa" w:w="4153"/>
          </w:tcPr>
          <w:p>
            <w:pPr>
              <w:pStyle w:val="null3"/>
            </w:pPr>
            <w:r>
              <w:rPr/>
              <w:t>收取比例：5%,说明：A组透射电镜超微结构分析一体化平台(内部流水号34996):三方签订合同之日起5个工作日内，中标人应按合同总价款的5%作为履约保证金提交给中国银行股份有限公司广州白云支行，并提供凭据。如在质保期内，中标人已按本合同规定全部履行完毕且无违约行为或未结款项（包括但不限于违约金、赔偿金等）的情况下，中标人可向中国银行股份有限公司广州白云支行申请退还履约保证金，中国银行股份有限公司广州白云支行于退还申请审批手续办理完毕后30日内向中标人无息退还履约保证金。中标人逾期交纳履约保证金的，中国银行股份有限公司广州白云支行按照逾期天数3倍的时间无息延长退还履约保证金的时间。合同期内中标人存在违约行为或因中标人原因导致中国银行股份有限公司广州白云支行解除合同的，中国银行股份有限公司广州白云支行有权不予退回履约保证金且无需就此承担任何责任。履约保证金的退还，不免除中标人因货物或服务质量问题而应承担的任何责任（包括但不限于对中国银行股份有限公司广州白云支行损失的赔偿责任等）。 B组场发射扫描电镜(内部流水号34993)：双方签订合同之日起5个工作日内，中标人应按合同总价款的5%作为履约保证金汇至采购人账户，并提供银行汇款凭据。在中标人将合同义务全部履行完毕且无违约行为或未结款项(包括但不限于违约金、赔偿金等)的情况下，中标人可向采购人申请退还履约保证金，采购人于退还申请审批手续办理完毕后30日内向中标人无息退还履约保证金（如遇采购人寒暑假，采购人有权顺延退回时间且无需承担任何违约责任）。中标人逾期交纳履约保证金的，采购人按照逾期天数3倍的时间无息延长退还履约保证金的时间。合同期内中标人存在违约行为或因中标人原因导致采购人解除合同的，采购人有权不予退回履约保证金且无需就此承担任何责任。履约保证金的退还，不免除中标人因货物或服务质量问题而应承担的任何责任（包括但不限于对采购人损失的赔偿责任等）。</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交付要求，A组透射电镜超微结构分析一体化平台(内部流水号34996)：中标人应在交货时同时向中国银行股份有限公司广州白云支行、采购人提供与本合同项下的硬件产品相符且完整的技术资料，技术资料必须以简体中文书写。</w:t>
            </w:r>
          </w:p>
          <w:p>
            <w:pPr>
              <w:pStyle w:val="null3"/>
            </w:pPr>
            <w:r>
              <w:rPr/>
              <w:t>（二）包装运输要求，1、A组透射电镜超微结构分析一体化平台(内部流水号34996)：（1）中标人应保证货物的包装符合运输的要求，符合相关包装储运指示标志的规定，按照最新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2）中标人负责将货物运输至中国银行股份有限公司广州白云支行指定的交货地点并交付采购人（应有中国银行股份有限公司广州白云支行、采购人人员在场，采购人工作人员电话：020-61647405），并承担因运输货物所发生的一切费用，包括但不限于运输费、保险费、装卸费等，如设备外包装存在二次封箱现象，中标人无法提供相关开封箱证明，中国银行股份有限公司广州白云支行、采购人有权视实际情况提出退、换货要求，中标人应在中国银行股份有限公司广州白云支行、采购人指定期限内完成退、换货；设备及其配件有破损或污渍，中国银行股份有限公司广州白云支行、采购人亦有权视实际情况提出退、换货要求，中标人应在中国银行股份有限公司广州白云支行、采购人指定期限内完成退、换货。因退、换货产生的一切费用（包括但不限于运输费、保险费、装卸费等）均由中标人自行承担。 2、B组场发射扫描电镜(内部流水号34993)：（1）中标人应在交货时同时向采购人提供与合同项下货物相符且完整的技术资料，技术资料必须以简体中文书写。（2）中标人应保证货物的包装符合运输的要求，符合相关包装储运指示标志的规定，按照最新国际、国家标准及相关规定进行包装，应满足长途运输、能承受水平受力、垂直受力、多次搬运、装卸、防潮、防震、防碎等包装要求。同时，中标人应按照合同货物的特点，按需要分别加上防冲撞、防霉、防锈、防腐蚀、防冻等相应保护措施，以确保货物在没有任何损坏和腐蚀的情况下安全完好地运抵交付地点。（3）国内采购部分由中标人负责将货物运输至约定的交货地点并交付予采购人；国外采购部分由外贸代理公司负责将货物运输至约定的交货地点并交付予采购人(开箱验货时，必须有采购人、中标人及外贸代理公司三方在场)。货物运至指定交货地点前，中标人应提前联系采购人（联系电话020-61647405）。如设备外包装存在二次封箱现象，中标人须提供包括但不限于海关商检证明等；如中标人无法提供相关证明，采购人有权视实际情况提出退、换货要求，中标人应在采购人指定期限内完成退、换货。设备及其配件有破损或污渍，采购人亦有权视实际情况提出退、换货要求，中标人应在采购人指定期限内完成退、换货。因退、换货产生的一切费用（包括但不限于运输费、保险费、装卸费等）均由中标人自行承担。</w:t>
            </w:r>
          </w:p>
          <w:p>
            <w:pPr>
              <w:pStyle w:val="null3"/>
            </w:pPr>
            <w:r>
              <w:rPr/>
              <w:t>（三）售后服务，1、A组透射电镜超微结构分析一体化平台(内部流水号34996):（1）中标人向中国银行股份有限公司广州白云支行和采购人提供售后服务，其中本合同所购的硬件产品售后服务[按每台设备里技术参数要求售后服务计算]，质保期为[不少于三年（技术参数要求中另有要求且优于免费质保期期限规定期限的除外）]。售后服务、质保期在自中国银行股份有限公司广州白云支行、中标人和采购人三方在最终验收报告上签字盖章之日起开始计算。（2）中标人负责提供货物的安装、调试和技术支持服务。在质保期内，货物出现故障，中标人负责提供免费保修服务，对于在质保期内维修或更换的零部件应重新计算质保期；在售后服务期内、质保期外，如采购人需继续使用，中标人提供无偿维护服务，但产生的硬件费用由中标人和采购人双方协商确认；在售后服务期外，如采购方需继续使用后续维保服务费由采购人支付。但无论是否在售后服务期内，中标人均保证在[2]小时内响应，并在[12]小时内解决问题。（3）中标人承诺至少三年以上保证提供货物的零配件供应，避免因相关零配件停产造成货物无法正常维护的情形发生，承诺期限内无法供应零配件的中标人应当提供方案予以协助解决，不予配合协助解决的按违约责任处理。（4）如中标人需要维修或更换含有采购人数据信息的设备时（如存有数据的硬盘或其它带有数据存储功能的配件），应征得中国银行股份有限公司广州白云支行、采购人同意维修或更换，被更换的含有采购人数据信息的设备归中国银行股份有限公司广州白云支行所有，数据信息所有权归采购人所有。（5）中标人提供的详细技术支持和服务措施等方案, 如有提供，请附附件。 2、B组场发射扫描电镜(内部流水号34993)：（1）中标人负责采购人使用人员的使用操作技术及维护技术的培训直至其能熟练、独立操作，具体培训内容和时间安排按采购人通知确定（但采购人应当为中标人预留合理的准备时间）。涉及软件类产品的，中标人还应当对采购人使用人员进行必要的现场培训，保证采购人使用人员能独立安装、升级软件和运行算例。（2）质保期期限：不少于三年（技术参数要求中另有要求且优于免费质保期期限规定期限的除外）。质保期自设备验收合格之日起计算。（3）质保期内，中标人负责所有因设备质量问题而产生的费用，中标人应免费派出专业维修人员提供上门保修服务和系统维护，且中标人负责设备升级的服务工作并提供相关的信息技术和跟进服务。（4）质保期内，设备或零部件出现故障而造成短期停用时，则质保期相应顺延。如停用时间累计超过60天则质保期重新计算。（5）质保期内，设备如非采购人人为原因而出现的问题均由中标人负责包修、包换或包退，并由中标人自行承担修理、调换或退货的全部费用。如果设备同一硬件一个月内连续2次出现同一故障时，采购人有权要求中标人在限期内无偿更换同等设备或按合同约定价值做出赔偿（具体以采购人届时的单方决定为准）。（6）质保期内维修人员接到维修通知后到场时间：质保期内中标人接到采购人的维修通知后24小时内给予答复，并派出维修人员在三个工作日内到达用户现场完成维修。（7）质保期后的服务要求：质保期满后，中标人应继续提供终身维护服务，且中标人应仅按厂价收取所换的材料费，而不应收取任何维护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其他试验仪器及装置</w:t>
            </w:r>
          </w:p>
        </w:tc>
        <w:tc>
          <w:tcPr>
            <w:tcW w:type="dxa" w:w="831"/>
          </w:tcPr>
          <w:p>
            <w:pPr>
              <w:pStyle w:val="null3"/>
              <w:jc w:val="left"/>
            </w:pPr>
            <w:r>
              <w:rPr/>
              <w:t>场发射扫描电镜(内部流水号34993)</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其他试验仪器及装置</w:t>
            </w:r>
          </w:p>
        </w:tc>
        <w:tc>
          <w:tcPr>
            <w:tcW w:type="dxa" w:w="831"/>
          </w:tcPr>
          <w:p>
            <w:pPr>
              <w:pStyle w:val="null3"/>
              <w:jc w:val="left"/>
            </w:pPr>
            <w:r>
              <w:rPr/>
              <w:t>透射电镜超微结构分析一体化平台(内部流水号34996)</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场发射扫描电镜(内部流水号34993)</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分辨率: 二次电子 (SE) 像；</w:t>
            </w:r>
          </w:p>
        </w:tc>
      </w:tr>
      <w:tr>
        <w:tc>
          <w:tcPr>
            <w:tcW w:type="dxa" w:w="2076"/>
          </w:tcPr>
          <w:p/>
        </w:tc>
        <w:tc>
          <w:tcPr>
            <w:tcW w:type="dxa" w:w="415"/>
          </w:tcPr>
          <w:p>
            <w:pPr>
              <w:pStyle w:val="null3"/>
            </w:pPr>
            <w:r>
              <w:rPr/>
              <w:t>2</w:t>
            </w:r>
          </w:p>
        </w:tc>
        <w:tc>
          <w:tcPr>
            <w:tcW w:type="dxa" w:w="5814"/>
          </w:tcPr>
          <w:p>
            <w:pPr>
              <w:pStyle w:val="null3"/>
            </w:pPr>
            <w:r>
              <w:rPr/>
              <w:t>2.高真空模式：30kV时≤1.0nm；1kV时≤3.0nm；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3.低真空模式：30kV时≤1.3nm；3kV时≤3.0nm；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4.超低真空模式：30kV时≤1.3nm；</w:t>
            </w:r>
          </w:p>
        </w:tc>
      </w:tr>
      <w:tr>
        <w:tc>
          <w:tcPr>
            <w:tcW w:type="dxa" w:w="2076"/>
          </w:tcPr>
          <w:p/>
        </w:tc>
        <w:tc>
          <w:tcPr>
            <w:tcW w:type="dxa" w:w="415"/>
          </w:tcPr>
          <w:p>
            <w:pPr>
              <w:pStyle w:val="null3"/>
            </w:pPr>
            <w:r>
              <w:rPr/>
              <w:t>5</w:t>
            </w:r>
          </w:p>
        </w:tc>
        <w:tc>
          <w:tcPr>
            <w:tcW w:type="dxa" w:w="5814"/>
          </w:tcPr>
          <w:p>
            <w:pPr>
              <w:pStyle w:val="null3"/>
            </w:pPr>
            <w:r>
              <w:rPr/>
              <w:t>5.背散射电子分辨率：30kV时≤2.5nm；</w:t>
            </w:r>
          </w:p>
        </w:tc>
      </w:tr>
      <w:tr>
        <w:tc>
          <w:tcPr>
            <w:tcW w:type="dxa" w:w="2076"/>
          </w:tcPr>
          <w:p/>
        </w:tc>
        <w:tc>
          <w:tcPr>
            <w:tcW w:type="dxa" w:w="415"/>
          </w:tcPr>
          <w:p>
            <w:pPr>
              <w:pStyle w:val="null3"/>
            </w:pPr>
            <w:r>
              <w:rPr/>
              <w:t>6</w:t>
            </w:r>
          </w:p>
        </w:tc>
        <w:tc>
          <w:tcPr>
            <w:tcW w:type="dxa" w:w="5814"/>
          </w:tcPr>
          <w:p>
            <w:pPr>
              <w:pStyle w:val="null3"/>
            </w:pPr>
            <w:r>
              <w:rPr/>
              <w:t>6.加速电压：0.2kV－30KV或更宽；</w:t>
            </w:r>
          </w:p>
        </w:tc>
      </w:tr>
      <w:tr>
        <w:tc>
          <w:tcPr>
            <w:tcW w:type="dxa" w:w="2076"/>
          </w:tcPr>
          <w:p/>
        </w:tc>
        <w:tc>
          <w:tcPr>
            <w:tcW w:type="dxa" w:w="415"/>
          </w:tcPr>
          <w:p>
            <w:pPr>
              <w:pStyle w:val="null3"/>
            </w:pPr>
            <w:r>
              <w:rPr/>
              <w:t>7</w:t>
            </w:r>
          </w:p>
        </w:tc>
        <w:tc>
          <w:tcPr>
            <w:tcW w:type="dxa" w:w="5814"/>
          </w:tcPr>
          <w:p>
            <w:pPr>
              <w:pStyle w:val="null3"/>
            </w:pPr>
            <w:r>
              <w:rPr/>
              <w:t>7.放大倍数：6倍－250万倍或更宽；</w:t>
            </w:r>
          </w:p>
        </w:tc>
      </w:tr>
      <w:tr>
        <w:tc>
          <w:tcPr>
            <w:tcW w:type="dxa" w:w="2076"/>
          </w:tcPr>
          <w:p/>
        </w:tc>
        <w:tc>
          <w:tcPr>
            <w:tcW w:type="dxa" w:w="415"/>
          </w:tcPr>
          <w:p>
            <w:pPr>
              <w:pStyle w:val="null3"/>
            </w:pPr>
            <w:r>
              <w:rPr/>
              <w:t>8</w:t>
            </w:r>
          </w:p>
        </w:tc>
        <w:tc>
          <w:tcPr>
            <w:tcW w:type="dxa" w:w="5814"/>
          </w:tcPr>
          <w:p>
            <w:pPr>
              <w:pStyle w:val="null3"/>
            </w:pPr>
            <w:r>
              <w:rPr/>
              <w:t>8.肖特基场发射电子枪，电子束束流范围1pA～200nA或更宽；</w:t>
            </w:r>
          </w:p>
        </w:tc>
      </w:tr>
      <w:tr>
        <w:tc>
          <w:tcPr>
            <w:tcW w:type="dxa" w:w="2076"/>
          </w:tcPr>
          <w:p/>
        </w:tc>
        <w:tc>
          <w:tcPr>
            <w:tcW w:type="dxa" w:w="415"/>
          </w:tcPr>
          <w:p>
            <w:pPr>
              <w:pStyle w:val="null3"/>
            </w:pPr>
            <w:r>
              <w:rPr/>
              <w:t>9</w:t>
            </w:r>
          </w:p>
        </w:tc>
        <w:tc>
          <w:tcPr>
            <w:tcW w:type="dxa" w:w="5814"/>
          </w:tcPr>
          <w:p>
            <w:pPr>
              <w:pStyle w:val="null3"/>
            </w:pPr>
            <w:r>
              <w:rPr/>
              <w:t>9.物镜光阑应能自加热自清洁；无需拆卸镜筒即可更换物镜光阑；</w:t>
            </w:r>
          </w:p>
        </w:tc>
      </w:tr>
      <w:tr>
        <w:tc>
          <w:tcPr>
            <w:tcW w:type="dxa" w:w="2076"/>
          </w:tcPr>
          <w:p/>
        </w:tc>
        <w:tc>
          <w:tcPr>
            <w:tcW w:type="dxa" w:w="415"/>
          </w:tcPr>
          <w:p>
            <w:pPr>
              <w:pStyle w:val="null3"/>
            </w:pPr>
            <w:r>
              <w:rPr/>
              <w:t>10</w:t>
            </w:r>
          </w:p>
        </w:tc>
        <w:tc>
          <w:tcPr>
            <w:tcW w:type="dxa" w:w="5814"/>
          </w:tcPr>
          <w:p>
            <w:pPr>
              <w:pStyle w:val="null3"/>
            </w:pPr>
            <w:r>
              <w:rPr/>
              <w:t>10. 二次电子和背散射电子成像系统: 自动调节和手动调节亮度、对比度；</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11.样品台：5轴马达驱动，全对中样品台；移动范围：X≥110mm，Y≥110mm，Z≥65mm，T≥-15°—+90°，R≥360°连续旋转；</w:t>
            </w:r>
          </w:p>
        </w:tc>
      </w:tr>
      <w:tr>
        <w:tc>
          <w:tcPr>
            <w:tcW w:type="dxa" w:w="2076"/>
          </w:tcPr>
          <w:p/>
        </w:tc>
        <w:tc>
          <w:tcPr>
            <w:tcW w:type="dxa" w:w="415"/>
          </w:tcPr>
          <w:p>
            <w:pPr>
              <w:pStyle w:val="null3"/>
            </w:pPr>
            <w:r>
              <w:rPr/>
              <w:t>12</w:t>
            </w:r>
          </w:p>
        </w:tc>
        <w:tc>
          <w:tcPr>
            <w:tcW w:type="dxa" w:w="5814"/>
          </w:tcPr>
          <w:p>
            <w:pPr>
              <w:pStyle w:val="null3"/>
            </w:pPr>
            <w:r>
              <w:rPr/>
              <w:t>12.样品室尺寸: 左右内径≥340mm；</w:t>
            </w:r>
          </w:p>
        </w:tc>
      </w:tr>
      <w:tr>
        <w:tc>
          <w:tcPr>
            <w:tcW w:type="dxa" w:w="2076"/>
          </w:tcPr>
          <w:p/>
        </w:tc>
        <w:tc>
          <w:tcPr>
            <w:tcW w:type="dxa" w:w="415"/>
          </w:tcPr>
          <w:p>
            <w:pPr>
              <w:pStyle w:val="null3"/>
            </w:pPr>
            <w:r>
              <w:rPr/>
              <w:t>13</w:t>
            </w:r>
          </w:p>
        </w:tc>
        <w:tc>
          <w:tcPr>
            <w:tcW w:type="dxa" w:w="5814"/>
          </w:tcPr>
          <w:p>
            <w:pPr>
              <w:pStyle w:val="null3"/>
            </w:pPr>
            <w:r>
              <w:rPr/>
              <w:t>13.分析工作距离：≥10mm；</w:t>
            </w:r>
          </w:p>
        </w:tc>
      </w:tr>
      <w:tr>
        <w:tc>
          <w:tcPr>
            <w:tcW w:type="dxa" w:w="2076"/>
          </w:tcPr>
          <w:p/>
        </w:tc>
        <w:tc>
          <w:tcPr>
            <w:tcW w:type="dxa" w:w="415"/>
          </w:tcPr>
          <w:p>
            <w:pPr>
              <w:pStyle w:val="null3"/>
            </w:pPr>
            <w:r>
              <w:rPr/>
              <w:t>14</w:t>
            </w:r>
          </w:p>
        </w:tc>
        <w:tc>
          <w:tcPr>
            <w:tcW w:type="dxa" w:w="5814"/>
          </w:tcPr>
          <w:p>
            <w:pPr>
              <w:pStyle w:val="null3"/>
            </w:pPr>
            <w:r>
              <w:rPr/>
              <w:t>14.重复精度：≤3um (X/Y方向)；</w:t>
            </w:r>
          </w:p>
        </w:tc>
      </w:tr>
      <w:tr>
        <w:tc>
          <w:tcPr>
            <w:tcW w:type="dxa" w:w="2076"/>
          </w:tcPr>
          <w:p/>
        </w:tc>
        <w:tc>
          <w:tcPr>
            <w:tcW w:type="dxa" w:w="415"/>
          </w:tcPr>
          <w:p>
            <w:pPr>
              <w:pStyle w:val="null3"/>
            </w:pPr>
            <w:r>
              <w:rPr/>
              <w:t>15</w:t>
            </w:r>
          </w:p>
        </w:tc>
        <w:tc>
          <w:tcPr>
            <w:tcW w:type="dxa" w:w="5814"/>
          </w:tcPr>
          <w:p>
            <w:pPr>
              <w:pStyle w:val="null3"/>
            </w:pPr>
            <w:r>
              <w:rPr/>
              <w:t>15. ≥12个探测器/附件接口；</w:t>
            </w:r>
          </w:p>
        </w:tc>
      </w:tr>
      <w:tr>
        <w:tc>
          <w:tcPr>
            <w:tcW w:type="dxa" w:w="2076"/>
          </w:tcPr>
          <w:p/>
        </w:tc>
        <w:tc>
          <w:tcPr>
            <w:tcW w:type="dxa" w:w="415"/>
          </w:tcPr>
          <w:p>
            <w:pPr>
              <w:pStyle w:val="null3"/>
            </w:pPr>
            <w:r>
              <w:rPr/>
              <w:t>16</w:t>
            </w:r>
          </w:p>
        </w:tc>
        <w:tc>
          <w:tcPr>
            <w:tcW w:type="dxa" w:w="5814"/>
          </w:tcPr>
          <w:p>
            <w:pPr>
              <w:pStyle w:val="null3"/>
            </w:pPr>
            <w:r>
              <w:rPr/>
              <w:t>16.配备高真空模式二次电子检测器；</w:t>
            </w:r>
          </w:p>
        </w:tc>
      </w:tr>
      <w:tr>
        <w:tc>
          <w:tcPr>
            <w:tcW w:type="dxa" w:w="2076"/>
          </w:tcPr>
          <w:p/>
        </w:tc>
        <w:tc>
          <w:tcPr>
            <w:tcW w:type="dxa" w:w="415"/>
          </w:tcPr>
          <w:p>
            <w:pPr>
              <w:pStyle w:val="null3"/>
            </w:pPr>
            <w:r>
              <w:rPr/>
              <w:t>17</w:t>
            </w:r>
          </w:p>
        </w:tc>
        <w:tc>
          <w:tcPr>
            <w:tcW w:type="dxa" w:w="5814"/>
          </w:tcPr>
          <w:p>
            <w:pPr>
              <w:pStyle w:val="null3"/>
            </w:pPr>
            <w:r>
              <w:rPr/>
              <w:t>17.配备低真空模式二次电子探头；</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18.配备环境真空模式气体二次电子探头，可在环境真空模式下使用；</w:t>
            </w:r>
          </w:p>
        </w:tc>
      </w:tr>
      <w:tr>
        <w:tc>
          <w:tcPr>
            <w:tcW w:type="dxa" w:w="2076"/>
          </w:tcPr>
          <w:p/>
        </w:tc>
        <w:tc>
          <w:tcPr>
            <w:tcW w:type="dxa" w:w="415"/>
          </w:tcPr>
          <w:p>
            <w:pPr>
              <w:pStyle w:val="null3"/>
            </w:pPr>
            <w:r>
              <w:rPr/>
              <w:t>19</w:t>
            </w:r>
          </w:p>
        </w:tc>
        <w:tc>
          <w:tcPr>
            <w:tcW w:type="dxa" w:w="5814"/>
          </w:tcPr>
          <w:p>
            <w:pPr>
              <w:pStyle w:val="null3"/>
            </w:pPr>
            <w:r>
              <w:rPr/>
              <w:t>19.定向背散射电子检测器；</w:t>
            </w:r>
          </w:p>
        </w:tc>
      </w:tr>
      <w:tr>
        <w:tc>
          <w:tcPr>
            <w:tcW w:type="dxa" w:w="2076"/>
          </w:tcPr>
          <w:p/>
        </w:tc>
        <w:tc>
          <w:tcPr>
            <w:tcW w:type="dxa" w:w="415"/>
          </w:tcPr>
          <w:p>
            <w:pPr>
              <w:pStyle w:val="null3"/>
            </w:pPr>
            <w:r>
              <w:rPr/>
              <w:t>20</w:t>
            </w:r>
          </w:p>
        </w:tc>
        <w:tc>
          <w:tcPr>
            <w:tcW w:type="dxa" w:w="5814"/>
          </w:tcPr>
          <w:p>
            <w:pPr>
              <w:pStyle w:val="null3"/>
            </w:pPr>
            <w:r>
              <w:rPr/>
              <w:t>20.样品室红外CCD相机；</w:t>
            </w:r>
          </w:p>
        </w:tc>
      </w:tr>
      <w:tr>
        <w:tc>
          <w:tcPr>
            <w:tcW w:type="dxa" w:w="2076"/>
          </w:tcPr>
          <w:p/>
        </w:tc>
        <w:tc>
          <w:tcPr>
            <w:tcW w:type="dxa" w:w="415"/>
          </w:tcPr>
          <w:p>
            <w:pPr>
              <w:pStyle w:val="null3"/>
            </w:pPr>
            <w:r>
              <w:rPr/>
              <w:t>21</w:t>
            </w:r>
          </w:p>
        </w:tc>
        <w:tc>
          <w:tcPr>
            <w:tcW w:type="dxa" w:w="5814"/>
          </w:tcPr>
          <w:p>
            <w:pPr>
              <w:pStyle w:val="null3"/>
            </w:pPr>
            <w:r>
              <w:rPr/>
              <w:t>21.样品台导航相机；</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22.图像处理：≥64K x 64K像素；</w:t>
            </w:r>
          </w:p>
        </w:tc>
      </w:tr>
      <w:tr>
        <w:tc>
          <w:tcPr>
            <w:tcW w:type="dxa" w:w="2076"/>
          </w:tcPr>
          <w:p/>
        </w:tc>
        <w:tc>
          <w:tcPr>
            <w:tcW w:type="dxa" w:w="415"/>
          </w:tcPr>
          <w:p>
            <w:pPr>
              <w:pStyle w:val="null3"/>
            </w:pPr>
            <w:r>
              <w:rPr/>
              <w:t>23</w:t>
            </w:r>
          </w:p>
        </w:tc>
        <w:tc>
          <w:tcPr>
            <w:tcW w:type="dxa" w:w="5814"/>
          </w:tcPr>
          <w:p>
            <w:pPr>
              <w:pStyle w:val="null3"/>
            </w:pPr>
            <w:r>
              <w:rPr/>
              <w:t>23.图像显示：单幅图像显示或≥4幅图像同时显示 (四活动窗口)；</w:t>
            </w:r>
          </w:p>
        </w:tc>
      </w:tr>
      <w:tr>
        <w:tc>
          <w:tcPr>
            <w:tcW w:type="dxa" w:w="2076"/>
          </w:tcPr>
          <w:p/>
        </w:tc>
        <w:tc>
          <w:tcPr>
            <w:tcW w:type="dxa" w:w="415"/>
          </w:tcPr>
          <w:p>
            <w:pPr>
              <w:pStyle w:val="null3"/>
            </w:pPr>
            <w:r>
              <w:rPr/>
              <w:t>24</w:t>
            </w:r>
          </w:p>
        </w:tc>
        <w:tc>
          <w:tcPr>
            <w:tcW w:type="dxa" w:w="5814"/>
          </w:tcPr>
          <w:p>
            <w:pPr>
              <w:pStyle w:val="null3"/>
            </w:pPr>
            <w:r>
              <w:rPr/>
              <w:t>24.图像记录: TIFF，BMP或JPEG；</w:t>
            </w:r>
          </w:p>
        </w:tc>
      </w:tr>
      <w:tr>
        <w:tc>
          <w:tcPr>
            <w:tcW w:type="dxa" w:w="2076"/>
          </w:tcPr>
          <w:p/>
        </w:tc>
        <w:tc>
          <w:tcPr>
            <w:tcW w:type="dxa" w:w="415"/>
          </w:tcPr>
          <w:p>
            <w:pPr>
              <w:pStyle w:val="null3"/>
            </w:pPr>
            <w:r>
              <w:rPr/>
              <w:t>25</w:t>
            </w:r>
          </w:p>
        </w:tc>
        <w:tc>
          <w:tcPr>
            <w:tcW w:type="dxa" w:w="5814"/>
          </w:tcPr>
          <w:p>
            <w:pPr>
              <w:pStyle w:val="null3"/>
            </w:pPr>
            <w:r>
              <w:rPr/>
              <w:t>25.自动记录数字电影 (.avi) 功能；</w:t>
            </w:r>
          </w:p>
        </w:tc>
      </w:tr>
      <w:tr>
        <w:tc>
          <w:tcPr>
            <w:tcW w:type="dxa" w:w="2076"/>
          </w:tcPr>
          <w:p/>
        </w:tc>
        <w:tc>
          <w:tcPr>
            <w:tcW w:type="dxa" w:w="415"/>
          </w:tcPr>
          <w:p>
            <w:pPr>
              <w:pStyle w:val="null3"/>
            </w:pPr>
            <w:r>
              <w:rPr/>
              <w:t>26</w:t>
            </w:r>
          </w:p>
        </w:tc>
        <w:tc>
          <w:tcPr>
            <w:tcW w:type="dxa" w:w="5814"/>
          </w:tcPr>
          <w:p>
            <w:pPr>
              <w:pStyle w:val="null3"/>
            </w:pPr>
            <w:r>
              <w:rPr/>
              <w:t>26.智能扫描 (256帧平均或积分，线积分或平均，隔行扫描)；</w:t>
            </w:r>
          </w:p>
        </w:tc>
      </w:tr>
      <w:tr>
        <w:tc>
          <w:tcPr>
            <w:tcW w:type="dxa" w:w="2076"/>
          </w:tcPr>
          <w:p/>
        </w:tc>
        <w:tc>
          <w:tcPr>
            <w:tcW w:type="dxa" w:w="415"/>
          </w:tcPr>
          <w:p>
            <w:pPr>
              <w:pStyle w:val="null3"/>
            </w:pPr>
            <w:r>
              <w:rPr/>
              <w:t>27</w:t>
            </w:r>
          </w:p>
        </w:tc>
        <w:tc>
          <w:tcPr>
            <w:tcW w:type="dxa" w:w="5814"/>
          </w:tcPr>
          <w:p>
            <w:pPr>
              <w:pStyle w:val="null3"/>
            </w:pPr>
            <w:r>
              <w:rPr/>
              <w:t>27.漂移补偿帧积分；</w:t>
            </w:r>
          </w:p>
        </w:tc>
      </w:tr>
      <w:tr>
        <w:tc>
          <w:tcPr>
            <w:tcW w:type="dxa" w:w="2076"/>
          </w:tcPr>
          <w:p/>
        </w:tc>
        <w:tc>
          <w:tcPr>
            <w:tcW w:type="dxa" w:w="415"/>
          </w:tcPr>
          <w:p>
            <w:pPr>
              <w:pStyle w:val="null3"/>
            </w:pPr>
            <w:r>
              <w:rPr/>
              <w:t>28</w:t>
            </w:r>
          </w:p>
        </w:tc>
        <w:tc>
          <w:tcPr>
            <w:tcW w:type="dxa" w:w="5814"/>
          </w:tcPr>
          <w:p>
            <w:pPr>
              <w:pStyle w:val="null3"/>
            </w:pPr>
            <w:r>
              <w:rPr/>
              <w:t>28.实时或静态按彩色或按灰度等级信号混合；</w:t>
            </w:r>
          </w:p>
        </w:tc>
      </w:tr>
      <w:tr>
        <w:tc>
          <w:tcPr>
            <w:tcW w:type="dxa" w:w="2076"/>
          </w:tcPr>
          <w:p/>
        </w:tc>
        <w:tc>
          <w:tcPr>
            <w:tcW w:type="dxa" w:w="415"/>
          </w:tcPr>
          <w:p>
            <w:pPr>
              <w:pStyle w:val="null3"/>
            </w:pPr>
            <w:r>
              <w:rPr/>
              <w:t>29</w:t>
            </w:r>
          </w:p>
        </w:tc>
        <w:tc>
          <w:tcPr>
            <w:tcW w:type="dxa" w:w="5814"/>
          </w:tcPr>
          <w:p>
            <w:pPr>
              <w:pStyle w:val="null3"/>
            </w:pPr>
            <w:r>
              <w:rPr/>
              <w:t>29.基于以太网架构的数据传输系统；</w:t>
            </w:r>
          </w:p>
        </w:tc>
      </w:tr>
      <w:tr>
        <w:tc>
          <w:tcPr>
            <w:tcW w:type="dxa" w:w="2076"/>
          </w:tcPr>
          <w:p/>
        </w:tc>
        <w:tc>
          <w:tcPr>
            <w:tcW w:type="dxa" w:w="415"/>
          </w:tcPr>
          <w:p>
            <w:pPr>
              <w:pStyle w:val="null3"/>
            </w:pPr>
            <w:r>
              <w:rPr/>
              <w:t>30</w:t>
            </w:r>
          </w:p>
        </w:tc>
        <w:tc>
          <w:tcPr>
            <w:tcW w:type="dxa" w:w="5814"/>
          </w:tcPr>
          <w:p>
            <w:pPr>
              <w:pStyle w:val="null3"/>
            </w:pPr>
            <w:r>
              <w:rPr/>
              <w:t>30.双核控制系统：≥3.0 GHz CPU；≥16.0 GB内存；≥1.0TB硬盘；</w:t>
            </w:r>
          </w:p>
        </w:tc>
      </w:tr>
      <w:tr>
        <w:tc>
          <w:tcPr>
            <w:tcW w:type="dxa" w:w="2076"/>
          </w:tcPr>
          <w:p/>
        </w:tc>
        <w:tc>
          <w:tcPr>
            <w:tcW w:type="dxa" w:w="415"/>
          </w:tcPr>
          <w:p>
            <w:pPr>
              <w:pStyle w:val="null3"/>
            </w:pPr>
            <w:r>
              <w:rPr/>
              <w:t>31</w:t>
            </w:r>
          </w:p>
        </w:tc>
        <w:tc>
          <w:tcPr>
            <w:tcW w:type="dxa" w:w="5814"/>
          </w:tcPr>
          <w:p>
            <w:pPr>
              <w:pStyle w:val="null3"/>
            </w:pPr>
            <w:r>
              <w:rPr/>
              <w:t>31.图像显示：≥24寸液晶显示平台，≥1920 x 1200分辨率；</w:t>
            </w:r>
          </w:p>
        </w:tc>
      </w:tr>
      <w:tr>
        <w:tc>
          <w:tcPr>
            <w:tcW w:type="dxa" w:w="2076"/>
          </w:tcPr>
          <w:p/>
        </w:tc>
        <w:tc>
          <w:tcPr>
            <w:tcW w:type="dxa" w:w="415"/>
          </w:tcPr>
          <w:p>
            <w:pPr>
              <w:pStyle w:val="null3"/>
            </w:pPr>
            <w:r>
              <w:rPr/>
              <w:t>32</w:t>
            </w:r>
          </w:p>
        </w:tc>
        <w:tc>
          <w:tcPr>
            <w:tcW w:type="dxa" w:w="5814"/>
          </w:tcPr>
          <w:p>
            <w:pPr>
              <w:pStyle w:val="null3"/>
            </w:pPr>
            <w:r>
              <w:rPr/>
              <w:t>32.真空系统：包括涡轮分子泵，离子泵和机械泵；</w:t>
            </w:r>
          </w:p>
        </w:tc>
      </w:tr>
      <w:tr>
        <w:tc>
          <w:tcPr>
            <w:tcW w:type="dxa" w:w="2076"/>
          </w:tcPr>
          <w:p/>
        </w:tc>
        <w:tc>
          <w:tcPr>
            <w:tcW w:type="dxa" w:w="415"/>
          </w:tcPr>
          <w:p>
            <w:pPr>
              <w:pStyle w:val="null3"/>
            </w:pPr>
            <w:r>
              <w:rPr/>
              <w:t>33</w:t>
            </w:r>
          </w:p>
        </w:tc>
        <w:tc>
          <w:tcPr>
            <w:tcW w:type="dxa" w:w="5814"/>
          </w:tcPr>
          <w:p>
            <w:pPr>
              <w:pStyle w:val="null3"/>
            </w:pPr>
            <w:r>
              <w:rPr/>
              <w:t>33.在镜筒与样品室之间有真空隔离装置，防止更换样品时，镜筒内被污染和保护灯丝；</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34.样品室真空度：高真空模式下≤6×10</w:t>
            </w:r>
            <w:r>
              <w:rPr>
                <w:vertAlign w:val="superscript"/>
              </w:rPr>
              <w:t>-4</w:t>
            </w:r>
            <w:r>
              <w:rPr/>
              <w:t>Pa；低真空模式下10Pa～200Pa或更宽；环境真空模式下10Pa～4000Pa或更宽；</w:t>
            </w:r>
          </w:p>
        </w:tc>
      </w:tr>
      <w:tr>
        <w:tc>
          <w:tcPr>
            <w:tcW w:type="dxa" w:w="2076"/>
          </w:tcPr>
          <w:p/>
        </w:tc>
        <w:tc>
          <w:tcPr>
            <w:tcW w:type="dxa" w:w="415"/>
          </w:tcPr>
          <w:p>
            <w:pPr>
              <w:pStyle w:val="null3"/>
            </w:pPr>
            <w:r>
              <w:rPr/>
              <w:t>35</w:t>
            </w:r>
          </w:p>
        </w:tc>
        <w:tc>
          <w:tcPr>
            <w:tcW w:type="dxa" w:w="5814"/>
          </w:tcPr>
          <w:p>
            <w:pPr>
              <w:pStyle w:val="null3"/>
            </w:pPr>
            <w:r>
              <w:rPr/>
              <w:t>35.典型换样时间：高真空模式≤3.5分钟；低真空或环境真空模式≤4.5分钟(标准测试程序)；</w:t>
            </w:r>
          </w:p>
        </w:tc>
      </w:tr>
      <w:tr>
        <w:tc>
          <w:tcPr>
            <w:tcW w:type="dxa" w:w="2076"/>
          </w:tcPr>
          <w:p/>
        </w:tc>
        <w:tc>
          <w:tcPr>
            <w:tcW w:type="dxa" w:w="415"/>
          </w:tcPr>
          <w:p>
            <w:pPr>
              <w:pStyle w:val="null3"/>
            </w:pPr>
            <w:r>
              <w:rPr/>
              <w:t>36</w:t>
            </w:r>
          </w:p>
        </w:tc>
        <w:tc>
          <w:tcPr>
            <w:tcW w:type="dxa" w:w="5814"/>
          </w:tcPr>
          <w:p>
            <w:pPr>
              <w:pStyle w:val="null3"/>
            </w:pPr>
            <w:r>
              <w:rPr/>
              <w:t>36.能谱仪探测器要求：EDS探测器尺寸：≥60mm</w:t>
            </w:r>
            <w:r>
              <w:rPr>
                <w:vertAlign w:val="superscript"/>
              </w:rPr>
              <w:t>2</w:t>
            </w:r>
            <w:r>
              <w:rPr/>
              <w:t xml:space="preserve"> ；轻元素灵敏度：可检测铍元素及之后的元素；</w:t>
            </w:r>
          </w:p>
        </w:tc>
      </w:tr>
      <w:tr>
        <w:tc>
          <w:tcPr>
            <w:tcW w:type="dxa" w:w="2076"/>
          </w:tcPr>
          <w:p/>
        </w:tc>
        <w:tc>
          <w:tcPr>
            <w:tcW w:type="dxa" w:w="415"/>
          </w:tcPr>
          <w:p>
            <w:pPr>
              <w:pStyle w:val="null3"/>
            </w:pPr>
            <w:r>
              <w:rPr/>
              <w:t>37</w:t>
            </w:r>
          </w:p>
        </w:tc>
        <w:tc>
          <w:tcPr>
            <w:tcW w:type="dxa" w:w="5814"/>
          </w:tcPr>
          <w:p>
            <w:pPr>
              <w:pStyle w:val="null3"/>
            </w:pPr>
            <w:r>
              <w:rPr/>
              <w:t>37.具有样品台图像导航功能；</w:t>
            </w:r>
          </w:p>
        </w:tc>
      </w:tr>
      <w:tr>
        <w:tc>
          <w:tcPr>
            <w:tcW w:type="dxa" w:w="2076"/>
          </w:tcPr>
          <w:p/>
        </w:tc>
        <w:tc>
          <w:tcPr>
            <w:tcW w:type="dxa" w:w="415"/>
          </w:tcPr>
          <w:p>
            <w:pPr>
              <w:pStyle w:val="null3"/>
            </w:pPr>
            <w:r>
              <w:rPr/>
              <w:t>38</w:t>
            </w:r>
          </w:p>
        </w:tc>
        <w:tc>
          <w:tcPr>
            <w:tcW w:type="dxa" w:w="5814"/>
          </w:tcPr>
          <w:p>
            <w:pPr>
              <w:pStyle w:val="null3"/>
            </w:pPr>
            <w:r>
              <w:rPr/>
              <w:t>38.具有鼠标拖曳式放大及对中功能；</w:t>
            </w:r>
          </w:p>
        </w:tc>
      </w:tr>
      <w:tr>
        <w:tc>
          <w:tcPr>
            <w:tcW w:type="dxa" w:w="2076"/>
          </w:tcPr>
          <w:p/>
        </w:tc>
        <w:tc>
          <w:tcPr>
            <w:tcW w:type="dxa" w:w="415"/>
          </w:tcPr>
          <w:p>
            <w:pPr>
              <w:pStyle w:val="null3"/>
            </w:pPr>
            <w:r>
              <w:rPr/>
              <w:t>39</w:t>
            </w:r>
          </w:p>
        </w:tc>
        <w:tc>
          <w:tcPr>
            <w:tcW w:type="dxa" w:w="5814"/>
          </w:tcPr>
          <w:p>
            <w:pPr>
              <w:pStyle w:val="null3"/>
            </w:pPr>
            <w:r>
              <w:rPr/>
              <w:t>39.配有直方图及图像测量软件；</w:t>
            </w:r>
          </w:p>
        </w:tc>
      </w:tr>
      <w:tr>
        <w:tc>
          <w:tcPr>
            <w:tcW w:type="dxa" w:w="2076"/>
          </w:tcPr>
          <w:p/>
        </w:tc>
        <w:tc>
          <w:tcPr>
            <w:tcW w:type="dxa" w:w="415"/>
          </w:tcPr>
          <w:p>
            <w:pPr>
              <w:pStyle w:val="null3"/>
            </w:pPr>
            <w:r>
              <w:rPr/>
              <w:t>40</w:t>
            </w:r>
          </w:p>
        </w:tc>
        <w:tc>
          <w:tcPr>
            <w:tcW w:type="dxa" w:w="5814"/>
          </w:tcPr>
          <w:p>
            <w:pPr>
              <w:pStyle w:val="null3"/>
            </w:pPr>
            <w:r>
              <w:rPr/>
              <w:t>40.具有数字动画记录；</w:t>
            </w:r>
          </w:p>
        </w:tc>
      </w:tr>
      <w:tr>
        <w:tc>
          <w:tcPr>
            <w:tcW w:type="dxa" w:w="2076"/>
          </w:tcPr>
          <w:p/>
        </w:tc>
        <w:tc>
          <w:tcPr>
            <w:tcW w:type="dxa" w:w="415"/>
          </w:tcPr>
          <w:p>
            <w:pPr>
              <w:pStyle w:val="null3"/>
            </w:pPr>
            <w:r>
              <w:rPr/>
              <w:t>41</w:t>
            </w:r>
          </w:p>
        </w:tc>
        <w:tc>
          <w:tcPr>
            <w:tcW w:type="dxa" w:w="5814"/>
          </w:tcPr>
          <w:p>
            <w:pPr>
              <w:pStyle w:val="null3"/>
            </w:pPr>
            <w:r>
              <w:rPr/>
              <w:t>41.冷台温度范围：-20℃～+60℃或更宽；</w:t>
            </w:r>
          </w:p>
        </w:tc>
      </w:tr>
      <w:tr>
        <w:tc>
          <w:tcPr>
            <w:tcW w:type="dxa" w:w="2076"/>
          </w:tcPr>
          <w:p/>
        </w:tc>
        <w:tc>
          <w:tcPr>
            <w:tcW w:type="dxa" w:w="415"/>
          </w:tcPr>
          <w:p>
            <w:pPr>
              <w:pStyle w:val="null3"/>
            </w:pPr>
            <w:r>
              <w:rPr/>
              <w:t>42</w:t>
            </w:r>
          </w:p>
        </w:tc>
        <w:tc>
          <w:tcPr>
            <w:tcW w:type="dxa" w:w="5814"/>
          </w:tcPr>
          <w:p>
            <w:pPr>
              <w:pStyle w:val="null3"/>
            </w:pPr>
            <w:r>
              <w:rPr/>
              <w:t>42. 产品配置清单：</w:t>
            </w:r>
          </w:p>
        </w:tc>
      </w:tr>
      <w:tr>
        <w:tc>
          <w:tcPr>
            <w:tcW w:type="dxa" w:w="2076"/>
          </w:tcPr>
          <w:p/>
        </w:tc>
        <w:tc>
          <w:tcPr>
            <w:tcW w:type="dxa" w:w="415"/>
          </w:tcPr>
          <w:p>
            <w:pPr>
              <w:pStyle w:val="null3"/>
            </w:pPr>
            <w:r>
              <w:rPr/>
              <w:t>43</w:t>
            </w:r>
          </w:p>
        </w:tc>
        <w:tc>
          <w:tcPr>
            <w:tcW w:type="dxa" w:w="5814"/>
          </w:tcPr>
          <w:p>
            <w:pPr>
              <w:pStyle w:val="null3"/>
            </w:pPr>
            <w:r>
              <w:rPr/>
              <w:t>42.1 主机系统，1套；</w:t>
            </w:r>
          </w:p>
        </w:tc>
      </w:tr>
      <w:tr>
        <w:tc>
          <w:tcPr>
            <w:tcW w:type="dxa" w:w="2076"/>
          </w:tcPr>
          <w:p/>
        </w:tc>
        <w:tc>
          <w:tcPr>
            <w:tcW w:type="dxa" w:w="415"/>
          </w:tcPr>
          <w:p>
            <w:pPr>
              <w:pStyle w:val="null3"/>
            </w:pPr>
            <w:r>
              <w:rPr/>
              <w:t>44</w:t>
            </w:r>
          </w:p>
        </w:tc>
        <w:tc>
          <w:tcPr>
            <w:tcW w:type="dxa" w:w="5814"/>
          </w:tcPr>
          <w:p>
            <w:pPr>
              <w:pStyle w:val="null3"/>
            </w:pPr>
            <w:r>
              <w:rPr/>
              <w:t>42.2 电镜控制系统，1套；</w:t>
            </w:r>
          </w:p>
        </w:tc>
      </w:tr>
      <w:tr>
        <w:tc>
          <w:tcPr>
            <w:tcW w:type="dxa" w:w="2076"/>
          </w:tcPr>
          <w:p/>
        </w:tc>
        <w:tc>
          <w:tcPr>
            <w:tcW w:type="dxa" w:w="415"/>
          </w:tcPr>
          <w:p>
            <w:pPr>
              <w:pStyle w:val="null3"/>
            </w:pPr>
            <w:r>
              <w:rPr/>
              <w:t>45</w:t>
            </w:r>
          </w:p>
        </w:tc>
        <w:tc>
          <w:tcPr>
            <w:tcW w:type="dxa" w:w="5814"/>
          </w:tcPr>
          <w:p>
            <w:pPr>
              <w:pStyle w:val="null3"/>
            </w:pPr>
            <w:r>
              <w:rPr/>
              <w:t>42.3 ≥24寸液晶显示平台，1台；</w:t>
            </w:r>
          </w:p>
        </w:tc>
      </w:tr>
      <w:tr>
        <w:tc>
          <w:tcPr>
            <w:tcW w:type="dxa" w:w="2076"/>
          </w:tcPr>
          <w:p/>
        </w:tc>
        <w:tc>
          <w:tcPr>
            <w:tcW w:type="dxa" w:w="415"/>
          </w:tcPr>
          <w:p>
            <w:pPr>
              <w:pStyle w:val="null3"/>
            </w:pPr>
            <w:r>
              <w:rPr/>
              <w:t>46</w:t>
            </w:r>
          </w:p>
        </w:tc>
        <w:tc>
          <w:tcPr>
            <w:tcW w:type="dxa" w:w="5814"/>
          </w:tcPr>
          <w:p>
            <w:pPr>
              <w:pStyle w:val="null3"/>
            </w:pPr>
            <w:r>
              <w:rPr/>
              <w:t>42.4 二次电子探测器，3个；</w:t>
            </w:r>
          </w:p>
        </w:tc>
      </w:tr>
      <w:tr>
        <w:tc>
          <w:tcPr>
            <w:tcW w:type="dxa" w:w="2076"/>
          </w:tcPr>
          <w:p/>
        </w:tc>
        <w:tc>
          <w:tcPr>
            <w:tcW w:type="dxa" w:w="415"/>
          </w:tcPr>
          <w:p>
            <w:pPr>
              <w:pStyle w:val="null3"/>
            </w:pPr>
            <w:r>
              <w:rPr/>
              <w:t>47</w:t>
            </w:r>
          </w:p>
        </w:tc>
        <w:tc>
          <w:tcPr>
            <w:tcW w:type="dxa" w:w="5814"/>
          </w:tcPr>
          <w:p>
            <w:pPr>
              <w:pStyle w:val="null3"/>
            </w:pPr>
            <w:r>
              <w:rPr/>
              <w:t>42.5 背散射探测器，1个；</w:t>
            </w:r>
          </w:p>
        </w:tc>
      </w:tr>
      <w:tr>
        <w:tc>
          <w:tcPr>
            <w:tcW w:type="dxa" w:w="2076"/>
          </w:tcPr>
          <w:p/>
        </w:tc>
        <w:tc>
          <w:tcPr>
            <w:tcW w:type="dxa" w:w="415"/>
          </w:tcPr>
          <w:p>
            <w:pPr>
              <w:pStyle w:val="null3"/>
            </w:pPr>
            <w:r>
              <w:rPr/>
              <w:t>48</w:t>
            </w:r>
          </w:p>
        </w:tc>
        <w:tc>
          <w:tcPr>
            <w:tcW w:type="dxa" w:w="5814"/>
          </w:tcPr>
          <w:p>
            <w:pPr>
              <w:pStyle w:val="null3"/>
            </w:pPr>
            <w:r>
              <w:rPr/>
              <w:t>42.6 红外CCD相机，1个；</w:t>
            </w:r>
          </w:p>
        </w:tc>
      </w:tr>
      <w:tr>
        <w:tc>
          <w:tcPr>
            <w:tcW w:type="dxa" w:w="2076"/>
          </w:tcPr>
          <w:p/>
        </w:tc>
        <w:tc>
          <w:tcPr>
            <w:tcW w:type="dxa" w:w="415"/>
          </w:tcPr>
          <w:p>
            <w:pPr>
              <w:pStyle w:val="null3"/>
            </w:pPr>
            <w:r>
              <w:rPr/>
              <w:t>49</w:t>
            </w:r>
          </w:p>
        </w:tc>
        <w:tc>
          <w:tcPr>
            <w:tcW w:type="dxa" w:w="5814"/>
          </w:tcPr>
          <w:p>
            <w:pPr>
              <w:pStyle w:val="null3"/>
            </w:pPr>
            <w:r>
              <w:rPr/>
              <w:t>42.7 冷台，1套；</w:t>
            </w:r>
          </w:p>
        </w:tc>
      </w:tr>
      <w:tr>
        <w:tc>
          <w:tcPr>
            <w:tcW w:type="dxa" w:w="2076"/>
          </w:tcPr>
          <w:p/>
        </w:tc>
        <w:tc>
          <w:tcPr>
            <w:tcW w:type="dxa" w:w="415"/>
          </w:tcPr>
          <w:p>
            <w:pPr>
              <w:pStyle w:val="null3"/>
            </w:pPr>
            <w:r>
              <w:rPr/>
              <w:t>50</w:t>
            </w:r>
          </w:p>
        </w:tc>
        <w:tc>
          <w:tcPr>
            <w:tcW w:type="dxa" w:w="5814"/>
          </w:tcPr>
          <w:p>
            <w:pPr>
              <w:pStyle w:val="null3"/>
            </w:pPr>
            <w:r>
              <w:rPr/>
              <w:t>42.8 能谱仪探测器，1个；</w:t>
            </w:r>
          </w:p>
        </w:tc>
      </w:tr>
      <w:tr>
        <w:tc>
          <w:tcPr>
            <w:tcW w:type="dxa" w:w="2076"/>
          </w:tcPr>
          <w:p/>
        </w:tc>
        <w:tc>
          <w:tcPr>
            <w:tcW w:type="dxa" w:w="415"/>
          </w:tcPr>
          <w:p>
            <w:pPr>
              <w:pStyle w:val="null3"/>
            </w:pPr>
            <w:r>
              <w:rPr/>
              <w:t>51</w:t>
            </w:r>
          </w:p>
        </w:tc>
        <w:tc>
          <w:tcPr>
            <w:tcW w:type="dxa" w:w="5814"/>
          </w:tcPr>
          <w:p>
            <w:pPr>
              <w:pStyle w:val="null3"/>
            </w:pPr>
            <w:r>
              <w:rPr/>
              <w:t>42.9 空压机（满足42.1工作要求），1套；</w:t>
            </w:r>
          </w:p>
        </w:tc>
      </w:tr>
      <w:tr>
        <w:tc>
          <w:tcPr>
            <w:tcW w:type="dxa" w:w="2076"/>
          </w:tcPr>
          <w:p/>
        </w:tc>
        <w:tc>
          <w:tcPr>
            <w:tcW w:type="dxa" w:w="415"/>
          </w:tcPr>
          <w:p>
            <w:pPr>
              <w:pStyle w:val="null3"/>
            </w:pPr>
            <w:r>
              <w:rPr/>
              <w:t>52</w:t>
            </w:r>
          </w:p>
        </w:tc>
        <w:tc>
          <w:tcPr>
            <w:tcW w:type="dxa" w:w="5814"/>
          </w:tcPr>
          <w:p>
            <w:pPr>
              <w:pStyle w:val="null3"/>
            </w:pPr>
            <w:r>
              <w:rPr/>
              <w:t>42.10 冷却循环水机（满足42.1工作要求），1套；</w:t>
            </w:r>
          </w:p>
        </w:tc>
      </w:tr>
      <w:tr>
        <w:tc>
          <w:tcPr>
            <w:tcW w:type="dxa" w:w="2076"/>
          </w:tcPr>
          <w:p/>
        </w:tc>
        <w:tc>
          <w:tcPr>
            <w:tcW w:type="dxa" w:w="415"/>
          </w:tcPr>
          <w:p>
            <w:pPr>
              <w:pStyle w:val="null3"/>
            </w:pPr>
            <w:r>
              <w:rPr/>
              <w:t>53</w:t>
            </w:r>
          </w:p>
        </w:tc>
        <w:tc>
          <w:tcPr>
            <w:tcW w:type="dxa" w:w="5814"/>
          </w:tcPr>
          <w:p>
            <w:pPr>
              <w:pStyle w:val="null3"/>
            </w:pPr>
            <w:r>
              <w:rPr/>
              <w:t>42.11 稳定设备（满足42.1工作要求），1套；</w:t>
            </w:r>
          </w:p>
        </w:tc>
      </w:tr>
      <w:tr>
        <w:tc>
          <w:tcPr>
            <w:tcW w:type="dxa" w:w="2076"/>
          </w:tcPr>
          <w:p/>
        </w:tc>
        <w:tc>
          <w:tcPr>
            <w:tcW w:type="dxa" w:w="415"/>
          </w:tcPr>
          <w:p>
            <w:pPr>
              <w:pStyle w:val="null3"/>
            </w:pPr>
            <w:r>
              <w:rPr/>
              <w:t>54</w:t>
            </w:r>
          </w:p>
        </w:tc>
        <w:tc>
          <w:tcPr>
            <w:tcW w:type="dxa" w:w="5814"/>
          </w:tcPr>
          <w:p>
            <w:pPr>
              <w:pStyle w:val="null3"/>
            </w:pPr>
            <w:r>
              <w:rPr/>
              <w:t>43.整机质保≥3年。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透射电镜超微结构分析一体化平台(内部流水号34996)</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线分辨率：≤0.204 nm；</w:t>
            </w:r>
          </w:p>
        </w:tc>
      </w:tr>
      <w:tr>
        <w:tc>
          <w:tcPr>
            <w:tcW w:type="dxa" w:w="2076"/>
          </w:tcPr>
          <w:p/>
        </w:tc>
        <w:tc>
          <w:tcPr>
            <w:tcW w:type="dxa" w:w="415"/>
          </w:tcPr>
          <w:p>
            <w:pPr>
              <w:pStyle w:val="null3"/>
            </w:pPr>
            <w:r>
              <w:rPr/>
              <w:t>2</w:t>
            </w:r>
          </w:p>
        </w:tc>
        <w:tc>
          <w:tcPr>
            <w:tcW w:type="dxa" w:w="5814"/>
          </w:tcPr>
          <w:p>
            <w:pPr>
              <w:pStyle w:val="null3"/>
            </w:pPr>
            <w:r>
              <w:rPr/>
              <w:t>2.放大倍率：25×～650000×或更宽；</w:t>
            </w:r>
          </w:p>
        </w:tc>
      </w:tr>
      <w:tr>
        <w:tc>
          <w:tcPr>
            <w:tcW w:type="dxa" w:w="2076"/>
          </w:tcPr>
          <w:p/>
        </w:tc>
        <w:tc>
          <w:tcPr>
            <w:tcW w:type="dxa" w:w="415"/>
          </w:tcPr>
          <w:p>
            <w:pPr>
              <w:pStyle w:val="null3"/>
            </w:pPr>
            <w:r>
              <w:rPr/>
              <w:t>3</w:t>
            </w:r>
          </w:p>
        </w:tc>
        <w:tc>
          <w:tcPr>
            <w:tcW w:type="dxa" w:w="5814"/>
          </w:tcPr>
          <w:p>
            <w:pPr>
              <w:pStyle w:val="null3"/>
            </w:pPr>
            <w:r>
              <w:rPr/>
              <w:t>3.加速电压：20kV～120kV或更宽高压，连续可调；</w:t>
            </w:r>
          </w:p>
        </w:tc>
      </w:tr>
      <w:tr>
        <w:tc>
          <w:tcPr>
            <w:tcW w:type="dxa" w:w="2076"/>
          </w:tcPr>
          <w:p/>
        </w:tc>
        <w:tc>
          <w:tcPr>
            <w:tcW w:type="dxa" w:w="415"/>
          </w:tcPr>
          <w:p>
            <w:pPr>
              <w:pStyle w:val="null3"/>
            </w:pPr>
            <w:r>
              <w:rPr/>
              <w:t>4</w:t>
            </w:r>
          </w:p>
        </w:tc>
        <w:tc>
          <w:tcPr>
            <w:tcW w:type="dxa" w:w="5814"/>
          </w:tcPr>
          <w:p>
            <w:pPr>
              <w:pStyle w:val="null3"/>
            </w:pPr>
            <w:r>
              <w:rPr/>
              <w:t>4.加速电压全程范围内切换和电镜模式仅需通过软件控制快速完成；</w:t>
            </w:r>
          </w:p>
        </w:tc>
      </w:tr>
      <w:tr>
        <w:tc>
          <w:tcPr>
            <w:tcW w:type="dxa" w:w="2076"/>
          </w:tcPr>
          <w:p/>
        </w:tc>
        <w:tc>
          <w:tcPr>
            <w:tcW w:type="dxa" w:w="415"/>
          </w:tcPr>
          <w:p>
            <w:pPr>
              <w:pStyle w:val="null3"/>
            </w:pPr>
            <w:r>
              <w:rPr/>
              <w:t>5</w:t>
            </w:r>
          </w:p>
        </w:tc>
        <w:tc>
          <w:tcPr>
            <w:tcW w:type="dxa" w:w="5814"/>
          </w:tcPr>
          <w:p>
            <w:pPr>
              <w:pStyle w:val="null3"/>
            </w:pPr>
            <w:r>
              <w:rPr/>
              <w:t>5.电子枪发射源类型：六硼化镧灯丝或钨灯丝；</w:t>
            </w:r>
          </w:p>
        </w:tc>
      </w:tr>
      <w:tr>
        <w:tc>
          <w:tcPr>
            <w:tcW w:type="dxa" w:w="2076"/>
          </w:tcPr>
          <w:p/>
        </w:tc>
        <w:tc>
          <w:tcPr>
            <w:tcW w:type="dxa" w:w="415"/>
          </w:tcPr>
          <w:p>
            <w:pPr>
              <w:pStyle w:val="null3"/>
            </w:pPr>
            <w:r>
              <w:rPr/>
              <w:t>6</w:t>
            </w:r>
          </w:p>
        </w:tc>
        <w:tc>
          <w:tcPr>
            <w:tcW w:type="dxa" w:w="5814"/>
          </w:tcPr>
          <w:p>
            <w:pPr>
              <w:pStyle w:val="null3"/>
            </w:pPr>
            <w:r>
              <w:rPr/>
              <w:t>6.物镜采用恒功率透镜设计，消除在不同模式切换以及放大倍数调整时产生的热效应，保证成像与分析的稳定性；</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7.物镜极靴间距：≥10mm，保证单倾样品杆，三维重构样品杆的最大转动角度；</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8.可选升级冷冻盒或冷冻极靴，用于升级为冷冻透射电镜；</w:t>
            </w:r>
          </w:p>
        </w:tc>
      </w:tr>
      <w:tr>
        <w:tc>
          <w:tcPr>
            <w:tcW w:type="dxa" w:w="2076"/>
          </w:tcPr>
          <w:p/>
        </w:tc>
        <w:tc>
          <w:tcPr>
            <w:tcW w:type="dxa" w:w="415"/>
          </w:tcPr>
          <w:p>
            <w:pPr>
              <w:pStyle w:val="null3"/>
            </w:pPr>
            <w:r>
              <w:rPr/>
              <w:t>9</w:t>
            </w:r>
          </w:p>
        </w:tc>
        <w:tc>
          <w:tcPr>
            <w:tcW w:type="dxa" w:w="5814"/>
          </w:tcPr>
          <w:p>
            <w:pPr>
              <w:pStyle w:val="null3"/>
            </w:pPr>
            <w:r>
              <w:rPr/>
              <w:t>9.聚光镜光阑孔和物镜光阑孔的切换和对中完全由计算机软件控制，软件系统可选择光阑孔径并进行自动化对中；</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10.完全无油真空系统，具备三级真空系统，至少包括前级隔膜泵、分子泵和离子泵；</w:t>
            </w:r>
          </w:p>
        </w:tc>
      </w:tr>
      <w:tr>
        <w:tc>
          <w:tcPr>
            <w:tcW w:type="dxa" w:w="2076"/>
          </w:tcPr>
          <w:p/>
        </w:tc>
        <w:tc>
          <w:tcPr>
            <w:tcW w:type="dxa" w:w="415"/>
          </w:tcPr>
          <w:p>
            <w:pPr>
              <w:pStyle w:val="null3"/>
            </w:pPr>
            <w:r>
              <w:rPr/>
              <w:t>11</w:t>
            </w:r>
          </w:p>
        </w:tc>
        <w:tc>
          <w:tcPr>
            <w:tcW w:type="dxa" w:w="5814"/>
          </w:tcPr>
          <w:p>
            <w:pPr>
              <w:pStyle w:val="null3"/>
            </w:pPr>
            <w:r>
              <w:rPr/>
              <w:t>11.常温下真空度：电子枪真空度≤9 x10</w:t>
            </w:r>
            <w:r>
              <w:rPr>
                <w:vertAlign w:val="superscript"/>
              </w:rPr>
              <w:t>-6</w:t>
            </w:r>
            <w:r>
              <w:rPr/>
              <w:t>Pa；样品区真空度≤ 3 x10</w:t>
            </w:r>
            <w:r>
              <w:rPr>
                <w:vertAlign w:val="superscript"/>
              </w:rPr>
              <w:t>-5</w:t>
            </w:r>
            <w:r>
              <w:rPr/>
              <w:t>Pa；</w:t>
            </w:r>
          </w:p>
        </w:tc>
      </w:tr>
      <w:tr>
        <w:tc>
          <w:tcPr>
            <w:tcW w:type="dxa" w:w="2076"/>
          </w:tcPr>
          <w:p/>
        </w:tc>
        <w:tc>
          <w:tcPr>
            <w:tcW w:type="dxa" w:w="415"/>
          </w:tcPr>
          <w:p>
            <w:pPr>
              <w:pStyle w:val="null3"/>
            </w:pPr>
            <w:r>
              <w:rPr/>
              <w:t>12</w:t>
            </w:r>
          </w:p>
        </w:tc>
        <w:tc>
          <w:tcPr>
            <w:tcW w:type="dxa" w:w="5814"/>
          </w:tcPr>
          <w:p>
            <w:pPr>
              <w:pStyle w:val="null3"/>
            </w:pPr>
            <w:r>
              <w:rPr/>
              <w:t>12.换样时间≤60秒；</w:t>
            </w:r>
          </w:p>
        </w:tc>
      </w:tr>
      <w:tr>
        <w:tc>
          <w:tcPr>
            <w:tcW w:type="dxa" w:w="2076"/>
          </w:tcPr>
          <w:p/>
        </w:tc>
        <w:tc>
          <w:tcPr>
            <w:tcW w:type="dxa" w:w="415"/>
          </w:tcPr>
          <w:p>
            <w:pPr>
              <w:pStyle w:val="null3"/>
            </w:pPr>
            <w:r>
              <w:rPr/>
              <w:t>13</w:t>
            </w:r>
          </w:p>
        </w:tc>
        <w:tc>
          <w:tcPr>
            <w:tcW w:type="dxa" w:w="5814"/>
          </w:tcPr>
          <w:p>
            <w:pPr>
              <w:pStyle w:val="null3"/>
            </w:pPr>
            <w:r>
              <w:rPr/>
              <w:t>13.更换样品期间无需关高压同时保持灯丝开启状态；</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14.观察和拍摄样品图像时可以仅开启离子泵同时关闭分子泵和隔膜泵，避免分子泵的震动影响高分辨率图像的拍摄；</w:t>
            </w:r>
          </w:p>
        </w:tc>
      </w:tr>
      <w:tr>
        <w:tc>
          <w:tcPr>
            <w:tcW w:type="dxa" w:w="2076"/>
          </w:tcPr>
          <w:p/>
        </w:tc>
        <w:tc>
          <w:tcPr>
            <w:tcW w:type="dxa" w:w="415"/>
          </w:tcPr>
          <w:p>
            <w:pPr>
              <w:pStyle w:val="null3"/>
            </w:pPr>
            <w:r>
              <w:rPr/>
              <w:t>15</w:t>
            </w:r>
          </w:p>
        </w:tc>
        <w:tc>
          <w:tcPr>
            <w:tcW w:type="dxa" w:w="5814"/>
          </w:tcPr>
          <w:p>
            <w:pPr>
              <w:pStyle w:val="null3"/>
            </w:pPr>
            <w:r>
              <w:rPr/>
              <w:t>15.配置一体化高动态数字相机；</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 CMOS相机像素：感应尺寸≥4,096×4,096像素，像素物理大小≥14um×14um，有效感光面积：≥3200mm</w:t>
            </w:r>
            <w:r>
              <w:rPr>
                <w:vertAlign w:val="superscript"/>
              </w:rPr>
              <w:t>2</w:t>
            </w:r>
            <w:r>
              <w:rPr/>
              <w:t>；</w:t>
            </w:r>
          </w:p>
        </w:tc>
      </w:tr>
      <w:tr>
        <w:tc>
          <w:tcPr>
            <w:tcW w:type="dxa" w:w="2076"/>
          </w:tcPr>
          <w:p/>
        </w:tc>
        <w:tc>
          <w:tcPr>
            <w:tcW w:type="dxa" w:w="415"/>
          </w:tcPr>
          <w:p>
            <w:pPr>
              <w:pStyle w:val="null3"/>
            </w:pPr>
            <w:r>
              <w:rPr/>
              <w:t>17</w:t>
            </w:r>
          </w:p>
        </w:tc>
        <w:tc>
          <w:tcPr>
            <w:tcW w:type="dxa" w:w="5814"/>
          </w:tcPr>
          <w:p>
            <w:pPr>
              <w:pStyle w:val="null3"/>
            </w:pPr>
            <w:r>
              <w:rPr/>
              <w:t>17.五轴优中心高精度自动样品台，观察点位置可以标记存储并返回；</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18.标准样品杆最大α倾斜角度：≥±90°；</w:t>
            </w:r>
          </w:p>
        </w:tc>
      </w:tr>
      <w:tr>
        <w:tc>
          <w:tcPr>
            <w:tcW w:type="dxa" w:w="2076"/>
          </w:tcPr>
          <w:p/>
        </w:tc>
        <w:tc>
          <w:tcPr>
            <w:tcW w:type="dxa" w:w="415"/>
          </w:tcPr>
          <w:p>
            <w:pPr>
              <w:pStyle w:val="null3"/>
            </w:pPr>
            <w:r>
              <w:rPr/>
              <w:t>19</w:t>
            </w:r>
          </w:p>
        </w:tc>
        <w:tc>
          <w:tcPr>
            <w:tcW w:type="dxa" w:w="5814"/>
          </w:tcPr>
          <w:p>
            <w:pPr>
              <w:pStyle w:val="null3"/>
            </w:pPr>
            <w:r>
              <w:rPr/>
              <w:t>19.样品移动范围：X,Y ≥2 mm；Z ≥0.75 mm；</w:t>
            </w:r>
          </w:p>
        </w:tc>
      </w:tr>
      <w:tr>
        <w:tc>
          <w:tcPr>
            <w:tcW w:type="dxa" w:w="2076"/>
          </w:tcPr>
          <w:p/>
        </w:tc>
        <w:tc>
          <w:tcPr>
            <w:tcW w:type="dxa" w:w="415"/>
          </w:tcPr>
          <w:p>
            <w:pPr>
              <w:pStyle w:val="null3"/>
            </w:pPr>
            <w:r>
              <w:rPr/>
              <w:t>20</w:t>
            </w:r>
          </w:p>
        </w:tc>
        <w:tc>
          <w:tcPr>
            <w:tcW w:type="dxa" w:w="5814"/>
          </w:tcPr>
          <w:p>
            <w:pPr>
              <w:pStyle w:val="null3"/>
            </w:pPr>
            <w:r>
              <w:rPr/>
              <w:t>20.样品漂移速率（使用标准样品杆）：≤1nm/min；</w:t>
            </w:r>
          </w:p>
        </w:tc>
      </w:tr>
      <w:tr>
        <w:tc>
          <w:tcPr>
            <w:tcW w:type="dxa" w:w="2076"/>
          </w:tcPr>
          <w:p/>
        </w:tc>
        <w:tc>
          <w:tcPr>
            <w:tcW w:type="dxa" w:w="415"/>
          </w:tcPr>
          <w:p>
            <w:pPr>
              <w:pStyle w:val="null3"/>
            </w:pPr>
            <w:r>
              <w:rPr/>
              <w:t>21</w:t>
            </w:r>
          </w:p>
        </w:tc>
        <w:tc>
          <w:tcPr>
            <w:tcW w:type="dxa" w:w="5814"/>
          </w:tcPr>
          <w:p>
            <w:pPr>
              <w:pStyle w:val="null3"/>
            </w:pPr>
            <w:r>
              <w:rPr/>
              <w:t>21.配备标准单倾样品杆1根；</w:t>
            </w:r>
          </w:p>
        </w:tc>
      </w:tr>
      <w:tr>
        <w:tc>
          <w:tcPr>
            <w:tcW w:type="dxa" w:w="2076"/>
          </w:tcPr>
          <w:p/>
        </w:tc>
        <w:tc>
          <w:tcPr>
            <w:tcW w:type="dxa" w:w="415"/>
          </w:tcPr>
          <w:p>
            <w:pPr>
              <w:pStyle w:val="null3"/>
            </w:pPr>
            <w:r>
              <w:rPr/>
              <w:t>22</w:t>
            </w:r>
          </w:p>
        </w:tc>
        <w:tc>
          <w:tcPr>
            <w:tcW w:type="dxa" w:w="5814"/>
          </w:tcPr>
          <w:p>
            <w:pPr>
              <w:pStyle w:val="null3"/>
            </w:pPr>
            <w:r>
              <w:rPr/>
              <w:t>22.单倾三维重构样品杆1根 ；</w:t>
            </w:r>
          </w:p>
        </w:tc>
      </w:tr>
      <w:tr>
        <w:tc>
          <w:tcPr>
            <w:tcW w:type="dxa" w:w="2076"/>
          </w:tcPr>
          <w:p/>
        </w:tc>
        <w:tc>
          <w:tcPr>
            <w:tcW w:type="dxa" w:w="415"/>
          </w:tcPr>
          <w:p>
            <w:pPr>
              <w:pStyle w:val="null3"/>
            </w:pPr>
            <w:r>
              <w:rPr/>
              <w:t>23</w:t>
            </w:r>
          </w:p>
        </w:tc>
        <w:tc>
          <w:tcPr>
            <w:tcW w:type="dxa" w:w="5814"/>
          </w:tcPr>
          <w:p>
            <w:pPr>
              <w:pStyle w:val="null3"/>
            </w:pPr>
            <w:r>
              <w:rPr/>
              <w:t>23.三维重构软件包括：数据采集软件、数据对中及重构、可视化处理软件；</w:t>
            </w:r>
          </w:p>
        </w:tc>
      </w:tr>
      <w:tr>
        <w:tc>
          <w:tcPr>
            <w:tcW w:type="dxa" w:w="2076"/>
          </w:tcPr>
          <w:p/>
        </w:tc>
        <w:tc>
          <w:tcPr>
            <w:tcW w:type="dxa" w:w="415"/>
          </w:tcPr>
          <w:p>
            <w:pPr>
              <w:pStyle w:val="null3"/>
            </w:pPr>
            <w:r>
              <w:rPr/>
              <w:t>24</w:t>
            </w:r>
          </w:p>
        </w:tc>
        <w:tc>
          <w:tcPr>
            <w:tcW w:type="dxa" w:w="5814"/>
          </w:tcPr>
          <w:p>
            <w:pPr>
              <w:pStyle w:val="null3"/>
            </w:pPr>
            <w:r>
              <w:rPr/>
              <w:t>24.插入三维重构样品杆时α角最大倾斜角度：±70°或更宽；</w:t>
            </w:r>
          </w:p>
        </w:tc>
      </w:tr>
      <w:tr>
        <w:tc>
          <w:tcPr>
            <w:tcW w:type="dxa" w:w="2076"/>
          </w:tcPr>
          <w:p/>
        </w:tc>
        <w:tc>
          <w:tcPr>
            <w:tcW w:type="dxa" w:w="415"/>
          </w:tcPr>
          <w:p>
            <w:pPr>
              <w:pStyle w:val="null3"/>
            </w:pPr>
            <w:r>
              <w:rPr/>
              <w:t>25</w:t>
            </w:r>
          </w:p>
        </w:tc>
        <w:tc>
          <w:tcPr>
            <w:tcW w:type="dxa" w:w="5814"/>
          </w:tcPr>
          <w:p>
            <w:pPr>
              <w:pStyle w:val="null3"/>
            </w:pPr>
            <w:r>
              <w:rPr/>
              <w:t>25.自动拼图拍摄可设置的拼图数量≥50×50，单次总自动拼图张数≥2500；</w:t>
            </w:r>
          </w:p>
        </w:tc>
      </w:tr>
      <w:tr>
        <w:tc>
          <w:tcPr>
            <w:tcW w:type="dxa" w:w="2076"/>
          </w:tcPr>
          <w:p/>
        </w:tc>
        <w:tc>
          <w:tcPr>
            <w:tcW w:type="dxa" w:w="415"/>
          </w:tcPr>
          <w:p>
            <w:pPr>
              <w:pStyle w:val="null3"/>
            </w:pPr>
            <w:r>
              <w:rPr/>
              <w:t>26</w:t>
            </w:r>
          </w:p>
        </w:tc>
        <w:tc>
          <w:tcPr>
            <w:tcW w:type="dxa" w:w="5814"/>
          </w:tcPr>
          <w:p>
            <w:pPr>
              <w:pStyle w:val="null3"/>
            </w:pPr>
            <w:r>
              <w:rPr/>
              <w:t>26.拍摄图像的实时拼接可以与图像拍摄采集同时进行；</w:t>
            </w:r>
          </w:p>
        </w:tc>
      </w:tr>
      <w:tr>
        <w:tc>
          <w:tcPr>
            <w:tcW w:type="dxa" w:w="2076"/>
          </w:tcPr>
          <w:p/>
        </w:tc>
        <w:tc>
          <w:tcPr>
            <w:tcW w:type="dxa" w:w="415"/>
          </w:tcPr>
          <w:p>
            <w:pPr>
              <w:pStyle w:val="null3"/>
            </w:pPr>
            <w:r>
              <w:rPr/>
              <w:t>27</w:t>
            </w:r>
          </w:p>
        </w:tc>
        <w:tc>
          <w:tcPr>
            <w:tcW w:type="dxa" w:w="5814"/>
          </w:tcPr>
          <w:p>
            <w:pPr>
              <w:pStyle w:val="null3"/>
            </w:pPr>
            <w:r>
              <w:rPr/>
              <w:t>27.采用人机分离的系统控制方式，控制装置和电镜主机可以相隔≥10m安装在不同的房间，电镜系统软件可通过直观简单的工作流程，实现快速可重复操作，从光学模式设置、探测器选择到采集和分析，快速获得结果；</w:t>
            </w:r>
          </w:p>
        </w:tc>
      </w:tr>
      <w:tr>
        <w:tc>
          <w:tcPr>
            <w:tcW w:type="dxa" w:w="2076"/>
          </w:tcPr>
          <w:p/>
        </w:tc>
        <w:tc>
          <w:tcPr>
            <w:tcW w:type="dxa" w:w="415"/>
          </w:tcPr>
          <w:p>
            <w:pPr>
              <w:pStyle w:val="null3"/>
            </w:pPr>
            <w:r>
              <w:rPr/>
              <w:t>28</w:t>
            </w:r>
          </w:p>
        </w:tc>
        <w:tc>
          <w:tcPr>
            <w:tcW w:type="dxa" w:w="5814"/>
          </w:tcPr>
          <w:p>
            <w:pPr>
              <w:pStyle w:val="null3"/>
            </w:pPr>
            <w:r>
              <w:rPr/>
              <w:t>28. 产品配置清单：</w:t>
            </w:r>
          </w:p>
        </w:tc>
      </w:tr>
      <w:tr>
        <w:tc>
          <w:tcPr>
            <w:tcW w:type="dxa" w:w="2076"/>
          </w:tcPr>
          <w:p/>
        </w:tc>
        <w:tc>
          <w:tcPr>
            <w:tcW w:type="dxa" w:w="415"/>
          </w:tcPr>
          <w:p>
            <w:pPr>
              <w:pStyle w:val="null3"/>
            </w:pPr>
            <w:r>
              <w:rPr/>
              <w:t>29</w:t>
            </w:r>
          </w:p>
        </w:tc>
        <w:tc>
          <w:tcPr>
            <w:tcW w:type="dxa" w:w="5814"/>
          </w:tcPr>
          <w:p>
            <w:pPr>
              <w:pStyle w:val="null3"/>
            </w:pPr>
            <w:r>
              <w:rPr/>
              <w:t>28.1 120KV透射电镜主机，1台；</w:t>
            </w:r>
          </w:p>
        </w:tc>
      </w:tr>
      <w:tr>
        <w:tc>
          <w:tcPr>
            <w:tcW w:type="dxa" w:w="2076"/>
          </w:tcPr>
          <w:p/>
        </w:tc>
        <w:tc>
          <w:tcPr>
            <w:tcW w:type="dxa" w:w="415"/>
          </w:tcPr>
          <w:p>
            <w:pPr>
              <w:pStyle w:val="null3"/>
            </w:pPr>
            <w:r>
              <w:rPr/>
              <w:t>30</w:t>
            </w:r>
          </w:p>
        </w:tc>
        <w:tc>
          <w:tcPr>
            <w:tcW w:type="dxa" w:w="5814"/>
          </w:tcPr>
          <w:p>
            <w:pPr>
              <w:pStyle w:val="null3"/>
            </w:pPr>
            <w:r>
              <w:rPr/>
              <w:t>28.2 一体化CMOS相机，1台；</w:t>
            </w:r>
          </w:p>
        </w:tc>
      </w:tr>
      <w:tr>
        <w:tc>
          <w:tcPr>
            <w:tcW w:type="dxa" w:w="2076"/>
          </w:tcPr>
          <w:p/>
        </w:tc>
        <w:tc>
          <w:tcPr>
            <w:tcW w:type="dxa" w:w="415"/>
          </w:tcPr>
          <w:p>
            <w:pPr>
              <w:pStyle w:val="null3"/>
            </w:pPr>
            <w:r>
              <w:rPr/>
              <w:t>31</w:t>
            </w:r>
          </w:p>
        </w:tc>
        <w:tc>
          <w:tcPr>
            <w:tcW w:type="dxa" w:w="5814"/>
          </w:tcPr>
          <w:p>
            <w:pPr>
              <w:pStyle w:val="null3"/>
            </w:pPr>
            <w:r>
              <w:rPr/>
              <w:t>28.3 单倾样品杆，1根；</w:t>
            </w:r>
          </w:p>
        </w:tc>
      </w:tr>
      <w:tr>
        <w:tc>
          <w:tcPr>
            <w:tcW w:type="dxa" w:w="2076"/>
          </w:tcPr>
          <w:p/>
        </w:tc>
        <w:tc>
          <w:tcPr>
            <w:tcW w:type="dxa" w:w="415"/>
          </w:tcPr>
          <w:p>
            <w:pPr>
              <w:pStyle w:val="null3"/>
            </w:pPr>
            <w:r>
              <w:rPr/>
              <w:t>32</w:t>
            </w:r>
          </w:p>
        </w:tc>
        <w:tc>
          <w:tcPr>
            <w:tcW w:type="dxa" w:w="5814"/>
          </w:tcPr>
          <w:p>
            <w:pPr>
              <w:pStyle w:val="null3"/>
            </w:pPr>
            <w:r>
              <w:rPr/>
              <w:t>28.4 三维重构样品杆，1根；</w:t>
            </w:r>
          </w:p>
        </w:tc>
      </w:tr>
      <w:tr>
        <w:tc>
          <w:tcPr>
            <w:tcW w:type="dxa" w:w="2076"/>
          </w:tcPr>
          <w:p/>
        </w:tc>
        <w:tc>
          <w:tcPr>
            <w:tcW w:type="dxa" w:w="415"/>
          </w:tcPr>
          <w:p>
            <w:pPr>
              <w:pStyle w:val="null3"/>
            </w:pPr>
            <w:r>
              <w:rPr/>
              <w:t>33</w:t>
            </w:r>
          </w:p>
        </w:tc>
        <w:tc>
          <w:tcPr>
            <w:tcW w:type="dxa" w:w="5814"/>
          </w:tcPr>
          <w:p>
            <w:pPr>
              <w:pStyle w:val="null3"/>
            </w:pPr>
            <w:r>
              <w:rPr/>
              <w:t>28.5 电镜控制软件，1套；</w:t>
            </w:r>
          </w:p>
        </w:tc>
      </w:tr>
      <w:tr>
        <w:tc>
          <w:tcPr>
            <w:tcW w:type="dxa" w:w="2076"/>
          </w:tcPr>
          <w:p/>
        </w:tc>
        <w:tc>
          <w:tcPr>
            <w:tcW w:type="dxa" w:w="415"/>
          </w:tcPr>
          <w:p>
            <w:pPr>
              <w:pStyle w:val="null3"/>
            </w:pPr>
            <w:r>
              <w:rPr/>
              <w:t>34</w:t>
            </w:r>
          </w:p>
        </w:tc>
        <w:tc>
          <w:tcPr>
            <w:tcW w:type="dxa" w:w="5814"/>
          </w:tcPr>
          <w:p>
            <w:pPr>
              <w:pStyle w:val="null3"/>
            </w:pPr>
            <w:r>
              <w:rPr/>
              <w:t>28.6 三维重构软件，1套；</w:t>
            </w:r>
          </w:p>
        </w:tc>
      </w:tr>
      <w:tr>
        <w:tc>
          <w:tcPr>
            <w:tcW w:type="dxa" w:w="2076"/>
          </w:tcPr>
          <w:p/>
        </w:tc>
        <w:tc>
          <w:tcPr>
            <w:tcW w:type="dxa" w:w="415"/>
          </w:tcPr>
          <w:p>
            <w:pPr>
              <w:pStyle w:val="null3"/>
            </w:pPr>
            <w:r>
              <w:rPr/>
              <w:t>35</w:t>
            </w:r>
          </w:p>
        </w:tc>
        <w:tc>
          <w:tcPr>
            <w:tcW w:type="dxa" w:w="5814"/>
          </w:tcPr>
          <w:p>
            <w:pPr>
              <w:pStyle w:val="null3"/>
            </w:pPr>
            <w:r>
              <w:rPr/>
              <w:t>28.7 稳定设备（满足28.1工作要求），1台。</w:t>
            </w:r>
          </w:p>
        </w:tc>
      </w:tr>
      <w:tr>
        <w:tc>
          <w:tcPr>
            <w:tcW w:type="dxa" w:w="2076"/>
          </w:tcPr>
          <w:p/>
        </w:tc>
        <w:tc>
          <w:tcPr>
            <w:tcW w:type="dxa" w:w="415"/>
          </w:tcPr>
          <w:p>
            <w:pPr>
              <w:pStyle w:val="null3"/>
            </w:pPr>
            <w:r>
              <w:rPr/>
              <w:t>36</w:t>
            </w:r>
          </w:p>
        </w:tc>
        <w:tc>
          <w:tcPr>
            <w:tcW w:type="dxa" w:w="5814"/>
          </w:tcPr>
          <w:p>
            <w:pPr>
              <w:pStyle w:val="null3"/>
            </w:pPr>
            <w:r>
              <w:rPr/>
              <w:t>29.整机质保≥3年，售后服务期（至少包括维护服务、技术支持以及零配件供应）≥4年。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采购机构代理服务收费标准：采购代理服务费以本项目中标金额作为计算基数 ，参照《广东省物价局粤价函〔2013〕1233号》规定的标准费率下浮20%。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其他，无</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广东有德招标采购有限公司网站（www.youde.net）。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范小姐</w:t>
      </w:r>
    </w:p>
    <w:p>
      <w:pPr>
        <w:pStyle w:val="null3"/>
        <w:ind w:firstLine="480"/>
      </w:pPr>
      <w:r>
        <w:rPr/>
        <w:t>电话：</w:t>
      </w:r>
      <w:r>
        <w:rPr/>
        <w:t>020-88260083</w:t>
      </w:r>
    </w:p>
    <w:p>
      <w:pPr>
        <w:pStyle w:val="null3"/>
        <w:ind w:firstLine="480"/>
      </w:pPr>
      <w:r>
        <w:rPr/>
        <w:t>传真：</w:t>
      </w:r>
      <w:r>
        <w:rPr/>
        <w:t>/</w:t>
      </w:r>
    </w:p>
    <w:p>
      <w:pPr>
        <w:pStyle w:val="null3"/>
        <w:ind w:firstLine="480"/>
      </w:pPr>
      <w:r>
        <w:rPr/>
        <w:t>邮箱：</w:t>
      </w:r>
      <w:r>
        <w:rPr/>
        <w:t>shiyebu_youde@163.com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冷冻双束高分辨扫描电镜超微结构分析一体化平台)：综合评分法,是指投标文件满足招标文件全部实质性要求，且按照评审因素的量化指标评审得分最高的投标人为中标候选人的评标方法。（最低报价不是中标的唯一依据。）</w:t>
      </w:r>
    </w:p>
    <w:p>
      <w:pPr>
        <w:pStyle w:val="null3"/>
      </w:pPr>
      <w:r>
        <w:rPr/>
        <w:t>采购包2(超高效液相色谱-三重四极杆质谱联用仪一体化平台等)：综合评分法,是指投标文件满足招标文件全部实质性要求，且按照评审因素的量化指标评审得分最高的投标人为中标候选人的评标方法。（最低报价不是中标的唯一依据。）</w:t>
      </w:r>
    </w:p>
    <w:p>
      <w:pPr>
        <w:pStyle w:val="null3"/>
      </w:pPr>
      <w:r>
        <w:rPr/>
        <w:t>采购包3(场发射扫描电镜等)：综合评分法,是指投标文件满足招标文件全部实质性要求，且按照评审因素的量化指标评审得分最高的投标人为中标候选人的评标方法。（最低报价不是中标的唯一依据。）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采购包1（冷冻双束高分辨扫描电镜超微结构分析一体化平台）：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采购包2（超高效液相色谱-三重四极杆质谱联用仪一体化平台等）：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采购包3（场发射扫描电镜等）：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采购包1（冷冻双束高分辨扫描电镜超微结构分析一体化平台）：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采购包不属于专门面向中小企业采购。</w:t>
            </w:r>
          </w:p>
        </w:tc>
      </w:tr>
    </w:tbl>
    <w:p>
      <w:pPr>
        <w:pStyle w:val="null3"/>
      </w:pPr>
      <w:r>
        <w:rPr/>
        <w:t>采购包2（超高效液相色谱-三重四极杆质谱联用仪一体化平台等）：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采购包不属于专门面向中小企业采购。</w:t>
            </w:r>
          </w:p>
        </w:tc>
      </w:tr>
    </w:tbl>
    <w:p>
      <w:pPr>
        <w:pStyle w:val="null3"/>
      </w:pPr>
      <w:r>
        <w:rPr/>
        <w:t>采购包3（场发射扫描电镜等）：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 为本项目提供整体设计、 规范编制或者项目管理、监理、 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采购包不属于专门面向中小企业采购。</w:t>
            </w:r>
          </w:p>
        </w:tc>
      </w:tr>
    </w:tbl>
    <w:p>
      <w:pPr>
        <w:pStyle w:val="null3"/>
        <w:ind w:firstLine="480"/>
      </w:pPr>
      <w:r>
        <w:rPr/>
        <w:t>表二符合性审查表：</w:t>
      </w:r>
    </w:p>
    <w:p>
      <w:pPr>
        <w:pStyle w:val="null3"/>
      </w:pPr>
      <w:r>
        <w:rPr/>
        <w:t>采购包1（冷冻双束高分辨扫描电镜超微结构分析一体化平台）：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投标报价是固定价且是唯一的，投标总价和投标单价未超出最高限价。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采购包2（超高效液相色谱-三重四极杆质谱联用仪一体化平台等）：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投标报价是固定价且是唯一的，投标总价和投标单价未超出最高限价。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采购包3（场发射扫描电镜等）：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投标报价是固定价且是唯一的，投标总价和投标单价未超出最高限价。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采购包1(冷冻双束高分辨扫描电镜超微结构分析一体化平台):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(45.0分)</w:t>
            </w:r>
          </w:p>
        </w:tc>
        <w:tc>
          <w:tcPr>
            <w:tcW w:type="dxa" w:w="5076"/>
          </w:tcPr>
          <w:p>
            <w:pPr>
              <w:pStyle w:val="null3"/>
              <w:jc w:val="left"/>
            </w:pPr>
            <w:r>
              <w:rPr/>
              <w:t>1.对采购需求中技术标准与要求带▲标识的技术条款响应情况（共5项）：完全满足或优于招标文件技术参数要求得20分，每出现一处负偏离扣4分，扣完为止。2.对采购需求中技术标准与要求非▲标识的一般技术条款响应情况：完全满足或优于用户需求技术参数要求得25分；负偏离总数≤20条的，每出现一处负偏离，扣1分，合计最多扣20分；负偏离总数＞20条的，扣分=20分+（负偏离总数-20）/（一般技术条款总数-20）×5分，结果四舍五入保留两位小数。【注：采购需求中有要求提供证明材料的，按要求提供相关证明材料，未按要求提供证明材料的不得分；其余的参数或条款以技术和服务要求响应表响应情况为准，投标响应参数应与厂家的产品资料一致，不一致的以厂家资料为准。】</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根据投标人的质量保证措施、针对性、可行性情况进行评价： 1.质量保证措施详细具体、针对性强、合理可行，得5分； 2.质量保证措施基本完整、有一定针对性、可行性一般，得3分； 3.质量保证措施不完整、缺乏针对性、可行性差，得1分； 4.不提供不得分。</w:t>
            </w:r>
          </w:p>
        </w:tc>
      </w:tr>
      <w:tr>
        <w:tc>
          <w:tcPr>
            <w:tcW w:type="dxa" w:w="922"/>
            <w:gridSpan w:val="2"/>
            <w:vMerge/>
          </w:tcPr>
          <w:p/>
        </w:tc>
        <w:tc>
          <w:tcPr>
            <w:tcW w:type="dxa" w:w="2307"/>
          </w:tcPr>
          <w:p>
            <w:pPr>
              <w:pStyle w:val="null3"/>
              <w:jc w:val="left"/>
            </w:pPr>
            <w:r>
              <w:rPr/>
              <w:t>项目组织管理与实施进度计划 (5.0分)</w:t>
            </w:r>
            <w:r>
              <w:rPr/>
              <w:t>，（等次分值选择：</w:t>
            </w:r>
            <w:r>
              <w:rPr/>
              <w:t>0.0;</w:t>
            </w:r>
            <w:r>
              <w:rPr/>
              <w:t>1.0;</w:t>
            </w:r>
            <w:r>
              <w:rPr/>
              <w:t>3.0;</w:t>
            </w:r>
            <w:r>
              <w:rPr/>
              <w:t>5.0;</w:t>
            </w:r>
            <w:r>
              <w:rPr/>
              <w:t>）</w:t>
            </w:r>
          </w:p>
        </w:tc>
        <w:tc>
          <w:tcPr>
            <w:tcW w:type="dxa" w:w="5076"/>
          </w:tcPr>
          <w:p>
            <w:pPr>
              <w:pStyle w:val="null3"/>
              <w:jc w:val="left"/>
            </w:pPr>
            <w:r>
              <w:rPr/>
              <w:t>根据投标人的项目组织管理与实施进度计划内容、进度控制、与本项目需要相匹配等情况进行评价： 1.计划具体详细，进度控制合理，完全满足项目需求，得5分； 2.计划基本完整，进度控制基本合理，基本满足项目需求，得3分； 3.计划不完整，进度控制差，无法满足项目需求，得1分； 4.不提供不得分。</w:t>
            </w:r>
          </w:p>
        </w:tc>
      </w:tr>
      <w:tr>
        <w:tc>
          <w:tcPr>
            <w:tcW w:type="dxa" w:w="922"/>
            <w:gridSpan w:val="2"/>
            <w:vMerge/>
          </w:tcPr>
          <w:p/>
        </w:tc>
        <w:tc>
          <w:tcPr>
            <w:tcW w:type="dxa" w:w="2307"/>
          </w:tcPr>
          <w:p>
            <w:pPr>
              <w:pStyle w:val="null3"/>
              <w:jc w:val="left"/>
            </w:pPr>
            <w:r>
              <w:rPr/>
              <w:t>技术、服务及货物运输、安装方案 (5.0分)</w:t>
            </w:r>
            <w:r>
              <w:rPr/>
              <w:t>，（等次分值选择：</w:t>
            </w:r>
            <w:r>
              <w:rPr/>
              <w:t>0.0;</w:t>
            </w:r>
            <w:r>
              <w:rPr/>
              <w:t>1.0;</w:t>
            </w:r>
            <w:r>
              <w:rPr/>
              <w:t>3.0;</w:t>
            </w:r>
            <w:r>
              <w:rPr/>
              <w:t>5.0;</w:t>
            </w:r>
            <w:r>
              <w:rPr/>
              <w:t>）</w:t>
            </w:r>
          </w:p>
        </w:tc>
        <w:tc>
          <w:tcPr>
            <w:tcW w:type="dxa" w:w="5076"/>
          </w:tcPr>
          <w:p>
            <w:pPr>
              <w:pStyle w:val="null3"/>
              <w:jc w:val="left"/>
            </w:pPr>
            <w:r>
              <w:rPr/>
              <w:t>根据投标人的技术、服务及货物运输、安装方案进行评价： 1.投标人拟制的技术、服务及货物运输、安装方案，详细具体、具有针对性、可操作性强，得5分； 2.技术、服务及货物运输、安装方案较具体、针对性较强、操作性较强，得3分； 3.技术、服务及货物运输、安装方案一般、针对性一般、可操作性一般，得1分；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根据投标人对招标文件采购需求“主要商务要求”的响应程度进行评审（共4项）：完全满足或优于的得3分，每有一项负偏离或无响应的扣0.75分，最低扣至0分。（注：主要商务要求包括标的提供的时间、标的提供的地点、验收要求）</w:t>
            </w:r>
          </w:p>
        </w:tc>
      </w:tr>
      <w:tr>
        <w:tc>
          <w:tcPr>
            <w:tcW w:type="dxa" w:w="922"/>
            <w:gridSpan w:val="2"/>
            <w:vMerge/>
          </w:tcPr>
          <w:p/>
        </w:tc>
        <w:tc>
          <w:tcPr>
            <w:tcW w:type="dxa" w:w="2307"/>
          </w:tcPr>
          <w:p>
            <w:pPr>
              <w:pStyle w:val="null3"/>
              <w:jc w:val="left"/>
            </w:pPr>
            <w:r>
              <w:rPr/>
              <w:t>类似项目业绩情况 (4.0分)</w:t>
            </w:r>
          </w:p>
        </w:tc>
        <w:tc>
          <w:tcPr>
            <w:tcW w:type="dxa" w:w="5076"/>
          </w:tcPr>
          <w:p>
            <w:pPr>
              <w:pStyle w:val="null3"/>
              <w:jc w:val="left"/>
            </w:pPr>
            <w:r>
              <w:rPr/>
              <w:t>2021年1月1日至今（时间以合同签订时间为准）完成的同类项目业绩，每个得1分，最高得4分。同时提供合同和中标通知书复印件，未提供的不得分。</w:t>
            </w:r>
          </w:p>
        </w:tc>
      </w:tr>
      <w:tr>
        <w:tc>
          <w:tcPr>
            <w:tcW w:type="dxa" w:w="922"/>
            <w:gridSpan w:val="2"/>
            <w:vMerge/>
          </w:tcPr>
          <w:p/>
        </w:tc>
        <w:tc>
          <w:tcPr>
            <w:tcW w:type="dxa" w:w="2307"/>
          </w:tcPr>
          <w:p>
            <w:pPr>
              <w:pStyle w:val="null3"/>
              <w:jc w:val="left"/>
            </w:pPr>
            <w:r>
              <w:rPr/>
              <w:t>售后服务 (3.0分)</w:t>
            </w:r>
            <w:r>
              <w:rPr/>
              <w:t>，（等次分值选择：</w:t>
            </w:r>
            <w:r>
              <w:rPr/>
              <w:t>0.0;</w:t>
            </w:r>
            <w:r>
              <w:rPr/>
              <w:t>0.5;</w:t>
            </w:r>
            <w:r>
              <w:rPr/>
              <w:t>1.0;</w:t>
            </w:r>
            <w:r>
              <w:rPr/>
              <w:t>2.0;</w:t>
            </w:r>
            <w:r>
              <w:rPr/>
              <w:t>3.0;</w:t>
            </w:r>
            <w:r>
              <w:rPr/>
              <w:t>）</w:t>
            </w:r>
          </w:p>
        </w:tc>
        <w:tc>
          <w:tcPr>
            <w:tcW w:type="dxa" w:w="5076"/>
          </w:tcPr>
          <w:p>
            <w:pPr>
              <w:pStyle w:val="null3"/>
              <w:jc w:val="left"/>
            </w:pPr>
            <w:r>
              <w:rPr/>
              <w:t>根据投标人售后服务方案（包括但不限于售后服务承诺、保修期、备品备件价格、培训、维护保养计划、应急维修时间安排及措施、售后服务机构设置等）的完整性、可行性、便捷性进行打分： 1.服务方案完整详实、合理可行、便捷性高，得3分； 2.服务方案较完整详实、较合理可行、便捷性较高，得2分； 3.服务方案基本完整、可行性一般、便捷性一般，得1分； 4.服务方案不完整、可行性差、便捷性差，得0.5分； 5.不提供不得分。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采购包2(超高效液相色谱-三重四极杆质谱联用仪一体化平台等):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(45.0分)</w:t>
            </w:r>
          </w:p>
        </w:tc>
        <w:tc>
          <w:tcPr>
            <w:tcW w:type="dxa" w:w="5076"/>
          </w:tcPr>
          <w:p>
            <w:pPr>
              <w:pStyle w:val="null3"/>
              <w:jc w:val="left"/>
            </w:pPr>
            <w:r>
              <w:rPr/>
              <w:t>1.对采购需求中技术标准与要求带▲标识的技术条款响应情况（共6项）：完全满足或优于招标文件技术参数要求得24分，每出现一处负偏离扣4分，扣完为止。2.对采购需求中技术标准与要求非▲标识的一般技术条款响应情况：完全满足或优于用户需求技术参数要求得21分；负偏离总数≤20条的，每出现一处负偏离，扣0.8分，合计最多扣16分；负偏离总数＞20条的，扣分=16分+（负偏离总数-20）/（一般技术条款总数-20）×5分，结果四舍五入保留两位小数。【注：采购需求中有要求提供证明材料的，按要求提供相关证明材料，未按要求提供证明材料的不得分；其余的参数或条款以技术和服务要求响应表响应情况为准，投标响应参数应与厂家的产品资料一致，不一致的以厂家资料为准。】</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根据投标人的质量保证措施、针对性、可行性情况进行评价： 1.质量保证措施详细具体、针对性强、合理可行，得5分； 2.质量保证措施基本完整、有一定针对性、可行性一般，得3分； 3.质量保证措施不完整、缺乏针对性、可行性差，得1分； 4.不提供不得分。</w:t>
            </w:r>
          </w:p>
        </w:tc>
      </w:tr>
      <w:tr>
        <w:tc>
          <w:tcPr>
            <w:tcW w:type="dxa" w:w="922"/>
            <w:gridSpan w:val="2"/>
            <w:vMerge/>
          </w:tcPr>
          <w:p/>
        </w:tc>
        <w:tc>
          <w:tcPr>
            <w:tcW w:type="dxa" w:w="2307"/>
          </w:tcPr>
          <w:p>
            <w:pPr>
              <w:pStyle w:val="null3"/>
              <w:jc w:val="left"/>
            </w:pPr>
            <w:r>
              <w:rPr/>
              <w:t>项目组织管理与实施进度计划 (5.0分)</w:t>
            </w:r>
            <w:r>
              <w:rPr/>
              <w:t>，（等次分值选择：</w:t>
            </w:r>
            <w:r>
              <w:rPr/>
              <w:t>0.0;</w:t>
            </w:r>
            <w:r>
              <w:rPr/>
              <w:t>1.0;</w:t>
            </w:r>
            <w:r>
              <w:rPr/>
              <w:t>3.0;</w:t>
            </w:r>
            <w:r>
              <w:rPr/>
              <w:t>5.0;</w:t>
            </w:r>
            <w:r>
              <w:rPr/>
              <w:t>）</w:t>
            </w:r>
          </w:p>
        </w:tc>
        <w:tc>
          <w:tcPr>
            <w:tcW w:type="dxa" w:w="5076"/>
          </w:tcPr>
          <w:p>
            <w:pPr>
              <w:pStyle w:val="null3"/>
              <w:jc w:val="left"/>
            </w:pPr>
            <w:r>
              <w:rPr/>
              <w:t>根据投标人的项目组织管理与实施进度计划内容、进度控制、与本项目需要相匹配等情况进行评价： 1.计划具体详细，进度控制合理，完全满足项目需求，得5分； 2.计划基本完整，进度控制基本合理，基本满足项目需求，得3分； 3.计划不完整，进度控制差，无法满足项目需求，得1分； 4.不提供不得分。</w:t>
            </w:r>
          </w:p>
        </w:tc>
      </w:tr>
      <w:tr>
        <w:tc>
          <w:tcPr>
            <w:tcW w:type="dxa" w:w="922"/>
            <w:gridSpan w:val="2"/>
            <w:vMerge/>
          </w:tcPr>
          <w:p/>
        </w:tc>
        <w:tc>
          <w:tcPr>
            <w:tcW w:type="dxa" w:w="2307"/>
          </w:tcPr>
          <w:p>
            <w:pPr>
              <w:pStyle w:val="null3"/>
              <w:jc w:val="left"/>
            </w:pPr>
            <w:r>
              <w:rPr/>
              <w:t>技术、服务及货物运输、安装方案 (5.0分)</w:t>
            </w:r>
            <w:r>
              <w:rPr/>
              <w:t>，（等次分值选择：</w:t>
            </w:r>
            <w:r>
              <w:rPr/>
              <w:t>0.0;</w:t>
            </w:r>
            <w:r>
              <w:rPr/>
              <w:t>1.0;</w:t>
            </w:r>
            <w:r>
              <w:rPr/>
              <w:t>3.0;</w:t>
            </w:r>
            <w:r>
              <w:rPr/>
              <w:t>5.0;</w:t>
            </w:r>
            <w:r>
              <w:rPr/>
              <w:t>）</w:t>
            </w:r>
          </w:p>
        </w:tc>
        <w:tc>
          <w:tcPr>
            <w:tcW w:type="dxa" w:w="5076"/>
          </w:tcPr>
          <w:p>
            <w:pPr>
              <w:pStyle w:val="null3"/>
              <w:jc w:val="left"/>
            </w:pPr>
            <w:r>
              <w:rPr/>
              <w:t>根据投标人的技术、服务及货物运输、安装方案进行评价： 1.投标人拟制的技术、服务及货物运输、安装方案，详细具体、具有针对性、可操作性强，得5分； 2.技术、服务及货物运输、安装方案较具体、针对性较强、操作性较强，得3分； 3.技术、服务及货物运输、安装方案一般、针对性一般、可操作性一般，得1分；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根据投标人对招标文件采购需求“主要商务要求”的响应程度进行评审（共4项）：完全满足或优于的得3分，每有一项负偏离或无响应的扣0.75分，最低扣至0分。（注：主要商务要求包括标的提供的时间、标的提供的地点、验收要求）</w:t>
            </w:r>
          </w:p>
        </w:tc>
      </w:tr>
      <w:tr>
        <w:tc>
          <w:tcPr>
            <w:tcW w:type="dxa" w:w="922"/>
            <w:gridSpan w:val="2"/>
            <w:vMerge/>
          </w:tcPr>
          <w:p/>
        </w:tc>
        <w:tc>
          <w:tcPr>
            <w:tcW w:type="dxa" w:w="2307"/>
          </w:tcPr>
          <w:p>
            <w:pPr>
              <w:pStyle w:val="null3"/>
              <w:jc w:val="left"/>
            </w:pPr>
            <w:r>
              <w:rPr/>
              <w:t>类似项目业绩情况 (4.0分)</w:t>
            </w:r>
          </w:p>
        </w:tc>
        <w:tc>
          <w:tcPr>
            <w:tcW w:type="dxa" w:w="5076"/>
          </w:tcPr>
          <w:p>
            <w:pPr>
              <w:pStyle w:val="null3"/>
              <w:jc w:val="left"/>
            </w:pPr>
            <w:r>
              <w:rPr/>
              <w:t>2021年1月1日至今（时间以合同签订时间为准）完成的同类项目业绩，每个得1分，最高得4分。同时提供合同和中标通知书复印件，未提供的不得分。</w:t>
            </w:r>
          </w:p>
        </w:tc>
      </w:tr>
      <w:tr>
        <w:tc>
          <w:tcPr>
            <w:tcW w:type="dxa" w:w="922"/>
            <w:gridSpan w:val="2"/>
            <w:vMerge/>
          </w:tcPr>
          <w:p/>
        </w:tc>
        <w:tc>
          <w:tcPr>
            <w:tcW w:type="dxa" w:w="2307"/>
          </w:tcPr>
          <w:p>
            <w:pPr>
              <w:pStyle w:val="null3"/>
              <w:jc w:val="left"/>
            </w:pPr>
            <w:r>
              <w:rPr/>
              <w:t>售后服务 (3.0分)</w:t>
            </w:r>
            <w:r>
              <w:rPr/>
              <w:t>，（等次分值选择：</w:t>
            </w:r>
            <w:r>
              <w:rPr/>
              <w:t>0.0;</w:t>
            </w:r>
            <w:r>
              <w:rPr/>
              <w:t>0.5;</w:t>
            </w:r>
            <w:r>
              <w:rPr/>
              <w:t>1.0;</w:t>
            </w:r>
            <w:r>
              <w:rPr/>
              <w:t>2.0;</w:t>
            </w:r>
            <w:r>
              <w:rPr/>
              <w:t>3.0;</w:t>
            </w:r>
            <w:r>
              <w:rPr/>
              <w:t>）</w:t>
            </w:r>
          </w:p>
        </w:tc>
        <w:tc>
          <w:tcPr>
            <w:tcW w:type="dxa" w:w="5076"/>
          </w:tcPr>
          <w:p>
            <w:pPr>
              <w:pStyle w:val="null3"/>
              <w:jc w:val="left"/>
            </w:pPr>
            <w:r>
              <w:rPr/>
              <w:t>根据投标人售后服务方案（包括但不限于售后服务承诺、保修期、备品备件价格、培训、维护保养计划、应急维修时间安排及措施、售后服务机构设置等）的完整性、可行性、便捷性进行打分： 1.服务方案完整详实、合理可行、便捷性高，得3分； 2.服务方案较完整详实、较合理可行、便捷性较高，得2分； 3.服务方案基本完整、可行性一般、便捷性一般，得1分； 4.服务方案不完整、可行性差、便捷性差，得0.5分； 5.不提供不得分。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采购包3(场发射扫描电镜等):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(45.0分)</w:t>
            </w:r>
          </w:p>
        </w:tc>
        <w:tc>
          <w:tcPr>
            <w:tcW w:type="dxa" w:w="5076"/>
          </w:tcPr>
          <w:p>
            <w:pPr>
              <w:pStyle w:val="null3"/>
              <w:jc w:val="left"/>
            </w:pPr>
            <w:r>
              <w:rPr/>
              <w:t>1.对采购需求中技术标准与要求带▲标识的技术条款响应情况（共10项）：完全满足或优于招标文件技术参数要求得30分，每出现一处负偏离扣3分，扣完为止。2.对采购需求中技术标准与要求非▲标识的一般技术条款响应情况：完全满足或优于用户需求技术参数要求得15分；负偏离总数≤20条的，每出现一处负偏离，扣0.5分，合计最多扣10分；负偏离总数＞20条的，扣分=10分+（负偏离总数-20）/（一般技术条款总数-20）×5分，结果四舍五入保留两位小数。【注：采购需求中有要求提供证明材料的，按要求提供相关证明材料，未按要求提供证明材料的不得分；其余的参数或条款以技术和服务要求响应表响应情况为准，投标响应参数应与厂家的产品资料一致，不一致的以厂家资料为准。】</w:t>
            </w:r>
          </w:p>
        </w:tc>
      </w:tr>
      <w:tr>
        <w:tc>
          <w:tcPr>
            <w:tcW w:type="dxa" w:w="922"/>
            <w:gridSpan w:val="2"/>
            <w:vMerge/>
          </w:tcPr>
          <w:p/>
        </w:tc>
        <w:tc>
          <w:tcPr>
            <w:tcW w:type="dxa" w:w="2307"/>
          </w:tcPr>
          <w:p>
            <w:pPr>
              <w:pStyle w:val="null3"/>
              <w:jc w:val="left"/>
            </w:pPr>
            <w:r>
              <w:rPr/>
              <w:t>质量保证措施 (5.0分)</w:t>
            </w:r>
            <w:r>
              <w:rPr/>
              <w:t>，（等次分值选择：</w:t>
            </w:r>
            <w:r>
              <w:rPr/>
              <w:t>0.0;</w:t>
            </w:r>
            <w:r>
              <w:rPr/>
              <w:t>1.0;</w:t>
            </w:r>
            <w:r>
              <w:rPr/>
              <w:t>3.0;</w:t>
            </w:r>
            <w:r>
              <w:rPr/>
              <w:t>5.0;</w:t>
            </w:r>
            <w:r>
              <w:rPr/>
              <w:t>）</w:t>
            </w:r>
          </w:p>
        </w:tc>
        <w:tc>
          <w:tcPr>
            <w:tcW w:type="dxa" w:w="5076"/>
          </w:tcPr>
          <w:p>
            <w:pPr>
              <w:pStyle w:val="null3"/>
              <w:jc w:val="left"/>
            </w:pPr>
            <w:r>
              <w:rPr/>
              <w:t>根据投标人的质量保证措施、针对性、可行性情况进行评价： 1.质量保证措施详细具体、针对性强、合理可行，得5分； 2.质量保证措施基本完整、有一定针对性、可行性一般，得3分； 3.质量保证措施不完整、缺乏针对性、可行性差，得1分； 4.不提供不得分。</w:t>
            </w:r>
          </w:p>
        </w:tc>
      </w:tr>
      <w:tr>
        <w:tc>
          <w:tcPr>
            <w:tcW w:type="dxa" w:w="922"/>
            <w:gridSpan w:val="2"/>
            <w:vMerge/>
          </w:tcPr>
          <w:p/>
        </w:tc>
        <w:tc>
          <w:tcPr>
            <w:tcW w:type="dxa" w:w="2307"/>
          </w:tcPr>
          <w:p>
            <w:pPr>
              <w:pStyle w:val="null3"/>
              <w:jc w:val="left"/>
            </w:pPr>
            <w:r>
              <w:rPr/>
              <w:t>项目组织管理与实施进度计划 (5.0分)</w:t>
            </w:r>
            <w:r>
              <w:rPr/>
              <w:t>，（等次分值选择：</w:t>
            </w:r>
            <w:r>
              <w:rPr/>
              <w:t>0.0;</w:t>
            </w:r>
            <w:r>
              <w:rPr/>
              <w:t>1.0;</w:t>
            </w:r>
            <w:r>
              <w:rPr/>
              <w:t>3.0;</w:t>
            </w:r>
            <w:r>
              <w:rPr/>
              <w:t>5.0;</w:t>
            </w:r>
            <w:r>
              <w:rPr/>
              <w:t>）</w:t>
            </w:r>
          </w:p>
        </w:tc>
        <w:tc>
          <w:tcPr>
            <w:tcW w:type="dxa" w:w="5076"/>
          </w:tcPr>
          <w:p>
            <w:pPr>
              <w:pStyle w:val="null3"/>
              <w:jc w:val="left"/>
            </w:pPr>
            <w:r>
              <w:rPr/>
              <w:t>根据投标人的项目组织管理与实施进度计划内容、进度控制、与本项目需要相匹配等情况进行评价： 1.计划具体详细，进度控制合理，完全满足项目需求，得5分； 2.计划基本完整，进度控制基本合理，基本满足项目需求，得3分； 3.计划不完整，进度控制差，无法满足项目需求，得1分； 4.不提供不得分。</w:t>
            </w:r>
          </w:p>
        </w:tc>
      </w:tr>
      <w:tr>
        <w:tc>
          <w:tcPr>
            <w:tcW w:type="dxa" w:w="922"/>
            <w:gridSpan w:val="2"/>
            <w:vMerge/>
          </w:tcPr>
          <w:p/>
        </w:tc>
        <w:tc>
          <w:tcPr>
            <w:tcW w:type="dxa" w:w="2307"/>
          </w:tcPr>
          <w:p>
            <w:pPr>
              <w:pStyle w:val="null3"/>
              <w:jc w:val="left"/>
            </w:pPr>
            <w:r>
              <w:rPr/>
              <w:t>技术、服务及货物运输、安装方案 (5.0分)</w:t>
            </w:r>
            <w:r>
              <w:rPr/>
              <w:t>，（等次分值选择：</w:t>
            </w:r>
            <w:r>
              <w:rPr/>
              <w:t>0.0;</w:t>
            </w:r>
            <w:r>
              <w:rPr/>
              <w:t>1.0;</w:t>
            </w:r>
            <w:r>
              <w:rPr/>
              <w:t>3.0;</w:t>
            </w:r>
            <w:r>
              <w:rPr/>
              <w:t>5.0;</w:t>
            </w:r>
            <w:r>
              <w:rPr/>
              <w:t>）</w:t>
            </w:r>
          </w:p>
        </w:tc>
        <w:tc>
          <w:tcPr>
            <w:tcW w:type="dxa" w:w="5076"/>
          </w:tcPr>
          <w:p>
            <w:pPr>
              <w:pStyle w:val="null3"/>
              <w:jc w:val="left"/>
            </w:pPr>
            <w:r>
              <w:rPr/>
              <w:t>根据投标人的技术、服务及货物运输、安装方案进行评价： 1.投标人拟制的技术、服务及货物运输、安装方案，详细具体、具有针对性、可操作性强，得5分； 2.技术、服务及货物运输、安装方案较具体、针对性较强、操作性较强，得3分； 3.技术、服务及货物运输、安装方案一般、针对性一般、可操作性一般，得1分；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根据投标人对招标文件采购需求“主要商务要求”的响应程度进行评审（共4项）：完全满足或优于的得3分，每有一项负偏离或无响应的扣0.75分，最低扣至0分。（注：主要商务要求包括标的提供的时间、标的提供的地点、验收要求）</w:t>
            </w:r>
          </w:p>
        </w:tc>
      </w:tr>
      <w:tr>
        <w:tc>
          <w:tcPr>
            <w:tcW w:type="dxa" w:w="922"/>
            <w:gridSpan w:val="2"/>
            <w:vMerge/>
          </w:tcPr>
          <w:p/>
        </w:tc>
        <w:tc>
          <w:tcPr>
            <w:tcW w:type="dxa" w:w="2307"/>
          </w:tcPr>
          <w:p>
            <w:pPr>
              <w:pStyle w:val="null3"/>
              <w:jc w:val="left"/>
            </w:pPr>
            <w:r>
              <w:rPr/>
              <w:t>类似项目业绩情况 (4.0分)</w:t>
            </w:r>
          </w:p>
        </w:tc>
        <w:tc>
          <w:tcPr>
            <w:tcW w:type="dxa" w:w="5076"/>
          </w:tcPr>
          <w:p>
            <w:pPr>
              <w:pStyle w:val="null3"/>
              <w:jc w:val="left"/>
            </w:pPr>
            <w:r>
              <w:rPr/>
              <w:t>2021年1月1日至今（时间以合同签订时间为准）完成的同类项目业绩，每个得1分，最高得4分。同时提供合同和中标通知书复印件，未提供的不得分。</w:t>
            </w:r>
          </w:p>
        </w:tc>
      </w:tr>
      <w:tr>
        <w:tc>
          <w:tcPr>
            <w:tcW w:type="dxa" w:w="922"/>
            <w:gridSpan w:val="2"/>
            <w:vMerge/>
          </w:tcPr>
          <w:p/>
        </w:tc>
        <w:tc>
          <w:tcPr>
            <w:tcW w:type="dxa" w:w="2307"/>
          </w:tcPr>
          <w:p>
            <w:pPr>
              <w:pStyle w:val="null3"/>
              <w:jc w:val="left"/>
            </w:pPr>
            <w:r>
              <w:rPr/>
              <w:t>售后服务 (3.0分)</w:t>
            </w:r>
            <w:r>
              <w:rPr/>
              <w:t>，（等次分值选择：</w:t>
            </w:r>
            <w:r>
              <w:rPr/>
              <w:t>0.0;</w:t>
            </w:r>
            <w:r>
              <w:rPr/>
              <w:t>0.5;</w:t>
            </w:r>
            <w:r>
              <w:rPr/>
              <w:t>1.0;</w:t>
            </w:r>
            <w:r>
              <w:rPr/>
              <w:t>2.0;</w:t>
            </w:r>
            <w:r>
              <w:rPr/>
              <w:t>3.0;</w:t>
            </w:r>
            <w:r>
              <w:rPr/>
              <w:t>）</w:t>
            </w:r>
          </w:p>
        </w:tc>
        <w:tc>
          <w:tcPr>
            <w:tcW w:type="dxa" w:w="5076"/>
          </w:tcPr>
          <w:p>
            <w:pPr>
              <w:pStyle w:val="null3"/>
              <w:jc w:val="left"/>
            </w:pPr>
            <w:r>
              <w:rPr/>
              <w:t>根据投标人售后服务方案（包括但不限于售后服务承诺、保修期、备品备件价格、培训、维护保养计划、应急维修时间安排及措施、售后服务机构设置等）的完整性、可行性、便捷性进行打分： 1.服务方案完整详实、合理可行、便捷性高，得3分； 2.服务方案较完整详实、较合理可行、便捷性较高，得2分； 3.服务方案基本完整、可行性一般、便捷性一般，得1分； 4.服务方案不完整、可行性差、便捷性差，得0.5分； 5.不提供不得分。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南方医科大学银校项目一期</w:t>
      </w:r>
    </w:p>
    <w:p>
      <w:pPr>
        <w:pStyle w:val="null3"/>
        <w:jc w:val="center"/>
      </w:pPr>
      <w:r>
        <w:rPr>
          <w:sz w:val="52"/>
          <w:b/>
        </w:rPr>
        <w:t>（合同包号</w:t>
      </w:r>
      <w:r>
        <w:rPr>
          <w:sz w:val="52"/>
          <w:b/>
        </w:rPr>
        <w:t>X:采购名称XXX之XXX）项目</w:t>
      </w:r>
    </w:p>
    <w:p>
      <w:pPr>
        <w:pStyle w:val="null3"/>
        <w:jc w:val="center"/>
      </w:pPr>
      <w:r>
        <w:rPr>
          <w:sz w:val="52"/>
          <w:b/>
        </w:rPr>
        <w:t>采购合同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rPr>
        <w:t>2024年 月</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45"/>
        <w:gridCol w:w="7410"/>
      </w:tblGrid>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甲方名称：</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中国银行股份有限公司广州白云支行</w:t>
            </w: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 xml:space="preserve">    </w:t>
            </w:r>
            <w:r>
              <w:rPr>
                <w:sz w:val="21"/>
              </w:rPr>
              <w:t>址：</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w:t>
            </w:r>
            <w:r>
              <w:rPr>
                <w:sz w:val="21"/>
              </w:rPr>
              <w:t xml:space="preserve">    </w:t>
            </w:r>
            <w:r>
              <w:rPr>
                <w:sz w:val="21"/>
              </w:rPr>
              <w:t>编：</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w:t>
            </w:r>
            <w:r>
              <w:rPr>
                <w:sz w:val="21"/>
              </w:rPr>
              <w:t>负责人：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项目联系人：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w:t>
            </w:r>
            <w:r>
              <w:rPr>
                <w:sz w:val="21"/>
              </w:rPr>
              <w:t xml:space="preserve">    </w:t>
            </w:r>
            <w:r>
              <w:rPr>
                <w:sz w:val="21"/>
              </w:rPr>
              <w:t>真：</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乙方名称：</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 xml:space="preserve">    </w:t>
            </w:r>
            <w:r>
              <w:rPr>
                <w:sz w:val="21"/>
              </w:rPr>
              <w:t>址：</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w:t>
            </w:r>
            <w:r>
              <w:rPr>
                <w:sz w:val="21"/>
              </w:rPr>
              <w:t xml:space="preserve">    </w:t>
            </w:r>
            <w:r>
              <w:rPr>
                <w:sz w:val="21"/>
              </w:rPr>
              <w:t>编：</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项目联系人：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w:t>
            </w:r>
            <w:r>
              <w:rPr>
                <w:sz w:val="21"/>
              </w:rPr>
              <w:t xml:space="preserve">    </w:t>
            </w:r>
            <w:r>
              <w:rPr>
                <w:sz w:val="21"/>
              </w:rPr>
              <w:t>真：</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丙方名称：</w:t>
            </w:r>
            <w:r>
              <w:rPr>
                <w:sz w:val="21"/>
              </w:rPr>
              <w:t xml:space="preserve">      </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南方医科大学</w:t>
            </w: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 xml:space="preserve">    </w:t>
            </w:r>
            <w:r>
              <w:rPr>
                <w:sz w:val="21"/>
              </w:rPr>
              <w:t>址：</w:t>
            </w:r>
            <w:r>
              <w:rPr>
                <w:sz w:val="21"/>
              </w:rPr>
              <w:t xml:space="preserve">      </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w:t>
            </w:r>
            <w:r>
              <w:rPr>
                <w:sz w:val="21"/>
              </w:rPr>
              <w:t xml:space="preserve">    </w:t>
            </w:r>
            <w:r>
              <w:rPr>
                <w:sz w:val="21"/>
              </w:rPr>
              <w:t>编：</w:t>
            </w:r>
            <w:r>
              <w:rPr>
                <w:sz w:val="21"/>
              </w:rPr>
              <w:t xml:space="preserve">      </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w:t>
            </w:r>
            <w:r>
              <w:rPr>
                <w:sz w:val="21"/>
              </w:rPr>
              <w:t>负责人：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项目联系人：</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w:t>
            </w:r>
            <w:r>
              <w:rPr>
                <w:sz w:val="21"/>
              </w:rPr>
              <w:t xml:space="preserve">    </w:t>
            </w:r>
            <w:r>
              <w:rPr>
                <w:sz w:val="21"/>
              </w:rPr>
              <w:t>真：</w:t>
            </w:r>
          </w:p>
        </w:tc>
        <w:tc>
          <w:tcPr>
            <w:tcW w:type="dxa" w:w="74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rPr>
        <w:t xml:space="preserve">                                                                               </w:t>
      </w:r>
    </w:p>
    <w:p>
      <w:pPr>
        <w:pStyle w:val="null3"/>
        <w:jc w:val="both"/>
      </w:pPr>
      <w:r>
        <w:rPr>
          <w:sz w:val="21"/>
        </w:rPr>
        <w:t>根据相关法律法规的规定，合同各方就</w:t>
      </w:r>
      <w:r>
        <w:rPr>
          <w:sz w:val="21"/>
        </w:rPr>
        <w:t>[XXXX]</w:t>
      </w:r>
      <w:r>
        <w:rPr>
          <w:sz w:val="21"/>
        </w:rPr>
        <w:t>产品</w:t>
      </w:r>
      <w:r>
        <w:rPr>
          <w:sz w:val="21"/>
        </w:rPr>
        <w:t>采购，并完成培训服务以及相关的咨询和开发服务事宜，经协商达成一致，确立本合同，以明确各方的权利、义务，确保合同各方共同执行。</w:t>
      </w:r>
    </w:p>
    <w:p>
      <w:pPr>
        <w:pStyle w:val="null3"/>
        <w:jc w:val="both"/>
      </w:pPr>
      <w:r>
        <w:rPr>
          <w:sz w:val="21"/>
        </w:rPr>
        <w:t>【第一条】定义和解释</w:t>
      </w:r>
    </w:p>
    <w:p>
      <w:pPr>
        <w:pStyle w:val="null3"/>
        <w:jc w:val="both"/>
      </w:pPr>
      <w:r>
        <w:rPr>
          <w:sz w:val="21"/>
        </w:rPr>
        <w:t>1.</w:t>
      </w:r>
      <w:r>
        <w:rPr>
          <w:sz w:val="21"/>
        </w:rPr>
        <w:t>定义。在本合同中，除非上下文另有规定，下列术语具有如下含义：</w:t>
      </w:r>
    </w:p>
    <w:p>
      <w:pPr>
        <w:pStyle w:val="null3"/>
        <w:jc w:val="both"/>
      </w:pPr>
      <w:r>
        <w:rPr>
          <w:sz w:val="21"/>
        </w:rPr>
        <w:t>（</w:t>
      </w:r>
      <w:r>
        <w:rPr>
          <w:sz w:val="21"/>
        </w:rPr>
        <w:t>1</w:t>
      </w:r>
      <w:r>
        <w:rPr>
          <w:sz w:val="21"/>
        </w:rPr>
        <w:t>）“甲方”指</w:t>
      </w:r>
      <w:r>
        <w:rPr>
          <w:sz w:val="21"/>
        </w:rPr>
        <w:t>[</w:t>
      </w:r>
      <w:r>
        <w:rPr>
          <w:sz w:val="21"/>
        </w:rPr>
        <w:t>中国银行股份有限公司广州白云支行</w:t>
      </w:r>
      <w:r>
        <w:rPr>
          <w:sz w:val="21"/>
        </w:rPr>
        <w:t>]</w:t>
      </w:r>
      <w:r>
        <w:rPr>
          <w:sz w:val="21"/>
        </w:rPr>
        <w:t>，为合同项下产品的采购方，产品的所有方。</w:t>
      </w:r>
    </w:p>
    <w:p>
      <w:pPr>
        <w:pStyle w:val="null3"/>
        <w:jc w:val="both"/>
      </w:pPr>
      <w:r>
        <w:rPr>
          <w:sz w:val="21"/>
        </w:rPr>
        <w:t>（</w:t>
      </w:r>
      <w:r>
        <w:rPr>
          <w:sz w:val="21"/>
        </w:rPr>
        <w:t>2</w:t>
      </w:r>
      <w:r>
        <w:rPr>
          <w:sz w:val="21"/>
        </w:rPr>
        <w:t>）“乙方”指</w:t>
      </w:r>
      <w:r>
        <w:rPr>
          <w:sz w:val="21"/>
        </w:rPr>
        <w:t>[                                ]</w:t>
      </w:r>
      <w:r>
        <w:rPr>
          <w:sz w:val="21"/>
        </w:rPr>
        <w:t>，为合同项下产品的供应方。</w:t>
      </w:r>
    </w:p>
    <w:p>
      <w:pPr>
        <w:pStyle w:val="null3"/>
        <w:jc w:val="both"/>
      </w:pPr>
      <w:r>
        <w:rPr>
          <w:sz w:val="21"/>
        </w:rPr>
        <w:t>（</w:t>
      </w:r>
      <w:r>
        <w:rPr>
          <w:sz w:val="21"/>
        </w:rPr>
        <w:t>3</w:t>
      </w:r>
      <w:r>
        <w:rPr>
          <w:sz w:val="21"/>
        </w:rPr>
        <w:t>）“丙方”指</w:t>
      </w:r>
      <w:r>
        <w:rPr>
          <w:sz w:val="21"/>
        </w:rPr>
        <w:t>[</w:t>
      </w:r>
      <w:r>
        <w:rPr>
          <w:sz w:val="21"/>
        </w:rPr>
        <w:t>南方医科大学</w:t>
      </w:r>
      <w:r>
        <w:rPr>
          <w:sz w:val="21"/>
        </w:rPr>
        <w:t>]</w:t>
      </w:r>
      <w:r>
        <w:rPr>
          <w:sz w:val="21"/>
        </w:rPr>
        <w:t>，为合同项下产品的使用方。</w:t>
      </w:r>
    </w:p>
    <w:p>
      <w:pPr>
        <w:pStyle w:val="null3"/>
        <w:jc w:val="both"/>
      </w:pPr>
      <w:r>
        <w:rPr>
          <w:sz w:val="21"/>
        </w:rPr>
        <w:t>2.</w:t>
      </w:r>
      <w:r>
        <w:rPr>
          <w:sz w:val="21"/>
        </w:rPr>
        <w:t>解释。除非清楚地表明相反意思或上下文另有规定，在本合同以及任何其它合同文件中：</w:t>
      </w:r>
    </w:p>
    <w:p>
      <w:pPr>
        <w:pStyle w:val="null3"/>
        <w:jc w:val="both"/>
      </w:pPr>
      <w:r>
        <w:rPr>
          <w:sz w:val="21"/>
        </w:rPr>
        <w:t>（</w:t>
      </w:r>
      <w:r>
        <w:rPr>
          <w:sz w:val="21"/>
        </w:rPr>
        <w:t>1</w:t>
      </w:r>
      <w:r>
        <w:rPr>
          <w:sz w:val="21"/>
        </w:rPr>
        <w:t>）若付款日适逢非工作日，则顺延至次一个工作日付款；</w:t>
      </w:r>
    </w:p>
    <w:p>
      <w:pPr>
        <w:pStyle w:val="null3"/>
        <w:jc w:val="both"/>
      </w:pPr>
      <w:r>
        <w:rPr>
          <w:sz w:val="21"/>
        </w:rPr>
        <w:t>（</w:t>
      </w:r>
      <w:r>
        <w:rPr>
          <w:sz w:val="21"/>
        </w:rPr>
        <w:t>2</w:t>
      </w:r>
      <w:r>
        <w:rPr>
          <w:sz w:val="21"/>
        </w:rPr>
        <w:t>）标题，条款编号，斜体字，粗体字及划线，仅为方便查阅，不影响本合同之解释；</w:t>
      </w:r>
    </w:p>
    <w:p>
      <w:pPr>
        <w:pStyle w:val="null3"/>
        <w:jc w:val="both"/>
      </w:pPr>
      <w:r>
        <w:rPr>
          <w:sz w:val="21"/>
        </w:rPr>
        <w:t>（</w:t>
      </w:r>
      <w:r>
        <w:rPr>
          <w:sz w:val="21"/>
        </w:rPr>
        <w:t>3</w:t>
      </w:r>
      <w:r>
        <w:rPr>
          <w:sz w:val="21"/>
        </w:rPr>
        <w:t>）本合同之附件为本合同之一部份；</w:t>
      </w:r>
    </w:p>
    <w:p>
      <w:pPr>
        <w:pStyle w:val="null3"/>
        <w:jc w:val="both"/>
      </w:pPr>
      <w:r>
        <w:rPr>
          <w:sz w:val="21"/>
        </w:rPr>
        <w:t>（</w:t>
      </w:r>
      <w:r>
        <w:rPr>
          <w:sz w:val="21"/>
        </w:rPr>
        <w:t>4</w:t>
      </w:r>
      <w:r>
        <w:rPr>
          <w:sz w:val="21"/>
        </w:rPr>
        <w:t>）境外：是中华人民共和国以外的国家和地区，含港澳台地区。</w:t>
      </w:r>
    </w:p>
    <w:p>
      <w:pPr>
        <w:pStyle w:val="null3"/>
        <w:jc w:val="both"/>
      </w:pPr>
      <w:r>
        <w:rPr>
          <w:sz w:val="21"/>
        </w:rPr>
        <w:t>（</w:t>
      </w:r>
      <w:r>
        <w:rPr>
          <w:sz w:val="21"/>
        </w:rPr>
        <w:t>5</w:t>
      </w:r>
      <w:r>
        <w:rPr>
          <w:sz w:val="21"/>
        </w:rPr>
        <w:t>）本合同经各方共同协商订立，不得因一方起草了本合同或其任何条款，而按照不利于该方的原则来解释合同条文。</w:t>
      </w:r>
    </w:p>
    <w:p>
      <w:pPr>
        <w:pStyle w:val="null3"/>
        <w:jc w:val="both"/>
      </w:pPr>
      <w:r>
        <w:rPr>
          <w:sz w:val="21"/>
        </w:rPr>
        <w:t>【第二条】采购内容</w:t>
      </w:r>
    </w:p>
    <w:p>
      <w:pPr>
        <w:pStyle w:val="null3"/>
        <w:jc w:val="both"/>
      </w:pPr>
      <w:r>
        <w:rPr>
          <w:sz w:val="21"/>
        </w:rPr>
        <w:t>1.</w:t>
      </w:r>
      <w:r>
        <w:rPr>
          <w:sz w:val="21"/>
        </w:rPr>
        <w:t>合同内容：基于甲方与丙方于</w:t>
      </w:r>
      <w:r>
        <w:rPr>
          <w:sz w:val="21"/>
        </w:rPr>
        <w:t>202</w:t>
      </w:r>
      <w:r>
        <w:rPr>
          <w:sz w:val="21"/>
        </w:rPr>
        <w:t>×</w:t>
      </w:r>
      <w:r>
        <w:rPr>
          <w:sz w:val="21"/>
        </w:rPr>
        <w:t>年</w:t>
      </w:r>
      <w:r>
        <w:rPr>
          <w:sz w:val="21"/>
        </w:rPr>
        <w:t>×</w:t>
      </w:r>
      <w:r>
        <w:rPr>
          <w:sz w:val="21"/>
        </w:rPr>
        <w:t>月</w:t>
      </w:r>
      <w:r>
        <w:rPr>
          <w:sz w:val="21"/>
        </w:rPr>
        <w:t>×</w:t>
      </w:r>
      <w:r>
        <w:rPr>
          <w:sz w:val="21"/>
        </w:rPr>
        <w:t>日签订的</w:t>
      </w:r>
      <w:r>
        <w:rPr>
          <w:sz w:val="21"/>
        </w:rPr>
        <w:t>XX</w:t>
      </w:r>
      <w:r>
        <w:rPr>
          <w:sz w:val="21"/>
        </w:rPr>
        <w:t>《南方医科大学中国银行股份有限公司广州白云支行银校项目一期（</w:t>
      </w:r>
      <w:r>
        <w:rPr>
          <w:sz w:val="21"/>
        </w:rPr>
        <w:t>XXX</w:t>
      </w:r>
      <w:r>
        <w:rPr>
          <w:sz w:val="21"/>
        </w:rPr>
        <w:t>）》合作协议，甲方同意丙方的项目需求，根据本合同规定的范围和条件从乙方采购</w:t>
      </w:r>
      <w:r>
        <w:rPr>
          <w:sz w:val="21"/>
        </w:rPr>
        <w:t>[</w:t>
      </w:r>
      <w:r>
        <w:rPr>
          <w:sz w:val="21"/>
        </w:rPr>
        <w:t>南方医科大学银校项目一期（合同包</w:t>
      </w:r>
      <w:r>
        <w:rPr>
          <w:sz w:val="21"/>
        </w:rPr>
        <w:t>X</w:t>
      </w:r>
      <w:r>
        <w:rPr>
          <w:sz w:val="21"/>
        </w:rPr>
        <w:t>：</w:t>
      </w:r>
      <w:r>
        <w:rPr>
          <w:sz w:val="21"/>
        </w:rPr>
        <w:t>XXX</w:t>
      </w:r>
      <w:r>
        <w:rPr>
          <w:sz w:val="21"/>
        </w:rPr>
        <w:t>）</w:t>
      </w:r>
      <w:r>
        <w:rPr>
          <w:sz w:val="21"/>
        </w:rPr>
        <w:t>]</w:t>
      </w:r>
      <w:r>
        <w:rPr>
          <w:sz w:val="21"/>
        </w:rPr>
        <w:t>硬件产品</w:t>
      </w:r>
      <w:r>
        <w:rPr>
          <w:sz w:val="21"/>
        </w:rPr>
        <w:t>。</w:t>
      </w:r>
      <w:r>
        <w:rPr>
          <w:sz w:val="21"/>
        </w:rPr>
        <w:t xml:space="preserve">  </w:t>
      </w:r>
    </w:p>
    <w:p>
      <w:pPr>
        <w:pStyle w:val="null3"/>
        <w:jc w:val="both"/>
      </w:pPr>
      <w:r>
        <w:rPr>
          <w:sz w:val="21"/>
        </w:rPr>
        <w:t>合同总价款（人民币大写）：</w:t>
      </w:r>
      <w:r>
        <w:rPr>
          <w:sz w:val="21"/>
          <w:u w:val="single"/>
        </w:rPr>
        <w:t xml:space="preserve">       </w:t>
      </w:r>
      <w:r>
        <w:rPr>
          <w:sz w:val="21"/>
          <w:u w:val="single"/>
        </w:rPr>
        <w:t>　　　　　　</w:t>
      </w:r>
      <w:r>
        <w:rPr>
          <w:sz w:val="21"/>
        </w:rPr>
        <w:t>，￥</w:t>
      </w:r>
      <w:r>
        <w:rPr>
          <w:sz w:val="21"/>
        </w:rPr>
        <w:t>______</w:t>
      </w:r>
      <w:r>
        <w:rPr>
          <w:sz w:val="21"/>
        </w:rPr>
        <w:t>，其中不含增值税价共计人民币（大写）</w:t>
      </w:r>
      <w:r>
        <w:rPr>
          <w:sz w:val="21"/>
        </w:rPr>
        <w:t>_________</w:t>
      </w:r>
      <w:r>
        <w:rPr>
          <w:sz w:val="21"/>
        </w:rPr>
        <w:t>元整，￥</w:t>
      </w:r>
      <w:r>
        <w:rPr>
          <w:sz w:val="21"/>
        </w:rPr>
        <w:t>______</w:t>
      </w:r>
      <w:r>
        <w:rPr>
          <w:sz w:val="21"/>
        </w:rPr>
        <w:t>，增值税金额共计人民币（大写）</w:t>
      </w:r>
      <w:r>
        <w:rPr>
          <w:sz w:val="21"/>
        </w:rPr>
        <w:t>_________</w:t>
      </w:r>
      <w:r>
        <w:rPr>
          <w:sz w:val="21"/>
        </w:rPr>
        <w:t>元整，￥</w:t>
      </w:r>
      <w:r>
        <w:rPr>
          <w:sz w:val="21"/>
        </w:rPr>
        <w:t>_____</w:t>
      </w:r>
      <w:r>
        <w:rPr>
          <w:sz w:val="21"/>
        </w:rPr>
        <w:t>。如后续相关法律法规、监管规定等变化导致本合同约定使用的增值税税率发生调整，不影响合同中的不含增值税价格，甲方、乙方适用调整后的增值税税率计算增值税金额，如调整后的含增值税价格超过本合同约定的总价款，甲方有权通知乙方中止合同的履行，待甲方完成内部程序后与乙方据实结算，结算期限另行协商确定。如果乙方为中国香港特别行政区、澳门特别行政区、台湾地区及其他国家和地区的供应商且甲方被要求为应付乙方的款项代扣税款，甲方应该将相应代扣税款上缴政府主管机构或机关。甲方有权从到期应付给乙方的款项中扣除相关税款。</w:t>
      </w:r>
    </w:p>
    <w:p>
      <w:pPr>
        <w:pStyle w:val="null3"/>
        <w:jc w:val="both"/>
      </w:pPr>
      <w:r>
        <w:rPr>
          <w:sz w:val="21"/>
        </w:rPr>
        <w:t>2.</w:t>
      </w:r>
      <w:r>
        <w:rPr>
          <w:sz w:val="21"/>
        </w:rPr>
        <w:t>货物的生产厂家、名称、规格、型号、货物号、数量、金额及技术标准，详见本合同附件。</w:t>
      </w:r>
    </w:p>
    <w:p>
      <w:pPr>
        <w:pStyle w:val="null3"/>
        <w:jc w:val="both"/>
      </w:pPr>
      <w:r>
        <w:rPr>
          <w:sz w:val="21"/>
        </w:rPr>
        <w:t>【第三条】交货方法、交货期限、到货地点及风险转移</w:t>
      </w:r>
    </w:p>
    <w:p>
      <w:pPr>
        <w:pStyle w:val="null3"/>
        <w:jc w:val="both"/>
      </w:pPr>
      <w:r>
        <w:rPr>
          <w:sz w:val="21"/>
        </w:rPr>
        <w:t>1.</w:t>
      </w:r>
      <w:r>
        <w:rPr>
          <w:sz w:val="21"/>
        </w:rPr>
        <w:t>乙方在</w:t>
      </w:r>
      <w:r>
        <w:rPr>
          <w:sz w:val="21"/>
        </w:rPr>
        <w:t>[]</w:t>
      </w:r>
      <w:r>
        <w:rPr>
          <w:sz w:val="21"/>
        </w:rPr>
        <w:t>，将本合同项下的硬件产品交付至甲方指定的地点。乙方应在交货时同时向甲方、丙方提供与本合同项下的硬件产品相符且完整的技术资料，技术资料必须以简体中文书写。</w:t>
      </w:r>
    </w:p>
    <w:p>
      <w:pPr>
        <w:pStyle w:val="null3"/>
        <w:jc w:val="both"/>
      </w:pPr>
      <w:r>
        <w:rPr>
          <w:sz w:val="21"/>
        </w:rPr>
        <w:t>2.</w:t>
      </w:r>
      <w:r>
        <w:rPr>
          <w:sz w:val="21"/>
        </w:rPr>
        <w:t>乙方应保证货物的包装符合运输的要求，符合相关包装储运指示标志的规定，按照最新国家标准及相关规定进行包装，应满足长途运输、能承受水平受力、垂直受力、多次搬运、装卸、防潮、防震、防碎等包装要求。同时，乙方应按照合同货物的特点，按需要分别加上防冲撞、防霉、防锈、防腐蚀、防冻等相应保护措施，以确保货物在没有任何损坏和腐蚀的情况下安全完好地运抵交付地点。</w:t>
      </w:r>
    </w:p>
    <w:p>
      <w:pPr>
        <w:pStyle w:val="null3"/>
        <w:jc w:val="both"/>
      </w:pPr>
      <w:r>
        <w:rPr>
          <w:sz w:val="21"/>
        </w:rPr>
        <w:t>3.</w:t>
      </w:r>
      <w:r>
        <w:rPr>
          <w:sz w:val="21"/>
        </w:rPr>
        <w:t>乙方负责将货物运输至甲方指定的交货地点并交付丙方（应有甲、丙方人员在场，丙方工作人员电话：</w:t>
      </w:r>
      <w:r>
        <w:rPr>
          <w:sz w:val="21"/>
        </w:rPr>
        <w:t>020-61647405</w:t>
      </w:r>
      <w:r>
        <w:rPr>
          <w:sz w:val="21"/>
        </w:rPr>
        <w:t>），并承担因运输货物所发生的一切费用，包括但不限于运输费、保险费、装卸费等，如设备外包装存在二次封箱现象，乙方无法提供相关开封箱证明，甲方、丙方有权视实际情况提出退、换货要求，乙方应在甲方、丙方指定期限内完成退、换货；设备及其配件有破损或污渍，甲方、丙方亦有权视实际情况提出退、换货要求，乙方应在甲方、丙方指定期限内完成退、换货。因退、换货产生的一切费用（包括但不限于运输费、保险费、装卸费等）均由乙方自行承担。</w:t>
      </w:r>
    </w:p>
    <w:p>
      <w:pPr>
        <w:pStyle w:val="null3"/>
        <w:jc w:val="both"/>
      </w:pPr>
      <w:r>
        <w:rPr>
          <w:sz w:val="21"/>
        </w:rPr>
        <w:t>【第四条】硬件产品验收</w:t>
      </w:r>
    </w:p>
    <w:p>
      <w:pPr>
        <w:pStyle w:val="null3"/>
        <w:jc w:val="both"/>
      </w:pPr>
      <w:r>
        <w:rPr>
          <w:sz w:val="21"/>
        </w:rPr>
        <w:t>1.</w:t>
      </w:r>
      <w:r>
        <w:rPr>
          <w:sz w:val="21"/>
        </w:rPr>
        <w:t>乙方应委派技术人员进行现场安装、调试，并提供货物安装调试的一切技术支持。安装调试的具体时间由丙方提前</w:t>
      </w:r>
      <w:r>
        <w:rPr>
          <w:sz w:val="21"/>
        </w:rPr>
        <w:t>3</w:t>
      </w:r>
      <w:r>
        <w:rPr>
          <w:sz w:val="21"/>
        </w:rPr>
        <w:t>天通知乙方。</w:t>
      </w:r>
    </w:p>
    <w:p>
      <w:pPr>
        <w:pStyle w:val="null3"/>
        <w:jc w:val="both"/>
      </w:pPr>
      <w:r>
        <w:rPr>
          <w:sz w:val="21"/>
        </w:rPr>
        <w:t>2.</w:t>
      </w:r>
      <w:r>
        <w:rPr>
          <w:sz w:val="21"/>
        </w:rPr>
        <w:t>本合同约定的硬件产品到达甲方指定的交付地点后，乙方完成货物的安装调试和人员的技术培训，且甲方、丙方确认设备正常运转后，</w:t>
      </w:r>
      <w:r>
        <w:rPr>
          <w:sz w:val="21"/>
        </w:rPr>
        <w:t>3</w:t>
      </w:r>
      <w:r>
        <w:rPr>
          <w:sz w:val="21"/>
        </w:rPr>
        <w:t>个月内三方完成验收。验收内容包括但不限于：（</w:t>
      </w:r>
      <w:r>
        <w:rPr>
          <w:sz w:val="21"/>
        </w:rPr>
        <w:t>1</w:t>
      </w:r>
      <w:r>
        <w:rPr>
          <w:sz w:val="21"/>
        </w:rPr>
        <w:t>）规格型号、数量及外观；（</w:t>
      </w:r>
      <w:r>
        <w:rPr>
          <w:sz w:val="21"/>
        </w:rPr>
        <w:t>2</w:t>
      </w:r>
      <w:r>
        <w:rPr>
          <w:sz w:val="21"/>
        </w:rPr>
        <w:t>）货物所附技术资料；（</w:t>
      </w:r>
      <w:r>
        <w:rPr>
          <w:sz w:val="21"/>
        </w:rPr>
        <w:t>3</w:t>
      </w:r>
      <w:r>
        <w:rPr>
          <w:sz w:val="21"/>
        </w:rPr>
        <w:t>）货物组件及配置；（</w:t>
      </w:r>
      <w:r>
        <w:rPr>
          <w:sz w:val="21"/>
        </w:rPr>
        <w:t>4</w:t>
      </w:r>
      <w:r>
        <w:rPr>
          <w:sz w:val="21"/>
        </w:rPr>
        <w:t>）货物功能、性能及各项技术参数指标；（</w:t>
      </w:r>
      <w:r>
        <w:rPr>
          <w:sz w:val="21"/>
        </w:rPr>
        <w:t>5</w:t>
      </w:r>
      <w:r>
        <w:rPr>
          <w:sz w:val="21"/>
        </w:rPr>
        <w:t>）品牌；（</w:t>
      </w:r>
      <w:r>
        <w:rPr>
          <w:sz w:val="21"/>
        </w:rPr>
        <w:t>6</w:t>
      </w:r>
      <w:r>
        <w:rPr>
          <w:sz w:val="21"/>
        </w:rPr>
        <w:t>）设备标识的名称、产地、生产日期（生产日期与到货日期之间的时间间隔最长不得超过两年）；（</w:t>
      </w:r>
      <w:r>
        <w:rPr>
          <w:sz w:val="21"/>
        </w:rPr>
        <w:t>7</w:t>
      </w:r>
      <w:r>
        <w:rPr>
          <w:sz w:val="21"/>
        </w:rPr>
        <w:t>）是否已缴纳履约保证金；</w:t>
      </w:r>
      <w:r>
        <w:rPr>
          <w:sz w:val="21"/>
        </w:rPr>
        <w:t>（</w:t>
      </w:r>
      <w:r>
        <w:rPr>
          <w:sz w:val="21"/>
        </w:rPr>
        <w:t>8</w:t>
      </w:r>
      <w:r>
        <w:rPr>
          <w:sz w:val="21"/>
        </w:rPr>
        <w:t>）设备需与丙方科研数字化管理服务平台相连接，接入校园一卡通等系统，实现科研刷卡启动计费、收费等功能；</w:t>
      </w:r>
      <w:r>
        <w:rPr>
          <w:sz w:val="21"/>
        </w:rPr>
        <w:t>（</w:t>
      </w:r>
      <w:r>
        <w:rPr>
          <w:sz w:val="21"/>
        </w:rPr>
        <w:t>9</w:t>
      </w:r>
      <w:r>
        <w:rPr>
          <w:sz w:val="21"/>
        </w:rPr>
        <w:t>）其他需验收的事项。</w:t>
      </w:r>
    </w:p>
    <w:p>
      <w:pPr>
        <w:pStyle w:val="null3"/>
        <w:jc w:val="both"/>
      </w:pPr>
      <w:r>
        <w:rPr>
          <w:sz w:val="21"/>
        </w:rPr>
        <w:t>3.</w:t>
      </w:r>
      <w:r>
        <w:rPr>
          <w:sz w:val="21"/>
        </w:rPr>
        <w:t>验收标准：按本合同约定的设备及价格、质量要求、详细配置清单及技术指标、符合采购文件和响应承诺中甲方、丙方认可的合理最佳配置、参数及各项要求、国家相关标准和行业规范进行验收（该等标准不一致的，以较高者为准）。验收时如发现所交付的设备有短装、次品、损坏或其它不符合本合同规定之情形者，甲方、丙方应做出详尽的现场记录，并由甲乙丙三方共同签署甲方制式开箱报告。此开箱报告可用作补充、缺失和更换损坏部件的有效证据。由此产生的有关费用由乙方承担。</w:t>
      </w:r>
    </w:p>
    <w:p>
      <w:pPr>
        <w:pStyle w:val="null3"/>
        <w:jc w:val="both"/>
      </w:pPr>
      <w:r>
        <w:rPr>
          <w:sz w:val="21"/>
        </w:rPr>
        <w:t>4.</w:t>
      </w:r>
      <w:r>
        <w:rPr>
          <w:sz w:val="21"/>
        </w:rPr>
        <w:t>甲方所购货物全部通过验收的，必须经甲方、丙方盖章确认并出具验收合格证明后，方可视为验收合格。验收合格文件的签署不使甲方丧失因质量问题而向乙方索赔和求偿的权利，同时亦不免除乙方对于货物质量缺陷或瑕疵负有的相应责任。</w:t>
      </w:r>
    </w:p>
    <w:p>
      <w:pPr>
        <w:pStyle w:val="null3"/>
        <w:jc w:val="both"/>
      </w:pPr>
      <w:r>
        <w:rPr>
          <w:sz w:val="21"/>
        </w:rPr>
        <w:t>5.</w:t>
      </w:r>
      <w:r>
        <w:rPr>
          <w:sz w:val="21"/>
        </w:rPr>
        <w:t>甲方、丙方在验收中如发现货物不符合合同的约定，有权拒绝接受货物，并签发拒绝收货通知书。乙方应于本合同约定的交货期限内重新提供符合合同约定的货物，否则，视为乙方逾期交货。</w:t>
      </w:r>
    </w:p>
    <w:p>
      <w:pPr>
        <w:pStyle w:val="null3"/>
        <w:jc w:val="both"/>
      </w:pPr>
      <w:r>
        <w:rPr>
          <w:sz w:val="21"/>
        </w:rPr>
        <w:t>6.</w:t>
      </w:r>
      <w:r>
        <w:rPr>
          <w:sz w:val="21"/>
        </w:rPr>
        <w:t>如乙方对验收结果有异议，可以委托丙方所在地商检部门进行复检。商检部门的检验结果表明货物不符合合同约定的，因复检发生的费用由乙方承担；检验结果表明货物符合合同约定的，因复检发生的费用由丙方承担。</w:t>
      </w:r>
    </w:p>
    <w:p>
      <w:pPr>
        <w:pStyle w:val="null3"/>
        <w:jc w:val="both"/>
      </w:pPr>
      <w:r>
        <w:rPr>
          <w:sz w:val="21"/>
        </w:rPr>
        <w:t>【第五条】硬件产品包装：</w:t>
      </w:r>
    </w:p>
    <w:p>
      <w:pPr>
        <w:pStyle w:val="null3"/>
        <w:jc w:val="both"/>
      </w:pPr>
      <w:r>
        <w:rPr>
          <w:sz w:val="21"/>
        </w:rPr>
        <w:t>乙方向甲方提供的全部硬件产品，均采用国家或专业标准的保护方式进行包装，使包装适应于远距离运输、防潮、防震、防锈、防压和防粗暴装卸等各种防止产品受到损害的防护要求，确保产品安全无损运抵甲方指定的到货地点。由于包装不适当所引起的货物锈蚀、损坏和损失均由乙方承担。每件包装箱内应附有与本合同项下硬件产品有关的单证和资料。</w:t>
      </w:r>
    </w:p>
    <w:p>
      <w:pPr>
        <w:pStyle w:val="null3"/>
        <w:jc w:val="both"/>
      </w:pPr>
      <w:r>
        <w:rPr>
          <w:sz w:val="21"/>
        </w:rPr>
        <w:t>【第六条】质保期、售后服务及技术支持</w:t>
      </w:r>
    </w:p>
    <w:p>
      <w:pPr>
        <w:pStyle w:val="null3"/>
        <w:jc w:val="both"/>
      </w:pPr>
      <w:r>
        <w:rPr>
          <w:sz w:val="21"/>
        </w:rPr>
        <w:t>1.</w:t>
      </w:r>
      <w:r>
        <w:rPr>
          <w:sz w:val="21"/>
        </w:rPr>
        <w:t>乙方向甲方和丙方提供售后服务，其中本合同所购的硬件产品售后服务为</w:t>
      </w:r>
      <w:r>
        <w:rPr>
          <w:sz w:val="21"/>
        </w:rPr>
        <w:t xml:space="preserve">[  </w:t>
      </w:r>
      <w:r>
        <w:rPr>
          <w:sz w:val="21"/>
        </w:rPr>
        <w:t>年</w:t>
      </w:r>
      <w:r>
        <w:rPr>
          <w:sz w:val="21"/>
        </w:rPr>
        <w:t>]</w:t>
      </w:r>
      <w:r>
        <w:rPr>
          <w:sz w:val="21"/>
        </w:rPr>
        <w:t>，质保期为</w:t>
      </w:r>
      <w:r>
        <w:rPr>
          <w:sz w:val="21"/>
        </w:rPr>
        <w:t xml:space="preserve">[  </w:t>
      </w:r>
      <w:r>
        <w:rPr>
          <w:sz w:val="21"/>
        </w:rPr>
        <w:t>年</w:t>
      </w:r>
      <w:r>
        <w:rPr>
          <w:sz w:val="21"/>
        </w:rPr>
        <w:t>]</w:t>
      </w:r>
      <w:r>
        <w:rPr>
          <w:sz w:val="21"/>
        </w:rPr>
        <w:t>。售后服务、质保期在自甲方、乙方和丙方三方在最终验收报告上签字盖章之日起开始计算。</w:t>
      </w:r>
    </w:p>
    <w:p>
      <w:pPr>
        <w:pStyle w:val="null3"/>
        <w:jc w:val="both"/>
      </w:pPr>
      <w:r>
        <w:rPr>
          <w:sz w:val="21"/>
        </w:rPr>
        <w:t>2.</w:t>
      </w:r>
      <w:r>
        <w:rPr>
          <w:sz w:val="21"/>
        </w:rPr>
        <w:t>乙方负责提供货物的安装、调试和技术支持服务。在质保期内，货物出现故障，乙方负责提供免费保修服务，对于在质保期内维修或更换的零部件应重新计算质保期；在售后服务期内、质保期外，如丙方需继续使用，乙方提供无偿维护服务，但产生的硬件费用由乙方和丙方双方协商确认；在售后服务期外，如丙方需继续使用，后续维保服务费由丙方支付。但无论是否在售后服务期内，乙方均保证在</w:t>
      </w:r>
      <w:r>
        <w:rPr>
          <w:sz w:val="21"/>
        </w:rPr>
        <w:t>[2]</w:t>
      </w:r>
      <w:r>
        <w:rPr>
          <w:sz w:val="21"/>
        </w:rPr>
        <w:t>小时内响应，并在</w:t>
      </w:r>
      <w:r>
        <w:rPr>
          <w:sz w:val="21"/>
        </w:rPr>
        <w:t>[12]</w:t>
      </w:r>
      <w:r>
        <w:rPr>
          <w:sz w:val="21"/>
        </w:rPr>
        <w:t>小时内解决问题。</w:t>
      </w:r>
    </w:p>
    <w:p>
      <w:pPr>
        <w:pStyle w:val="null3"/>
        <w:jc w:val="both"/>
      </w:pPr>
      <w:r>
        <w:rPr>
          <w:sz w:val="21"/>
        </w:rPr>
        <w:t>3.</w:t>
      </w:r>
      <w:r>
        <w:rPr>
          <w:sz w:val="21"/>
        </w:rPr>
        <w:t>乙方承诺至少</w:t>
      </w:r>
      <w:r>
        <w:rPr>
          <w:sz w:val="21"/>
        </w:rPr>
        <w:t>[  ]</w:t>
      </w:r>
      <w:r>
        <w:rPr>
          <w:sz w:val="21"/>
        </w:rPr>
        <w:t>年以上保证提供货物的零配件供应，避免因相关零配件停产造成货物无法正常维护的情形发生，承诺期限内无法供应零配件的乙方应当提供方案予以协助解决，不予配合协助解决的按本合同第十二条约定的违约责任处理。</w:t>
      </w:r>
    </w:p>
    <w:p>
      <w:pPr>
        <w:pStyle w:val="null3"/>
        <w:jc w:val="both"/>
      </w:pPr>
      <w:r>
        <w:rPr>
          <w:sz w:val="21"/>
        </w:rPr>
        <w:t>4.</w:t>
      </w:r>
      <w:r>
        <w:rPr>
          <w:sz w:val="21"/>
        </w:rPr>
        <w:t>如乙方需要维修或更换含有丙方数据信息的设备时（如存有数据的硬盘或其它带有数据存储功能的配件），应征得甲方、丙方同意维修或更换，被更换的含有丙方数据信息的设备归甲方所有，数据信息所有权归丙方所有。</w:t>
      </w:r>
    </w:p>
    <w:p>
      <w:pPr>
        <w:pStyle w:val="null3"/>
        <w:jc w:val="both"/>
      </w:pPr>
      <w:r>
        <w:rPr>
          <w:sz w:val="21"/>
        </w:rPr>
        <w:t>5.</w:t>
      </w:r>
      <w:r>
        <w:rPr>
          <w:sz w:val="21"/>
        </w:rPr>
        <w:t>乙方提供的详细技术支持和服务措施等方案</w:t>
      </w:r>
      <w:r>
        <w:rPr>
          <w:sz w:val="21"/>
        </w:rPr>
        <w:t xml:space="preserve">, </w:t>
      </w:r>
      <w:r>
        <w:rPr>
          <w:sz w:val="21"/>
        </w:rPr>
        <w:t>如有提供，请附附件。</w:t>
      </w:r>
    </w:p>
    <w:p>
      <w:pPr>
        <w:pStyle w:val="null3"/>
        <w:jc w:val="both"/>
      </w:pPr>
      <w:r>
        <w:rPr>
          <w:sz w:val="21"/>
        </w:rPr>
        <w:t>6.</w:t>
      </w:r>
      <w:r>
        <w:rPr>
          <w:sz w:val="21"/>
        </w:rPr>
        <w:t>合同中包括的技术培训详细要求，如有提供，请附附件。</w:t>
      </w:r>
    </w:p>
    <w:p>
      <w:pPr>
        <w:pStyle w:val="null3"/>
        <w:jc w:val="both"/>
      </w:pPr>
      <w:r>
        <w:rPr>
          <w:sz w:val="21"/>
        </w:rPr>
        <w:t>【第七条】合同价款与付款方式</w:t>
      </w:r>
    </w:p>
    <w:p>
      <w:pPr>
        <w:pStyle w:val="null3"/>
        <w:jc w:val="both"/>
      </w:pPr>
      <w:r>
        <w:rPr>
          <w:sz w:val="21"/>
        </w:rPr>
        <w:t>1.</w:t>
      </w:r>
      <w:r>
        <w:rPr>
          <w:sz w:val="21"/>
        </w:rPr>
        <w:t>本合同总价款为：￥（小写）</w:t>
      </w:r>
      <w:r>
        <w:rPr>
          <w:sz w:val="21"/>
          <w:u w:val="single"/>
        </w:rPr>
        <w:t xml:space="preserve">          </w:t>
      </w:r>
      <w:r>
        <w:rPr>
          <w:sz w:val="21"/>
        </w:rPr>
        <w:t>元，其中不含增值税价共计人民币（大写）</w:t>
      </w:r>
      <w:r>
        <w:rPr>
          <w:sz w:val="21"/>
          <w:u w:val="single"/>
        </w:rPr>
        <w:t xml:space="preserve">          </w:t>
      </w:r>
      <w:r>
        <w:rPr>
          <w:sz w:val="21"/>
        </w:rPr>
        <w:t>，￥（小写）</w:t>
      </w:r>
      <w:r>
        <w:rPr>
          <w:sz w:val="21"/>
          <w:u w:val="single"/>
        </w:rPr>
        <w:t xml:space="preserve">          </w:t>
      </w:r>
      <w:r>
        <w:rPr>
          <w:sz w:val="21"/>
        </w:rPr>
        <w:t>元，增值税金额共计人民币（大写）</w:t>
      </w:r>
      <w:r>
        <w:rPr>
          <w:sz w:val="21"/>
          <w:u w:val="single"/>
        </w:rPr>
        <w:t xml:space="preserve">          </w:t>
      </w:r>
      <w:r>
        <w:rPr>
          <w:sz w:val="21"/>
        </w:rPr>
        <w:t>，￥（小写）</w:t>
      </w:r>
      <w:r>
        <w:rPr>
          <w:sz w:val="21"/>
          <w:u w:val="single"/>
        </w:rPr>
        <w:t xml:space="preserve">          </w:t>
      </w:r>
      <w:r>
        <w:rPr>
          <w:sz w:val="21"/>
        </w:rPr>
        <w:t>元。该费用已包括乙方提供本合同项下服务包括税金（包括但不限于增值税等其他各项税款及附加税金或费用）在内的所有费用；在本合同履行期间上述服务费不因材料、劳务成本等变动或其他任何原因而作调整，但如后续相关法律法规、监管规定等变化导致本合同约定适用的增值税税率发生调整，不影响合同中的不含增值税价格，双方适用调整后的增值税税率计算增值税金额，如调整后的含增值税价格超过本合同约定的总价款，甲方有权通知乙方中止合同的履行，待甲方完成内部程序后与乙方据实结算，结算期限另行协商确定。如果</w:t>
      </w:r>
      <w:r>
        <w:rPr>
          <w:sz w:val="21"/>
        </w:rPr>
        <w:t>乙方为境外供应商且</w:t>
      </w:r>
      <w:r>
        <w:rPr>
          <w:sz w:val="21"/>
        </w:rPr>
        <w:t>甲方被要求为应付乙方的款项代扣税款，甲方应该将相应代扣税款上缴政府主管机构或机关。甲方有权从到期应付给乙方的款项中扣除相关税款。</w:t>
      </w:r>
    </w:p>
    <w:p>
      <w:pPr>
        <w:pStyle w:val="null3"/>
        <w:jc w:val="both"/>
      </w:pPr>
      <w:r>
        <w:rPr>
          <w:sz w:val="21"/>
        </w:rPr>
        <w:t>2.</w:t>
      </w:r>
      <w:r>
        <w:rPr>
          <w:sz w:val="21"/>
        </w:rPr>
        <w:t>三方签订本合同之日起</w:t>
      </w:r>
      <w:r>
        <w:rPr>
          <w:sz w:val="21"/>
        </w:rPr>
        <w:t>5</w:t>
      </w:r>
      <w:r>
        <w:rPr>
          <w:sz w:val="21"/>
        </w:rPr>
        <w:t>个工作日内，乙方应按合同总价款的</w:t>
      </w:r>
      <w:r>
        <w:rPr>
          <w:sz w:val="21"/>
        </w:rPr>
        <w:t>5%</w:t>
      </w:r>
      <w:r>
        <w:rPr>
          <w:sz w:val="21"/>
        </w:rPr>
        <w:t>作为履约保证金提交给甲方，并提供凭据。如在质保期内，乙方已按本合同规定全部履行完毕且无违约行为或未结款项（包括但不限于违约金、赔偿金等）的情况下，乙方可向甲方申请退还履约保证金，甲方于退还申请审批手续办理完毕后</w:t>
      </w:r>
      <w:r>
        <w:rPr>
          <w:sz w:val="21"/>
        </w:rPr>
        <w:t>30</w:t>
      </w:r>
      <w:r>
        <w:rPr>
          <w:sz w:val="21"/>
        </w:rPr>
        <w:t>日内向乙方无息退还履约保证金。乙方逾期交纳履约保证金的，甲方按照逾期天数</w:t>
      </w:r>
      <w:r>
        <w:rPr>
          <w:sz w:val="21"/>
        </w:rPr>
        <w:t>3</w:t>
      </w:r>
      <w:r>
        <w:rPr>
          <w:sz w:val="21"/>
        </w:rPr>
        <w:t>倍的时间无息延长退还履约保证金的时间。合同期内乙方存在违约行为或因乙方原因导致甲方解除合同的，甲方有权不予退回履约保证金且无需就此承担任何责任。履约保证金的退还，不免除乙方因货物或服务质量问题而应承担的任何责任（包括但不限于对甲方损失的赔偿责任等）。甲方具体账户信息如下：</w:t>
      </w:r>
    </w:p>
    <w:p>
      <w:pPr>
        <w:pStyle w:val="null3"/>
        <w:jc w:val="both"/>
      </w:pPr>
      <w:r>
        <w:rPr>
          <w:sz w:val="21"/>
        </w:rPr>
        <w:t>收款账户名称：中国银行股份有限公司广州白云支行</w:t>
      </w:r>
    </w:p>
    <w:p>
      <w:pPr>
        <w:pStyle w:val="null3"/>
        <w:jc w:val="both"/>
      </w:pPr>
      <w:r>
        <w:rPr>
          <w:sz w:val="21"/>
        </w:rPr>
        <w:t>账</w:t>
      </w:r>
      <w:r>
        <w:rPr>
          <w:sz w:val="21"/>
        </w:rPr>
        <w:t xml:space="preserve">        </w:t>
      </w:r>
      <w:r>
        <w:rPr>
          <w:sz w:val="21"/>
        </w:rPr>
        <w:t>号：</w:t>
      </w:r>
      <w:r>
        <w:rPr>
          <w:sz w:val="21"/>
        </w:rPr>
        <w:t>687357735531</w:t>
      </w:r>
    </w:p>
    <w:p>
      <w:pPr>
        <w:pStyle w:val="null3"/>
        <w:jc w:val="both"/>
      </w:pPr>
      <w:r>
        <w:rPr>
          <w:sz w:val="21"/>
        </w:rPr>
        <w:t>开户银行名称：中国银行广州白云支行营业部</w:t>
      </w:r>
    </w:p>
    <w:p>
      <w:pPr>
        <w:pStyle w:val="null3"/>
        <w:jc w:val="both"/>
      </w:pPr>
      <w:r>
        <w:rPr>
          <w:sz w:val="21"/>
        </w:rPr>
        <w:t>3.</w:t>
      </w:r>
      <w:r>
        <w:rPr>
          <w:sz w:val="21"/>
        </w:rPr>
        <w:t>本合同价款按以下方式支付：</w:t>
      </w:r>
    </w:p>
    <w:p>
      <w:pPr>
        <w:pStyle w:val="null3"/>
        <w:jc w:val="both"/>
      </w:pPr>
      <w:r>
        <w:rPr>
          <w:sz w:val="21"/>
        </w:rPr>
        <w:t xml:space="preserve">3.1 </w:t>
      </w:r>
      <w:r>
        <w:rPr>
          <w:sz w:val="21"/>
        </w:rPr>
        <w:t>若乙方属于中小企业的，付款方式按第</w:t>
      </w:r>
      <w:r>
        <w:rPr>
          <w:sz w:val="21"/>
        </w:rPr>
        <w:t>3.2</w:t>
      </w:r>
      <w:r>
        <w:rPr>
          <w:sz w:val="21"/>
        </w:rPr>
        <w:t>条的约定执行；若乙方不属于中小企业的，付款方式按第</w:t>
      </w:r>
      <w:r>
        <w:rPr>
          <w:sz w:val="21"/>
        </w:rPr>
        <w:t>3.3</w:t>
      </w:r>
      <w:r>
        <w:rPr>
          <w:sz w:val="21"/>
        </w:rPr>
        <w:t>条执行。本条所述的中小企业，按《中小企业划型标准规定》</w:t>
      </w:r>
      <w:r>
        <w:rPr>
          <w:sz w:val="21"/>
        </w:rPr>
        <w:t>(</w:t>
      </w:r>
      <w:r>
        <w:rPr>
          <w:sz w:val="21"/>
        </w:rPr>
        <w:t>工信部联企业</w:t>
      </w:r>
      <w:r>
        <w:rPr>
          <w:sz w:val="21"/>
        </w:rPr>
        <w:t>(2011)300</w:t>
      </w:r>
      <w:r>
        <w:rPr>
          <w:sz w:val="21"/>
        </w:rPr>
        <w:t>号</w:t>
      </w:r>
      <w:r>
        <w:rPr>
          <w:sz w:val="21"/>
        </w:rPr>
        <w:t>)</w:t>
      </w:r>
      <w:r>
        <w:rPr>
          <w:sz w:val="21"/>
        </w:rPr>
        <w:t>及《金融业企业划型标准规定》</w:t>
      </w:r>
      <w:r>
        <w:rPr>
          <w:sz w:val="21"/>
        </w:rPr>
        <w:t>(</w:t>
      </w:r>
      <w:r>
        <w:rPr>
          <w:sz w:val="21"/>
        </w:rPr>
        <w:t>银发</w:t>
      </w:r>
      <w:r>
        <w:rPr>
          <w:sz w:val="21"/>
        </w:rPr>
        <w:t>(2015)309</w:t>
      </w:r>
      <w:r>
        <w:rPr>
          <w:sz w:val="21"/>
        </w:rPr>
        <w:t>号</w:t>
      </w:r>
      <w:r>
        <w:rPr>
          <w:sz w:val="21"/>
        </w:rPr>
        <w:t>)</w:t>
      </w:r>
      <w:r>
        <w:rPr>
          <w:sz w:val="21"/>
        </w:rPr>
        <w:t>界定。</w:t>
      </w:r>
    </w:p>
    <w:p>
      <w:pPr>
        <w:pStyle w:val="null3"/>
        <w:jc w:val="both"/>
      </w:pPr>
      <w:r>
        <w:rPr>
          <w:sz w:val="21"/>
        </w:rPr>
        <w:t xml:space="preserve">3.2 </w:t>
      </w:r>
      <w:r>
        <w:rPr>
          <w:sz w:val="21"/>
        </w:rPr>
        <w:t>乙方属于中小企业的，三方确认，按以下方式付款：</w:t>
      </w:r>
    </w:p>
    <w:p>
      <w:pPr>
        <w:pStyle w:val="null3"/>
        <w:jc w:val="both"/>
      </w:pPr>
      <w:r>
        <w:rPr>
          <w:sz w:val="21"/>
        </w:rPr>
        <w:t>（</w:t>
      </w:r>
      <w:r>
        <w:rPr>
          <w:sz w:val="21"/>
        </w:rPr>
        <w:t>1</w:t>
      </w:r>
      <w:r>
        <w:rPr>
          <w:sz w:val="21"/>
        </w:rPr>
        <w:t>）预付款支付：占本合同总价款的</w:t>
      </w:r>
      <w:r>
        <w:rPr>
          <w:sz w:val="21"/>
        </w:rPr>
        <w:t>[30]%</w:t>
      </w:r>
      <w:r>
        <w:rPr>
          <w:sz w:val="21"/>
        </w:rPr>
        <w:t>，该预付款含发票付款和垫付款。发票付款占本合同总价款的</w:t>
      </w:r>
      <w:r>
        <w:rPr>
          <w:sz w:val="21"/>
        </w:rPr>
        <w:t>[20]%</w:t>
      </w:r>
      <w:r>
        <w:rPr>
          <w:sz w:val="21"/>
        </w:rPr>
        <w:t>，即</w:t>
      </w:r>
      <w:r>
        <w:rPr>
          <w:sz w:val="21"/>
          <w:u w:val="single"/>
        </w:rPr>
        <w:t xml:space="preserve">          </w:t>
      </w:r>
      <w:r>
        <w:rPr>
          <w:sz w:val="21"/>
        </w:rPr>
        <w:t>元，其中不含增值税价</w:t>
      </w:r>
      <w:r>
        <w:rPr>
          <w:sz w:val="21"/>
          <w:u w:val="single"/>
        </w:rPr>
        <w:t xml:space="preserve">          </w:t>
      </w:r>
      <w:r>
        <w:rPr>
          <w:sz w:val="21"/>
        </w:rPr>
        <w:t>元，增值税金额</w:t>
      </w:r>
      <w:r>
        <w:rPr>
          <w:sz w:val="21"/>
          <w:u w:val="single"/>
        </w:rPr>
        <w:t xml:space="preserve">          </w:t>
      </w:r>
      <w:r>
        <w:rPr>
          <w:sz w:val="21"/>
        </w:rPr>
        <w:t>元。合同生效后，甲方在收到乙方提供的合法有效的税率为</w:t>
      </w:r>
      <w:r>
        <w:rPr>
          <w:sz w:val="21"/>
        </w:rPr>
        <w:t xml:space="preserve">  </w:t>
      </w:r>
      <w:r>
        <w:rPr>
          <w:sz w:val="21"/>
        </w:rPr>
        <w:t>%</w:t>
      </w:r>
      <w:r>
        <w:rPr>
          <w:sz w:val="21"/>
        </w:rPr>
        <w:t>的增值税专用发票（金额为合同总价款的</w:t>
      </w:r>
      <w:r>
        <w:rPr>
          <w:sz w:val="21"/>
        </w:rPr>
        <w:t>20%</w:t>
      </w:r>
      <w:r>
        <w:rPr>
          <w:sz w:val="21"/>
        </w:rPr>
        <w:t>）等材料后在</w:t>
      </w:r>
      <w:r>
        <w:rPr>
          <w:sz w:val="21"/>
        </w:rPr>
        <w:t>[10]</w:t>
      </w:r>
      <w:r>
        <w:rPr>
          <w:sz w:val="21"/>
        </w:rPr>
        <w:t>个工作日内支付；垫付款占本合同总价款的</w:t>
      </w:r>
      <w:r>
        <w:rPr>
          <w:sz w:val="21"/>
        </w:rPr>
        <w:t>[10]%</w:t>
      </w:r>
      <w:r>
        <w:rPr>
          <w:sz w:val="21"/>
        </w:rPr>
        <w:t>即        元，合同生效后，丙方在甲方支付总价款的</w:t>
      </w:r>
      <w:r>
        <w:rPr>
          <w:sz w:val="21"/>
        </w:rPr>
        <w:t>20%</w:t>
      </w:r>
      <w:r>
        <w:rPr>
          <w:sz w:val="21"/>
        </w:rPr>
        <w:t>款项后予以垫付，项目经三方验收合格后，乙方将该垫付款项</w:t>
      </w:r>
      <w:r>
        <w:rPr>
          <w:sz w:val="21"/>
          <w:u w:val="single"/>
        </w:rPr>
        <w:t xml:space="preserve">          </w:t>
      </w:r>
      <w:r>
        <w:rPr>
          <w:sz w:val="21"/>
        </w:rPr>
        <w:t>元退还到丙方指定账户上，具体账户信息如下</w:t>
      </w:r>
      <w:r>
        <w:rPr>
          <w:sz w:val="21"/>
        </w:rPr>
        <w:t>:</w:t>
      </w:r>
    </w:p>
    <w:p>
      <w:pPr>
        <w:pStyle w:val="null3"/>
        <w:jc w:val="both"/>
      </w:pPr>
      <w:r>
        <w:rPr>
          <w:sz w:val="21"/>
        </w:rPr>
        <w:t>收款账户名称：</w:t>
      </w:r>
      <w:r>
        <w:rPr>
          <w:sz w:val="21"/>
          <w:u w:val="single"/>
        </w:rPr>
        <w:t xml:space="preserve">          </w:t>
      </w:r>
      <w:r>
        <w:rPr>
          <w:sz w:val="21"/>
        </w:rPr>
        <w:t>，</w:t>
      </w:r>
    </w:p>
    <w:p>
      <w:pPr>
        <w:pStyle w:val="null3"/>
        <w:jc w:val="both"/>
      </w:pPr>
      <w:r>
        <w:rPr>
          <w:sz w:val="21"/>
        </w:rPr>
        <w:t>账</w:t>
      </w:r>
      <w:r>
        <w:rPr>
          <w:sz w:val="21"/>
        </w:rPr>
        <w:t xml:space="preserve">        </w:t>
      </w:r>
      <w:r>
        <w:rPr>
          <w:sz w:val="21"/>
        </w:rPr>
        <w:t>号：</w:t>
      </w:r>
      <w:r>
        <w:rPr>
          <w:sz w:val="21"/>
          <w:u w:val="single"/>
        </w:rPr>
        <w:t xml:space="preserve">          </w:t>
      </w:r>
      <w:r>
        <w:rPr>
          <w:sz w:val="21"/>
        </w:rPr>
        <w:t>，</w:t>
      </w:r>
    </w:p>
    <w:p>
      <w:pPr>
        <w:pStyle w:val="null3"/>
        <w:jc w:val="both"/>
      </w:pPr>
      <w:r>
        <w:rPr>
          <w:sz w:val="21"/>
        </w:rPr>
        <w:t>开户银行名称：</w:t>
      </w:r>
      <w:r>
        <w:rPr>
          <w:sz w:val="21"/>
          <w:u w:val="single"/>
        </w:rPr>
        <w:t xml:space="preserve">          </w:t>
      </w:r>
      <w:r>
        <w:rPr>
          <w:sz w:val="21"/>
        </w:rPr>
        <w:t>。</w:t>
      </w:r>
    </w:p>
    <w:p>
      <w:pPr>
        <w:pStyle w:val="null3"/>
        <w:jc w:val="both"/>
      </w:pPr>
      <w:r>
        <w:rPr>
          <w:sz w:val="21"/>
        </w:rPr>
        <w:t>（</w:t>
      </w:r>
      <w:r>
        <w:rPr>
          <w:sz w:val="21"/>
        </w:rPr>
        <w:t>2</w:t>
      </w:r>
      <w:r>
        <w:rPr>
          <w:sz w:val="21"/>
        </w:rPr>
        <w:t>）验收付款：占本合同总价款的</w:t>
      </w:r>
      <w:r>
        <w:rPr>
          <w:sz w:val="21"/>
        </w:rPr>
        <w:t>[80]%,</w:t>
      </w:r>
      <w:r>
        <w:rPr>
          <w:sz w:val="21"/>
        </w:rPr>
        <w:t>即</w:t>
      </w:r>
      <w:r>
        <w:rPr>
          <w:sz w:val="21"/>
          <w:u w:val="single"/>
        </w:rPr>
        <w:t xml:space="preserve">          </w:t>
      </w:r>
      <w:r>
        <w:rPr>
          <w:sz w:val="21"/>
        </w:rPr>
        <w:t>元，其中不含增值税价</w:t>
      </w:r>
      <w:r>
        <w:rPr>
          <w:sz w:val="21"/>
          <w:u w:val="single"/>
        </w:rPr>
        <w:t xml:space="preserve">          </w:t>
      </w:r>
      <w:r>
        <w:rPr>
          <w:sz w:val="21"/>
        </w:rPr>
        <w:t>元，增值税金额</w:t>
      </w:r>
      <w:r>
        <w:rPr>
          <w:sz w:val="21"/>
          <w:u w:val="single"/>
        </w:rPr>
        <w:t xml:space="preserve">          </w:t>
      </w:r>
      <w:r>
        <w:rPr>
          <w:sz w:val="21"/>
        </w:rPr>
        <w:t>元。在丙方、甲方、乙方三方共同签署盖章的验收报告后，乙方向甲方提供合法有效的税率为</w:t>
      </w:r>
      <w:r>
        <w:rPr>
          <w:sz w:val="21"/>
        </w:rPr>
        <w:t xml:space="preserve">  </w:t>
      </w:r>
      <w:r>
        <w:rPr>
          <w:sz w:val="21"/>
        </w:rPr>
        <w:t>%</w:t>
      </w:r>
      <w:r>
        <w:rPr>
          <w:sz w:val="21"/>
        </w:rPr>
        <w:t>的增值税专用等额发票（金额为合同总价款的</w:t>
      </w:r>
      <w:r>
        <w:rPr>
          <w:sz w:val="21"/>
        </w:rPr>
        <w:t>80%</w:t>
      </w:r>
      <w:r>
        <w:rPr>
          <w:sz w:val="21"/>
        </w:rPr>
        <w:t>）及材料，同时乙方按丙方约定的收款账号予以退还垫付的</w:t>
      </w:r>
      <w:r>
        <w:rPr>
          <w:sz w:val="21"/>
          <w:u w:val="single"/>
        </w:rPr>
        <w:t xml:space="preserve">          </w:t>
      </w:r>
      <w:r>
        <w:rPr>
          <w:sz w:val="21"/>
        </w:rPr>
        <w:t>元款项到达丙方指定账户，甲方收到丙方财务部门提供的乙方已退还垫付款项的到账凭据以及对应的增值税专用等额发票后，在</w:t>
      </w:r>
      <w:r>
        <w:rPr>
          <w:sz w:val="21"/>
        </w:rPr>
        <w:t>[10]</w:t>
      </w:r>
      <w:r>
        <w:rPr>
          <w:sz w:val="21"/>
        </w:rPr>
        <w:t>个工作日内支付。</w:t>
      </w:r>
    </w:p>
    <w:p>
      <w:pPr>
        <w:pStyle w:val="null3"/>
        <w:jc w:val="both"/>
      </w:pPr>
      <w:r>
        <w:rPr>
          <w:sz w:val="21"/>
        </w:rPr>
        <w:t xml:space="preserve">3.3 </w:t>
      </w:r>
      <w:r>
        <w:rPr>
          <w:sz w:val="21"/>
        </w:rPr>
        <w:t>乙方不属于中小企业或者属于境外企业的，三方确认，按以下方式付款：</w:t>
      </w:r>
    </w:p>
    <w:p>
      <w:pPr>
        <w:pStyle w:val="null3"/>
        <w:jc w:val="both"/>
      </w:pPr>
      <w:r>
        <w:rPr>
          <w:sz w:val="21"/>
        </w:rPr>
        <w:t>（</w:t>
      </w:r>
      <w:r>
        <w:rPr>
          <w:sz w:val="21"/>
        </w:rPr>
        <w:t>1</w:t>
      </w:r>
      <w:r>
        <w:rPr>
          <w:sz w:val="21"/>
        </w:rPr>
        <w:t>）预付款支付：占本合同总价款的</w:t>
      </w:r>
      <w:r>
        <w:rPr>
          <w:sz w:val="21"/>
        </w:rPr>
        <w:t>[20]%,</w:t>
      </w:r>
      <w:r>
        <w:rPr>
          <w:sz w:val="21"/>
        </w:rPr>
        <w:t>即</w:t>
      </w:r>
      <w:r>
        <w:rPr>
          <w:sz w:val="21"/>
          <w:u w:val="single"/>
        </w:rPr>
        <w:t xml:space="preserve">          </w:t>
      </w:r>
      <w:r>
        <w:rPr>
          <w:sz w:val="21"/>
        </w:rPr>
        <w:t>元，其中不含增值税价</w:t>
      </w:r>
      <w:r>
        <w:rPr>
          <w:sz w:val="21"/>
          <w:u w:val="single"/>
        </w:rPr>
        <w:t xml:space="preserve">          </w:t>
      </w:r>
      <w:r>
        <w:rPr>
          <w:sz w:val="21"/>
        </w:rPr>
        <w:t>元，增值税金额</w:t>
      </w:r>
      <w:r>
        <w:rPr>
          <w:sz w:val="21"/>
          <w:u w:val="single"/>
        </w:rPr>
        <w:t xml:space="preserve">          </w:t>
      </w:r>
      <w:r>
        <w:rPr>
          <w:sz w:val="21"/>
        </w:rPr>
        <w:t>元，本合同生效后，甲方在收到乙方提供的合法有效的税率为</w:t>
      </w:r>
      <w:r>
        <w:rPr>
          <w:sz w:val="21"/>
        </w:rPr>
        <w:t xml:space="preserve">  </w:t>
      </w:r>
      <w:r>
        <w:rPr>
          <w:sz w:val="21"/>
        </w:rPr>
        <w:t>%</w:t>
      </w:r>
      <w:r>
        <w:rPr>
          <w:sz w:val="21"/>
        </w:rPr>
        <w:t>的增值税专用发票（金额为合同总价款的</w:t>
      </w:r>
      <w:r>
        <w:rPr>
          <w:sz w:val="21"/>
        </w:rPr>
        <w:t>20%</w:t>
      </w:r>
      <w:r>
        <w:rPr>
          <w:sz w:val="21"/>
        </w:rPr>
        <w:t>）等材料后在</w:t>
      </w:r>
      <w:r>
        <w:rPr>
          <w:sz w:val="21"/>
        </w:rPr>
        <w:t>[10]</w:t>
      </w:r>
      <w:r>
        <w:rPr>
          <w:sz w:val="21"/>
        </w:rPr>
        <w:t>个工作日内支付。</w:t>
      </w:r>
    </w:p>
    <w:p>
      <w:pPr>
        <w:pStyle w:val="null3"/>
        <w:jc w:val="both"/>
      </w:pPr>
      <w:r>
        <w:rPr>
          <w:sz w:val="21"/>
        </w:rPr>
        <w:t>（</w:t>
      </w:r>
      <w:r>
        <w:rPr>
          <w:sz w:val="21"/>
        </w:rPr>
        <w:t>2</w:t>
      </w:r>
      <w:r>
        <w:rPr>
          <w:sz w:val="21"/>
        </w:rPr>
        <w:t>）验收付款：占本合同总价款的</w:t>
      </w:r>
      <w:r>
        <w:rPr>
          <w:sz w:val="21"/>
        </w:rPr>
        <w:t>[80]%,</w:t>
      </w:r>
      <w:r>
        <w:rPr>
          <w:sz w:val="21"/>
        </w:rPr>
        <w:t>即</w:t>
      </w:r>
      <w:r>
        <w:rPr>
          <w:sz w:val="21"/>
          <w:u w:val="single"/>
        </w:rPr>
        <w:t xml:space="preserve">          </w:t>
      </w:r>
      <w:r>
        <w:rPr>
          <w:sz w:val="21"/>
        </w:rPr>
        <w:t>元，其中不含增值税价</w:t>
      </w:r>
      <w:r>
        <w:rPr>
          <w:sz w:val="21"/>
          <w:u w:val="single"/>
        </w:rPr>
        <w:t xml:space="preserve">          </w:t>
      </w:r>
      <w:r>
        <w:rPr>
          <w:sz w:val="21"/>
        </w:rPr>
        <w:t>元，增值税金额</w:t>
      </w:r>
      <w:r>
        <w:rPr>
          <w:sz w:val="21"/>
          <w:u w:val="single"/>
        </w:rPr>
        <w:t xml:space="preserve">          </w:t>
      </w:r>
      <w:r>
        <w:rPr>
          <w:sz w:val="21"/>
        </w:rPr>
        <w:t>元。在丙方、甲方、乙方三方共同签署盖章的验收报告后，乙方向甲方提供合法有效的税率为</w:t>
      </w:r>
      <w:r>
        <w:rPr>
          <w:sz w:val="21"/>
        </w:rPr>
        <w:t xml:space="preserve">  </w:t>
      </w:r>
      <w:r>
        <w:rPr>
          <w:sz w:val="21"/>
        </w:rPr>
        <w:t>%</w:t>
      </w:r>
      <w:r>
        <w:rPr>
          <w:sz w:val="21"/>
        </w:rPr>
        <w:t>的增值税专用等额发票（金额为合同总价款的</w:t>
      </w:r>
      <w:r>
        <w:rPr>
          <w:sz w:val="21"/>
        </w:rPr>
        <w:t>80%</w:t>
      </w:r>
      <w:r>
        <w:rPr>
          <w:sz w:val="21"/>
        </w:rPr>
        <w:t>）及材料后，甲方在</w:t>
      </w:r>
      <w:r>
        <w:rPr>
          <w:sz w:val="21"/>
        </w:rPr>
        <w:t>[10]</w:t>
      </w:r>
      <w:r>
        <w:rPr>
          <w:sz w:val="21"/>
        </w:rPr>
        <w:t>个工作日内支付。</w:t>
      </w:r>
    </w:p>
    <w:p>
      <w:pPr>
        <w:pStyle w:val="null3"/>
        <w:jc w:val="both"/>
      </w:pPr>
      <w:r>
        <w:rPr>
          <w:sz w:val="21"/>
        </w:rPr>
        <w:t>如乙方未严格履行本合同义务，在不影响甲方及丙方任何其他权利或补救的前提下，甲方有权扣留或推迟支付任何到期款项，直至乙方履行义务或以甲方及丙方满意的方式进行补救。</w:t>
      </w:r>
    </w:p>
    <w:p>
      <w:pPr>
        <w:pStyle w:val="null3"/>
        <w:jc w:val="both"/>
      </w:pPr>
      <w:r>
        <w:rPr>
          <w:sz w:val="21"/>
        </w:rPr>
        <w:t>3.</w:t>
      </w:r>
      <w:r>
        <w:rPr>
          <w:sz w:val="21"/>
        </w:rPr>
        <w:t>乙方户名、开户银行名称和账号为：</w:t>
      </w:r>
    </w:p>
    <w:p>
      <w:pPr>
        <w:pStyle w:val="null3"/>
        <w:jc w:val="both"/>
      </w:pPr>
      <w:r>
        <w:rPr>
          <w:sz w:val="21"/>
        </w:rPr>
        <w:t>户</w:t>
      </w:r>
      <w:r>
        <w:rPr>
          <w:sz w:val="21"/>
        </w:rPr>
        <w:t xml:space="preserve">  </w:t>
      </w:r>
      <w:r>
        <w:rPr>
          <w:sz w:val="21"/>
        </w:rPr>
        <w:t>名</w:t>
      </w:r>
      <w:r>
        <w:rPr>
          <w:sz w:val="21"/>
        </w:rPr>
        <w:t>:</w:t>
      </w:r>
      <w:r>
        <w:rPr>
          <w:sz w:val="21"/>
          <w:u w:val="single"/>
        </w:rPr>
        <w:t xml:space="preserve">          </w:t>
      </w:r>
      <w:r>
        <w:rPr>
          <w:sz w:val="21"/>
        </w:rPr>
        <w:t xml:space="preserve">                            </w:t>
      </w:r>
    </w:p>
    <w:p>
      <w:pPr>
        <w:pStyle w:val="null3"/>
        <w:jc w:val="both"/>
      </w:pPr>
      <w:r>
        <w:rPr>
          <w:sz w:val="21"/>
        </w:rPr>
        <w:t>开户行</w:t>
      </w:r>
      <w:r>
        <w:rPr>
          <w:sz w:val="21"/>
        </w:rPr>
        <w:t>:</w:t>
      </w:r>
      <w:r>
        <w:rPr>
          <w:sz w:val="21"/>
          <w:u w:val="single"/>
        </w:rPr>
        <w:t xml:space="preserve">          </w:t>
      </w:r>
      <w:r>
        <w:rPr>
          <w:sz w:val="21"/>
        </w:rPr>
        <w:t xml:space="preserve">                            </w:t>
      </w:r>
    </w:p>
    <w:p>
      <w:pPr>
        <w:pStyle w:val="null3"/>
        <w:jc w:val="both"/>
      </w:pPr>
      <w:r>
        <w:rPr>
          <w:sz w:val="21"/>
        </w:rPr>
        <w:t>账</w:t>
      </w:r>
      <w:r>
        <w:rPr>
          <w:sz w:val="21"/>
        </w:rPr>
        <w:t xml:space="preserve">  </w:t>
      </w:r>
      <w:r>
        <w:rPr>
          <w:sz w:val="21"/>
        </w:rPr>
        <w:t>号</w:t>
      </w:r>
      <w:r>
        <w:rPr>
          <w:sz w:val="21"/>
        </w:rPr>
        <w:t>:</w:t>
      </w:r>
      <w:r>
        <w:rPr>
          <w:sz w:val="21"/>
          <w:u w:val="single"/>
        </w:rPr>
        <w:t xml:space="preserve">          </w:t>
      </w:r>
      <w:r>
        <w:rPr>
          <w:sz w:val="21"/>
        </w:rPr>
        <w:t xml:space="preserve">                            </w:t>
      </w:r>
    </w:p>
    <w:p>
      <w:pPr>
        <w:pStyle w:val="null3"/>
        <w:jc w:val="both"/>
      </w:pPr>
      <w:r>
        <w:rPr>
          <w:sz w:val="21"/>
        </w:rPr>
        <w:t>联行行号：</w:t>
      </w:r>
      <w:r>
        <w:rPr>
          <w:sz w:val="21"/>
          <w:u w:val="single"/>
        </w:rPr>
        <w:t xml:space="preserve">          </w:t>
      </w:r>
      <w:r>
        <w:rPr>
          <w:sz w:val="21"/>
        </w:rPr>
        <w:t xml:space="preserve">                                                    </w:t>
      </w:r>
    </w:p>
    <w:p>
      <w:pPr>
        <w:pStyle w:val="null3"/>
        <w:jc w:val="both"/>
      </w:pPr>
      <w:r>
        <w:rPr>
          <w:sz w:val="21"/>
        </w:rPr>
        <w:t>财务联系人及电话：</w:t>
      </w:r>
      <w:r>
        <w:rPr>
          <w:sz w:val="21"/>
          <w:u w:val="single"/>
        </w:rPr>
        <w:t xml:space="preserve">          </w:t>
      </w:r>
      <w:r>
        <w:rPr>
          <w:sz w:val="21"/>
        </w:rPr>
        <w:t xml:space="preserve">                  </w:t>
      </w:r>
    </w:p>
    <w:p>
      <w:pPr>
        <w:pStyle w:val="null3"/>
        <w:jc w:val="both"/>
      </w:pPr>
      <w:r>
        <w:rPr>
          <w:sz w:val="21"/>
        </w:rPr>
        <w:t>4.</w:t>
      </w:r>
      <w:r>
        <w:rPr>
          <w:sz w:val="21"/>
        </w:rPr>
        <w:t>发票：</w:t>
      </w:r>
    </w:p>
    <w:p>
      <w:pPr>
        <w:pStyle w:val="null3"/>
        <w:jc w:val="both"/>
      </w:pPr>
      <w:r>
        <w:rPr>
          <w:sz w:val="21"/>
        </w:rPr>
        <w:t>乙方须在要求甲方支付每期合同款时，且符合付款条件后，向甲方开具本次付款金额对应的增值税专用发票，同时明细项与项目价格清单保持一致。乙方如为一般纳税人，应向甲方开具增值税专用发票；如为小规模纳税人，须要求税务局代开增值税专用发票。乙方须在增值税专用发票开具后</w:t>
      </w:r>
      <w:r>
        <w:rPr>
          <w:sz w:val="21"/>
        </w:rPr>
        <w:t>20</w:t>
      </w:r>
      <w:r>
        <w:rPr>
          <w:sz w:val="21"/>
        </w:rPr>
        <w:t>个自然日（原则上不超过</w:t>
      </w:r>
      <w:r>
        <w:rPr>
          <w:sz w:val="21"/>
        </w:rPr>
        <w:t>20</w:t>
      </w:r>
      <w:r>
        <w:rPr>
          <w:sz w:val="21"/>
        </w:rPr>
        <w:t>个自然日）内，将增值税专用发票提交至甲方。</w:t>
      </w:r>
    </w:p>
    <w:p>
      <w:pPr>
        <w:pStyle w:val="null3"/>
        <w:jc w:val="both"/>
      </w:pPr>
      <w:r>
        <w:rPr>
          <w:sz w:val="21"/>
        </w:rPr>
        <w:t>乙方开具的增值税专用发票符合以下情形之一的，甲方有权延迟支付应付款项，并要求乙方重新提供，且不承担任何违约责任，乙方各项义务仍按合同约定履行且须向甲方重新开具增值税专用发票：</w:t>
      </w:r>
    </w:p>
    <w:p>
      <w:pPr>
        <w:pStyle w:val="null3"/>
        <w:jc w:val="both"/>
      </w:pPr>
      <w:r>
        <w:rPr>
          <w:sz w:val="21"/>
        </w:rPr>
        <w:t>（</w:t>
      </w:r>
      <w:r>
        <w:rPr>
          <w:sz w:val="21"/>
        </w:rPr>
        <w:t>1</w:t>
      </w:r>
      <w:r>
        <w:rPr>
          <w:sz w:val="21"/>
        </w:rPr>
        <w:t>）开具虚假、作废、无效发票或因违反国家法律法规开具、提供发票的；</w:t>
      </w:r>
    </w:p>
    <w:p>
      <w:pPr>
        <w:pStyle w:val="null3"/>
        <w:jc w:val="both"/>
      </w:pPr>
      <w:r>
        <w:rPr>
          <w:sz w:val="21"/>
        </w:rPr>
        <w:t>（</w:t>
      </w:r>
      <w:r>
        <w:rPr>
          <w:sz w:val="21"/>
        </w:rPr>
        <w:t>2</w:t>
      </w:r>
      <w:r>
        <w:rPr>
          <w:sz w:val="21"/>
        </w:rPr>
        <w:t>）开具发票种类错误或开具发票税率与合同约定不符的；</w:t>
      </w:r>
    </w:p>
    <w:p>
      <w:pPr>
        <w:pStyle w:val="null3"/>
        <w:jc w:val="both"/>
      </w:pPr>
      <w:r>
        <w:rPr>
          <w:sz w:val="21"/>
        </w:rPr>
        <w:t>（</w:t>
      </w:r>
      <w:r>
        <w:rPr>
          <w:sz w:val="21"/>
        </w:rPr>
        <w:t>3</w:t>
      </w:r>
      <w:r>
        <w:rPr>
          <w:sz w:val="21"/>
        </w:rPr>
        <w:t>）发票信息错误的；</w:t>
      </w:r>
    </w:p>
    <w:p>
      <w:pPr>
        <w:pStyle w:val="null3"/>
        <w:jc w:val="both"/>
      </w:pPr>
      <w:r>
        <w:rPr>
          <w:sz w:val="21"/>
        </w:rPr>
        <w:t>（</w:t>
      </w:r>
      <w:r>
        <w:rPr>
          <w:sz w:val="21"/>
        </w:rPr>
        <w:t>4</w:t>
      </w:r>
      <w:r>
        <w:rPr>
          <w:sz w:val="21"/>
        </w:rPr>
        <w:t>）因乙方延迟送达、开具错误等原因造成发票认证失败的其他情况。</w:t>
      </w:r>
    </w:p>
    <w:p>
      <w:pPr>
        <w:pStyle w:val="null3"/>
        <w:jc w:val="both"/>
      </w:pPr>
      <w:r>
        <w:rPr>
          <w:sz w:val="21"/>
        </w:rPr>
        <w:t>如乙方拒绝重新提供或提供的发票仍不符合法律法规和监管规定的要求，甲方有权解除本合同，并要求乙方承担由此对甲方造成的全部损失。</w:t>
      </w:r>
    </w:p>
    <w:p>
      <w:pPr>
        <w:pStyle w:val="null3"/>
        <w:jc w:val="both"/>
      </w:pPr>
      <w:r>
        <w:rPr>
          <w:sz w:val="21"/>
        </w:rPr>
        <w:t>【第八条】知识产权</w:t>
      </w:r>
    </w:p>
    <w:p>
      <w:pPr>
        <w:pStyle w:val="null3"/>
        <w:jc w:val="both"/>
      </w:pPr>
      <w:r>
        <w:rPr>
          <w:sz w:val="21"/>
        </w:rPr>
        <w:t>乙方保证其提供的硬件产品未侵犯第三人之著作权、商标权、专利权等知识产权及肖像权、名誉权、个人信息等其他合法权益，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使甲方可以达到原合同目的的其他产品，并承担因此而产生的所有的费用。</w:t>
      </w:r>
    </w:p>
    <w:p>
      <w:pPr>
        <w:pStyle w:val="null3"/>
        <w:jc w:val="both"/>
      </w:pPr>
      <w:r>
        <w:rPr>
          <w:sz w:val="21"/>
        </w:rPr>
        <w:t>任何一方不因本合同磋商、签订及履行而获得明示或暗示的使用对方（包括其子、分公司）的商标、商号、标识、标志或其他名称、或技术或业务的资料、信息、数据、文件、流程的权利，除非事先获得对方的特别书面授权。</w:t>
      </w:r>
    </w:p>
    <w:p>
      <w:pPr>
        <w:pStyle w:val="null3"/>
        <w:jc w:val="both"/>
      </w:pPr>
      <w:r>
        <w:rPr>
          <w:sz w:val="21"/>
        </w:rPr>
        <w:t>【第九条】保密</w:t>
      </w:r>
    </w:p>
    <w:p>
      <w:pPr>
        <w:pStyle w:val="null3"/>
        <w:jc w:val="both"/>
      </w:pPr>
      <w:r>
        <w:rPr>
          <w:sz w:val="21"/>
        </w:rPr>
        <w:t>1.</w:t>
      </w:r>
      <w:r>
        <w:rPr>
          <w:sz w:val="21"/>
        </w:rPr>
        <w:t>在本合同履行期间及履行完毕的任何时候，未经对方同意，任何一方不得以任何形式向第三方泄露本合同及附件内容，以确保各方的商业机密，但法律法规另有规定或监管部门另有要求的除外。</w:t>
      </w:r>
    </w:p>
    <w:p>
      <w:pPr>
        <w:pStyle w:val="null3"/>
        <w:jc w:val="both"/>
      </w:pPr>
      <w:r>
        <w:rPr>
          <w:sz w:val="21"/>
        </w:rPr>
        <w:t>2.</w:t>
      </w:r>
      <w:r>
        <w:rPr>
          <w:sz w:val="21"/>
        </w:rPr>
        <w:t>在本合同履行期间及履行完毕的任何时候，一方对于因实施本合同项下服务从对方获取或知悉的保密信息，应承担严格的保密责任，未经对方书面同意不得向任何第三方透露，否则，该方应赔偿由此给对方造成的全部损失，且对方有权随时终止合同，但法律法规另有规定或监管部门另有要求的除外。保密信息指任何一方因履行本合同所知悉的任何以口头、书面、图表或电子形式存在的对方信息，无论该信息是否享有知识产权，具体包括：</w:t>
      </w:r>
    </w:p>
    <w:p>
      <w:pPr>
        <w:pStyle w:val="null3"/>
        <w:jc w:val="both"/>
      </w:pPr>
      <w:r>
        <w:rPr>
          <w:sz w:val="21"/>
        </w:rPr>
        <w:t>（</w:t>
      </w:r>
      <w:r>
        <w:rPr>
          <w:sz w:val="21"/>
        </w:rPr>
        <w:t>1</w:t>
      </w:r>
      <w:r>
        <w:rPr>
          <w:sz w:val="21"/>
        </w:rPr>
        <w:t>）任何涉及对方及丙方过去、现在或将来的商业计划、规章制度、操作规程、处理手段、财务信息；</w:t>
      </w:r>
    </w:p>
    <w:p>
      <w:pPr>
        <w:pStyle w:val="null3"/>
        <w:jc w:val="both"/>
      </w:pPr>
      <w:r>
        <w:rPr>
          <w:sz w:val="21"/>
        </w:rPr>
        <w:t>（</w:t>
      </w:r>
      <w:r>
        <w:rPr>
          <w:sz w:val="21"/>
        </w:rPr>
        <w:t>2</w:t>
      </w:r>
      <w:r>
        <w:rPr>
          <w:sz w:val="21"/>
        </w:rPr>
        <w:t>）任何对方及丙方的技术措施、技术方案、软件应用及开发，硬件设备的品种、质量、数量、品牌等；</w:t>
      </w:r>
    </w:p>
    <w:p>
      <w:pPr>
        <w:pStyle w:val="null3"/>
        <w:jc w:val="both"/>
      </w:pPr>
      <w:r>
        <w:rPr>
          <w:sz w:val="21"/>
        </w:rPr>
        <w:t>（</w:t>
      </w:r>
      <w:r>
        <w:rPr>
          <w:sz w:val="21"/>
        </w:rPr>
        <w:t>3</w:t>
      </w:r>
      <w:r>
        <w:rPr>
          <w:sz w:val="21"/>
        </w:rPr>
        <w:t>）任何对方及丙方的技术秘密或专有知识、文件、报告、数据、客户软件、流程图、数据库、发明、知识、及贸易秘密。</w:t>
      </w:r>
    </w:p>
    <w:p>
      <w:pPr>
        <w:pStyle w:val="null3"/>
        <w:jc w:val="both"/>
      </w:pPr>
      <w:r>
        <w:rPr>
          <w:sz w:val="21"/>
        </w:rPr>
        <w:t>（</w:t>
      </w:r>
      <w:r>
        <w:rPr>
          <w:sz w:val="21"/>
        </w:rPr>
        <w:t>4</w:t>
      </w:r>
      <w:r>
        <w:rPr>
          <w:sz w:val="21"/>
        </w:rPr>
        <w:t>）甲方及丙方客户信息（除甲方另行同意外，甲方客户信息仅限于因履行本合同之必要目的在国内（不含港澳台地区）使用）。</w:t>
      </w:r>
    </w:p>
    <w:p>
      <w:pPr>
        <w:pStyle w:val="null3"/>
        <w:jc w:val="both"/>
      </w:pPr>
      <w:r>
        <w:rPr>
          <w:sz w:val="21"/>
        </w:rPr>
        <w:t>3.</w:t>
      </w:r>
      <w:r>
        <w:rPr>
          <w:sz w:val="21"/>
        </w:rPr>
        <w:t>在本合同履行期间及履行完毕的任何时候，乙方应对接触的甲方及丙方系统、应用、数据进行严格的访问控制，对接触关键信息基础设施的人员进行背景审查和保密审查。乙方人员不得在非甲方及丙方办公场所对甲方及丙方信息系统进行远程登录、操作和维护。如需远程访问丙方，需取得丙方授权。</w:t>
      </w:r>
    </w:p>
    <w:p>
      <w:pPr>
        <w:pStyle w:val="null3"/>
        <w:jc w:val="both"/>
      </w:pPr>
      <w:r>
        <w:rPr>
          <w:sz w:val="21"/>
        </w:rPr>
        <w:t>本保密责任永久有效，不因本合同的失效而失效。如需要，乙方应根据甲方及丙方的要求签署相应的保密承诺函，保密承诺函与本条款存在不一致的，以</w:t>
      </w:r>
      <w:r>
        <w:rPr>
          <w:sz w:val="21"/>
        </w:rPr>
        <w:t>保密承诺函</w:t>
      </w:r>
      <w:r>
        <w:rPr>
          <w:sz w:val="21"/>
        </w:rPr>
        <w:t>为准。</w:t>
      </w:r>
    </w:p>
    <w:p>
      <w:pPr>
        <w:pStyle w:val="null3"/>
        <w:jc w:val="both"/>
      </w:pPr>
      <w:r>
        <w:rPr>
          <w:sz w:val="21"/>
        </w:rPr>
        <w:t>【第十条】网络及信息安全审查</w:t>
      </w:r>
    </w:p>
    <w:p>
      <w:pPr>
        <w:pStyle w:val="null3"/>
        <w:jc w:val="both"/>
      </w:pPr>
      <w:r>
        <w:rPr>
          <w:sz w:val="21"/>
        </w:rPr>
        <w:t>1.</w:t>
      </w:r>
      <w:r>
        <w:rPr>
          <w:sz w:val="21"/>
        </w:rPr>
        <w:t>乙方承诺根据甲方的要求，依据《中华人民共和国网络安全法》及《网络安全审查办法》等法律法规配合进行网络安全审查。乙方承诺不利用提供的产品和服务非法获取甲方和丙方数据、非法控制和操纵甲方和丙方的设备，无正当理由不中断产品供应或必要的技术支持服务。</w:t>
      </w:r>
    </w:p>
    <w:p>
      <w:pPr>
        <w:pStyle w:val="null3"/>
        <w:jc w:val="both"/>
      </w:pPr>
      <w:r>
        <w:rPr>
          <w:sz w:val="21"/>
        </w:rPr>
        <w:t>2.</w:t>
      </w:r>
      <w:r>
        <w:rPr>
          <w:sz w:val="21"/>
        </w:rPr>
        <w:t>乙方承诺提供其产品涉及的第三方或开源软件清单。在产品涉及的第三方或开源软件出现安全漏洞时，应提供必要技术支持。</w:t>
      </w:r>
    </w:p>
    <w:p>
      <w:pPr>
        <w:pStyle w:val="null3"/>
        <w:jc w:val="both"/>
      </w:pPr>
      <w:r>
        <w:rPr>
          <w:sz w:val="21"/>
        </w:rPr>
        <w:t>3.</w:t>
      </w:r>
      <w:r>
        <w:rPr>
          <w:sz w:val="21"/>
        </w:rPr>
        <w:t>乙方承诺根据甲方、丙方的要求，制订相关产品和服务的应急预案（包括但不限于：供应链中断、源代码泄露、敏感数据泄露、产品出现安全漏洞等），配合甲方开展应急演练。</w:t>
      </w:r>
    </w:p>
    <w:p>
      <w:pPr>
        <w:pStyle w:val="null3"/>
        <w:jc w:val="both"/>
      </w:pPr>
      <w:r>
        <w:rPr>
          <w:sz w:val="21"/>
        </w:rPr>
        <w:t>4.</w:t>
      </w:r>
      <w:r>
        <w:rPr>
          <w:sz w:val="21"/>
        </w:rPr>
        <w:t>乙方承诺采取可信或可控的产品分发、交付和仓储手段，交付甲方的产品未被篡改和植入恶意代码。</w:t>
      </w:r>
    </w:p>
    <w:p>
      <w:pPr>
        <w:pStyle w:val="null3"/>
        <w:jc w:val="both"/>
      </w:pPr>
      <w:r>
        <w:rPr>
          <w:sz w:val="21"/>
        </w:rPr>
        <w:t>5.</w:t>
      </w:r>
      <w:r>
        <w:rPr>
          <w:sz w:val="21"/>
        </w:rPr>
        <w:t>乙方承诺应向甲方说明产品采集的信息、产品与供应商之间的连接情况和回传信息。</w:t>
      </w:r>
    </w:p>
    <w:p>
      <w:pPr>
        <w:pStyle w:val="null3"/>
        <w:jc w:val="both"/>
      </w:pPr>
      <w:r>
        <w:rPr>
          <w:sz w:val="21"/>
        </w:rPr>
        <w:t>6.</w:t>
      </w:r>
      <w:r>
        <w:rPr>
          <w:sz w:val="21"/>
        </w:rPr>
        <w:t>乙方承诺配合甲方进行安全测试。</w:t>
      </w:r>
    </w:p>
    <w:p>
      <w:pPr>
        <w:pStyle w:val="null3"/>
        <w:jc w:val="both"/>
      </w:pPr>
      <w:r>
        <w:rPr>
          <w:sz w:val="21"/>
        </w:rPr>
        <w:t>7.</w:t>
      </w:r>
      <w:r>
        <w:rPr>
          <w:sz w:val="21"/>
        </w:rPr>
        <w:t>乙方承诺做好源代码的安全管控，防止源代码和配置文件外泄。</w:t>
      </w:r>
    </w:p>
    <w:p>
      <w:pPr>
        <w:pStyle w:val="null3"/>
        <w:jc w:val="both"/>
      </w:pPr>
      <w:r>
        <w:rPr>
          <w:sz w:val="21"/>
        </w:rPr>
        <w:t>8.</w:t>
      </w:r>
      <w:r>
        <w:rPr>
          <w:sz w:val="21"/>
        </w:rPr>
        <w:t>乙方承诺未经甲方及丙方允许不得在互联网搭建含甲方或丙方标识、品牌名的信息系统。</w:t>
      </w:r>
    </w:p>
    <w:p>
      <w:pPr>
        <w:pStyle w:val="null3"/>
        <w:jc w:val="both"/>
      </w:pPr>
      <w:r>
        <w:rPr>
          <w:sz w:val="21"/>
        </w:rPr>
        <w:t>9.</w:t>
      </w:r>
      <w:r>
        <w:rPr>
          <w:sz w:val="21"/>
        </w:rPr>
        <w:t>在合同履行完毕后，乙方承诺应立即清除未经甲方及丙方书面授权允许保留的数据信息。</w:t>
      </w:r>
    </w:p>
    <w:p>
      <w:pPr>
        <w:pStyle w:val="null3"/>
        <w:jc w:val="both"/>
      </w:pPr>
      <w:r>
        <w:rPr>
          <w:sz w:val="21"/>
        </w:rPr>
        <w:t>10.</w:t>
      </w:r>
      <w:r>
        <w:rPr>
          <w:sz w:val="21"/>
        </w:rPr>
        <w:t>安全漏洞修复</w:t>
      </w:r>
    </w:p>
    <w:p>
      <w:pPr>
        <w:pStyle w:val="null3"/>
        <w:jc w:val="both"/>
      </w:pPr>
      <w:r>
        <w:rPr>
          <w:sz w:val="21"/>
        </w:rPr>
        <w:t>对于乙方所提供的产品，乙方承诺：</w:t>
      </w:r>
    </w:p>
    <w:p>
      <w:pPr>
        <w:pStyle w:val="null3"/>
        <w:jc w:val="both"/>
      </w:pPr>
      <w:r>
        <w:rPr>
          <w:sz w:val="21"/>
        </w:rPr>
        <w:t>（</w:t>
      </w:r>
      <w:r>
        <w:rPr>
          <w:sz w:val="21"/>
        </w:rPr>
        <w:t>1</w:t>
      </w:r>
      <w:r>
        <w:rPr>
          <w:sz w:val="21"/>
        </w:rPr>
        <w:t>）对自行发现或通过其他渠道了解的本产品的安全漏洞，乙方应第一时间通知甲方和丙方，并协助甲方和丙方进行漏洞整改与修复。</w:t>
      </w:r>
    </w:p>
    <w:p>
      <w:pPr>
        <w:pStyle w:val="null3"/>
        <w:jc w:val="both"/>
      </w:pPr>
      <w:r>
        <w:rPr>
          <w:sz w:val="21"/>
        </w:rPr>
        <w:t>（</w:t>
      </w:r>
      <w:r>
        <w:rPr>
          <w:sz w:val="21"/>
        </w:rPr>
        <w:t>2</w:t>
      </w:r>
      <w:r>
        <w:rPr>
          <w:sz w:val="21"/>
        </w:rPr>
        <w:t>）针对甲方或丙方所发现的乙方产品漏洞，乙方应及时进行响应和处置。安全漏洞的风险等级以甲方的评估结果为准，乙方按照甲方或丙方的时限要求提供漏洞处置方案、配合甲方及丙方进行实施。</w:t>
      </w:r>
    </w:p>
    <w:p>
      <w:pPr>
        <w:pStyle w:val="null3"/>
        <w:jc w:val="both"/>
      </w:pPr>
      <w:r>
        <w:rPr>
          <w:sz w:val="21"/>
        </w:rPr>
        <w:t>（</w:t>
      </w:r>
      <w:r>
        <w:rPr>
          <w:sz w:val="21"/>
        </w:rPr>
        <w:t>3</w:t>
      </w:r>
      <w:r>
        <w:rPr>
          <w:sz w:val="21"/>
        </w:rPr>
        <w:t>）乙方承诺不使用安全漏洞信息对甲方和丙方进行攻击，攻击行为包括但不限于：获取客户敏感信息、篡改网站页面、篡改数据、私自新建系统账号、私自控制服务器权限等。</w:t>
      </w:r>
    </w:p>
    <w:p>
      <w:pPr>
        <w:pStyle w:val="null3"/>
        <w:jc w:val="both"/>
      </w:pPr>
      <w:r>
        <w:rPr>
          <w:sz w:val="21"/>
        </w:rPr>
        <w:t>（</w:t>
      </w:r>
      <w:r>
        <w:rPr>
          <w:sz w:val="21"/>
        </w:rPr>
        <w:t>4</w:t>
      </w:r>
      <w:r>
        <w:rPr>
          <w:sz w:val="21"/>
        </w:rPr>
        <w:t>）乙方承诺为甲方及丙方提供的产品不存在任何后门。</w:t>
      </w:r>
    </w:p>
    <w:p>
      <w:pPr>
        <w:pStyle w:val="null3"/>
        <w:jc w:val="both"/>
      </w:pPr>
      <w:r>
        <w:rPr>
          <w:sz w:val="21"/>
        </w:rPr>
        <w:t>（</w:t>
      </w:r>
      <w:r>
        <w:rPr>
          <w:sz w:val="21"/>
        </w:rPr>
        <w:t>5</w:t>
      </w:r>
      <w:r>
        <w:rPr>
          <w:sz w:val="21"/>
        </w:rPr>
        <w:t>）乙方承诺所提供的产品符合甲方及丙方的安全规范要求，对于不符合安全规范要求或存在安全漏洞的，由乙方免费进行整改。</w:t>
      </w:r>
    </w:p>
    <w:p>
      <w:pPr>
        <w:pStyle w:val="null3"/>
        <w:jc w:val="both"/>
      </w:pPr>
      <w:r>
        <w:rPr>
          <w:sz w:val="21"/>
        </w:rPr>
        <w:t>（</w:t>
      </w:r>
      <w:r>
        <w:rPr>
          <w:sz w:val="21"/>
        </w:rPr>
        <w:t>6</w:t>
      </w:r>
      <w:r>
        <w:rPr>
          <w:sz w:val="21"/>
        </w:rPr>
        <w:t>）乙方应对其服务的产品提供安全加固指南，指导、协助甲方及丙方对产品进行安全配置，并提供相关培训。</w:t>
      </w:r>
    </w:p>
    <w:p>
      <w:pPr>
        <w:pStyle w:val="null3"/>
        <w:jc w:val="both"/>
      </w:pPr>
      <w:r>
        <w:rPr>
          <w:sz w:val="21"/>
        </w:rPr>
        <w:t>（</w:t>
      </w:r>
      <w:r>
        <w:rPr>
          <w:sz w:val="21"/>
        </w:rPr>
        <w:t>7</w:t>
      </w:r>
      <w:r>
        <w:rPr>
          <w:sz w:val="21"/>
        </w:rPr>
        <w:t>）乙方如违反上述约定，对甲方造成重大影响的，应承担赔偿责任，包括但不限于：扣款、终止为甲方服务等方式。</w:t>
      </w:r>
    </w:p>
    <w:p>
      <w:pPr>
        <w:pStyle w:val="null3"/>
        <w:jc w:val="both"/>
      </w:pPr>
      <w:r>
        <w:rPr>
          <w:sz w:val="21"/>
        </w:rPr>
        <w:t>11.</w:t>
      </w:r>
      <w:r>
        <w:rPr>
          <w:sz w:val="21"/>
        </w:rPr>
        <w:t>乙方承诺不利用甲方对于产品可能的依赖性谋取不正当利益或者迫使甲方更新换代。</w:t>
      </w:r>
    </w:p>
    <w:p>
      <w:pPr>
        <w:pStyle w:val="null3"/>
        <w:jc w:val="both"/>
      </w:pPr>
      <w:r>
        <w:rPr>
          <w:sz w:val="21"/>
        </w:rPr>
        <w:t>12.</w:t>
      </w:r>
      <w:r>
        <w:rPr>
          <w:sz w:val="21"/>
        </w:rPr>
        <w:t>对于乙方所提供的产品，乙方承诺：</w:t>
      </w:r>
    </w:p>
    <w:p>
      <w:pPr>
        <w:pStyle w:val="null3"/>
        <w:jc w:val="both"/>
      </w:pPr>
      <w:r>
        <w:rPr>
          <w:sz w:val="21"/>
        </w:rPr>
        <w:t>（</w:t>
      </w:r>
      <w:r>
        <w:rPr>
          <w:sz w:val="21"/>
        </w:rPr>
        <w:t>1</w:t>
      </w:r>
      <w:r>
        <w:rPr>
          <w:sz w:val="21"/>
        </w:rPr>
        <w:t>）甲方境内机构采购的列入《网络关键设备和网络安全专用产品目录的》的产品，应具备国家有关部门认定的检测机构的检测报告。</w:t>
      </w:r>
    </w:p>
    <w:p>
      <w:pPr>
        <w:pStyle w:val="null3"/>
        <w:jc w:val="both"/>
      </w:pPr>
      <w:r>
        <w:rPr>
          <w:sz w:val="21"/>
        </w:rPr>
        <w:t>（</w:t>
      </w:r>
      <w:r>
        <w:rPr>
          <w:sz w:val="21"/>
        </w:rPr>
        <w:t>2</w:t>
      </w:r>
      <w:r>
        <w:rPr>
          <w:sz w:val="21"/>
        </w:rPr>
        <w:t>）甲方境内机构采购的计算机信息系统安全专用产品，应具备公安部颁发的“计算机信息系统安全专用产品销售许可证”。</w:t>
      </w:r>
    </w:p>
    <w:p>
      <w:pPr>
        <w:pStyle w:val="null3"/>
        <w:jc w:val="both"/>
      </w:pPr>
      <w:r>
        <w:rPr>
          <w:sz w:val="21"/>
        </w:rPr>
        <w:t>【第十一条】其他约定</w:t>
      </w:r>
    </w:p>
    <w:p>
      <w:pPr>
        <w:pStyle w:val="null3"/>
        <w:jc w:val="both"/>
      </w:pPr>
      <w:r>
        <w:rPr>
          <w:sz w:val="21"/>
        </w:rPr>
        <w:t>1.</w:t>
      </w:r>
      <w:r>
        <w:rPr>
          <w:sz w:val="21"/>
        </w:rPr>
        <w:t>合规与内控</w:t>
      </w:r>
    </w:p>
    <w:p>
      <w:pPr>
        <w:pStyle w:val="null3"/>
        <w:jc w:val="both"/>
      </w:pPr>
      <w:r>
        <w:rPr>
          <w:sz w:val="21"/>
        </w:rPr>
        <w:t>乙方在项目实施过程中，应严格遵守法律法规及甲方、丙方的规章制度；甲方、丙方有权随时向乙方通报监管政策，乙方须贯彻落实。乙方应建立并严格执行满足本合同项下服务需求以及符合甲方、丙方要求的内控机制。</w:t>
      </w:r>
    </w:p>
    <w:p>
      <w:pPr>
        <w:pStyle w:val="null3"/>
        <w:jc w:val="both"/>
      </w:pPr>
      <w:r>
        <w:rPr>
          <w:sz w:val="21"/>
        </w:rPr>
        <w:t>2.</w:t>
      </w:r>
      <w:r>
        <w:rPr>
          <w:sz w:val="21"/>
        </w:rPr>
        <w:t>服务连续性</w:t>
      </w:r>
    </w:p>
    <w:p>
      <w:pPr>
        <w:pStyle w:val="null3"/>
        <w:jc w:val="both"/>
      </w:pPr>
      <w:r>
        <w:rPr>
          <w:sz w:val="21"/>
        </w:rPr>
        <w:t>乙方应采取有效措施，确保本合同项下服务提供的连续性，具体要求如下：乙方必须提供有效的应急预案，并有义务根据甲方、丙方要求，定期参与演练并不断完善应急预案。</w:t>
      </w:r>
    </w:p>
    <w:p>
      <w:pPr>
        <w:pStyle w:val="null3"/>
        <w:jc w:val="both"/>
      </w:pPr>
      <w:r>
        <w:rPr>
          <w:sz w:val="21"/>
        </w:rPr>
        <w:t>3.</w:t>
      </w:r>
      <w:r>
        <w:rPr>
          <w:sz w:val="21"/>
        </w:rPr>
        <w:t>通知</w:t>
      </w:r>
    </w:p>
    <w:p>
      <w:pPr>
        <w:pStyle w:val="null3"/>
        <w:jc w:val="both"/>
      </w:pPr>
      <w:r>
        <w:rPr>
          <w:sz w:val="21"/>
        </w:rPr>
        <w:t>乙方发生名称、法定代表人（负责人）、住所、经营范围或公司（企业）章程等工商登记事项或税务登记事项（如增值税纳税人身份变更）变更的，应当在变更后五个工作日内书面通知甲方，并附变更后的相关材料。</w:t>
      </w:r>
    </w:p>
    <w:p>
      <w:pPr>
        <w:pStyle w:val="null3"/>
        <w:jc w:val="both"/>
      </w:pPr>
      <w:r>
        <w:rPr>
          <w:sz w:val="21"/>
        </w:rPr>
        <w:t>乙方发生包括但不限于申请</w:t>
      </w:r>
      <w:r>
        <w:rPr>
          <w:sz w:val="21"/>
        </w:rPr>
        <w:t>/</w:t>
      </w:r>
      <w:r>
        <w:rPr>
          <w:sz w:val="21"/>
        </w:rPr>
        <w:t>被申请破产、停产、歇业、被吊销营业执照或相关资质、涉及重大法律纠纷、生产经营出现严重困难或财务状况恶化等可能影响履行本合同约定义务的，乙方应立即书面通知甲方，甲方有权要求乙方为本合同的履行提供甲方认可的担保，在乙方提供甲方认可的担保前，甲方有权暂停履行本合同项下的采购或支付义务。</w:t>
      </w:r>
    </w:p>
    <w:p>
      <w:pPr>
        <w:pStyle w:val="null3"/>
        <w:jc w:val="both"/>
      </w:pPr>
      <w:r>
        <w:rPr>
          <w:sz w:val="21"/>
        </w:rPr>
        <w:t>4.</w:t>
      </w:r>
      <w:r>
        <w:rPr>
          <w:sz w:val="21"/>
        </w:rPr>
        <w:t>不可抗力</w:t>
      </w:r>
    </w:p>
    <w:p>
      <w:pPr>
        <w:pStyle w:val="null3"/>
        <w:jc w:val="both"/>
      </w:pPr>
      <w:r>
        <w:rPr>
          <w:sz w:val="21"/>
        </w:rPr>
        <w:t>不可抗力，系指地震、台风、水灾、火灾、战争、政府禁令等不能预见、不能避免并不能克服的，直接影响本合同履行的意外事件。如果出现不可抗力，各方在本合同中的义务在不可抗力影响范围及其持续期间内将中止履行。经另外一方确定的不可抗力影响时间，不计入本合同执行时间，本合同执行时间相应顺延。合同期限可根据中止的期限作相应延长，但须各方协商一致。任何一方均不会因此而承担违约责任。但是，任何一方迟延履行本合同同时发生了不可抗力，迟延方的违约责任不能免除。</w:t>
      </w:r>
    </w:p>
    <w:p>
      <w:pPr>
        <w:pStyle w:val="null3"/>
        <w:jc w:val="both"/>
      </w:pPr>
      <w:r>
        <w:rPr>
          <w:sz w:val="21"/>
        </w:rPr>
        <w:t>受不可抗力影响的一方，应当尽可能采取合理的行为和适当的措施减轻不可抗力对履行本合同所造成的影响。没有采取适当措施致使损失扩大的，该方不能就扩大损失的部分要求免责。</w:t>
      </w:r>
    </w:p>
    <w:p>
      <w:pPr>
        <w:pStyle w:val="null3"/>
        <w:jc w:val="both"/>
      </w:pPr>
      <w:r>
        <w:rPr>
          <w:sz w:val="21"/>
        </w:rPr>
        <w:t>受不可抗力影响一方应在不可抗力事件发生后</w:t>
      </w:r>
      <w:r>
        <w:rPr>
          <w:sz w:val="21"/>
        </w:rPr>
        <w:t>[5]</w:t>
      </w:r>
      <w:r>
        <w:rPr>
          <w:sz w:val="21"/>
        </w:rPr>
        <w:t>个工作日内将不能履行本合同的原因书面通知对方，并提供有效的证明文件。</w:t>
      </w:r>
    </w:p>
    <w:p>
      <w:pPr>
        <w:pStyle w:val="null3"/>
        <w:jc w:val="both"/>
      </w:pPr>
      <w:r>
        <w:rPr>
          <w:sz w:val="21"/>
        </w:rPr>
        <w:t>不可抗力影响结束后，受影响一方应在</w:t>
      </w:r>
      <w:r>
        <w:rPr>
          <w:sz w:val="21"/>
        </w:rPr>
        <w:t>[5]</w:t>
      </w:r>
      <w:r>
        <w:rPr>
          <w:sz w:val="21"/>
        </w:rPr>
        <w:t>个工作日内书面通知对方。</w:t>
      </w:r>
    </w:p>
    <w:p>
      <w:pPr>
        <w:pStyle w:val="null3"/>
        <w:jc w:val="both"/>
      </w:pPr>
      <w:r>
        <w:rPr>
          <w:sz w:val="21"/>
        </w:rPr>
        <w:t>如果不可抗力影响超过</w:t>
      </w:r>
      <w:r>
        <w:rPr>
          <w:sz w:val="21"/>
        </w:rPr>
        <w:t>[7]</w:t>
      </w:r>
      <w:r>
        <w:rPr>
          <w:sz w:val="21"/>
        </w:rPr>
        <w:t>天，各方可协商解决此后的合同执行问题。如果各方在相应顺延的</w:t>
      </w:r>
      <w:r>
        <w:rPr>
          <w:sz w:val="21"/>
        </w:rPr>
        <w:t>[7]</w:t>
      </w:r>
      <w:r>
        <w:rPr>
          <w:sz w:val="21"/>
        </w:rPr>
        <w:t>天内未能协商一致，各方均有权解除合同。</w:t>
      </w:r>
    </w:p>
    <w:p>
      <w:pPr>
        <w:pStyle w:val="null3"/>
        <w:jc w:val="both"/>
      </w:pPr>
      <w:r>
        <w:rPr>
          <w:sz w:val="21"/>
        </w:rPr>
        <w:t>5.</w:t>
      </w:r>
      <w:r>
        <w:rPr>
          <w:sz w:val="21"/>
        </w:rPr>
        <w:t>市场宣传</w:t>
      </w:r>
    </w:p>
    <w:p>
      <w:pPr>
        <w:pStyle w:val="null3"/>
        <w:jc w:val="both"/>
      </w:pPr>
      <w:r>
        <w:rPr>
          <w:sz w:val="21"/>
        </w:rPr>
        <w:t>未经甲方和丙方书面同意，乙方不得在市场宣传中使用与甲方或丙方的合作案例，不得将甲方或丙方作为业务合作伙伴进行宣传，不得使用中国银行或丙方的商标、标志语、徽标等。</w:t>
      </w:r>
    </w:p>
    <w:p>
      <w:pPr>
        <w:pStyle w:val="null3"/>
        <w:jc w:val="both"/>
      </w:pPr>
      <w:r>
        <w:rPr>
          <w:sz w:val="21"/>
        </w:rPr>
        <w:t>6.</w:t>
      </w:r>
      <w:r>
        <w:rPr>
          <w:sz w:val="21"/>
        </w:rPr>
        <w:t>合同的完整性</w:t>
      </w:r>
    </w:p>
    <w:p>
      <w:pPr>
        <w:pStyle w:val="null3"/>
        <w:jc w:val="both"/>
      </w:pPr>
      <w:r>
        <w:rPr>
          <w:sz w:val="21"/>
        </w:rPr>
        <w:t>如果乙方在本合同谈判、招标阶段向甲方、丙方提供过任何加盖有公章或由授权代表签名的任何正式书面承诺、保证或说明，则该书面承诺、保证或说明材料中有关乙方义务、责任或承诺的内容，均构成本合同项下乙方的义务，对乙方具有同样法律约束力，但甲方和丙方明确书面同意予以免除的除外。</w:t>
      </w:r>
    </w:p>
    <w:p>
      <w:pPr>
        <w:pStyle w:val="null3"/>
        <w:jc w:val="both"/>
      </w:pPr>
      <w:r>
        <w:rPr>
          <w:sz w:val="21"/>
        </w:rPr>
        <w:t>【第十二条】违约责任</w:t>
      </w:r>
    </w:p>
    <w:p>
      <w:pPr>
        <w:pStyle w:val="null3"/>
        <w:jc w:val="both"/>
      </w:pPr>
      <w:r>
        <w:rPr>
          <w:sz w:val="21"/>
        </w:rPr>
        <w:t>甲方的违约责任包括：</w:t>
      </w:r>
    </w:p>
    <w:p>
      <w:pPr>
        <w:pStyle w:val="null3"/>
        <w:jc w:val="both"/>
      </w:pPr>
      <w:r>
        <w:rPr>
          <w:sz w:val="21"/>
        </w:rPr>
        <w:t>1.</w:t>
      </w:r>
      <w:r>
        <w:rPr>
          <w:sz w:val="21"/>
        </w:rPr>
        <w:t>甲方无故中途退货，乙方须就退货部分向甲方开具增值税红字发票，甲方应向乙方支付退货部分货款</w:t>
      </w:r>
      <w:r>
        <w:rPr>
          <w:sz w:val="21"/>
        </w:rPr>
        <w:t>[10]%</w:t>
      </w:r>
      <w:r>
        <w:rPr>
          <w:sz w:val="21"/>
        </w:rPr>
        <w:t>的违约金，因乙方违约及本合同另有规定的除外。</w:t>
      </w:r>
    </w:p>
    <w:p>
      <w:pPr>
        <w:pStyle w:val="null3"/>
        <w:jc w:val="both"/>
      </w:pPr>
      <w:r>
        <w:rPr>
          <w:sz w:val="21"/>
        </w:rPr>
        <w:t>2.</w:t>
      </w:r>
      <w:r>
        <w:rPr>
          <w:sz w:val="21"/>
        </w:rPr>
        <w:t>甲方未按照本合同第七条第</w:t>
      </w:r>
      <w:r>
        <w:rPr>
          <w:sz w:val="21"/>
        </w:rPr>
        <w:t>3</w:t>
      </w:r>
      <w:r>
        <w:rPr>
          <w:sz w:val="21"/>
        </w:rPr>
        <w:t>款项下约定的方式支付款项造成乙方、丙方的损失由甲方予以承担，但非因甲方原因导致未能支付款项的除外。</w:t>
      </w:r>
    </w:p>
    <w:p>
      <w:pPr>
        <w:pStyle w:val="null3"/>
        <w:jc w:val="both"/>
      </w:pPr>
      <w:r>
        <w:rPr>
          <w:sz w:val="21"/>
        </w:rPr>
        <w:t>乙方的违约责任包括：</w:t>
      </w:r>
    </w:p>
    <w:p>
      <w:pPr>
        <w:pStyle w:val="null3"/>
        <w:jc w:val="both"/>
      </w:pPr>
      <w:r>
        <w:rPr>
          <w:sz w:val="21"/>
        </w:rPr>
        <w:t>1.</w:t>
      </w:r>
      <w:r>
        <w:rPr>
          <w:sz w:val="21"/>
        </w:rPr>
        <w:t>乙方所交货物品种、型号、规格、质量、功能不符合合同规定的，如果甲方同意使用，应当按质论价；如果甲方或丙方认为不能使用的，应根据货物的具体情况，由乙方在</w:t>
      </w:r>
      <w:r>
        <w:rPr>
          <w:sz w:val="21"/>
        </w:rPr>
        <w:t>[10]</w:t>
      </w:r>
      <w:r>
        <w:rPr>
          <w:sz w:val="21"/>
        </w:rPr>
        <w:t>个工作日内负责包换或包修，并承担因修理、调换、运输而产生的全部费用。乙方不能在前述时间内完成修理或者掉换，或者修理和掉换后的货物仍不符合合同规定的，甲方和丙方有权退货退款，并要求乙方按不能交货部分货款的</w:t>
      </w:r>
      <w:r>
        <w:rPr>
          <w:sz w:val="21"/>
        </w:rPr>
        <w:t xml:space="preserve">[10]% </w:t>
      </w:r>
      <w:r>
        <w:rPr>
          <w:sz w:val="21"/>
        </w:rPr>
        <w:t>承担违约金并赔偿甲方的损失。</w:t>
      </w:r>
    </w:p>
    <w:p>
      <w:pPr>
        <w:pStyle w:val="null3"/>
        <w:jc w:val="both"/>
      </w:pPr>
      <w:r>
        <w:rPr>
          <w:sz w:val="21"/>
        </w:rPr>
        <w:t>2.</w:t>
      </w:r>
      <w:r>
        <w:rPr>
          <w:sz w:val="21"/>
        </w:rPr>
        <w:t>乙方提前交货的，甲方接货后，仍可按合同规定的交货时间付款。乙方逾期交货的，应在发货前书面通知甲方和丙方，与甲方和丙方协商，甲方和丙方仍需要的，乙方应继续交货，并按每逾期一次支付合同总价款</w:t>
      </w:r>
      <w:r>
        <w:rPr>
          <w:sz w:val="21"/>
        </w:rPr>
        <w:t xml:space="preserve">[10]% </w:t>
      </w:r>
      <w:r>
        <w:rPr>
          <w:sz w:val="21"/>
        </w:rPr>
        <w:t>的违约金承担逾期交货责任；甲方或丙方不再需要的，应当在接到乙方通知后</w:t>
      </w:r>
      <w:r>
        <w:rPr>
          <w:sz w:val="21"/>
        </w:rPr>
        <w:t>[10]</w:t>
      </w:r>
      <w:r>
        <w:rPr>
          <w:sz w:val="21"/>
        </w:rPr>
        <w:t>日内回复乙方，甲方或丙方可单方解除合同，并有权要求乙方赔偿因逾期交货给甲方和丙方造成的损失。甲方和丙方逾期不答复的，视为同意发货。不论乙方是否书面通知甲方和丙方，如乙方逾期交货超过</w:t>
      </w:r>
      <w:r>
        <w:rPr>
          <w:sz w:val="21"/>
        </w:rPr>
        <w:t>[10]</w:t>
      </w:r>
      <w:r>
        <w:rPr>
          <w:sz w:val="21"/>
        </w:rPr>
        <w:t>天，甲方或丙方即有权单方解除合同，并要求乙方赔偿因逾期交货给甲方造成的损失。</w:t>
      </w:r>
    </w:p>
    <w:p>
      <w:pPr>
        <w:pStyle w:val="null3"/>
        <w:jc w:val="both"/>
      </w:pPr>
      <w:r>
        <w:rPr>
          <w:sz w:val="21"/>
        </w:rPr>
        <w:t>3.</w:t>
      </w:r>
      <w:r>
        <w:rPr>
          <w:sz w:val="21"/>
        </w:rPr>
        <w:t>乙方不能按本合同要求提供货物的保修、维护服务的，应向甲方偿付合同总价款的</w:t>
      </w:r>
      <w:r>
        <w:rPr>
          <w:sz w:val="21"/>
        </w:rPr>
        <w:t>[10]%</w:t>
      </w:r>
      <w:r>
        <w:rPr>
          <w:sz w:val="21"/>
        </w:rPr>
        <w:t>的违约金并赔偿甲方因乙方未能提供上述服务所产生的损失，如聘请第三方所支付的维修费等。如果此等违约造成本合同项下货物的使用目的无法实现的，甲方有权解除合同并主张除违约金以外的损害赔偿。</w:t>
      </w:r>
    </w:p>
    <w:p>
      <w:pPr>
        <w:pStyle w:val="null3"/>
        <w:jc w:val="both"/>
      </w:pPr>
      <w:r>
        <w:rPr>
          <w:sz w:val="21"/>
        </w:rPr>
        <w:t>4.</w:t>
      </w:r>
      <w:r>
        <w:rPr>
          <w:sz w:val="21"/>
        </w:rPr>
        <w:t>乙方在合同履行结束及服务终止后，未按合同要求立即清除未经甲方和丙方书面授权允许保留的数据信息或泄露数据信息的，甲方有权要求乙方按本合同总价款</w:t>
      </w:r>
      <w:r>
        <w:rPr>
          <w:sz w:val="21"/>
        </w:rPr>
        <w:t xml:space="preserve">[10]% </w:t>
      </w:r>
      <w:r>
        <w:rPr>
          <w:sz w:val="21"/>
        </w:rPr>
        <w:t>承担违约金并赔偿甲方损失。</w:t>
      </w:r>
    </w:p>
    <w:p>
      <w:pPr>
        <w:pStyle w:val="null3"/>
        <w:jc w:val="both"/>
      </w:pPr>
      <w:r>
        <w:rPr>
          <w:sz w:val="21"/>
        </w:rPr>
        <w:t>5.</w:t>
      </w:r>
      <w:r>
        <w:rPr>
          <w:sz w:val="21"/>
        </w:rPr>
        <w:t>乙方不能按本合同要求提供培训服务的，应向甲方偿付合同总价款的</w:t>
      </w:r>
      <w:r>
        <w:rPr>
          <w:sz w:val="21"/>
        </w:rPr>
        <w:t xml:space="preserve">[10]% </w:t>
      </w:r>
      <w:r>
        <w:rPr>
          <w:sz w:val="21"/>
        </w:rPr>
        <w:t>的违约金。如果此等违约造成本合同项下货物的使用目的无法实现的，甲方有权解除合同并主张除违约金以外的损害赔偿。</w:t>
      </w:r>
    </w:p>
    <w:p>
      <w:pPr>
        <w:pStyle w:val="null3"/>
        <w:jc w:val="both"/>
      </w:pPr>
      <w:r>
        <w:rPr>
          <w:sz w:val="21"/>
        </w:rPr>
        <w:t>6.</w:t>
      </w:r>
      <w:r>
        <w:rPr>
          <w:sz w:val="21"/>
        </w:rPr>
        <w:t>乙方不能按本合同要求提供所承诺的服务人员的，应向甲方偿付合同总价款的</w:t>
      </w:r>
      <w:r>
        <w:rPr>
          <w:sz w:val="21"/>
        </w:rPr>
        <w:t xml:space="preserve">[ 10 ]% </w:t>
      </w:r>
      <w:r>
        <w:rPr>
          <w:sz w:val="21"/>
        </w:rPr>
        <w:t>的违约金。如果此等违约造成本合同项下货物的使用目的无法实现的，甲方有权解除合同并主张除违约金以外的损害赔偿。</w:t>
      </w:r>
    </w:p>
    <w:p>
      <w:pPr>
        <w:pStyle w:val="null3"/>
        <w:jc w:val="both"/>
      </w:pPr>
      <w:r>
        <w:rPr>
          <w:sz w:val="21"/>
        </w:rPr>
        <w:t>7.</w:t>
      </w:r>
      <w:r>
        <w:rPr>
          <w:sz w:val="21"/>
        </w:rPr>
        <w:t>如果发生声称本合同项下货物侵犯他人专利、版权、商标权或商业秘密等权利而针对甲方提起索赔或诉讼仲裁的情况，除下款另有规定外，乙方应支付由此而产生的全部费用及赔偿金。如甲方将第三方提起索赔或诉讼仲裁的情况及时通知了乙方，并且授权乙方独立应诉和解决索赔问题，则乙方将自费应诉，并支付全部费用、和解赔偿金和由于该案最终裁定或判决而支付的赔偿金。如果依照中华人民共和国法律，甲方不能实现授权乙方独立应诉和解决索赔问题，则甲方可以选择独立应诉或与乙方联合应诉，乙方将承担由此而支付的全部费用、和解赔偿金和按最终裁定或判决而需要甲方或乙方支付的赔偿金。如果乙方不积极应诉或解决纠纷，甲方为自身利益有权独立应诉、与第三方做出任何重大决定，包括庭外和解、法庭抗辩，乙方将承担由此而支付的全部费用（包括但不限于诉讼费、律师费、保全费、差旅费等其他维权合理费用）、和解赔偿金和按最终裁定或判决而需要甲方或乙方支付的赔偿金。</w:t>
      </w:r>
    </w:p>
    <w:p>
      <w:pPr>
        <w:pStyle w:val="null3"/>
        <w:jc w:val="both"/>
      </w:pPr>
      <w:r>
        <w:rPr>
          <w:sz w:val="21"/>
        </w:rPr>
        <w:t>在处理索赔或诉讼仲裁的过程中，乙方应尽力为甲方取得继续使用该货物的权利，或者将该货物替换或修改，以便使用该货物不再侵权。如果乙方不能合理地完成这些补救措施，并且甲方必须停止使用侵权的货物，作为不得已的最后手段，乙方将按</w:t>
      </w:r>
      <w:r>
        <w:rPr>
          <w:sz w:val="21"/>
        </w:rPr>
        <w:t xml:space="preserve">[ </w:t>
      </w:r>
      <w:r>
        <w:rPr>
          <w:sz w:val="21"/>
        </w:rPr>
        <w:t xml:space="preserve">全额退还 </w:t>
      </w:r>
      <w:r>
        <w:rPr>
          <w:sz w:val="21"/>
        </w:rPr>
        <w:t>]</w:t>
      </w:r>
      <w:r>
        <w:rPr>
          <w:sz w:val="21"/>
        </w:rPr>
        <w:t>方式退还侵权货物的价款和为侵权货物已支付的许可费。对于仅因使用并非由乙方提供的货物，或仅因乙方执行了甲方的设计、规格或指示而导致的与使用本合同项下货物相关的侵权追诉，乙方对甲方不承担任何赔偿责任。</w:t>
      </w:r>
    </w:p>
    <w:p>
      <w:pPr>
        <w:pStyle w:val="null3"/>
        <w:jc w:val="both"/>
      </w:pPr>
      <w:r>
        <w:rPr>
          <w:sz w:val="21"/>
        </w:rPr>
        <w:t>8.</w:t>
      </w:r>
      <w:r>
        <w:rPr>
          <w:sz w:val="21"/>
        </w:rPr>
        <w:t xml:space="preserve">由于乙方原因导致甲方无法实现增值税专用发票的正常抵扣，乙方应向甲方另外支付  </w:t>
      </w:r>
      <w:r>
        <w:rPr>
          <w:sz w:val="21"/>
        </w:rPr>
        <w:t xml:space="preserve">2  </w:t>
      </w:r>
      <w:r>
        <w:rPr>
          <w:sz w:val="21"/>
        </w:rPr>
        <w:t>倍的增值税额。</w:t>
      </w:r>
    </w:p>
    <w:p>
      <w:pPr>
        <w:pStyle w:val="null3"/>
        <w:jc w:val="both"/>
      </w:pPr>
      <w:r>
        <w:rPr>
          <w:sz w:val="21"/>
        </w:rPr>
        <w:t>9.</w:t>
      </w:r>
      <w:r>
        <w:rPr>
          <w:sz w:val="21"/>
        </w:rPr>
        <w:t>按合同规定应该偿付的违约金、赔偿金和各种经济损失应当在明确责任后</w:t>
      </w:r>
      <w:r>
        <w:rPr>
          <w:sz w:val="21"/>
        </w:rPr>
        <w:t>[7]</w:t>
      </w:r>
      <w:r>
        <w:rPr>
          <w:sz w:val="21"/>
        </w:rPr>
        <w:t>日内付清，逾期按应支付金额的日万分之</w:t>
      </w:r>
      <w:r>
        <w:rPr>
          <w:sz w:val="21"/>
        </w:rPr>
        <w:t>[3]</w:t>
      </w:r>
      <w:r>
        <w:rPr>
          <w:sz w:val="21"/>
        </w:rPr>
        <w:t>计收利息。依据本合同乙方应向甲方支付前述款项的，甲方有权自行从应付合同总价款中扣除充抵。</w:t>
      </w:r>
    </w:p>
    <w:p>
      <w:pPr>
        <w:pStyle w:val="null3"/>
        <w:jc w:val="both"/>
      </w:pPr>
      <w:r>
        <w:rPr>
          <w:sz w:val="21"/>
        </w:rPr>
        <w:t>丙方的违约责任包括：</w:t>
      </w:r>
    </w:p>
    <w:p>
      <w:pPr>
        <w:pStyle w:val="null3"/>
        <w:jc w:val="both"/>
      </w:pPr>
      <w:r>
        <w:rPr>
          <w:sz w:val="21"/>
        </w:rPr>
        <w:t>丙方未按规定妥善保管与使用甲方采购的资产，所造成的损失，按照甲方与丙方签订的合作协议约定执行。</w:t>
      </w:r>
    </w:p>
    <w:p>
      <w:pPr>
        <w:pStyle w:val="null3"/>
        <w:jc w:val="both"/>
      </w:pPr>
      <w:r>
        <w:rPr>
          <w:sz w:val="21"/>
        </w:rPr>
        <w:t>【第十三条】</w:t>
      </w:r>
      <w:r>
        <w:rPr>
          <w:sz w:val="21"/>
        </w:rPr>
        <w:t>制裁合规承诺和违约责任</w:t>
      </w:r>
    </w:p>
    <w:p>
      <w:pPr>
        <w:pStyle w:val="null3"/>
        <w:jc w:val="both"/>
      </w:pPr>
      <w:r>
        <w:rPr>
          <w:sz w:val="21"/>
        </w:rPr>
        <w:t>1.</w:t>
      </w:r>
      <w:r>
        <w:rPr>
          <w:sz w:val="21"/>
        </w:rPr>
        <w:t>乙方承诺未受到联合国、中国或其他甲方认为需适用的制裁发布主体的制裁，也未被前述制裁对象拥有或实际控制。乙方承诺在本协议生效期间，不从事违反联合国、中国和其他甲方认为需适用的制裁规则的活动，不为前述活动提供便利。未免疑义，本条约定不应被视作甲方有向乙方及其他任何第三方提供内部制裁合规政策的义务。</w:t>
      </w:r>
    </w:p>
    <w:p>
      <w:pPr>
        <w:pStyle w:val="null3"/>
        <w:jc w:val="both"/>
      </w:pPr>
      <w:r>
        <w:rPr>
          <w:sz w:val="21"/>
        </w:rPr>
        <w:t>2.</w:t>
      </w:r>
      <w:r>
        <w:rPr>
          <w:sz w:val="21"/>
        </w:rPr>
        <w:t>如乙方在本协议生效期间内受到联合国、中国或其他需适用的制裁发布主体的制裁，或者被前述制裁对象拥有或实际控制；或者乙方在本协议生效期间，从事违反联合国、中国或其他甲方认为需适用的制裁规则的活动，或为前述活动提供便利，或拒绝配合提供反洗钱和制裁合规有关信息或提供虚假、不实信息的，或存在其他违反本协议约定的情形的，甲方有权中止或终止履行本协议，并保留追究相关方责任的权利。</w:t>
      </w:r>
    </w:p>
    <w:p>
      <w:pPr>
        <w:pStyle w:val="null3"/>
        <w:jc w:val="both"/>
      </w:pPr>
      <w:r>
        <w:rPr>
          <w:sz w:val="21"/>
        </w:rPr>
        <w:t>【第十四条】各方补充约定的其他事项</w:t>
      </w:r>
    </w:p>
    <w:p>
      <w:pPr>
        <w:pStyle w:val="null3"/>
        <w:jc w:val="both"/>
      </w:pPr>
      <w:r>
        <w:rPr>
          <w:sz w:val="21"/>
        </w:rPr>
        <w:t>1.</w:t>
      </w:r>
      <w:r>
        <w:rPr>
          <w:sz w:val="21"/>
        </w:rPr>
        <w:t>本合同载明的合同各方的电话、通讯地址、电子邮箱等通讯信息，今后凡与本合同相关法律文书、诉讼文件送达地均以此约定。各方承诺在通讯信息发生变更时，均应及时提前通知对方，否则守约方按本合同载明的通讯及联系地址送达的文件均为有效送达，由此引起的相关经济和法律责任由违约方承担。</w:t>
      </w:r>
    </w:p>
    <w:p>
      <w:pPr>
        <w:pStyle w:val="null3"/>
        <w:jc w:val="both"/>
      </w:pPr>
      <w:r>
        <w:rPr>
          <w:sz w:val="21"/>
        </w:rPr>
        <w:t>2.</w:t>
      </w:r>
      <w:r>
        <w:rPr>
          <w:sz w:val="21"/>
        </w:rPr>
        <w:t>乙方清楚明确本合同项下产品丙方仅为使用方，仅就相关产品提出验收，逾期交货，维修等售后服务的权利。丙方除在本合同第七条约定中有支付垫付款项的义务外，无其他付款义务，产品所有权权属人为甲方，甲乙丙三方将根据各自的权利义务主张相对应的权益。</w:t>
      </w:r>
    </w:p>
    <w:p>
      <w:pPr>
        <w:pStyle w:val="null3"/>
        <w:jc w:val="both"/>
      </w:pPr>
      <w:r>
        <w:rPr>
          <w:sz w:val="21"/>
        </w:rPr>
        <w:t>【第十五条】法律适用与争议的解决</w:t>
      </w:r>
    </w:p>
    <w:p>
      <w:pPr>
        <w:pStyle w:val="null3"/>
        <w:jc w:val="both"/>
      </w:pPr>
      <w:r>
        <w:rPr>
          <w:sz w:val="21"/>
        </w:rPr>
        <w:t>1.</w:t>
      </w:r>
      <w:r>
        <w:rPr>
          <w:sz w:val="21"/>
        </w:rPr>
        <w:t>本合同适用中华人民共和国法律。</w:t>
      </w:r>
    </w:p>
    <w:p>
      <w:pPr>
        <w:pStyle w:val="null3"/>
        <w:jc w:val="both"/>
      </w:pPr>
      <w:r>
        <w:rPr>
          <w:sz w:val="21"/>
        </w:rPr>
        <w:t>2.</w:t>
      </w:r>
      <w:r>
        <w:rPr>
          <w:sz w:val="21"/>
        </w:rPr>
        <w:t>除当事人另有约定外，在合同生效后，因订立、履行本合同所发生的或与本合同有关的任何争议，各方可协商解决。协商不成的，任何一方可以采取下列诉讼方式加以解决：</w:t>
      </w:r>
    </w:p>
    <w:p>
      <w:pPr>
        <w:pStyle w:val="null3"/>
        <w:jc w:val="both"/>
      </w:pPr>
      <w:r>
        <w:rPr>
          <w:sz w:val="21"/>
        </w:rPr>
        <w:t>当事人可协商选择中国法院通过诉讼方式予以解决。</w:t>
      </w:r>
    </w:p>
    <w:p>
      <w:pPr>
        <w:pStyle w:val="null3"/>
        <w:jc w:val="both"/>
      </w:pPr>
      <w:r>
        <w:rPr>
          <w:sz w:val="21"/>
        </w:rPr>
        <w:t>■依法向甲方机构住所地的人民法院起诉。</w:t>
      </w:r>
    </w:p>
    <w:p>
      <w:pPr>
        <w:pStyle w:val="null3"/>
        <w:jc w:val="both"/>
      </w:pPr>
      <w:r>
        <w:rPr>
          <w:sz w:val="21"/>
        </w:rPr>
        <w:t>□依法向有管辖权的人民法院起诉。</w:t>
      </w:r>
    </w:p>
    <w:p>
      <w:pPr>
        <w:pStyle w:val="null3"/>
        <w:jc w:val="both"/>
      </w:pPr>
      <w:r>
        <w:rPr>
          <w:sz w:val="21"/>
        </w:rPr>
        <w:t>在争议解决期间，若该争议不影响本合同其他条款的履行，则该其他条款应继续履行。</w:t>
      </w:r>
    </w:p>
    <w:p>
      <w:pPr>
        <w:pStyle w:val="null3"/>
        <w:jc w:val="both"/>
      </w:pPr>
      <w:r>
        <w:rPr>
          <w:sz w:val="21"/>
        </w:rPr>
        <w:t>【第十六条】合同的生效</w:t>
      </w:r>
      <w:r>
        <w:rPr>
          <w:sz w:val="21"/>
        </w:rPr>
        <w:t>.</w:t>
      </w:r>
      <w:r>
        <w:rPr>
          <w:sz w:val="21"/>
        </w:rPr>
        <w:t>变更及合同份数</w:t>
      </w:r>
    </w:p>
    <w:p>
      <w:pPr>
        <w:pStyle w:val="null3"/>
        <w:jc w:val="both"/>
      </w:pPr>
      <w:r>
        <w:rPr>
          <w:sz w:val="21"/>
        </w:rPr>
        <w:t>1.</w:t>
      </w:r>
      <w:r>
        <w:rPr>
          <w:sz w:val="21"/>
        </w:rPr>
        <w:t>本合同自各方法定代表人或者授权签署人签署并加盖公章之日起生效。</w:t>
      </w:r>
    </w:p>
    <w:p>
      <w:pPr>
        <w:pStyle w:val="null3"/>
        <w:jc w:val="both"/>
      </w:pPr>
      <w:r>
        <w:rPr>
          <w:sz w:val="21"/>
        </w:rPr>
        <w:t>2.</w:t>
      </w:r>
      <w:r>
        <w:rPr>
          <w:sz w:val="21"/>
        </w:rPr>
        <w:t>本合同执行期内，各方均不得随意变更或解除本合同。未尽事宜，由各方共同协商达成补充协议解决。补充协议与本合同不一致的，以补充协议为准。</w:t>
      </w:r>
    </w:p>
    <w:p>
      <w:pPr>
        <w:pStyle w:val="null3"/>
        <w:jc w:val="both"/>
      </w:pPr>
      <w:r>
        <w:rPr>
          <w:sz w:val="21"/>
        </w:rPr>
        <w:t>3.</w:t>
      </w:r>
      <w:r>
        <w:rPr>
          <w:sz w:val="21"/>
        </w:rPr>
        <w:t>本合同共</w:t>
      </w:r>
      <w:r>
        <w:rPr>
          <w:sz w:val="21"/>
        </w:rPr>
        <w:t>[     ]</w:t>
      </w:r>
      <w:r>
        <w:rPr>
          <w:sz w:val="21"/>
        </w:rPr>
        <w:t>页，一式</w:t>
      </w:r>
      <w:r>
        <w:rPr>
          <w:sz w:val="21"/>
        </w:rPr>
        <w:t xml:space="preserve">[ </w:t>
      </w:r>
      <w:r>
        <w:rPr>
          <w:sz w:val="21"/>
        </w:rPr>
        <w:t xml:space="preserve">陆 </w:t>
      </w:r>
      <w:r>
        <w:rPr>
          <w:sz w:val="21"/>
        </w:rPr>
        <w:t>]</w:t>
      </w:r>
      <w:r>
        <w:rPr>
          <w:sz w:val="21"/>
        </w:rPr>
        <w:t>份。甲方、乙方、丙方各执</w:t>
      </w:r>
      <w:r>
        <w:rPr>
          <w:sz w:val="21"/>
        </w:rPr>
        <w:t xml:space="preserve">[ </w:t>
      </w:r>
      <w:r>
        <w:rPr>
          <w:sz w:val="21"/>
        </w:rPr>
        <w:t xml:space="preserve">贰 </w:t>
      </w:r>
      <w:r>
        <w:rPr>
          <w:sz w:val="21"/>
        </w:rPr>
        <w:t>]</w:t>
      </w:r>
      <w:r>
        <w:rPr>
          <w:sz w:val="21"/>
        </w:rPr>
        <w:t>份。附件为本合同的一部分，具有同等法律效力。附件与本合同正文内容不一致的，以</w:t>
      </w:r>
      <w:r>
        <w:rPr>
          <w:sz w:val="21"/>
        </w:rPr>
        <w:t>[</w:t>
      </w:r>
      <w:r>
        <w:rPr>
          <w:sz w:val="21"/>
        </w:rPr>
        <w:t>本合同</w:t>
      </w:r>
      <w:r>
        <w:rPr>
          <w:sz w:val="21"/>
        </w:rPr>
        <w:t>]</w:t>
      </w:r>
      <w:r>
        <w:rPr>
          <w:sz w:val="21"/>
        </w:rPr>
        <w:t>为准。</w:t>
      </w:r>
    </w:p>
    <w:p>
      <w:pPr>
        <w:pStyle w:val="null3"/>
        <w:jc w:val="both"/>
      </w:pPr>
      <w:r>
        <w:rPr>
          <w:sz w:val="21"/>
        </w:rPr>
        <w:t>【第十七条】附件</w:t>
      </w:r>
    </w:p>
    <w:p>
      <w:pPr>
        <w:pStyle w:val="null3"/>
        <w:jc w:val="both"/>
      </w:pPr>
      <w:r>
        <w:rPr>
          <w:sz w:val="21"/>
        </w:rPr>
        <w:t>与履行本合同有关的下列文件，为本合同的组成部分，彼此相互解释，相互补充。为便于解释，组成本合同的多个文件的优先次序如下：</w:t>
      </w:r>
    </w:p>
    <w:p>
      <w:pPr>
        <w:pStyle w:val="null3"/>
        <w:jc w:val="both"/>
      </w:pPr>
      <w:r>
        <w:rPr>
          <w:sz w:val="21"/>
        </w:rPr>
        <w:t>1</w:t>
      </w:r>
      <w:r>
        <w:rPr>
          <w:sz w:val="21"/>
        </w:rPr>
        <w:t>．采购需求书</w:t>
      </w:r>
    </w:p>
    <w:p>
      <w:pPr>
        <w:pStyle w:val="null3"/>
        <w:jc w:val="both"/>
      </w:pPr>
      <w:r>
        <w:rPr>
          <w:sz w:val="21"/>
        </w:rPr>
        <w:t>甲方：</w:t>
      </w:r>
      <w:r>
        <w:rPr>
          <w:sz w:val="21"/>
        </w:rPr>
        <w:t xml:space="preserve">                                                       </w:t>
      </w:r>
      <w:r>
        <w:rPr>
          <w:sz w:val="21"/>
        </w:rPr>
        <w:t>乙方：</w:t>
      </w:r>
    </w:p>
    <w:p>
      <w:pPr>
        <w:pStyle w:val="null3"/>
        <w:jc w:val="both"/>
      </w:pPr>
      <w:r>
        <w:rPr>
          <w:sz w:val="21"/>
        </w:rPr>
        <w:t>甲方法定代表人或授权签署人（签署）：</w:t>
      </w:r>
      <w:r>
        <w:rPr>
          <w:sz w:val="21"/>
        </w:rPr>
        <w:t xml:space="preserve">    </w:t>
      </w:r>
      <w:r>
        <w:rPr>
          <w:sz w:val="21"/>
        </w:rPr>
        <w:t>乙方法定代表人或授权签署人（签署）：</w:t>
      </w:r>
    </w:p>
    <w:p>
      <w:pPr>
        <w:pStyle w:val="null3"/>
        <w:jc w:val="both"/>
      </w:pPr>
      <w:r>
        <w:rPr>
          <w:sz w:val="21"/>
        </w:rPr>
        <w:t>甲方（公章）：</w:t>
      </w:r>
      <w:r>
        <w:rPr>
          <w:sz w:val="21"/>
        </w:rPr>
        <w:t xml:space="preserve">                                         </w:t>
      </w:r>
      <w:r>
        <w:rPr>
          <w:sz w:val="21"/>
        </w:rPr>
        <w:t>乙方（公章）：</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both"/>
      </w:pPr>
      <w:r>
        <w:rPr>
          <w:sz w:val="21"/>
        </w:rPr>
        <w:t>丙方：</w:t>
      </w:r>
    </w:p>
    <w:p>
      <w:pPr>
        <w:pStyle w:val="null3"/>
        <w:jc w:val="both"/>
      </w:pPr>
      <w:r>
        <w:rPr>
          <w:sz w:val="21"/>
        </w:rPr>
        <w:t>丙方法定代表人或授权签署人（签署）：</w:t>
      </w:r>
    </w:p>
    <w:p>
      <w:pPr>
        <w:pStyle w:val="null3"/>
        <w:jc w:val="both"/>
      </w:pPr>
      <w:r>
        <w:rPr>
          <w:sz w:val="21"/>
        </w:rPr>
        <w:t>丙方（公章）：</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52"/>
          <w:b/>
        </w:rPr>
        <w:t>南方医科大学</w:t>
      </w:r>
    </w:p>
    <w:p>
      <w:pPr>
        <w:pStyle w:val="null3"/>
        <w:jc w:val="center"/>
      </w:pPr>
      <w:r>
        <w:rPr>
          <w:sz w:val="52"/>
          <w:b/>
        </w:rPr>
        <w:t>（合同包号</w:t>
      </w:r>
      <w:r>
        <w:rPr>
          <w:sz w:val="52"/>
          <w:b/>
        </w:rPr>
        <w:t>X:采购名称XXX之XXX）</w:t>
      </w:r>
    </w:p>
    <w:p>
      <w:pPr>
        <w:pStyle w:val="null3"/>
        <w:jc w:val="center"/>
      </w:pPr>
      <w:r>
        <w:rPr>
          <w:sz w:val="52"/>
          <w:b/>
        </w:rPr>
        <w:t>采购合同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rPr>
        <w:t>2024年 月</w:t>
      </w:r>
    </w:p>
    <w:p>
      <w:pPr>
        <w:pStyle w:val="null3"/>
      </w:pPr>
      <w:r>
        <w:rPr/>
        <w:t xml:space="preserve"> </w:t>
      </w:r>
    </w:p>
    <w:p>
      <w:pPr>
        <w:pStyle w:val="null3"/>
        <w:jc w:val="both"/>
      </w:pPr>
      <w:r>
        <w:rPr>
          <w:sz w:val="21"/>
        </w:rPr>
        <w:t>进口</w:t>
      </w:r>
      <w:r>
        <w:rPr>
          <w:sz w:val="21"/>
        </w:rPr>
        <w:t>货物采购合同</w:t>
      </w:r>
    </w:p>
    <w:p>
      <w:pPr>
        <w:pStyle w:val="null3"/>
        <w:jc w:val="both"/>
      </w:pPr>
      <w:r>
        <w:rPr>
          <w:sz w:val="21"/>
        </w:rPr>
        <w:t>甲方：南方医科大学</w:t>
      </w:r>
    </w:p>
    <w:p>
      <w:pPr>
        <w:pStyle w:val="null3"/>
        <w:jc w:val="both"/>
      </w:pPr>
      <w:r>
        <w:rPr>
          <w:sz w:val="21"/>
        </w:rPr>
        <w:t>法定代表人：</w:t>
      </w:r>
    </w:p>
    <w:p>
      <w:pPr>
        <w:pStyle w:val="null3"/>
        <w:jc w:val="both"/>
      </w:pPr>
      <w:r>
        <w:rPr>
          <w:sz w:val="21"/>
        </w:rPr>
        <w:t>地址：</w:t>
      </w:r>
    </w:p>
    <w:p>
      <w:pPr>
        <w:pStyle w:val="null3"/>
        <w:jc w:val="both"/>
      </w:pPr>
      <w:r>
        <w:rPr>
          <w:sz w:val="21"/>
        </w:rPr>
        <w:t>指定联系人：</w:t>
      </w:r>
    </w:p>
    <w:p>
      <w:pPr>
        <w:pStyle w:val="null3"/>
        <w:jc w:val="both"/>
      </w:pPr>
      <w:r>
        <w:rPr>
          <w:sz w:val="21"/>
        </w:rPr>
        <w:t>联系电话：</w:t>
      </w:r>
    </w:p>
    <w:p>
      <w:pPr>
        <w:pStyle w:val="null3"/>
        <w:jc w:val="both"/>
      </w:pPr>
      <w:r>
        <w:rPr>
          <w:sz w:val="21"/>
        </w:rPr>
        <w:t>乙方：</w:t>
      </w:r>
    </w:p>
    <w:p>
      <w:pPr>
        <w:pStyle w:val="null3"/>
        <w:jc w:val="both"/>
      </w:pPr>
      <w:r>
        <w:rPr>
          <w:sz w:val="21"/>
        </w:rPr>
        <w:t>法定代表人：</w:t>
      </w:r>
    </w:p>
    <w:p>
      <w:pPr>
        <w:pStyle w:val="null3"/>
        <w:jc w:val="both"/>
      </w:pPr>
      <w:r>
        <w:rPr>
          <w:sz w:val="21"/>
        </w:rPr>
        <w:t>地址：</w:t>
      </w:r>
    </w:p>
    <w:p>
      <w:pPr>
        <w:pStyle w:val="null3"/>
        <w:jc w:val="both"/>
      </w:pPr>
      <w:r>
        <w:rPr>
          <w:sz w:val="21"/>
        </w:rPr>
        <w:t>指定联系人：</w:t>
      </w:r>
    </w:p>
    <w:p>
      <w:pPr>
        <w:pStyle w:val="null3"/>
        <w:jc w:val="both"/>
      </w:pPr>
      <w:r>
        <w:rPr>
          <w:sz w:val="21"/>
        </w:rPr>
        <w:t>联系电话：</w:t>
      </w:r>
    </w:p>
    <w:p>
      <w:pPr>
        <w:pStyle w:val="null3"/>
        <w:jc w:val="both"/>
      </w:pPr>
      <w:r>
        <w:rPr>
          <w:sz w:val="21"/>
        </w:rPr>
        <w:t>根据《中华人民共和国政府采购法》、《中华人民共和国民法典》及</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日南方医科大学</w:t>
      </w:r>
      <w:r>
        <w:rPr>
          <w:sz w:val="21"/>
          <w:u w:val="single"/>
        </w:rPr>
        <w:t xml:space="preserve">          </w:t>
      </w:r>
      <w:r>
        <w:rPr>
          <w:sz w:val="21"/>
        </w:rPr>
        <w:t>年</w:t>
      </w:r>
      <w:r>
        <w:rPr>
          <w:sz w:val="21"/>
          <w:u w:val="single"/>
        </w:rPr>
        <w:t xml:space="preserve">          </w:t>
      </w:r>
      <w:r>
        <w:rPr>
          <w:sz w:val="21"/>
        </w:rPr>
        <w:t>进口设备采购项目公开招标项目（项目编号：</w:t>
      </w:r>
      <w:r>
        <w:rPr>
          <w:sz w:val="21"/>
          <w:u w:val="single"/>
        </w:rPr>
        <w:t xml:space="preserve">          </w:t>
      </w:r>
      <w:r>
        <w:rPr>
          <w:sz w:val="21"/>
        </w:rPr>
        <w:t xml:space="preserve"> </w:t>
      </w:r>
      <w:r>
        <w:rPr>
          <w:sz w:val="21"/>
        </w:rPr>
        <w:t>；招标代理机构：</w:t>
      </w:r>
      <w:r>
        <w:rPr>
          <w:sz w:val="21"/>
          <w:u w:val="single"/>
        </w:rPr>
        <w:t xml:space="preserve">          </w:t>
      </w:r>
      <w:r>
        <w:rPr>
          <w:sz w:val="21"/>
        </w:rPr>
        <w:t>）招标结果，经双方协商一致，签订本合同，由双方共同恪守。招标项目的投标文件、招标文件均为本合同的有效组成部分，与本合同具有同等法律效力。</w:t>
      </w:r>
    </w:p>
    <w:p>
      <w:pPr>
        <w:pStyle w:val="null3"/>
        <w:jc w:val="both"/>
      </w:pPr>
      <w:r>
        <w:rPr>
          <w:sz w:val="21"/>
        </w:rPr>
        <w:t>一、货物名称及规格型号、数量、价格等（详细参数及配置见附件）。</w:t>
      </w:r>
    </w:p>
    <w:tbl>
      <w:tblPr>
        <w:tblW w:w="0" w:type="auto"/>
        <w:tblBorders>
          <w:top w:val="none" w:color="000000" w:sz="4"/>
          <w:left w:val="none" w:color="000000" w:sz="4"/>
          <w:bottom w:val="none" w:color="000000" w:sz="4"/>
          <w:right w:val="none" w:color="000000" w:sz="4"/>
          <w:insideH w:val="none"/>
          <w:insideV w:val="none"/>
        </w:tblBorders>
      </w:tblPr>
      <w:tblGrid>
        <w:gridCol w:w="1113"/>
        <w:gridCol w:w="1213"/>
        <w:gridCol w:w="709"/>
        <w:gridCol w:w="1158"/>
        <w:gridCol w:w="731"/>
        <w:gridCol w:w="892"/>
        <w:gridCol w:w="1027"/>
        <w:gridCol w:w="1460"/>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流水号</w:t>
            </w:r>
          </w:p>
        </w:tc>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p>
            <w:pPr>
              <w:pStyle w:val="null3"/>
              <w:jc w:val="both"/>
            </w:pPr>
            <w:r>
              <w:rPr>
                <w:sz w:val="21"/>
              </w:rPr>
              <w:t>（彩页名称）</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型号规格</w:t>
            </w: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厂家</w:t>
            </w:r>
            <w:r>
              <w:rPr>
                <w:sz w:val="21"/>
              </w:rPr>
              <w:t>/</w:t>
            </w:r>
            <w:r>
              <w:rPr>
                <w:sz w:val="21"/>
              </w:rPr>
              <w:t>产地</w:t>
            </w: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单价</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p>
        </w:tc>
        <w:tc>
          <w:tcPr>
            <w:tcW w:type="dxa" w:w="1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用户确认</w:t>
            </w: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一、国内采购部分（对应合同编号</w:t>
            </w:r>
            <w:r>
              <w:rPr>
                <w:sz w:val="21"/>
              </w:rPr>
              <w:t xml:space="preserve">                   </w:t>
            </w:r>
            <w:r>
              <w:rPr>
                <w:sz w:val="21"/>
              </w:rPr>
              <w:t>）</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小计</w:t>
            </w:r>
          </w:p>
        </w:tc>
        <w:tc>
          <w:tcPr>
            <w:tcW w:type="dxa" w:w="719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人民币大写：</w:t>
            </w:r>
            <w:r>
              <w:rPr>
                <w:sz w:val="21"/>
              </w:rPr>
              <w:t xml:space="preserve">                 </w:t>
            </w:r>
            <w:r>
              <w:rPr>
                <w:sz w:val="21"/>
              </w:rPr>
              <w:t>（￥</w:t>
            </w:r>
            <w:r>
              <w:rPr>
                <w:sz w:val="21"/>
              </w:rPr>
              <w:t xml:space="preserve">                   </w:t>
            </w:r>
            <w:r>
              <w:rPr>
                <w:sz w:val="21"/>
              </w:rPr>
              <w:t>）</w:t>
            </w:r>
          </w:p>
          <w:p>
            <w:pPr>
              <w:pStyle w:val="null3"/>
              <w:jc w:val="both"/>
            </w:pPr>
          </w:p>
        </w:tc>
      </w:tr>
      <w:tr>
        <w:tc>
          <w:tcPr>
            <w:tcW w:type="dxa" w:w="830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二、国外采购部分（对应合同编号：</w:t>
            </w:r>
            <w:r>
              <w:rPr>
                <w:sz w:val="21"/>
              </w:rPr>
              <w:t xml:space="preserve">                 </w:t>
            </w:r>
            <w:r>
              <w:rPr>
                <w:sz w:val="21"/>
              </w:rPr>
              <w:t>）</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p>
        </w:tc>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小计</w:t>
            </w:r>
          </w:p>
        </w:tc>
        <w:tc>
          <w:tcPr>
            <w:tcW w:type="dxa" w:w="719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人民币大写：</w:t>
            </w:r>
            <w:r>
              <w:rPr>
                <w:sz w:val="21"/>
              </w:rPr>
              <w:t xml:space="preserve">                         </w:t>
            </w:r>
            <w:r>
              <w:rPr>
                <w:sz w:val="21"/>
              </w:rPr>
              <w:t>（￥</w:t>
            </w:r>
            <w:r>
              <w:rPr>
                <w:sz w:val="21"/>
              </w:rPr>
              <w:t xml:space="preserve">       </w:t>
            </w:r>
            <w:r>
              <w:rPr>
                <w:sz w:val="21"/>
              </w:rPr>
              <w:t>）</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c>
          <w:tcPr>
            <w:tcW w:type="dxa" w:w="719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释义：本合同项下，甲方向乙方采购及乙方向甲方供应的设备名称及规格型号、数量、价格等与前述招标项目一致。鉴于该等设备可能存在全部采购自国内、全部采购自国外以及部分采购自国内和部分采购自国外等不同情形，且该等不同情形彼此存在采购流程等差异，故根据招标结果重新对该等设备进行归类，其中，采购自国内的部分，简称为</w:t>
            </w:r>
            <w:r>
              <w:rPr>
                <w:sz w:val="21"/>
              </w:rPr>
              <w:t>“国内采购部分”；采购自国外的部分，简称为“国外采购部分”。若不存在相应部分的分类，则在上述表格分类类别中以“</w:t>
            </w:r>
            <w:r>
              <w:rPr>
                <w:sz w:val="21"/>
              </w:rPr>
              <w:t>/</w:t>
            </w:r>
            <w:r>
              <w:rPr>
                <w:sz w:val="21"/>
              </w:rPr>
              <w:t>”标注，含义为本合同项下的采购无此类别）。</w:t>
            </w:r>
          </w:p>
          <w:p>
            <w:pPr>
              <w:pStyle w:val="null3"/>
              <w:jc w:val="both"/>
            </w:pPr>
            <w:r>
              <w:rPr>
                <w:sz w:val="21"/>
              </w:rPr>
              <w:t>2.</w:t>
            </w:r>
            <w:r>
              <w:rPr>
                <w:sz w:val="21"/>
              </w:rPr>
              <w:t>国内采购部分所支付价格为设备含税价款，适用于国内有现货或不属于海关免税清单范围内采购的设备。</w:t>
            </w:r>
          </w:p>
          <w:p>
            <w:pPr>
              <w:pStyle w:val="null3"/>
              <w:jc w:val="both"/>
            </w:pPr>
            <w:r>
              <w:rPr>
                <w:sz w:val="21"/>
              </w:rPr>
              <w:t xml:space="preserve">3. </w:t>
            </w:r>
            <w:r>
              <w:rPr>
                <w:sz w:val="21"/>
              </w:rPr>
              <w:t>国外采购部分所支付价格为设备免税价价款及外贸代理公司服务费，适用于需由乙方指定的境外公司或厂家供货并同时涉及进口减免税相关事宜办理的设备。双方一致同意，由外贸代理公司（具体以甲方选定为准）与乙方指定的境外公司或厂家签订外贸合同（外贸合同以人民币价格签订），并由外贸代理公司按照本合同的约定向乙方境外公司或厂家付款。</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p>
        </w:tc>
        <w:tc>
          <w:tcPr>
            <w:tcW w:type="dxa" w:w="719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人民币大写：</w:t>
            </w:r>
            <w:r>
              <w:rPr>
                <w:sz w:val="21"/>
              </w:rPr>
              <w:t xml:space="preserve">                           </w:t>
            </w:r>
            <w:r>
              <w:rPr>
                <w:sz w:val="21"/>
              </w:rPr>
              <w:t>（￥）</w:t>
            </w:r>
          </w:p>
        </w:tc>
      </w:tr>
    </w:tbl>
    <w:p>
      <w:pPr>
        <w:pStyle w:val="null3"/>
        <w:jc w:val="both"/>
      </w:pPr>
      <w:r>
        <w:rPr>
          <w:sz w:val="21"/>
        </w:rPr>
        <w:t>1</w:t>
      </w:r>
      <w:r>
        <w:rPr>
          <w:sz w:val="21"/>
        </w:rPr>
        <w:t>、本合同约定的货物单价已包含购买货物及售后服务所发生的所有费用，包括但不限于运输费、保险费、装卸费、外贸代理公司服务费、税费、配套资料费、安装调试费用、培训费用以及售后服务费用等。货物单价在本合同履行过程中保持不变，经甲乙双方协商一致以书面形式予以变更的除外。除本合同明确约定的费用外，甲方无需支付任何额外费用和承担任何额外义务。在实际合同履行过程中，如果乙方履行合同义务不符合约定，对应违约金及赔偿款可由甲方直接从应付合同价款中扣除。</w:t>
      </w:r>
    </w:p>
    <w:p>
      <w:pPr>
        <w:pStyle w:val="null3"/>
        <w:jc w:val="both"/>
      </w:pPr>
      <w:r>
        <w:rPr>
          <w:sz w:val="21"/>
        </w:rPr>
        <w:t>2</w:t>
      </w:r>
      <w:r>
        <w:rPr>
          <w:sz w:val="21"/>
        </w:rPr>
        <w:t>、本合同约定的货物总价（以下均为人民币）：</w:t>
      </w:r>
    </w:p>
    <w:p>
      <w:pPr>
        <w:pStyle w:val="null3"/>
        <w:jc w:val="both"/>
      </w:pPr>
      <w:r>
        <w:rPr>
          <w:sz w:val="21"/>
        </w:rPr>
        <w:t>（</w:t>
      </w:r>
      <w:r>
        <w:rPr>
          <w:sz w:val="21"/>
        </w:rPr>
        <w:t>1</w:t>
      </w:r>
      <w:r>
        <w:rPr>
          <w:sz w:val="21"/>
        </w:rPr>
        <w:t>）国内采购部分总价：</w:t>
      </w:r>
      <w:r>
        <w:rPr>
          <w:sz w:val="21"/>
          <w:u w:val="single"/>
        </w:rPr>
        <w:t xml:space="preserve">          </w:t>
      </w:r>
      <w:r>
        <w:rPr>
          <w:sz w:val="21"/>
        </w:rPr>
        <w:t>（大写：人民币【</w:t>
      </w:r>
      <w:r>
        <w:rPr>
          <w:sz w:val="21"/>
        </w:rPr>
        <w:t xml:space="preserve">      </w:t>
      </w:r>
      <w:r>
        <w:rPr>
          <w:sz w:val="21"/>
        </w:rPr>
        <w:t>】元整），该价格为含税价。</w:t>
      </w:r>
    </w:p>
    <w:p>
      <w:pPr>
        <w:pStyle w:val="null3"/>
        <w:jc w:val="both"/>
      </w:pPr>
      <w:r>
        <w:rPr>
          <w:sz w:val="21"/>
        </w:rPr>
        <w:t>（</w:t>
      </w:r>
      <w:r>
        <w:rPr>
          <w:sz w:val="21"/>
        </w:rPr>
        <w:t>2</w:t>
      </w:r>
      <w:r>
        <w:rPr>
          <w:sz w:val="21"/>
        </w:rPr>
        <w:t>）国外采购部分总价：</w:t>
      </w:r>
      <w:r>
        <w:rPr>
          <w:sz w:val="21"/>
          <w:u w:val="single"/>
        </w:rPr>
        <w:t xml:space="preserve">          </w:t>
      </w:r>
      <w:r>
        <w:rPr>
          <w:sz w:val="21"/>
        </w:rPr>
        <w:t>（大写：人民币【</w:t>
      </w:r>
      <w:r>
        <w:rPr>
          <w:sz w:val="21"/>
        </w:rPr>
        <w:t xml:space="preserve">      </w:t>
      </w:r>
      <w:r>
        <w:rPr>
          <w:sz w:val="21"/>
        </w:rPr>
        <w:t>】元整），该总价包含两部分：其一，国外采购免税设备总价为</w:t>
      </w:r>
      <w:r>
        <w:rPr>
          <w:sz w:val="21"/>
          <w:u w:val="single"/>
        </w:rPr>
        <w:t xml:space="preserve">          </w:t>
      </w:r>
      <w:r>
        <w:rPr>
          <w:sz w:val="21"/>
        </w:rPr>
        <w:t>（大写：人民币【</w:t>
      </w:r>
      <w:r>
        <w:rPr>
          <w:sz w:val="21"/>
        </w:rPr>
        <w:t xml:space="preserve">    </w:t>
      </w:r>
      <w:r>
        <w:rPr>
          <w:sz w:val="21"/>
        </w:rPr>
        <w:t>】元整），该部分由外贸代理公司按照本合同约定向乙方境外公司或厂家开出</w:t>
      </w:r>
      <w:r>
        <w:rPr>
          <w:sz w:val="21"/>
        </w:rPr>
        <w:t>100%</w:t>
      </w:r>
      <w:r>
        <w:rPr>
          <w:sz w:val="21"/>
        </w:rPr>
        <w:t>信用证（详见本合同第四条之约定）；其二，外贸代理公司服务费用（按照免税设备总价的</w:t>
      </w:r>
      <w:r>
        <w:rPr>
          <w:sz w:val="21"/>
        </w:rPr>
        <w:t>1%</w:t>
      </w:r>
      <w:r>
        <w:rPr>
          <w:sz w:val="21"/>
        </w:rPr>
        <w:t>收取）为</w:t>
      </w:r>
      <w:r>
        <w:rPr>
          <w:sz w:val="21"/>
          <w:u w:val="single"/>
        </w:rPr>
        <w:t xml:space="preserve">          </w:t>
      </w:r>
      <w:r>
        <w:rPr>
          <w:sz w:val="21"/>
        </w:rPr>
        <w:t>（大写：人民币【</w:t>
      </w:r>
      <w:r>
        <w:rPr>
          <w:sz w:val="21"/>
        </w:rPr>
        <w:t xml:space="preserve">    </w:t>
      </w:r>
      <w:r>
        <w:rPr>
          <w:sz w:val="21"/>
        </w:rPr>
        <w:t>】元整）。</w:t>
      </w:r>
    </w:p>
    <w:p>
      <w:pPr>
        <w:pStyle w:val="null3"/>
        <w:jc w:val="both"/>
      </w:pPr>
      <w:r>
        <w:rPr>
          <w:sz w:val="21"/>
        </w:rPr>
        <w:t>3</w:t>
      </w:r>
      <w:r>
        <w:rPr>
          <w:sz w:val="21"/>
        </w:rPr>
        <w:t>、本合同项下国外采购部分的免税设备由外贸代理公司办理进口减免税相关事宜。同时，外贸代理公司除应按本合同的约定及时履行其独立承担的付款义务外，亦应同时负责其作为外贸代理公司的其他工作（包括但不限于：办理设备进口报关，提货，对外付汇及付汇后的银行结算，将设备运送至甲方指定地点，办理商检、卫检及质检手续，在设备在口岸或交货后在质保期内出现破损、短缺、错发或质量问题时负责请商检部门进行质量鉴定等）。</w:t>
      </w:r>
    </w:p>
    <w:p>
      <w:pPr>
        <w:pStyle w:val="null3"/>
        <w:jc w:val="both"/>
      </w:pPr>
      <w:r>
        <w:rPr>
          <w:sz w:val="21"/>
        </w:rPr>
        <w:t>4</w:t>
      </w:r>
      <w:r>
        <w:rPr>
          <w:sz w:val="21"/>
        </w:rPr>
        <w:t>、乙方应积极配合甲方及外贸代理公司办理进口减免税相关事宜，具体包括但不限于如下：</w:t>
      </w:r>
    </w:p>
    <w:p>
      <w:pPr>
        <w:pStyle w:val="null3"/>
        <w:jc w:val="both"/>
      </w:pPr>
      <w:r>
        <w:rPr>
          <w:sz w:val="21"/>
        </w:rPr>
        <w:t>（</w:t>
      </w:r>
      <w:r>
        <w:rPr>
          <w:sz w:val="21"/>
        </w:rPr>
        <w:t>1</w:t>
      </w:r>
      <w:r>
        <w:rPr>
          <w:sz w:val="21"/>
        </w:rPr>
        <w:t>）乙方或其指定境外公司、厂家应及时与外贸代理公司签订外贸合同，自外贸代理公司选定之日起，因乙方原因导致超过</w:t>
      </w:r>
      <w:r>
        <w:rPr>
          <w:sz w:val="21"/>
        </w:rPr>
        <w:t>20</w:t>
      </w:r>
      <w:r>
        <w:rPr>
          <w:sz w:val="21"/>
        </w:rPr>
        <w:t>天未签署外贸合同的，视为在执行合同过程中乙方故意采取不及时、懈怠等行为延迟合同的履行，经甲方或外贸代理公司催促后</w:t>
      </w:r>
      <w:r>
        <w:rPr>
          <w:sz w:val="21"/>
        </w:rPr>
        <w:t>5</w:t>
      </w:r>
      <w:r>
        <w:rPr>
          <w:sz w:val="21"/>
        </w:rPr>
        <w:t>日内仍未执行的，甲方有权取消采购、解除合同并要求乙方按合同总价的</w:t>
      </w:r>
      <w:r>
        <w:rPr>
          <w:sz w:val="21"/>
        </w:rPr>
        <w:t>20%</w:t>
      </w:r>
      <w:r>
        <w:rPr>
          <w:sz w:val="21"/>
        </w:rPr>
        <w:t>支付违约金，违约金不足以弥补损失的，乙方应继续赔偿；如有特殊原因或有合理解释及理由的，乙方应提供相关书面的支撑性文件证明，经甲方同意后可适当顺延时间。因不可抗力等因素导致在规定期限内无法完成的，双方根据具体情况协商顺延。</w:t>
      </w:r>
    </w:p>
    <w:p>
      <w:pPr>
        <w:pStyle w:val="null3"/>
        <w:jc w:val="both"/>
      </w:pPr>
      <w:r>
        <w:rPr>
          <w:sz w:val="21"/>
        </w:rPr>
        <w:t>（</w:t>
      </w:r>
      <w:r>
        <w:rPr>
          <w:sz w:val="21"/>
        </w:rPr>
        <w:t>2</w:t>
      </w:r>
      <w:r>
        <w:rPr>
          <w:sz w:val="21"/>
        </w:rPr>
        <w:t>）乙方应于本合同签订后</w:t>
      </w:r>
      <w:r>
        <w:rPr>
          <w:sz w:val="21"/>
        </w:rPr>
        <w:t>3</w:t>
      </w:r>
      <w:r>
        <w:rPr>
          <w:sz w:val="21"/>
        </w:rPr>
        <w:t>天内在甲方系统注册，并根据交易进度在系统内完成相关流程的操作（合同线上签订、发货情况填写等），并不断填写、完善各流程执行情况且上传至系统内。</w:t>
      </w:r>
    </w:p>
    <w:p>
      <w:pPr>
        <w:pStyle w:val="null3"/>
        <w:jc w:val="both"/>
      </w:pPr>
      <w:r>
        <w:rPr>
          <w:sz w:val="21"/>
        </w:rPr>
        <w:t>（</w:t>
      </w:r>
      <w:r>
        <w:rPr>
          <w:sz w:val="21"/>
        </w:rPr>
        <w:t>3</w:t>
      </w:r>
      <w:r>
        <w:rPr>
          <w:sz w:val="21"/>
        </w:rPr>
        <w:t>）外贸代理公司全程负责办理商检、卫检及质检手续。若货物在口岸或交货后在质保期内出现破损、短缺、错发或质量问题，外贸代理公司负责请商检部门进行质量鉴定，并代甲方向乙方索赔，货物的退运及复进的手续费由乙方负责，乙方应全程与甲方沟通联系并积极配合外贸代理公司完成相关手续及流程。</w:t>
      </w:r>
    </w:p>
    <w:p>
      <w:pPr>
        <w:pStyle w:val="null3"/>
        <w:jc w:val="both"/>
      </w:pPr>
      <w:r>
        <w:rPr>
          <w:sz w:val="21"/>
        </w:rPr>
        <w:t>二、货物质量要求</w:t>
      </w:r>
    </w:p>
    <w:p>
      <w:pPr>
        <w:pStyle w:val="null3"/>
        <w:jc w:val="both"/>
      </w:pPr>
      <w:r>
        <w:rPr>
          <w:sz w:val="21"/>
        </w:rPr>
        <w:t>1</w:t>
      </w:r>
      <w:r>
        <w:rPr>
          <w:sz w:val="21"/>
        </w:rPr>
        <w:t>、乙方应保证所供货物符合甲方的采购要求，且必须符合中华人民共和国国家标准、行业标准、地方标准、设备生产商的产品质量标准、有关部门制定的相关技术规范、符合产品说明书标明的质量状况和使用性能、国家规定的安全和环保要求（该等标准不一致的，以较高者为准），并应保持货物品质的稳定性和安全性。</w:t>
      </w:r>
    </w:p>
    <w:p>
      <w:pPr>
        <w:pStyle w:val="null3"/>
        <w:jc w:val="both"/>
      </w:pPr>
      <w:r>
        <w:rPr>
          <w:sz w:val="21"/>
        </w:rPr>
        <w:t>2</w:t>
      </w:r>
      <w:r>
        <w:rPr>
          <w:sz w:val="21"/>
        </w:rPr>
        <w:t>、乙方提供的货物必须为原厂原装全新正版产品（含零部件、配件、随机工具等），包装外观完好、表面无划伤无破损、配件齐全，整机无污染、无任何缺陷隐患，序列号、包装箱号与出厂批号一致，并可追索查阅。进口设备必须具有合法进货渠道证明（如海关报关单），国内设备则必须具备出厂合格证，乙方应保证所有设备在中华人民共和国境内可被安全且合法地使用。</w:t>
      </w:r>
    </w:p>
    <w:p>
      <w:pPr>
        <w:pStyle w:val="null3"/>
        <w:jc w:val="both"/>
      </w:pPr>
      <w:r>
        <w:rPr>
          <w:sz w:val="21"/>
        </w:rPr>
        <w:t>3</w:t>
      </w:r>
      <w:r>
        <w:rPr>
          <w:sz w:val="21"/>
        </w:rPr>
        <w:t>、乙方提供的货物因质量、安全、技术或权属等问题给甲方或第三方造成人身或财产损害的，乙方应承担一切责任；如甲方因此遭受任何第三方指控的，甲方有权就所遭受的损失（包括但不限于律师费、诉讼费、财产保全担保费等维权成本费用）向乙方追偿。</w:t>
      </w:r>
    </w:p>
    <w:p>
      <w:pPr>
        <w:pStyle w:val="null3"/>
        <w:jc w:val="both"/>
      </w:pPr>
      <w:r>
        <w:rPr>
          <w:sz w:val="21"/>
        </w:rPr>
        <w:t>三、货物交付及验收</w:t>
      </w:r>
    </w:p>
    <w:p>
      <w:pPr>
        <w:pStyle w:val="null3"/>
        <w:jc w:val="both"/>
      </w:pPr>
      <w:r>
        <w:rPr>
          <w:sz w:val="21"/>
        </w:rPr>
        <w:t>1</w:t>
      </w:r>
      <w:r>
        <w:rPr>
          <w:sz w:val="21"/>
        </w:rPr>
        <w:t>、交货地点：甲方指定地点</w:t>
      </w:r>
    </w:p>
    <w:p>
      <w:pPr>
        <w:pStyle w:val="null3"/>
        <w:jc w:val="both"/>
      </w:pPr>
      <w:r>
        <w:rPr>
          <w:sz w:val="21"/>
        </w:rPr>
        <w:t>国外采购设备的交货日期：乙方或者其指定的境外公司或厂家收到设备货款且征免税证明（中华人民共和国海关进出口货物征免税确认通知书、中华人民共和国海关准予办理减免税货物税款担保通知书等）发证日期后</w:t>
      </w:r>
      <w:r>
        <w:rPr>
          <w:sz w:val="21"/>
        </w:rPr>
        <w:t>3</w:t>
      </w:r>
      <w:r>
        <w:rPr>
          <w:sz w:val="21"/>
        </w:rPr>
        <w:t>个月内；</w:t>
      </w:r>
    </w:p>
    <w:p>
      <w:pPr>
        <w:pStyle w:val="null3"/>
        <w:jc w:val="both"/>
      </w:pPr>
      <w:r>
        <w:rPr>
          <w:sz w:val="21"/>
        </w:rPr>
        <w:t>国内采购设备的交货日期：本合同签订后</w:t>
      </w:r>
      <w:r>
        <w:rPr>
          <w:sz w:val="21"/>
        </w:rPr>
        <w:t>45</w:t>
      </w:r>
      <w:r>
        <w:rPr>
          <w:sz w:val="21"/>
        </w:rPr>
        <w:t>天内。</w:t>
      </w:r>
    </w:p>
    <w:p>
      <w:pPr>
        <w:pStyle w:val="null3"/>
        <w:jc w:val="both"/>
      </w:pPr>
      <w:r>
        <w:rPr>
          <w:sz w:val="21"/>
        </w:rPr>
        <w:t>进口货物装运口岸：</w:t>
      </w:r>
      <w:r>
        <w:rPr>
          <w:sz w:val="21"/>
          <w:u w:val="single"/>
        </w:rPr>
        <w:t xml:space="preserve">                                                  </w:t>
      </w:r>
      <w:r>
        <w:rPr>
          <w:sz w:val="21"/>
        </w:rPr>
        <w:t xml:space="preserve">                                 </w:t>
      </w:r>
    </w:p>
    <w:p>
      <w:pPr>
        <w:pStyle w:val="null3"/>
        <w:jc w:val="both"/>
      </w:pPr>
      <w:r>
        <w:rPr>
          <w:sz w:val="21"/>
        </w:rPr>
        <w:t>进口货物目的口岸：</w:t>
      </w:r>
      <w:r>
        <w:rPr>
          <w:sz w:val="21"/>
          <w:u w:val="single"/>
        </w:rPr>
        <w:t xml:space="preserve">                                                  </w:t>
      </w:r>
      <w:r>
        <w:rPr>
          <w:sz w:val="21"/>
        </w:rPr>
        <w:t xml:space="preserve">     </w:t>
      </w:r>
      <w:r>
        <w:rPr>
          <w:sz w:val="21"/>
        </w:rPr>
        <w:t xml:space="preserve">                                  </w:t>
      </w:r>
    </w:p>
    <w:p>
      <w:pPr>
        <w:pStyle w:val="null3"/>
        <w:jc w:val="both"/>
      </w:pPr>
      <w:r>
        <w:rPr>
          <w:sz w:val="21"/>
        </w:rPr>
        <w:t>2</w:t>
      </w:r>
      <w:r>
        <w:rPr>
          <w:sz w:val="21"/>
        </w:rPr>
        <w:t>、乙方应在交货时同时向甲方提供与本合同项下货物相符且完整的技术资料，技术资料必须以简体中文书写。</w:t>
      </w:r>
    </w:p>
    <w:p>
      <w:pPr>
        <w:pStyle w:val="null3"/>
        <w:jc w:val="both"/>
      </w:pPr>
      <w:r>
        <w:rPr>
          <w:sz w:val="21"/>
        </w:rPr>
        <w:t>3</w:t>
      </w:r>
      <w:r>
        <w:rPr>
          <w:sz w:val="21"/>
        </w:rPr>
        <w:t>、乙方应保证货物的包装符合运输的要求，符合相关包装储运指示标志的规定，按照最新国际、国家标准及相关规定进行包装，应满足长途运输、能承受水平受力、垂直受力、多次搬运、装卸、防潮、防震、防碎等包装要求。同时，乙方应按照合同货物的特点，按需要分别加上防冲撞、防霉、防锈、防腐蚀、防冻等相应保护措施，以确保货物在没有任何损坏和腐蚀的情况下安全完好地运抵交付地点。</w:t>
      </w:r>
    </w:p>
    <w:p>
      <w:pPr>
        <w:pStyle w:val="null3"/>
        <w:jc w:val="both"/>
      </w:pPr>
      <w:r>
        <w:rPr>
          <w:sz w:val="21"/>
        </w:rPr>
        <w:t>4</w:t>
      </w:r>
      <w:r>
        <w:rPr>
          <w:sz w:val="21"/>
        </w:rPr>
        <w:t>、本合同项下，国内采购部分由乙方负责将货物运输至约定的交货地点并交付予甲方；国外采购部分由外贸代理公司负责将货物运输至约定的交货地点并交付予甲方（开箱验货时，必须有甲方、乙方及外贸代理公司三方在场）。货物运至指定交货地点前，乙方应提前联系甲方（联系电话</w:t>
      </w:r>
      <w:r>
        <w:rPr>
          <w:sz w:val="21"/>
        </w:rPr>
        <w:t>020-61647405</w:t>
      </w:r>
      <w:r>
        <w:rPr>
          <w:sz w:val="21"/>
        </w:rPr>
        <w:t>）。如设备外包装存在二次封箱现象，乙方须提供海关商检证明；如乙方无法提供相关证明，甲方有权视实际情况提出退、换货要求，乙方应在甲方指定期限内完成退、换货。设备及其配件有破损或污渍，甲方亦有权视实际情况提出退、换货要求，乙方应在甲方指定期限内完成退、换货。因退、换货产生的一切费用（包括但不限于运输费、保险费、装卸费等）均由乙方自行承担。</w:t>
      </w:r>
    </w:p>
    <w:p>
      <w:pPr>
        <w:pStyle w:val="null3"/>
        <w:jc w:val="both"/>
      </w:pPr>
      <w:r>
        <w:rPr>
          <w:sz w:val="21"/>
        </w:rPr>
        <w:t>5</w:t>
      </w:r>
      <w:r>
        <w:rPr>
          <w:sz w:val="21"/>
        </w:rPr>
        <w:t>、乙方应委派技术人员上门进行现场安装、调试，并提供货物安装调试所需的一切技术支持。安装调试的具体时间由甲方提前</w:t>
      </w:r>
      <w:r>
        <w:rPr>
          <w:sz w:val="21"/>
        </w:rPr>
        <w:t>3</w:t>
      </w:r>
      <w:r>
        <w:rPr>
          <w:sz w:val="21"/>
        </w:rPr>
        <w:t>天通知乙方。</w:t>
      </w:r>
    </w:p>
    <w:p>
      <w:pPr>
        <w:pStyle w:val="null3"/>
        <w:jc w:val="both"/>
      </w:pPr>
      <w:r>
        <w:rPr>
          <w:sz w:val="21"/>
        </w:rPr>
        <w:t>6</w:t>
      </w:r>
      <w:r>
        <w:rPr>
          <w:sz w:val="21"/>
        </w:rPr>
        <w:t>、乙方完成货物的安装调试和人员的技术培训，且甲方确认设备正常运转后，</w:t>
      </w:r>
      <w:r>
        <w:rPr>
          <w:sz w:val="21"/>
        </w:rPr>
        <w:t>3</w:t>
      </w:r>
      <w:r>
        <w:rPr>
          <w:sz w:val="21"/>
        </w:rPr>
        <w:t>个月内双方完成验收。验收内容包括但不限于：（</w:t>
      </w:r>
      <w:r>
        <w:rPr>
          <w:sz w:val="21"/>
        </w:rPr>
        <w:t>1</w:t>
      </w:r>
      <w:r>
        <w:rPr>
          <w:sz w:val="21"/>
        </w:rPr>
        <w:t>）规格型号、数量及外观；（</w:t>
      </w:r>
      <w:r>
        <w:rPr>
          <w:sz w:val="21"/>
        </w:rPr>
        <w:t>2</w:t>
      </w:r>
      <w:r>
        <w:rPr>
          <w:sz w:val="21"/>
        </w:rPr>
        <w:t>）货物所附技术资料；（</w:t>
      </w:r>
      <w:r>
        <w:rPr>
          <w:sz w:val="21"/>
        </w:rPr>
        <w:t>3</w:t>
      </w:r>
      <w:r>
        <w:rPr>
          <w:sz w:val="21"/>
        </w:rPr>
        <w:t>）货物组件及配置；（</w:t>
      </w:r>
      <w:r>
        <w:rPr>
          <w:sz w:val="21"/>
        </w:rPr>
        <w:t>4</w:t>
      </w:r>
      <w:r>
        <w:rPr>
          <w:sz w:val="21"/>
        </w:rPr>
        <w:t>）货物功能、性能及各项技术参数指标；（</w:t>
      </w:r>
      <w:r>
        <w:rPr>
          <w:sz w:val="21"/>
        </w:rPr>
        <w:t>5</w:t>
      </w:r>
      <w:r>
        <w:rPr>
          <w:sz w:val="21"/>
        </w:rPr>
        <w:t>）品牌；（</w:t>
      </w:r>
      <w:r>
        <w:rPr>
          <w:sz w:val="21"/>
        </w:rPr>
        <w:t>6</w:t>
      </w:r>
      <w:r>
        <w:rPr>
          <w:sz w:val="21"/>
        </w:rPr>
        <w:t>）设备标识的名称、产地、生产日期（生产日期与到货日期之间的时间间隔最长不得超过两年）；（</w:t>
      </w:r>
      <w:r>
        <w:rPr>
          <w:sz w:val="21"/>
        </w:rPr>
        <w:t>7</w:t>
      </w:r>
      <w:r>
        <w:rPr>
          <w:sz w:val="21"/>
        </w:rPr>
        <w:t>）是否已缴纳履约保证金；（</w:t>
      </w:r>
      <w:r>
        <w:rPr>
          <w:sz w:val="21"/>
        </w:rPr>
        <w:t>8</w:t>
      </w:r>
      <w:r>
        <w:rPr>
          <w:sz w:val="21"/>
        </w:rPr>
        <w:t>）其他需验收的事项。</w:t>
      </w:r>
    </w:p>
    <w:p>
      <w:pPr>
        <w:pStyle w:val="null3"/>
        <w:jc w:val="both"/>
      </w:pPr>
      <w:r>
        <w:rPr>
          <w:sz w:val="21"/>
        </w:rPr>
        <w:t xml:space="preserve"> </w:t>
      </w:r>
      <w:r>
        <w:rPr>
          <w:sz w:val="21"/>
        </w:rPr>
        <w:t>7</w:t>
      </w:r>
      <w:r>
        <w:rPr>
          <w:sz w:val="21"/>
        </w:rPr>
        <w:t>、验收标准：按本合同约定的设备及价格、质量要求、详细配置清单及技术指标、符合采购文件和响应承诺中甲方认可的合理最佳配置、参数及各项要求、国家相关标准和行业规范进行验收（该等标准不一致的，以较高者为准）。验收时如发现所交付的设备有短装、次品、损坏或其它不符合本合同规定之情形者，甲方应做出详尽的现场记录，并由甲乙双方共同签署甲方制式开箱报告。此开箱报告可用作补充、缺失和更换损坏部件的有效证据。由此产生的有关费用由乙方承担。乙方未按要求缴纳保证金的，甲方有权不履行后续验收流程。</w:t>
      </w:r>
    </w:p>
    <w:p>
      <w:pPr>
        <w:pStyle w:val="null3"/>
        <w:jc w:val="both"/>
      </w:pPr>
      <w:r>
        <w:rPr>
          <w:sz w:val="21"/>
        </w:rPr>
        <w:t>8</w:t>
      </w:r>
      <w:r>
        <w:rPr>
          <w:sz w:val="21"/>
        </w:rPr>
        <w:t>、甲方所购货物全部通过验收的，必须经甲方确认并出具验收合格证明后，方可视为验收合格。验收合格文件的签署不使甲方丧失因质量问题而向乙方索赔和求偿的权利，同时亦不免除乙方对于货物质量缺陷或瑕疵负有的相应责任。</w:t>
      </w:r>
    </w:p>
    <w:p>
      <w:pPr>
        <w:pStyle w:val="null3"/>
        <w:jc w:val="both"/>
      </w:pPr>
      <w:r>
        <w:rPr>
          <w:sz w:val="21"/>
        </w:rPr>
        <w:t>9</w:t>
      </w:r>
      <w:r>
        <w:rPr>
          <w:sz w:val="21"/>
        </w:rPr>
        <w:t>、甲方在验收中如发现货物不符合合同的约定，有权拒绝接受货物，并签发拒绝收货通知书。乙方应于本合同约定的交货期限内重新提供符合合同约定的货物，否则，视为乙方逾期交货。</w:t>
      </w:r>
    </w:p>
    <w:p>
      <w:pPr>
        <w:pStyle w:val="null3"/>
        <w:jc w:val="both"/>
      </w:pPr>
      <w:r>
        <w:rPr>
          <w:sz w:val="21"/>
        </w:rPr>
        <w:t>10</w:t>
      </w:r>
      <w:r>
        <w:rPr>
          <w:sz w:val="21"/>
        </w:rPr>
        <w:t>、如乙方对验收结果有异议，可以委托甲方所在地商检部门进行复检。商检部门的检验结果表明货物不符合合同约定的，因复检发生的费用由乙方承担；检验结果表明货物符合合同约定的，因复检发生的费用由甲方承担。</w:t>
      </w:r>
    </w:p>
    <w:p>
      <w:pPr>
        <w:pStyle w:val="null3"/>
        <w:jc w:val="both"/>
      </w:pPr>
      <w:r>
        <w:rPr>
          <w:sz w:val="21"/>
        </w:rPr>
        <w:t>四、付款安排</w:t>
      </w:r>
    </w:p>
    <w:p>
      <w:pPr>
        <w:pStyle w:val="null3"/>
        <w:jc w:val="both"/>
      </w:pPr>
      <w:r>
        <w:rPr>
          <w:sz w:val="21"/>
        </w:rPr>
        <w:t>1</w:t>
      </w:r>
      <w:r>
        <w:rPr>
          <w:sz w:val="21"/>
        </w:rPr>
        <w:t>、双方签订本合同之日起</w:t>
      </w:r>
      <w:r>
        <w:rPr>
          <w:sz w:val="21"/>
        </w:rPr>
        <w:t>5</w:t>
      </w:r>
      <w:r>
        <w:rPr>
          <w:sz w:val="21"/>
        </w:rPr>
        <w:t>个工作日内，乙方应按合同总价款的</w:t>
      </w:r>
      <w:r>
        <w:rPr>
          <w:sz w:val="21"/>
        </w:rPr>
        <w:t>5%</w:t>
      </w:r>
      <w:r>
        <w:rPr>
          <w:sz w:val="21"/>
        </w:rPr>
        <w:t>作为履约保证金汇至甲方账户，并提供银行汇款凭据。在乙方将合同义务全部履行完毕且无违约行为或未结款项</w:t>
      </w:r>
      <w:r>
        <w:rPr>
          <w:sz w:val="21"/>
        </w:rPr>
        <w:t>(</w:t>
      </w:r>
      <w:r>
        <w:rPr>
          <w:sz w:val="21"/>
        </w:rPr>
        <w:t>包括但不限于违约金、赔偿金等</w:t>
      </w:r>
      <w:r>
        <w:rPr>
          <w:sz w:val="21"/>
        </w:rPr>
        <w:t>)</w:t>
      </w:r>
      <w:r>
        <w:rPr>
          <w:sz w:val="21"/>
        </w:rPr>
        <w:t>的情况下，乙方可向甲方申请退还履约保证金，甲方于退还申请审批手续办理完毕后</w:t>
      </w:r>
      <w:r>
        <w:rPr>
          <w:sz w:val="21"/>
        </w:rPr>
        <w:t>30</w:t>
      </w:r>
      <w:r>
        <w:rPr>
          <w:sz w:val="21"/>
        </w:rPr>
        <w:t>日内向乙方无息退还履约保证金（如遇甲方寒暑假，甲方有权顺延退回时间且无需承担任何违约责任）。乙方逾期交纳履约保证金的，甲方按照逾期天数</w:t>
      </w:r>
      <w:r>
        <w:rPr>
          <w:sz w:val="21"/>
        </w:rPr>
        <w:t>3</w:t>
      </w:r>
      <w:r>
        <w:rPr>
          <w:sz w:val="21"/>
        </w:rPr>
        <w:t>倍的时间无息延长退还履约保证金的时间。合同期内乙方存在违约行为或因乙方原因导致甲方解除合同的，甲方有权不予退回履约保证金且无需就此承担任何责任。履约保证金的退还，不免除乙方因货物或服务质量问题而应承担的任何责任（包括但不限于对甲方损失的赔偿责任等）。</w:t>
      </w:r>
    </w:p>
    <w:p>
      <w:pPr>
        <w:pStyle w:val="null3"/>
        <w:jc w:val="both"/>
      </w:pPr>
      <w:r>
        <w:rPr>
          <w:sz w:val="21"/>
        </w:rPr>
        <w:t>2</w:t>
      </w:r>
      <w:r>
        <w:rPr>
          <w:sz w:val="21"/>
        </w:rPr>
        <w:t>、国内采购部分执行的付款方式：</w:t>
      </w:r>
    </w:p>
    <w:p>
      <w:pPr>
        <w:pStyle w:val="null3"/>
        <w:jc w:val="both"/>
      </w:pPr>
      <w:r>
        <w:rPr>
          <w:sz w:val="21"/>
        </w:rPr>
        <w:t xml:space="preserve">2.1 </w:t>
      </w:r>
      <w:r>
        <w:rPr>
          <w:sz w:val="21"/>
        </w:rPr>
        <w:t>对于国内采购部分的付款，若乙方属于中小企业的，付款方式按第</w:t>
      </w:r>
      <w:r>
        <w:rPr>
          <w:sz w:val="21"/>
        </w:rPr>
        <w:t>2.2</w:t>
      </w:r>
      <w:r>
        <w:rPr>
          <w:sz w:val="21"/>
        </w:rPr>
        <w:t>条的约定执行；若乙方不属于中小企业的，付款方式按第</w:t>
      </w:r>
      <w:r>
        <w:rPr>
          <w:sz w:val="21"/>
        </w:rPr>
        <w:t>2.3</w:t>
      </w:r>
      <w:r>
        <w:rPr>
          <w:sz w:val="21"/>
        </w:rPr>
        <w:t>条执行。本条所述的中小企业，按《中小企业划型标准规定》（工信部联企业〔</w:t>
      </w:r>
      <w:r>
        <w:rPr>
          <w:sz w:val="21"/>
        </w:rPr>
        <w:t>2011</w:t>
      </w:r>
      <w:r>
        <w:rPr>
          <w:sz w:val="21"/>
        </w:rPr>
        <w:t>〕</w:t>
      </w:r>
      <w:r>
        <w:rPr>
          <w:sz w:val="21"/>
        </w:rPr>
        <w:t>300</w:t>
      </w:r>
      <w:r>
        <w:rPr>
          <w:sz w:val="21"/>
        </w:rPr>
        <w:t>号）及《金融业企业划型标准规定》（银发〔</w:t>
      </w:r>
      <w:r>
        <w:rPr>
          <w:sz w:val="21"/>
        </w:rPr>
        <w:t>2015</w:t>
      </w:r>
      <w:r>
        <w:rPr>
          <w:sz w:val="21"/>
        </w:rPr>
        <w:t>〕</w:t>
      </w:r>
      <w:r>
        <w:rPr>
          <w:sz w:val="21"/>
        </w:rPr>
        <w:t>309</w:t>
      </w:r>
      <w:r>
        <w:rPr>
          <w:sz w:val="21"/>
        </w:rPr>
        <w:t>号）界定。</w:t>
      </w:r>
    </w:p>
    <w:p>
      <w:pPr>
        <w:pStyle w:val="null3"/>
        <w:jc w:val="both"/>
      </w:pPr>
      <w:r>
        <w:rPr>
          <w:sz w:val="21"/>
        </w:rPr>
        <w:t>2.2 乙方属于中小企业的，双方确认，按以下第</w:t>
      </w:r>
      <w:r>
        <w:rPr>
          <w:sz w:val="21"/>
          <w:u w:val="single"/>
        </w:rPr>
        <w:t xml:space="preserve">      </w:t>
      </w:r>
      <w:r>
        <w:rPr>
          <w:sz w:val="21"/>
        </w:rPr>
        <w:t>种方式付款：</w:t>
      </w:r>
    </w:p>
    <w:p>
      <w:pPr>
        <w:pStyle w:val="null3"/>
        <w:jc w:val="both"/>
      </w:pPr>
      <w:r>
        <w:rPr>
          <w:sz w:val="21"/>
        </w:rPr>
        <w:t>（</w:t>
      </w:r>
      <w:r>
        <w:rPr>
          <w:sz w:val="21"/>
        </w:rPr>
        <w:t>1</w:t>
      </w:r>
      <w:r>
        <w:rPr>
          <w:sz w:val="21"/>
        </w:rPr>
        <w:t>）甲方在本合同签订后</w:t>
      </w:r>
      <w:r>
        <w:rPr>
          <w:sz w:val="21"/>
        </w:rPr>
        <w:t>5</w:t>
      </w:r>
      <w:r>
        <w:rPr>
          <w:sz w:val="21"/>
        </w:rPr>
        <w:t>个工作日内，向乙方预付合同金额的</w:t>
      </w:r>
      <w:r>
        <w:rPr>
          <w:sz w:val="21"/>
        </w:rPr>
        <w:t>30%</w:t>
      </w:r>
      <w:r>
        <w:rPr>
          <w:sz w:val="21"/>
        </w:rPr>
        <w:t>汇至本合同项下载明的乙方账户。甲方收到履约保证金，且设备交付并通过甲方验收合格后，乙方向甲方提供合法有效的等额发票，经甲方审核通过后，在</w:t>
      </w:r>
      <w:r>
        <w:rPr>
          <w:sz w:val="21"/>
        </w:rPr>
        <w:t>15</w:t>
      </w:r>
      <w:r>
        <w:rPr>
          <w:sz w:val="21"/>
        </w:rPr>
        <w:t>日内支付合同剩余</w:t>
      </w:r>
      <w:r>
        <w:rPr>
          <w:sz w:val="21"/>
        </w:rPr>
        <w:t>70%</w:t>
      </w:r>
      <w:r>
        <w:rPr>
          <w:sz w:val="21"/>
        </w:rPr>
        <w:t>资金。</w:t>
      </w:r>
    </w:p>
    <w:p>
      <w:pPr>
        <w:pStyle w:val="null3"/>
        <w:jc w:val="both"/>
      </w:pPr>
      <w:r>
        <w:rPr>
          <w:sz w:val="21"/>
        </w:rPr>
        <w:t>（</w:t>
      </w:r>
      <w:r>
        <w:rPr>
          <w:sz w:val="21"/>
        </w:rPr>
        <w:t>2</w:t>
      </w:r>
      <w:r>
        <w:rPr>
          <w:sz w:val="21"/>
        </w:rPr>
        <w:t>）甲方在本合同签订后</w:t>
      </w:r>
      <w:r>
        <w:rPr>
          <w:sz w:val="21"/>
        </w:rPr>
        <w:t>5</w:t>
      </w:r>
      <w:r>
        <w:rPr>
          <w:sz w:val="21"/>
        </w:rPr>
        <w:t>个工作日内，向乙方预付合同金额的</w:t>
      </w:r>
      <w:r>
        <w:rPr>
          <w:sz w:val="21"/>
        </w:rPr>
        <w:t>30%</w:t>
      </w:r>
      <w:r>
        <w:rPr>
          <w:sz w:val="21"/>
        </w:rPr>
        <w:t>汇至本合同项下载明的乙方账户，合同剩余</w:t>
      </w:r>
      <w:r>
        <w:rPr>
          <w:sz w:val="21"/>
        </w:rPr>
        <w:t>70%</w:t>
      </w:r>
      <w:r>
        <w:rPr>
          <w:sz w:val="21"/>
        </w:rPr>
        <w:t>资金采取本合同第</w:t>
      </w:r>
      <w:r>
        <w:rPr>
          <w:sz w:val="21"/>
        </w:rPr>
        <w:t>2.4</w:t>
      </w:r>
      <w:r>
        <w:rPr>
          <w:sz w:val="21"/>
        </w:rPr>
        <w:t>条约定的预付款资金监管模式支付。</w:t>
      </w:r>
    </w:p>
    <w:p>
      <w:pPr>
        <w:pStyle w:val="null3"/>
        <w:jc w:val="both"/>
      </w:pPr>
      <w:r>
        <w:rPr>
          <w:sz w:val="21"/>
        </w:rPr>
        <w:t xml:space="preserve">2.3 </w:t>
      </w:r>
      <w:r>
        <w:rPr>
          <w:sz w:val="21"/>
        </w:rPr>
        <w:t>乙方不属于中小企业的，双方确认，按以下第</w:t>
      </w:r>
      <w:r>
        <w:rPr>
          <w:sz w:val="21"/>
          <w:u w:val="single"/>
        </w:rPr>
        <w:t xml:space="preserve">       </w:t>
      </w:r>
      <w:r>
        <w:rPr>
          <w:sz w:val="21"/>
        </w:rPr>
        <w:t>种方式付款：</w:t>
      </w:r>
    </w:p>
    <w:p>
      <w:pPr>
        <w:pStyle w:val="null3"/>
        <w:jc w:val="both"/>
      </w:pPr>
      <w:r>
        <w:rPr>
          <w:sz w:val="21"/>
        </w:rPr>
        <w:t>（</w:t>
      </w:r>
      <w:r>
        <w:rPr>
          <w:sz w:val="21"/>
        </w:rPr>
        <w:t>1</w:t>
      </w:r>
      <w:r>
        <w:rPr>
          <w:sz w:val="21"/>
        </w:rPr>
        <w:t>）甲方收到履约保证金，且设备交付并通过甲方验收合格后，乙方向甲方提供合法有效的等额发票，经甲方审核通过后，在</w:t>
      </w:r>
      <w:r>
        <w:rPr>
          <w:sz w:val="21"/>
        </w:rPr>
        <w:t>30</w:t>
      </w:r>
      <w:r>
        <w:rPr>
          <w:sz w:val="21"/>
        </w:rPr>
        <w:t>个工作日内支付全额货款。</w:t>
      </w:r>
    </w:p>
    <w:p>
      <w:pPr>
        <w:pStyle w:val="null3"/>
        <w:jc w:val="both"/>
      </w:pPr>
      <w:r>
        <w:rPr>
          <w:sz w:val="21"/>
        </w:rPr>
        <w:t>（</w:t>
      </w:r>
      <w:r>
        <w:rPr>
          <w:sz w:val="21"/>
        </w:rPr>
        <w:t>2</w:t>
      </w:r>
      <w:r>
        <w:rPr>
          <w:sz w:val="21"/>
        </w:rPr>
        <w:t>）甲方采取本合同第</w:t>
      </w:r>
      <w:r>
        <w:rPr>
          <w:sz w:val="21"/>
        </w:rPr>
        <w:t>2.4</w:t>
      </w:r>
      <w:r>
        <w:rPr>
          <w:sz w:val="21"/>
        </w:rPr>
        <w:t>条约定的预付款资金监管模式支付全额货款。</w:t>
      </w:r>
    </w:p>
    <w:p>
      <w:pPr>
        <w:pStyle w:val="null3"/>
        <w:jc w:val="both"/>
      </w:pPr>
      <w:r>
        <w:rPr>
          <w:sz w:val="21"/>
        </w:rPr>
        <w:t xml:space="preserve">2.4 </w:t>
      </w:r>
      <w:r>
        <w:rPr>
          <w:sz w:val="21"/>
        </w:rPr>
        <w:t>本条款所述的预付款资金监管模式按以下方式执行：</w:t>
      </w:r>
    </w:p>
    <w:p>
      <w:pPr>
        <w:pStyle w:val="null3"/>
        <w:jc w:val="both"/>
      </w:pPr>
      <w:r>
        <w:rPr>
          <w:sz w:val="21"/>
        </w:rPr>
        <w:t>（</w:t>
      </w:r>
      <w:r>
        <w:rPr>
          <w:sz w:val="21"/>
        </w:rPr>
        <w:t>1</w:t>
      </w:r>
      <w:r>
        <w:rPr>
          <w:sz w:val="21"/>
        </w:rPr>
        <w:t>）甲方合作银行为兴业银行广州分行、中信银行、中国农业银行广州白云支行，乙方需在该</w:t>
      </w:r>
      <w:r>
        <w:rPr>
          <w:sz w:val="21"/>
        </w:rPr>
        <w:t>3</w:t>
      </w:r>
      <w:r>
        <w:rPr>
          <w:sz w:val="21"/>
        </w:rPr>
        <w:t>家银行中自行选择资金监管服务银行。</w:t>
      </w:r>
    </w:p>
    <w:p>
      <w:pPr>
        <w:pStyle w:val="null3"/>
        <w:jc w:val="both"/>
      </w:pPr>
      <w:r>
        <w:rPr>
          <w:sz w:val="21"/>
        </w:rPr>
        <w:t>（</w:t>
      </w:r>
      <w:r>
        <w:rPr>
          <w:sz w:val="21"/>
        </w:rPr>
        <w:t>2</w:t>
      </w:r>
      <w:r>
        <w:rPr>
          <w:sz w:val="21"/>
        </w:rPr>
        <w:t>）乙方凭采购合同及银行资金监管业务协议，</w:t>
      </w:r>
      <w:r>
        <w:rPr>
          <w:sz w:val="21"/>
        </w:rPr>
        <w:t>3</w:t>
      </w:r>
      <w:r>
        <w:rPr>
          <w:sz w:val="21"/>
        </w:rPr>
        <w:t>个工作日内开立银行监管账户。乙方监管账户开设完毕，经乙方或银行通知，甲方将设备款项（具体按本条款前述约定确定付款金额）支付至乙方该监管账户。乙方监管账户中资金的收付及结算必须且仅可通过监管账户实现，非经甲方书面同意，该监管账户不得擅自变更。双方应严格按照《资金监管业务三方协议》约定履行。</w:t>
      </w:r>
    </w:p>
    <w:p>
      <w:pPr>
        <w:pStyle w:val="null3"/>
        <w:jc w:val="both"/>
      </w:pPr>
      <w:r>
        <w:rPr>
          <w:sz w:val="21"/>
        </w:rPr>
        <w:t>（</w:t>
      </w:r>
      <w:r>
        <w:rPr>
          <w:sz w:val="21"/>
        </w:rPr>
        <w:t>3</w:t>
      </w:r>
      <w:r>
        <w:rPr>
          <w:sz w:val="21"/>
        </w:rPr>
        <w:t>）甲方收到履约保证金，且设备交付并通过甲方验收合格后，乙方向甲方提供合法有效的等额发票，经甲方审核通过后，甲方在</w:t>
      </w:r>
      <w:r>
        <w:rPr>
          <w:sz w:val="21"/>
        </w:rPr>
        <w:t>15</w:t>
      </w:r>
      <w:r>
        <w:rPr>
          <w:sz w:val="21"/>
        </w:rPr>
        <w:t>个工作日内向银行提出资金解除监管申请。</w:t>
      </w:r>
    </w:p>
    <w:p>
      <w:pPr>
        <w:pStyle w:val="null3"/>
        <w:jc w:val="both"/>
      </w:pPr>
      <w:r>
        <w:rPr>
          <w:sz w:val="21"/>
        </w:rPr>
        <w:t>（</w:t>
      </w:r>
      <w:r>
        <w:rPr>
          <w:sz w:val="21"/>
        </w:rPr>
        <w:t>4</w:t>
      </w:r>
      <w:r>
        <w:rPr>
          <w:sz w:val="21"/>
        </w:rPr>
        <w:t>）甲方按前述约定向监管账户汇出款项后，即视为已履行付款义务。在汇款过程中，因乙方账户的原因（包括但不限于账号被注销、被冻结等）导致乙方无法收取款项的，由乙方承担相应后果，甲方无需承担任何违约责任。</w:t>
      </w:r>
    </w:p>
    <w:p>
      <w:pPr>
        <w:pStyle w:val="null3"/>
        <w:jc w:val="both"/>
      </w:pPr>
      <w:r>
        <w:rPr>
          <w:sz w:val="21"/>
        </w:rPr>
        <w:t>3</w:t>
      </w:r>
      <w:r>
        <w:rPr>
          <w:sz w:val="21"/>
        </w:rPr>
        <w:t>、国外采购部分执行的付款方式：</w:t>
      </w:r>
    </w:p>
    <w:p>
      <w:pPr>
        <w:pStyle w:val="null3"/>
        <w:jc w:val="both"/>
      </w:pPr>
      <w:r>
        <w:rPr>
          <w:sz w:val="21"/>
        </w:rPr>
        <w:t xml:space="preserve">3.1 </w:t>
      </w:r>
      <w:r>
        <w:rPr>
          <w:sz w:val="21"/>
        </w:rPr>
        <w:t>对于国外采购部分的付款，若乙方属于中小企业的，付款方式按第</w:t>
      </w:r>
      <w:r>
        <w:rPr>
          <w:sz w:val="21"/>
        </w:rPr>
        <w:t>3.2</w:t>
      </w:r>
      <w:r>
        <w:rPr>
          <w:sz w:val="21"/>
        </w:rPr>
        <w:t>条的约定执行；若乙方不属于中小企业的，付款方式按第</w:t>
      </w:r>
      <w:r>
        <w:rPr>
          <w:sz w:val="21"/>
        </w:rPr>
        <w:t>3.3</w:t>
      </w:r>
      <w:r>
        <w:rPr>
          <w:sz w:val="21"/>
        </w:rPr>
        <w:t>条执行。本条所述的中小企业，按《中小企业划型标准规定》（工信部联企业〔</w:t>
      </w:r>
      <w:r>
        <w:rPr>
          <w:sz w:val="21"/>
        </w:rPr>
        <w:t>2011</w:t>
      </w:r>
      <w:r>
        <w:rPr>
          <w:sz w:val="21"/>
        </w:rPr>
        <w:t>〕</w:t>
      </w:r>
      <w:r>
        <w:rPr>
          <w:sz w:val="21"/>
        </w:rPr>
        <w:t>300</w:t>
      </w:r>
      <w:r>
        <w:rPr>
          <w:sz w:val="21"/>
        </w:rPr>
        <w:t>号）及《金融业企业划型标准规定》（银发〔</w:t>
      </w:r>
      <w:r>
        <w:rPr>
          <w:sz w:val="21"/>
        </w:rPr>
        <w:t>2015</w:t>
      </w:r>
      <w:r>
        <w:rPr>
          <w:sz w:val="21"/>
        </w:rPr>
        <w:t>〕</w:t>
      </w:r>
      <w:r>
        <w:rPr>
          <w:sz w:val="21"/>
        </w:rPr>
        <w:t>309</w:t>
      </w:r>
      <w:r>
        <w:rPr>
          <w:sz w:val="21"/>
        </w:rPr>
        <w:t>号）界定。</w:t>
      </w:r>
    </w:p>
    <w:p>
      <w:pPr>
        <w:pStyle w:val="null3"/>
        <w:jc w:val="both"/>
      </w:pPr>
      <w:r>
        <w:rPr>
          <w:sz w:val="21"/>
        </w:rPr>
        <w:t xml:space="preserve">3.2 </w:t>
      </w:r>
      <w:r>
        <w:rPr>
          <w:sz w:val="21"/>
        </w:rPr>
        <w:t>乙方属于中小企业的，双方确认，按以下方式付款：</w:t>
      </w:r>
    </w:p>
    <w:p>
      <w:pPr>
        <w:pStyle w:val="null3"/>
        <w:jc w:val="both"/>
      </w:pPr>
      <w:r>
        <w:rPr>
          <w:sz w:val="21"/>
        </w:rPr>
        <w:t>（</w:t>
      </w:r>
      <w:r>
        <w:rPr>
          <w:sz w:val="21"/>
        </w:rPr>
        <w:t>1</w:t>
      </w:r>
      <w:r>
        <w:rPr>
          <w:sz w:val="21"/>
        </w:rPr>
        <w:t>）甲乙双方采取预付款制度，甲方在本合同签订后</w:t>
      </w:r>
      <w:r>
        <w:rPr>
          <w:sz w:val="21"/>
        </w:rPr>
        <w:t>5</w:t>
      </w:r>
      <w:r>
        <w:rPr>
          <w:sz w:val="21"/>
        </w:rPr>
        <w:t>个工作日内，向乙方预付合同金额的</w:t>
      </w:r>
      <w:r>
        <w:rPr>
          <w:sz w:val="21"/>
        </w:rPr>
        <w:t>30%</w:t>
      </w:r>
      <w:r>
        <w:rPr>
          <w:sz w:val="21"/>
        </w:rPr>
        <w:t>，合同金额的</w:t>
      </w:r>
      <w:r>
        <w:rPr>
          <w:sz w:val="21"/>
        </w:rPr>
        <w:t>70%</w:t>
      </w:r>
      <w:r>
        <w:rPr>
          <w:sz w:val="21"/>
        </w:rPr>
        <w:t>执行银行资金监管模式，甲方合作银行为兴业银行广州分行、中信银行、中国农业银行广州白云支行，乙方需在该</w:t>
      </w:r>
      <w:r>
        <w:rPr>
          <w:sz w:val="21"/>
        </w:rPr>
        <w:t>3</w:t>
      </w:r>
      <w:r>
        <w:rPr>
          <w:sz w:val="21"/>
        </w:rPr>
        <w:t>家银行中自行选择资金监管服务银行。</w:t>
      </w:r>
    </w:p>
    <w:p>
      <w:pPr>
        <w:pStyle w:val="null3"/>
        <w:jc w:val="both"/>
      </w:pPr>
      <w:r>
        <w:rPr>
          <w:sz w:val="21"/>
        </w:rPr>
        <w:t>（</w:t>
      </w:r>
      <w:r>
        <w:rPr>
          <w:sz w:val="21"/>
        </w:rPr>
        <w:t>2</w:t>
      </w:r>
      <w:r>
        <w:rPr>
          <w:sz w:val="21"/>
        </w:rPr>
        <w:t>）乙方应于收到前述</w:t>
      </w:r>
      <w:r>
        <w:rPr>
          <w:sz w:val="21"/>
        </w:rPr>
        <w:t>30%</w:t>
      </w:r>
      <w:r>
        <w:rPr>
          <w:sz w:val="21"/>
        </w:rPr>
        <w:t>预付款后</w:t>
      </w:r>
      <w:r>
        <w:rPr>
          <w:sz w:val="21"/>
        </w:rPr>
        <w:t>15</w:t>
      </w:r>
      <w:r>
        <w:rPr>
          <w:sz w:val="21"/>
        </w:rPr>
        <w:t>个工作日内将该</w:t>
      </w:r>
      <w:r>
        <w:rPr>
          <w:sz w:val="21"/>
        </w:rPr>
        <w:t>30%</w:t>
      </w:r>
      <w:r>
        <w:rPr>
          <w:sz w:val="21"/>
        </w:rPr>
        <w:t>预付款定向支付给外贸代理公司以便其办理信用证。如因乙方未按时将该</w:t>
      </w:r>
      <w:r>
        <w:rPr>
          <w:sz w:val="21"/>
        </w:rPr>
        <w:t>30%</w:t>
      </w:r>
      <w:r>
        <w:rPr>
          <w:sz w:val="21"/>
        </w:rPr>
        <w:t>预付款支付至外贸代理公司的后述指定监管帐户，导致设备货期延误、外贸代理公司向甲方主张权利或者产生其他纠纷等全部情形的，甲方无需承担任何责任且甲方因此遭受的损失均由乙方承担，同时，乙方亦应按照本合同之约定承担违约责任。</w:t>
      </w:r>
    </w:p>
    <w:p>
      <w:pPr>
        <w:pStyle w:val="null3"/>
        <w:jc w:val="both"/>
      </w:pPr>
      <w:r>
        <w:rPr>
          <w:sz w:val="21"/>
        </w:rPr>
        <w:t>（</w:t>
      </w:r>
      <w:r>
        <w:rPr>
          <w:sz w:val="21"/>
        </w:rPr>
        <w:t>3</w:t>
      </w:r>
      <w:r>
        <w:rPr>
          <w:sz w:val="21"/>
        </w:rPr>
        <w:t>）甲方收到履约保证金后，甲方、乙方、银行、外贸代理公司四方应及时签订银行资金监管业务协议，乙方凭采购合同及银行资金监管业务协议，</w:t>
      </w:r>
      <w:r>
        <w:rPr>
          <w:sz w:val="21"/>
        </w:rPr>
        <w:t>3</w:t>
      </w:r>
      <w:r>
        <w:rPr>
          <w:sz w:val="21"/>
        </w:rPr>
        <w:t>个工作日内开立银行监管账户。乙方监管账户开设完毕，经乙方或银行通知，甲方将合同金额的</w:t>
      </w:r>
      <w:r>
        <w:rPr>
          <w:sz w:val="21"/>
        </w:rPr>
        <w:t>70%</w:t>
      </w:r>
      <w:r>
        <w:rPr>
          <w:sz w:val="21"/>
        </w:rPr>
        <w:t>打至该账户。甲方收到相关到账凭证，确认资金在账后，通知乙方进行资金划付工作，乙方应于收到甲方通知后</w:t>
      </w:r>
      <w:r>
        <w:rPr>
          <w:sz w:val="21"/>
        </w:rPr>
        <w:t>5</w:t>
      </w:r>
      <w:r>
        <w:rPr>
          <w:sz w:val="21"/>
        </w:rPr>
        <w:t>个工作日内向银行提出资金划付申请并将设备全额款项（含前述</w:t>
      </w:r>
      <w:r>
        <w:rPr>
          <w:sz w:val="21"/>
        </w:rPr>
        <w:t>30%</w:t>
      </w:r>
      <w:r>
        <w:rPr>
          <w:sz w:val="21"/>
        </w:rPr>
        <w:t>预付款在内的</w:t>
      </w:r>
      <w:r>
        <w:rPr>
          <w:sz w:val="21"/>
        </w:rPr>
        <w:t>100%</w:t>
      </w:r>
      <w:r>
        <w:rPr>
          <w:sz w:val="21"/>
        </w:rPr>
        <w:t>设备款项）划付至外贸代理公司的指定监管账户上。外贸代理公司再按本合同要求开出信用证。乙方、外贸代理公司监管账户中资金的收付及结算必须且仅可通过监管账户实现，非经甲方书面同意，该监管账户不得擅自变更。各方应严格按照《资金监管业务四方协议》约定履行。</w:t>
      </w:r>
    </w:p>
    <w:p>
      <w:pPr>
        <w:pStyle w:val="null3"/>
        <w:jc w:val="both"/>
      </w:pPr>
      <w:r>
        <w:rPr>
          <w:sz w:val="21"/>
        </w:rPr>
        <w:t>（</w:t>
      </w:r>
      <w:r>
        <w:rPr>
          <w:sz w:val="21"/>
        </w:rPr>
        <w:t>4</w:t>
      </w:r>
      <w:r>
        <w:rPr>
          <w:sz w:val="21"/>
        </w:rPr>
        <w:t>）外贸代理公司收到设备款及办理好相关免税手续（中华人民共和国海关进出口货物征免税确认通知书、中华人民共和国海关准予办理减免税货物税款担保通知书等）后</w:t>
      </w:r>
      <w:r>
        <w:rPr>
          <w:sz w:val="21"/>
        </w:rPr>
        <w:t>7</w:t>
      </w:r>
      <w:r>
        <w:rPr>
          <w:sz w:val="21"/>
        </w:rPr>
        <w:t>个工作日内，开具</w:t>
      </w:r>
      <w:r>
        <w:rPr>
          <w:sz w:val="21"/>
        </w:rPr>
        <w:t>100%L/C</w:t>
      </w:r>
      <w:r>
        <w:rPr>
          <w:sz w:val="21"/>
        </w:rPr>
        <w:t>见提单、乙方或其指定的境外公司或厂家（即与外贸代理公司签订外贸合同的合同相对方）所出具的正本发票及装箱单即付。</w:t>
      </w:r>
    </w:p>
    <w:p>
      <w:pPr>
        <w:pStyle w:val="null3"/>
        <w:jc w:val="both"/>
      </w:pPr>
      <w:r>
        <w:rPr>
          <w:sz w:val="21"/>
        </w:rPr>
        <w:t xml:space="preserve">3.3 </w:t>
      </w:r>
      <w:r>
        <w:rPr>
          <w:sz w:val="21"/>
        </w:rPr>
        <w:t>乙方不属于中小企业的，双方确认，按以下方式付款：</w:t>
      </w:r>
    </w:p>
    <w:p>
      <w:pPr>
        <w:pStyle w:val="null3"/>
        <w:jc w:val="both"/>
      </w:pPr>
      <w:r>
        <w:rPr>
          <w:sz w:val="21"/>
        </w:rPr>
        <w:t>（</w:t>
      </w:r>
      <w:r>
        <w:rPr>
          <w:sz w:val="21"/>
        </w:rPr>
        <w:t>1</w:t>
      </w:r>
      <w:r>
        <w:rPr>
          <w:sz w:val="21"/>
        </w:rPr>
        <w:t>）采取预付款资金监管模式，甲方合作银行为兴业银行广州分行、中信银行、中国农业银行广州白云支行，乙方需在该</w:t>
      </w:r>
      <w:r>
        <w:rPr>
          <w:sz w:val="21"/>
        </w:rPr>
        <w:t>3</w:t>
      </w:r>
      <w:r>
        <w:rPr>
          <w:sz w:val="21"/>
        </w:rPr>
        <w:t>家银行中自行选择资金监管服务银行。</w:t>
      </w:r>
    </w:p>
    <w:p>
      <w:pPr>
        <w:pStyle w:val="null3"/>
        <w:jc w:val="both"/>
      </w:pPr>
      <w:r>
        <w:rPr>
          <w:sz w:val="21"/>
        </w:rPr>
        <w:t>（</w:t>
      </w:r>
      <w:r>
        <w:rPr>
          <w:sz w:val="21"/>
        </w:rPr>
        <w:t>2</w:t>
      </w:r>
      <w:r>
        <w:rPr>
          <w:sz w:val="21"/>
        </w:rPr>
        <w:t>）甲方收到履约保证金后，甲方、乙方、银行、外贸代理公司四方应及时签订银行资金监管业务协议，乙方凭买卖双方盖章的设备采购合同及银行资金监管业务协议，</w:t>
      </w:r>
      <w:r>
        <w:rPr>
          <w:sz w:val="21"/>
        </w:rPr>
        <w:t>3</w:t>
      </w:r>
      <w:r>
        <w:rPr>
          <w:sz w:val="21"/>
        </w:rPr>
        <w:t>个工作日内开立银行监管账户。乙方监管账户开设完毕，经乙方或银行通知，甲方将设备全额款项打至该账户。甲方收到相关到账凭证，确认资金在账后，通知乙方进行资金划付工作，乙方收到通知后应在</w:t>
      </w:r>
      <w:r>
        <w:rPr>
          <w:sz w:val="21"/>
        </w:rPr>
        <w:t>5</w:t>
      </w:r>
      <w:r>
        <w:rPr>
          <w:sz w:val="21"/>
        </w:rPr>
        <w:t>个工作日内向银行提出资金划付申请并将设备全额款项划付至外贸代理公司的指定监管账户上。外贸代理公司再按本合同要求开出信用证。乙方、外贸代理公司监管账户中资金的收付及结算必须且仅可通过监管账户实现，非经甲方书面同意，该监管账户不得擅自变更。各方应严格按照《资金监管业务四方协议》约定履行。</w:t>
      </w:r>
    </w:p>
    <w:p>
      <w:pPr>
        <w:pStyle w:val="null3"/>
        <w:jc w:val="both"/>
      </w:pPr>
      <w:r>
        <w:rPr>
          <w:sz w:val="21"/>
        </w:rPr>
        <w:t>（</w:t>
      </w:r>
      <w:r>
        <w:rPr>
          <w:sz w:val="21"/>
        </w:rPr>
        <w:t>3</w:t>
      </w:r>
      <w:r>
        <w:rPr>
          <w:sz w:val="21"/>
        </w:rPr>
        <w:t>）外贸代理公司收到设备款及办理好相关免税手续（中华人民共和国海关进出口货物征免税确认通知书、中华人民共和国海关准予办理减免税货物税款担保通知书等）后</w:t>
      </w:r>
      <w:r>
        <w:rPr>
          <w:sz w:val="21"/>
        </w:rPr>
        <w:t>7</w:t>
      </w:r>
      <w:r>
        <w:rPr>
          <w:sz w:val="21"/>
        </w:rPr>
        <w:t>个工作日内，开具</w:t>
      </w:r>
      <w:r>
        <w:rPr>
          <w:sz w:val="21"/>
        </w:rPr>
        <w:t>100%L/C</w:t>
      </w:r>
      <w:r>
        <w:rPr>
          <w:sz w:val="21"/>
        </w:rPr>
        <w:t>见提单、乙方或其指定的境外公司或厂家（即与外贸代理公司签订外贸合同的合同相对方）所出具的正本发票及装箱单即付。</w:t>
      </w:r>
    </w:p>
    <w:p>
      <w:pPr>
        <w:pStyle w:val="null3"/>
        <w:jc w:val="both"/>
      </w:pPr>
      <w:r>
        <w:rPr>
          <w:sz w:val="21"/>
        </w:rPr>
        <w:t xml:space="preserve">3.4 </w:t>
      </w:r>
      <w:r>
        <w:rPr>
          <w:sz w:val="21"/>
        </w:rPr>
        <w:t>甲方按前述约定向监管账户汇出款项后，甲方付款义务即已全部完成，甲方无需再就本合同项下国外采购部分承担任何付款义务，乙方亦不得再以任何理由要求甲方就国外采购部分的付款义务承担任何责任（包括但不限于在外贸代理公司未履行其付款义务的情况下以委托代付关系为由要求甲方再次履行付款义务、以担保等为由要求甲方就外贸代理公司独立承担的付款义务承担连带责任或者补充责任等），亦即，后续付款由外贸代理公司按照其与乙方指定的境外公司或厂家签署的外贸合同独立承担，因外贸代理公司未按时足额支付合同货款产生的纠纷均与甲方无关，由乙方及其指定的境外公司或厂家与外贸代理公司根据外贸合同的约定自行解决。</w:t>
      </w:r>
    </w:p>
    <w:p>
      <w:pPr>
        <w:pStyle w:val="null3"/>
        <w:jc w:val="both"/>
      </w:pPr>
      <w:r>
        <w:rPr>
          <w:sz w:val="21"/>
        </w:rPr>
        <w:t xml:space="preserve">3.5 </w:t>
      </w:r>
      <w:r>
        <w:rPr>
          <w:sz w:val="21"/>
        </w:rPr>
        <w:t>双方一致确认：作为本合同项下设备的供货方，乙方应当严格履行供货方义务，且乙方在任何情况下均不得以任何理由（包括但不限于主张其作为供货方的义务已经全部或者部分转由外贸代理公司或者转由其指定的境外公司或厂家承担等理由）主张减轻或者免除其任何义务（包括但不限于供货义务、质量保证义务、售后服务义务等）。</w:t>
      </w:r>
    </w:p>
    <w:p>
      <w:pPr>
        <w:pStyle w:val="null3"/>
        <w:jc w:val="both"/>
      </w:pPr>
      <w:r>
        <w:rPr>
          <w:sz w:val="21"/>
        </w:rPr>
        <w:t xml:space="preserve">3.6 </w:t>
      </w:r>
      <w:r>
        <w:rPr>
          <w:sz w:val="21"/>
        </w:rPr>
        <w:t>双方一致确认：本合同项下所述之外贸合同应按照本合同约定的设备交易条件且基于顺利完成本合同项下的国外采购部分的目的进行签署，且应当明确外贸合同项下的货款由外贸代理公司以开具信用证的方式支付；乙方应当在完成外贸合同的签署后向甲方提供一份外贸合同副本以供甲方留档使用；甲方承担责任的范围仅以本合同的明文约定为限，乙方、外贸代理公司及乙方指定的境外公司或厂家不得再以任何形式为甲方创设任何超出本合同的其他义务或者代替甲方作出任何弃权行为（包括但不限于在外贸合同中增设甲方义务、另行签署补充协议或者其他协议增设甲方义务等），否则，该等义务及弃权行为均与甲方无关，且不对甲方产生任何约束效力【但甲方以加盖公章的方式签署追认的除外（特别说明：仅有甲方相关人员的签字但甲方未加盖公章的，不对甲方产生追认或者约束效力）】。</w:t>
      </w:r>
    </w:p>
    <w:p>
      <w:pPr>
        <w:pStyle w:val="null3"/>
        <w:jc w:val="both"/>
      </w:pPr>
      <w:r>
        <w:rPr>
          <w:sz w:val="21"/>
        </w:rPr>
        <w:t>4</w:t>
      </w:r>
      <w:r>
        <w:rPr>
          <w:sz w:val="21"/>
        </w:rPr>
        <w:t>、若本合同项下的款项支付按本合同的相关条款约定需向某一方支付的，各方一致确认如下银行账户即作为该等款项的指定收款账户：</w:t>
      </w:r>
    </w:p>
    <w:p>
      <w:pPr>
        <w:pStyle w:val="null3"/>
        <w:jc w:val="both"/>
      </w:pPr>
      <w:r>
        <w:rPr>
          <w:sz w:val="21"/>
        </w:rPr>
        <w:t>（</w:t>
      </w:r>
      <w:r>
        <w:rPr>
          <w:sz w:val="21"/>
        </w:rPr>
        <w:t>1</w:t>
      </w:r>
      <w:r>
        <w:rPr>
          <w:sz w:val="21"/>
        </w:rPr>
        <w:t>）甲方的银行账号信息：</w:t>
      </w:r>
    </w:p>
    <w:tbl>
      <w:tblPr>
        <w:tblW w:w="0" w:type="auto"/>
        <w:tblBorders>
          <w:top w:val="none" w:color="000000" w:sz="4"/>
          <w:left w:val="none" w:color="000000" w:sz="4"/>
          <w:bottom w:val="none" w:color="000000" w:sz="4"/>
          <w:right w:val="none" w:color="000000" w:sz="4"/>
          <w:insideH w:val="none"/>
          <w:insideV w:val="none"/>
        </w:tblBorders>
      </w:tblPr>
      <w:tblGrid>
        <w:gridCol w:w="1856"/>
        <w:gridCol w:w="6449"/>
      </w:tblGrid>
      <w:tr>
        <w:tc>
          <w:tcPr>
            <w:tcW w:type="dxa" w:w="1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南方医科大学</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r>
              <w:rPr>
                <w:sz w:val="21"/>
              </w:rPr>
              <w:t>三证合一</w:t>
            </w:r>
            <w:r>
              <w:rPr>
                <w:sz w:val="21"/>
              </w:rPr>
              <w:t>)</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12440000771868596D</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广东省广州市白云区沙太南路</w:t>
            </w:r>
            <w:r>
              <w:rPr>
                <w:sz w:val="21"/>
              </w:rPr>
              <w:t>1023</w:t>
            </w:r>
            <w:r>
              <w:rPr>
                <w:sz w:val="21"/>
              </w:rPr>
              <w:t>号</w:t>
            </w:r>
            <w:r>
              <w:rPr>
                <w:sz w:val="21"/>
              </w:rPr>
              <w:t>-1063</w:t>
            </w:r>
            <w:r>
              <w:rPr>
                <w:sz w:val="21"/>
              </w:rPr>
              <w:t>号</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中行同和支行</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632757745044</w:t>
            </w:r>
          </w:p>
        </w:tc>
      </w:tr>
    </w:tbl>
    <w:p>
      <w:pPr>
        <w:pStyle w:val="null3"/>
        <w:jc w:val="both"/>
      </w:pPr>
      <w:r>
        <w:rPr>
          <w:sz w:val="21"/>
        </w:rPr>
        <w:t>（</w:t>
      </w:r>
      <w:r>
        <w:rPr>
          <w:sz w:val="21"/>
        </w:rPr>
        <w:t>2</w:t>
      </w:r>
      <w:r>
        <w:rPr>
          <w:sz w:val="21"/>
        </w:rPr>
        <w:t>）乙方的银行账号信息（如采取银行资金监管模式，以银行监管协议中相关账户为准）：</w:t>
      </w:r>
    </w:p>
    <w:tbl>
      <w:tblPr>
        <w:tblW w:w="0" w:type="auto"/>
        <w:tblBorders>
          <w:top w:val="none" w:color="000000" w:sz="4"/>
          <w:left w:val="none" w:color="000000" w:sz="4"/>
          <w:bottom w:val="none" w:color="000000" w:sz="4"/>
          <w:right w:val="none" w:color="000000" w:sz="4"/>
          <w:insideH w:val="none"/>
          <w:insideV w:val="none"/>
        </w:tblBorders>
      </w:tblPr>
      <w:tblGrid>
        <w:gridCol w:w="1856"/>
        <w:gridCol w:w="6449"/>
      </w:tblGrid>
      <w:tr>
        <w:tc>
          <w:tcPr>
            <w:tcW w:type="dxa" w:w="1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r>
              <w:rPr>
                <w:sz w:val="21"/>
              </w:rPr>
              <w:t>三证合一</w:t>
            </w:r>
            <w:r>
              <w:rPr>
                <w:sz w:val="21"/>
              </w:rPr>
              <w:t>)</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五、售后服务条款：</w:t>
      </w:r>
    </w:p>
    <w:p>
      <w:pPr>
        <w:pStyle w:val="null3"/>
        <w:jc w:val="both"/>
      </w:pPr>
      <w:r>
        <w:rPr>
          <w:sz w:val="21"/>
        </w:rPr>
        <w:t>1</w:t>
      </w:r>
      <w:r>
        <w:rPr>
          <w:sz w:val="21"/>
        </w:rPr>
        <w:t>、乙方负责甲方使用人员的使用操作技术及维护技术的培训直至其能熟练、独立操作，具体培训内容和时间安排按甲方通知确定（但甲方应当为乙方预留合理的准备时间）。涉及软件类产品的，乙方还应当对甲方使用人员进行必要的现场培训，保证甲方使用人员能独立安装、升级软件和运行算例。</w:t>
      </w:r>
    </w:p>
    <w:p>
      <w:pPr>
        <w:pStyle w:val="null3"/>
        <w:jc w:val="both"/>
      </w:pPr>
      <w:r>
        <w:rPr>
          <w:sz w:val="21"/>
        </w:rPr>
        <w:t>2</w:t>
      </w:r>
      <w:r>
        <w:rPr>
          <w:sz w:val="21"/>
        </w:rPr>
        <w:t>、质保期期限：不少于二年（若按国家相关规定确定的质保期长于二年的，按较长者执行，招标文件优于质保期二年的按较长者执行）。质保期自设备验收合格之日起计算。</w:t>
      </w:r>
    </w:p>
    <w:p>
      <w:pPr>
        <w:pStyle w:val="null3"/>
        <w:jc w:val="both"/>
      </w:pPr>
      <w:r>
        <w:rPr>
          <w:sz w:val="21"/>
        </w:rPr>
        <w:t>3</w:t>
      </w:r>
      <w:r>
        <w:rPr>
          <w:sz w:val="21"/>
        </w:rPr>
        <w:t>、质保期内，乙方负责所有因设备质量问题而产生的费用，乙方应免费派出专业维修人员提供上门保修服务和系统维护，且乙方负责设备升级的服务工作并提供相关的信息技术和跟进服务。</w:t>
      </w:r>
    </w:p>
    <w:p>
      <w:pPr>
        <w:pStyle w:val="null3"/>
        <w:jc w:val="both"/>
      </w:pPr>
      <w:r>
        <w:rPr>
          <w:sz w:val="21"/>
        </w:rPr>
        <w:t>4</w:t>
      </w:r>
      <w:r>
        <w:rPr>
          <w:sz w:val="21"/>
        </w:rPr>
        <w:t>、质保期内，设备或零部件出现故障而造成短期停用时，则质保期相应顺延。如停用时间累计超过</w:t>
      </w:r>
      <w:r>
        <w:rPr>
          <w:sz w:val="21"/>
        </w:rPr>
        <w:t>60</w:t>
      </w:r>
      <w:r>
        <w:rPr>
          <w:sz w:val="21"/>
        </w:rPr>
        <w:t>天则质保期重新计算。</w:t>
      </w:r>
    </w:p>
    <w:p>
      <w:pPr>
        <w:pStyle w:val="null3"/>
        <w:jc w:val="both"/>
      </w:pPr>
      <w:r>
        <w:rPr>
          <w:sz w:val="21"/>
        </w:rPr>
        <w:t>5</w:t>
      </w:r>
      <w:r>
        <w:rPr>
          <w:sz w:val="21"/>
        </w:rPr>
        <w:t>、质保期内，设备如非甲方人为原因而出现的问题均由乙方负责包修、包换或包退，并由乙方自行承担修理、调换或退货的全部费用。如果设备同一硬件一个月内连续</w:t>
      </w:r>
      <w:r>
        <w:rPr>
          <w:sz w:val="21"/>
        </w:rPr>
        <w:t>2</w:t>
      </w:r>
      <w:r>
        <w:rPr>
          <w:sz w:val="21"/>
        </w:rPr>
        <w:t>次出现同一故障时，甲方有权要求乙方在限期内无偿更换同等设备或按合同约定价值作出赔偿（具体以甲方届时的单方决定为准）。</w:t>
      </w:r>
    </w:p>
    <w:p>
      <w:pPr>
        <w:pStyle w:val="null3"/>
        <w:jc w:val="both"/>
      </w:pPr>
      <w:r>
        <w:rPr>
          <w:sz w:val="21"/>
        </w:rPr>
        <w:t>6</w:t>
      </w:r>
      <w:r>
        <w:rPr>
          <w:sz w:val="21"/>
        </w:rPr>
        <w:t>、质保期内维修人员接到维修通知后到场时间：质保期内乙方接到甲方的维修通知后</w:t>
      </w:r>
      <w:r>
        <w:rPr>
          <w:sz w:val="21"/>
        </w:rPr>
        <w:t>24</w:t>
      </w:r>
      <w:r>
        <w:rPr>
          <w:sz w:val="21"/>
        </w:rPr>
        <w:t>小时内给予答复，并派出维修人员在三个工作日内到达用户现场完成维修。</w:t>
      </w:r>
    </w:p>
    <w:p>
      <w:pPr>
        <w:pStyle w:val="null3"/>
        <w:jc w:val="both"/>
      </w:pPr>
      <w:r>
        <w:rPr>
          <w:sz w:val="21"/>
        </w:rPr>
        <w:t>7</w:t>
      </w:r>
      <w:r>
        <w:rPr>
          <w:sz w:val="21"/>
        </w:rPr>
        <w:t>、质保期后的服务要求：质保期满后，乙方应继续提供终身维护服务，且乙方应仅按厂价收取所换的材料费，而不应收取任何维护费用。</w:t>
      </w:r>
    </w:p>
    <w:p>
      <w:pPr>
        <w:pStyle w:val="null3"/>
        <w:jc w:val="both"/>
      </w:pPr>
      <w:r>
        <w:rPr>
          <w:sz w:val="21"/>
        </w:rPr>
        <w:t>六、违约责任：</w:t>
      </w:r>
    </w:p>
    <w:p>
      <w:pPr>
        <w:pStyle w:val="null3"/>
        <w:jc w:val="both"/>
      </w:pPr>
      <w:r>
        <w:rPr>
          <w:sz w:val="21"/>
        </w:rPr>
        <w:t>1</w:t>
      </w:r>
      <w:r>
        <w:rPr>
          <w:sz w:val="21"/>
        </w:rPr>
        <w:t>、甲乙双方均应全面履行本合同，任何一方未能按照本合同的约定履行相应义务的，应当承担违约责任。违约方应当赔偿守约方因此遭受的损失，包括但不限于守约方的直接经济损失、间接经济损失、守约方为追究违约责任所发生的律师费、差旅费、交通费等。</w:t>
      </w:r>
    </w:p>
    <w:p>
      <w:pPr>
        <w:pStyle w:val="null3"/>
        <w:jc w:val="both"/>
      </w:pPr>
      <w:r>
        <w:rPr>
          <w:sz w:val="21"/>
        </w:rPr>
        <w:t>2</w:t>
      </w:r>
      <w:r>
        <w:rPr>
          <w:sz w:val="21"/>
        </w:rPr>
        <w:t>、乙方交付的货物不符合合同规定的，甲方有权拒收，且乙方应按合同总价的</w:t>
      </w:r>
      <w:r>
        <w:rPr>
          <w:sz w:val="21"/>
        </w:rPr>
        <w:t>20%</w:t>
      </w:r>
      <w:r>
        <w:rPr>
          <w:sz w:val="21"/>
        </w:rPr>
        <w:t>向甲方支付逾期交货违约金。如甲方同意乙方限期整改的，乙方除应缴纳前述逾期交货违约金外，还必须在甲方规定的期限内整改到位（包括但不限于退换货），且乙方应承担由此产生的退运、补税解除海关监管等全部费用；如甲方不同意乙方整改的，视为乙方严重违约，甲方有权单方面解除合同，届时乙方除应缴纳前述逾期交货违约金外，还应退还甲方已支付的所有款项，甲方若有其他损失的（包括但不限于甲方重新委托招标代理的费用等），乙方应当继续作出赔偿。</w:t>
      </w:r>
    </w:p>
    <w:p>
      <w:pPr>
        <w:pStyle w:val="null3"/>
        <w:jc w:val="both"/>
      </w:pPr>
      <w:r>
        <w:rPr>
          <w:sz w:val="21"/>
        </w:rPr>
        <w:t>3</w:t>
      </w:r>
      <w:r>
        <w:rPr>
          <w:sz w:val="21"/>
        </w:rPr>
        <w:t>、</w:t>
      </w:r>
      <w:r>
        <w:rPr>
          <w:sz w:val="21"/>
        </w:rPr>
        <w:t>甲方无正当理由拒收设备的，甲方应按拒收设备部分对应之采购价款金额的</w:t>
      </w:r>
      <w:r>
        <w:rPr>
          <w:sz w:val="21"/>
        </w:rPr>
        <w:t>5%</w:t>
      </w:r>
      <w:r>
        <w:rPr>
          <w:sz w:val="21"/>
        </w:rPr>
        <w:t>的标准向乙方支付违约金。</w:t>
      </w:r>
    </w:p>
    <w:p>
      <w:pPr>
        <w:pStyle w:val="null3"/>
        <w:jc w:val="both"/>
      </w:pPr>
      <w:r>
        <w:rPr>
          <w:sz w:val="21"/>
        </w:rPr>
        <w:t>4</w:t>
      </w:r>
      <w:r>
        <w:rPr>
          <w:sz w:val="21"/>
        </w:rPr>
        <w:t>、</w:t>
      </w:r>
      <w:r>
        <w:rPr>
          <w:sz w:val="21"/>
        </w:rPr>
        <w:t>甲方无正当理由逾期支付货款，且经乙方书面催告后仍未在合理期限内支付的，每逾期</w:t>
      </w:r>
      <w:r>
        <w:rPr>
          <w:sz w:val="21"/>
        </w:rPr>
        <w:t>1</w:t>
      </w:r>
      <w:r>
        <w:rPr>
          <w:sz w:val="21"/>
        </w:rPr>
        <w:t>天，甲方应向乙方赔付欠款总额的</w:t>
      </w:r>
      <w:r>
        <w:rPr>
          <w:sz w:val="21"/>
        </w:rPr>
        <w:t>3</w:t>
      </w:r>
      <w:r>
        <w:rPr>
          <w:sz w:val="21"/>
        </w:rPr>
        <w:t>‰的滞纳金，累计滞纳金总额不超过欠款金额的</w:t>
      </w:r>
      <w:r>
        <w:rPr>
          <w:sz w:val="21"/>
        </w:rPr>
        <w:t>5%</w:t>
      </w:r>
      <w:r>
        <w:rPr>
          <w:sz w:val="21"/>
        </w:rPr>
        <w:t>。由于财政拨款未到位等原因而导致甲方逾期付款的，甲方无需承担违约责任。且甲方逾期付款（如有）在任何情况下均不能成为乙方延期或者拒绝提供设备及服务的理由。</w:t>
      </w:r>
    </w:p>
    <w:p>
      <w:pPr>
        <w:pStyle w:val="null3"/>
        <w:jc w:val="both"/>
      </w:pPr>
      <w:r>
        <w:rPr>
          <w:sz w:val="21"/>
        </w:rPr>
        <w:t>5</w:t>
      </w:r>
      <w:r>
        <w:rPr>
          <w:sz w:val="21"/>
        </w:rPr>
        <w:t>、乙方逾期交付货物的，则应自逾期之日起每天按合同总价的</w:t>
      </w:r>
      <w:r>
        <w:rPr>
          <w:sz w:val="21"/>
        </w:rPr>
        <w:t>3</w:t>
      </w:r>
      <w:r>
        <w:rPr>
          <w:sz w:val="21"/>
        </w:rPr>
        <w:t>‰向甲方支付违约金。逾期交付超过</w:t>
      </w:r>
      <w:r>
        <w:rPr>
          <w:sz w:val="21"/>
        </w:rPr>
        <w:t>5</w:t>
      </w:r>
      <w:r>
        <w:rPr>
          <w:sz w:val="21"/>
        </w:rPr>
        <w:t>天，甲方有权终止合同并且不退还履约保证金，乙方除应向甲方退还已收取的全部合同款项外，亦应向甲方支付合同总价</w:t>
      </w:r>
      <w:r>
        <w:rPr>
          <w:sz w:val="21"/>
        </w:rPr>
        <w:t>20%</w:t>
      </w:r>
      <w:r>
        <w:rPr>
          <w:sz w:val="21"/>
        </w:rPr>
        <w:t>的违约金，违约金不足以弥补甲方损失的，乙方还应另行赔偿，且由此造成的费用和损失（包括但不限于甲方重新委托招标代理的费用等）均由乙方承担。</w:t>
      </w:r>
    </w:p>
    <w:p>
      <w:pPr>
        <w:pStyle w:val="null3"/>
        <w:jc w:val="both"/>
      </w:pPr>
      <w:r>
        <w:rPr>
          <w:sz w:val="21"/>
        </w:rPr>
        <w:t>6</w:t>
      </w:r>
      <w:r>
        <w:rPr>
          <w:sz w:val="21"/>
        </w:rPr>
        <w:t>、若乙方未按本合同的约定履行义务（包括但不限于售后服务义务等），甲方有权自行决定委托第三方替代履行相应义务，所发生的全部费用（包括但不限于维保费用、采购差价等）均由乙方承担，如因此造成甲方损失的，乙方应承担赔偿责任。</w:t>
      </w:r>
    </w:p>
    <w:p>
      <w:pPr>
        <w:pStyle w:val="null3"/>
        <w:jc w:val="both"/>
      </w:pPr>
      <w:r>
        <w:rPr>
          <w:sz w:val="21"/>
        </w:rPr>
        <w:t>7</w:t>
      </w:r>
      <w:r>
        <w:rPr>
          <w:sz w:val="21"/>
        </w:rPr>
        <w:t>、乙方有以下任一情形的，甲方有权解除合同且不退还履约保证金，届时乙方应退还甲方已支付的所有款项并同时应按合同总价</w:t>
      </w:r>
      <w:r>
        <w:rPr>
          <w:sz w:val="21"/>
        </w:rPr>
        <w:t>20%</w:t>
      </w:r>
      <w:r>
        <w:rPr>
          <w:sz w:val="21"/>
        </w:rPr>
        <w:t>的标准向甲方支付违约金，且乙方亦应赔偿甲方的一切损失（包括但不限于甲方重新委托招标代理的费用、律师费、差旅费、公证费、检测费、税费、财产保全担保费等）：</w:t>
      </w:r>
    </w:p>
    <w:p>
      <w:pPr>
        <w:pStyle w:val="null3"/>
        <w:jc w:val="both"/>
      </w:pPr>
      <w:r>
        <w:rPr>
          <w:sz w:val="21"/>
        </w:rPr>
        <w:t>（</w:t>
      </w:r>
      <w:r>
        <w:rPr>
          <w:sz w:val="21"/>
        </w:rPr>
        <w:t>1</w:t>
      </w:r>
      <w:r>
        <w:rPr>
          <w:sz w:val="21"/>
        </w:rPr>
        <w:t>）乙方违反预付款专款专用义务的【双方确认，本合同项下的预付款项仅能用于乙方采购、预定、生产本合同项下设备所用，甲方对该笔费用使用情况享有绝对知情权，乙方应主动及时向甲方告知本合同项下预付款使用的真实情况，并向甲方提供相关佐证依据；乙方违反前述预付款项用途或者乙方在收到甲方通知后未在甲方指定期限内向甲方提供本合同项下预付款使用情况的书面报告及相应凭证（包括但不限于银行转账凭证等）的，均构成对于本项义务的违反】；</w:t>
      </w:r>
    </w:p>
    <w:p>
      <w:pPr>
        <w:pStyle w:val="null3"/>
        <w:jc w:val="both"/>
      </w:pPr>
      <w:r>
        <w:rPr>
          <w:sz w:val="21"/>
        </w:rPr>
        <w:t>（</w:t>
      </w:r>
      <w:r>
        <w:rPr>
          <w:sz w:val="21"/>
        </w:rPr>
        <w:t>2</w:t>
      </w:r>
      <w:r>
        <w:rPr>
          <w:sz w:val="21"/>
        </w:rPr>
        <w:t>）乙方在收到本合同第四条第</w:t>
      </w:r>
      <w:r>
        <w:rPr>
          <w:sz w:val="21"/>
        </w:rPr>
        <w:t>3.2</w:t>
      </w:r>
      <w:r>
        <w:rPr>
          <w:sz w:val="21"/>
        </w:rPr>
        <w:t>款项下的</w:t>
      </w:r>
      <w:r>
        <w:rPr>
          <w:sz w:val="21"/>
        </w:rPr>
        <w:t>30%</w:t>
      </w:r>
      <w:r>
        <w:rPr>
          <w:sz w:val="21"/>
        </w:rPr>
        <w:t>预付款后，未按该款约定按时足额将该</w:t>
      </w:r>
      <w:r>
        <w:rPr>
          <w:sz w:val="21"/>
        </w:rPr>
        <w:t>30%</w:t>
      </w:r>
      <w:r>
        <w:rPr>
          <w:sz w:val="21"/>
        </w:rPr>
        <w:t>预付款支付至外贸代理公司的指定监管帐户的；</w:t>
      </w:r>
    </w:p>
    <w:p>
      <w:pPr>
        <w:pStyle w:val="null3"/>
        <w:jc w:val="both"/>
      </w:pPr>
      <w:r>
        <w:rPr>
          <w:sz w:val="21"/>
        </w:rPr>
        <w:t>（</w:t>
      </w:r>
      <w:r>
        <w:rPr>
          <w:sz w:val="21"/>
        </w:rPr>
        <w:t>3</w:t>
      </w:r>
      <w:r>
        <w:rPr>
          <w:sz w:val="21"/>
        </w:rPr>
        <w:t>）乙方交付的设备存在侵犯他人知识产权、所有权、肖像权、技术秘密、商业秘密或其他任何权益的；</w:t>
      </w:r>
    </w:p>
    <w:p>
      <w:pPr>
        <w:pStyle w:val="null3"/>
        <w:jc w:val="both"/>
      </w:pPr>
      <w:r>
        <w:rPr>
          <w:sz w:val="21"/>
        </w:rPr>
        <w:t>（</w:t>
      </w:r>
      <w:r>
        <w:rPr>
          <w:sz w:val="21"/>
        </w:rPr>
        <w:t>4</w:t>
      </w:r>
      <w:r>
        <w:rPr>
          <w:sz w:val="21"/>
        </w:rPr>
        <w:t>）乙方履行本合同项下义务（包括但不限于质量保证义务、售后服务义务等）不符合合同约定，经甲方催促后在合理期限内仍未整改到位的；</w:t>
      </w:r>
    </w:p>
    <w:p>
      <w:pPr>
        <w:pStyle w:val="null3"/>
        <w:jc w:val="both"/>
      </w:pPr>
      <w:r>
        <w:rPr>
          <w:sz w:val="21"/>
        </w:rPr>
        <w:t>（</w:t>
      </w:r>
      <w:r>
        <w:rPr>
          <w:sz w:val="21"/>
        </w:rPr>
        <w:t>5</w:t>
      </w:r>
      <w:r>
        <w:rPr>
          <w:sz w:val="21"/>
        </w:rPr>
        <w:t>）乙方提供的设备在验收通过之日起</w:t>
      </w:r>
      <w:r>
        <w:rPr>
          <w:sz w:val="21"/>
        </w:rPr>
        <w:t>6</w:t>
      </w:r>
      <w:r>
        <w:rPr>
          <w:sz w:val="21"/>
        </w:rPr>
        <w:t>个月内非甲方人为原因出现故障导致无法正常使用的；</w:t>
      </w:r>
    </w:p>
    <w:p>
      <w:pPr>
        <w:pStyle w:val="null3"/>
        <w:jc w:val="both"/>
      </w:pPr>
      <w:r>
        <w:rPr>
          <w:sz w:val="21"/>
        </w:rPr>
        <w:t>（</w:t>
      </w:r>
      <w:r>
        <w:rPr>
          <w:sz w:val="21"/>
        </w:rPr>
        <w:t>6</w:t>
      </w:r>
      <w:r>
        <w:rPr>
          <w:sz w:val="21"/>
        </w:rPr>
        <w:t>）设备在质保期内被证明有缺陷的（包括内在缺陷或使用不适当原材料等）或者设备在质保期内维修超过</w:t>
      </w:r>
      <w:r>
        <w:rPr>
          <w:sz w:val="21"/>
        </w:rPr>
        <w:t>3</w:t>
      </w:r>
      <w:r>
        <w:rPr>
          <w:sz w:val="21"/>
        </w:rPr>
        <w:t>次但仍达不到合同要求的；</w:t>
      </w:r>
    </w:p>
    <w:p>
      <w:pPr>
        <w:pStyle w:val="null3"/>
        <w:jc w:val="both"/>
      </w:pPr>
      <w:r>
        <w:rPr>
          <w:sz w:val="21"/>
        </w:rPr>
        <w:t>（</w:t>
      </w:r>
      <w:r>
        <w:rPr>
          <w:sz w:val="21"/>
        </w:rPr>
        <w:t>7</w:t>
      </w:r>
      <w:r>
        <w:rPr>
          <w:sz w:val="21"/>
        </w:rPr>
        <w:t>）未经甲方书面同意，乙方将本合同项下的权利或义务转让，或将本合同项下服务转包或分包的；</w:t>
      </w:r>
    </w:p>
    <w:p>
      <w:pPr>
        <w:pStyle w:val="null3"/>
        <w:jc w:val="both"/>
      </w:pPr>
      <w:r>
        <w:rPr>
          <w:sz w:val="21"/>
        </w:rPr>
        <w:t>（</w:t>
      </w:r>
      <w:r>
        <w:rPr>
          <w:sz w:val="21"/>
        </w:rPr>
        <w:t>8</w:t>
      </w:r>
      <w:r>
        <w:rPr>
          <w:sz w:val="21"/>
        </w:rPr>
        <w:t>）违反本合同约定的保密义务的；</w:t>
      </w:r>
    </w:p>
    <w:p>
      <w:pPr>
        <w:pStyle w:val="null3"/>
        <w:jc w:val="both"/>
      </w:pPr>
      <w:r>
        <w:rPr>
          <w:sz w:val="21"/>
        </w:rPr>
        <w:t>（</w:t>
      </w:r>
      <w:r>
        <w:rPr>
          <w:sz w:val="21"/>
        </w:rPr>
        <w:t>9</w:t>
      </w:r>
      <w:r>
        <w:rPr>
          <w:sz w:val="21"/>
        </w:rPr>
        <w:t>）国家法律法规规定的甲方因乙方违约而享有合同解除权的其他情形。</w:t>
      </w:r>
    </w:p>
    <w:p>
      <w:pPr>
        <w:pStyle w:val="null3"/>
        <w:jc w:val="both"/>
      </w:pPr>
      <w:r>
        <w:rPr>
          <w:sz w:val="21"/>
        </w:rPr>
        <w:t>8</w:t>
      </w:r>
      <w:r>
        <w:rPr>
          <w:sz w:val="21"/>
        </w:rPr>
        <w:t>、签订合同时，乙方提供的信息与投标文件不符或要求做出修改的，甲方有权要求乙方按照合同总价的</w:t>
      </w:r>
      <w:r>
        <w:rPr>
          <w:sz w:val="21"/>
        </w:rPr>
        <w:t>20%</w:t>
      </w:r>
      <w:r>
        <w:rPr>
          <w:sz w:val="21"/>
        </w:rPr>
        <w:t>支付违约金。</w:t>
      </w:r>
    </w:p>
    <w:p>
      <w:pPr>
        <w:pStyle w:val="null3"/>
        <w:jc w:val="both"/>
      </w:pPr>
      <w:r>
        <w:rPr>
          <w:sz w:val="21"/>
        </w:rPr>
        <w:t>9</w:t>
      </w:r>
      <w:r>
        <w:rPr>
          <w:sz w:val="21"/>
        </w:rPr>
        <w:t>、除上述违约责任外，本合同其他条款约定了其他违约责任的，按该等其他条款的约定执行。且，本合同未作出约定的违约责任情形，按中华人民共和国相关法律法规执行。</w:t>
      </w:r>
    </w:p>
    <w:p>
      <w:pPr>
        <w:pStyle w:val="null3"/>
        <w:jc w:val="both"/>
      </w:pPr>
      <w:r>
        <w:rPr>
          <w:sz w:val="21"/>
        </w:rPr>
        <w:t>10</w:t>
      </w:r>
      <w:r>
        <w:rPr>
          <w:sz w:val="21"/>
        </w:rPr>
        <w:t>、本合同中所涉甲方违约赔偿金及滞纳金费用，由经费负责人及其相关责任二级单位支出。</w:t>
      </w:r>
    </w:p>
    <w:p>
      <w:pPr>
        <w:pStyle w:val="null3"/>
        <w:jc w:val="both"/>
      </w:pPr>
      <w:r>
        <w:rPr>
          <w:sz w:val="21"/>
        </w:rPr>
        <w:t>七、风险承担</w:t>
      </w:r>
    </w:p>
    <w:p>
      <w:pPr>
        <w:pStyle w:val="null3"/>
        <w:jc w:val="both"/>
      </w:pPr>
      <w:r>
        <w:rPr>
          <w:sz w:val="21"/>
        </w:rPr>
        <w:t>1</w:t>
      </w:r>
      <w:r>
        <w:rPr>
          <w:sz w:val="21"/>
        </w:rPr>
        <w:t>、本合同项下货物（包括国内和国外采购设备）毁损、灭失的风险，在货物经甲方验收合格以前由乙方承担，在货物经甲方验收合格以后由甲方承担。</w:t>
      </w:r>
    </w:p>
    <w:p>
      <w:pPr>
        <w:pStyle w:val="null3"/>
        <w:jc w:val="both"/>
      </w:pPr>
      <w:r>
        <w:rPr>
          <w:sz w:val="21"/>
        </w:rPr>
        <w:t xml:space="preserve">   </w:t>
      </w:r>
      <w:r>
        <w:rPr>
          <w:sz w:val="21"/>
        </w:rPr>
        <w:t>2</w:t>
      </w:r>
      <w:r>
        <w:rPr>
          <w:sz w:val="21"/>
        </w:rPr>
        <w:t>、甲方因货物质量不符合约定的质量要求而拒绝接受货物、解除合同的，货物毁损、灭失的风险由始至终由乙方承担。</w:t>
      </w:r>
    </w:p>
    <w:p>
      <w:pPr>
        <w:pStyle w:val="null3"/>
        <w:jc w:val="both"/>
      </w:pPr>
      <w:r>
        <w:rPr>
          <w:sz w:val="21"/>
        </w:rPr>
        <w:t xml:space="preserve">   </w:t>
      </w:r>
      <w:r>
        <w:rPr>
          <w:sz w:val="21"/>
        </w:rPr>
        <w:t>3</w:t>
      </w:r>
      <w:r>
        <w:rPr>
          <w:sz w:val="21"/>
        </w:rPr>
        <w:t>、货物毁损、灭失的风险转移由甲方承担的，不影响甲方追究乙方违约责任的权利。</w:t>
      </w:r>
    </w:p>
    <w:p>
      <w:pPr>
        <w:pStyle w:val="null3"/>
        <w:jc w:val="both"/>
      </w:pPr>
      <w:r>
        <w:rPr>
          <w:sz w:val="21"/>
        </w:rPr>
        <w:t xml:space="preserve">   </w:t>
      </w:r>
      <w:r>
        <w:rPr>
          <w:sz w:val="21"/>
        </w:rPr>
        <w:t>4</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rPr>
        <w:t>八、通知与送达</w:t>
      </w:r>
    </w:p>
    <w:p>
      <w:pPr>
        <w:pStyle w:val="null3"/>
        <w:jc w:val="both"/>
      </w:pPr>
      <w:r>
        <w:rPr>
          <w:sz w:val="21"/>
        </w:rPr>
        <w:t>本合同载明的双方联系方式和地址适用于双方往来联系、书面文件送达及争议解决时法律文书送达。一方变更名称、联系方式、地址的，应当在变更后</w:t>
      </w:r>
      <w:r>
        <w:rPr>
          <w:sz w:val="21"/>
        </w:rPr>
        <w:t>3</w:t>
      </w:r>
      <w:r>
        <w:rPr>
          <w:sz w:val="21"/>
        </w:rPr>
        <w:t>个工作日内及时书面通知另一方。另一方实际收到变更通知前，按原地址和联系方式邮寄相关材料或通知相关信息即视为已履行送达义务。当面交付的，在交付之时视为送达；以邮寄方式交付的，寄出、发出或者投邮后即视为送达。</w:t>
      </w:r>
    </w:p>
    <w:p>
      <w:pPr>
        <w:pStyle w:val="null3"/>
        <w:jc w:val="both"/>
      </w:pPr>
      <w:r>
        <w:rPr>
          <w:sz w:val="21"/>
        </w:rPr>
        <w:t>九、其他</w:t>
      </w:r>
    </w:p>
    <w:p>
      <w:pPr>
        <w:pStyle w:val="null3"/>
        <w:jc w:val="both"/>
      </w:pPr>
      <w:r>
        <w:rPr>
          <w:sz w:val="21"/>
        </w:rPr>
        <w:t>1</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jc w:val="both"/>
      </w:pPr>
      <w:r>
        <w:rPr>
          <w:sz w:val="21"/>
        </w:rPr>
        <w:t>2</w:t>
      </w:r>
      <w:r>
        <w:rPr>
          <w:sz w:val="21"/>
        </w:rPr>
        <w:t>、因本合同而起或与本合同相关的一切争议，由双方协商或调解解决，协商或调解不成时，均应向合同签订地有管辖权的人民法院起诉。本合同的成立、有效性、解释、履行、签署、修订和终止以及争议的解决均应适用中华人民共和国法律（香港、澳门与台湾地区的法律除外）。在协商或诉讼期间，双方应继续执行合同不涉及争议部分的条款。</w:t>
      </w:r>
    </w:p>
    <w:p>
      <w:pPr>
        <w:pStyle w:val="null3"/>
        <w:jc w:val="both"/>
      </w:pPr>
      <w:r>
        <w:rPr>
          <w:sz w:val="21"/>
        </w:rPr>
        <w:t>3</w:t>
      </w:r>
      <w:r>
        <w:rPr>
          <w:sz w:val="21"/>
        </w:rPr>
        <w:t>、本合同一式陆份</w:t>
      </w:r>
      <w:r>
        <w:rPr>
          <w:sz w:val="21"/>
        </w:rPr>
        <w:t>(</w:t>
      </w:r>
      <w:r>
        <w:rPr>
          <w:sz w:val="21"/>
        </w:rPr>
        <w:t>甲方持四份、乙方持贰份</w:t>
      </w:r>
      <w:r>
        <w:rPr>
          <w:sz w:val="21"/>
        </w:rPr>
        <w:t>)</w:t>
      </w:r>
      <w:r>
        <w:rPr>
          <w:sz w:val="21"/>
        </w:rPr>
        <w:t>，均为正本，具有同等法律效力。未尽事宜或合同变更事项，双方友好协商并签订补充协议，补充协议与本合同有不一致的，以补充协议为准。</w:t>
      </w:r>
    </w:p>
    <w:p>
      <w:pPr>
        <w:pStyle w:val="null3"/>
        <w:jc w:val="both"/>
      </w:pPr>
      <w:r>
        <w:rPr>
          <w:sz w:val="21"/>
        </w:rPr>
        <w:t>4</w:t>
      </w:r>
      <w:r>
        <w:rPr>
          <w:sz w:val="21"/>
        </w:rPr>
        <w:t>、本合同签订地：广州市白云区沙太南路</w:t>
      </w:r>
      <w:r>
        <w:rPr>
          <w:sz w:val="21"/>
        </w:rPr>
        <w:t>1023-1063</w:t>
      </w:r>
      <w:r>
        <w:rPr>
          <w:sz w:val="21"/>
        </w:rPr>
        <w:t>号南方医科大学。</w:t>
      </w:r>
    </w:p>
    <w:p>
      <w:pPr>
        <w:pStyle w:val="null3"/>
        <w:jc w:val="both"/>
      </w:pPr>
      <w:r>
        <w:rPr>
          <w:sz w:val="21"/>
        </w:rPr>
        <w:t>5</w:t>
      </w:r>
      <w:r>
        <w:rPr>
          <w:sz w:val="21"/>
        </w:rPr>
        <w:t>、本合同自双方签字盖章之日起生效。</w:t>
      </w:r>
    </w:p>
    <w:p>
      <w:pPr>
        <w:pStyle w:val="null3"/>
        <w:jc w:val="both"/>
      </w:pPr>
      <w:r>
        <w:rPr>
          <w:sz w:val="21"/>
        </w:rPr>
        <w:t>6</w:t>
      </w:r>
      <w:r>
        <w:rPr>
          <w:sz w:val="21"/>
        </w:rPr>
        <w:t>、乙方保证安全、文明履行合同义务。乙方在履行合同过程中造成的人身、财产损害由乙方独立承担责任。</w:t>
      </w:r>
    </w:p>
    <w:p>
      <w:pPr>
        <w:pStyle w:val="null3"/>
        <w:jc w:val="both"/>
      </w:pPr>
      <w:r>
        <w:rPr>
          <w:sz w:val="21"/>
        </w:rPr>
        <w:t>7</w:t>
      </w:r>
      <w:r>
        <w:rPr>
          <w:sz w:val="21"/>
        </w:rPr>
        <w:t>、下列文件是本合同的组成部分，彼此相互解释，互为说明。当出现相互矛盾时，组成本合同文件的优先解释顺序如下：</w:t>
      </w:r>
    </w:p>
    <w:p>
      <w:pPr>
        <w:pStyle w:val="null3"/>
        <w:jc w:val="both"/>
      </w:pPr>
      <w:r>
        <w:rPr>
          <w:sz w:val="21"/>
        </w:rPr>
        <w:t xml:space="preserve">(1) </w:t>
      </w:r>
      <w:r>
        <w:rPr>
          <w:sz w:val="21"/>
        </w:rPr>
        <w:t>履行本合同的相关补充协议（含会议纪要）；</w:t>
      </w:r>
    </w:p>
    <w:p>
      <w:pPr>
        <w:pStyle w:val="null3"/>
        <w:jc w:val="both"/>
      </w:pPr>
      <w:r>
        <w:rPr>
          <w:sz w:val="21"/>
        </w:rPr>
        <w:t xml:space="preserve">(2) </w:t>
      </w:r>
      <w:r>
        <w:rPr>
          <w:sz w:val="21"/>
        </w:rPr>
        <w:t>本合同及其附件；</w:t>
      </w:r>
    </w:p>
    <w:p>
      <w:pPr>
        <w:pStyle w:val="null3"/>
        <w:jc w:val="both"/>
      </w:pPr>
      <w:r>
        <w:rPr>
          <w:sz w:val="21"/>
        </w:rPr>
        <w:t xml:space="preserve">(3) </w:t>
      </w:r>
      <w:r>
        <w:rPr>
          <w:sz w:val="21"/>
        </w:rPr>
        <w:t>中标通知书；</w:t>
      </w:r>
    </w:p>
    <w:p>
      <w:pPr>
        <w:pStyle w:val="null3"/>
        <w:jc w:val="both"/>
      </w:pPr>
      <w:r>
        <w:rPr>
          <w:sz w:val="21"/>
        </w:rPr>
        <w:t xml:space="preserve">(4) </w:t>
      </w:r>
      <w:r>
        <w:rPr>
          <w:sz w:val="21"/>
        </w:rPr>
        <w:t>乙方投标文件及其附件（含评标期间的澄清文件和补充资料）；</w:t>
      </w:r>
    </w:p>
    <w:p>
      <w:pPr>
        <w:pStyle w:val="null3"/>
        <w:jc w:val="both"/>
      </w:pPr>
      <w:r>
        <w:rPr>
          <w:sz w:val="21"/>
        </w:rPr>
        <w:t xml:space="preserve">(5) </w:t>
      </w:r>
      <w:r>
        <w:rPr>
          <w:sz w:val="21"/>
        </w:rPr>
        <w:t>招标文件。</w:t>
      </w:r>
    </w:p>
    <w:p>
      <w:pPr>
        <w:pStyle w:val="null3"/>
        <w:jc w:val="both"/>
      </w:pPr>
      <w:r>
        <w:rPr>
          <w:sz w:val="21"/>
        </w:rPr>
        <w:t>8</w:t>
      </w:r>
      <w:r>
        <w:rPr>
          <w:sz w:val="21"/>
        </w:rPr>
        <w:t>、附件：</w:t>
      </w:r>
    </w:p>
    <w:p>
      <w:pPr>
        <w:pStyle w:val="null3"/>
        <w:jc w:val="both"/>
      </w:pPr>
      <w:r>
        <w:rPr>
          <w:sz w:val="21"/>
        </w:rPr>
        <w:t xml:space="preserve">(1) </w:t>
      </w:r>
      <w:r>
        <w:rPr>
          <w:sz w:val="21"/>
        </w:rPr>
        <w:t>配置清单；</w:t>
      </w:r>
    </w:p>
    <w:p>
      <w:pPr>
        <w:pStyle w:val="null3"/>
        <w:jc w:val="both"/>
      </w:pPr>
      <w:r>
        <w:rPr>
          <w:sz w:val="21"/>
        </w:rPr>
        <w:t xml:space="preserve">(2) </w:t>
      </w:r>
      <w:r>
        <w:rPr>
          <w:sz w:val="21"/>
        </w:rPr>
        <w:t>技术参数。</w:t>
      </w:r>
    </w:p>
    <w:p>
      <w:pPr>
        <w:pStyle w:val="null3"/>
        <w:jc w:val="both"/>
      </w:pPr>
      <w:r>
        <w:rPr>
          <w:sz w:val="21"/>
        </w:rPr>
        <w:t>（以下无正文，为本合同的签署部分及附件）</w:t>
      </w:r>
    </w:p>
    <w:tbl>
      <w:tblPr>
        <w:tblW w:w="0" w:type="auto"/>
        <w:tblBorders>
          <w:top w:val="none" w:color="000000" w:sz="4"/>
          <w:left w:val="none" w:color="000000" w:sz="4"/>
          <w:bottom w:val="none" w:color="000000" w:sz="4"/>
          <w:right w:val="none" w:color="000000" w:sz="4"/>
          <w:insideH w:val="none"/>
          <w:insideV w:val="none"/>
        </w:tblBorders>
      </w:tblPr>
      <w:tblGrid>
        <w:gridCol w:w="3796"/>
        <w:gridCol w:w="4508"/>
      </w:tblGrid>
      <w:tr>
        <w:tc>
          <w:tcPr>
            <w:tcW w:type="dxa" w:w="3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甲方：南方医科大学</w:t>
            </w:r>
          </w:p>
        </w:tc>
        <w:tc>
          <w:tcPr>
            <w:tcW w:type="dxa" w:w="4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r>
              <w:rPr>
                <w:sz w:val="21"/>
              </w:rPr>
              <w:t>:</w:t>
            </w:r>
          </w:p>
        </w:tc>
      </w:tr>
      <w:tr>
        <w:tc>
          <w:tcPr>
            <w:tcW w:type="dxa" w:w="3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代表签字：</w:t>
            </w:r>
          </w:p>
        </w:tc>
        <w:tc>
          <w:tcPr>
            <w:tcW w:type="dxa" w:w="4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p>
            <w:pPr>
              <w:pStyle w:val="null3"/>
              <w:jc w:val="both"/>
            </w:pPr>
            <w:r>
              <w:rPr>
                <w:sz w:val="21"/>
              </w:rPr>
              <w:t>联系电话（手机及座机）：</w:t>
            </w:r>
          </w:p>
        </w:tc>
      </w:tr>
      <w:tr>
        <w:tc>
          <w:tcPr>
            <w:tcW w:type="dxa" w:w="3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代表签字：</w:t>
            </w:r>
          </w:p>
        </w:tc>
      </w:tr>
      <w:tr>
        <w:tc>
          <w:tcPr>
            <w:tcW w:type="dxa" w:w="3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签字日期：</w:t>
            </w:r>
          </w:p>
        </w:tc>
        <w:tc>
          <w:tcPr>
            <w:tcW w:type="dxa" w:w="4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签字日期：</w:t>
            </w:r>
          </w:p>
        </w:tc>
      </w:tr>
      <w:tr>
        <w:tc>
          <w:tcPr>
            <w:tcW w:type="dxa" w:w="3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通讯地址：</w:t>
            </w:r>
          </w:p>
        </w:tc>
        <w:tc>
          <w:tcPr>
            <w:tcW w:type="dxa" w:w="4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通讯地址：</w:t>
            </w:r>
          </w:p>
        </w:tc>
      </w:tr>
    </w:tbl>
    <w:p>
      <w:pPr>
        <w:pStyle w:val="null3"/>
        <w:jc w:val="both"/>
      </w:pPr>
      <w:r>
        <w:rPr>
          <w:sz w:val="21"/>
        </w:rPr>
        <w:t>附件</w:t>
      </w:r>
      <w:r>
        <w:rPr>
          <w:sz w:val="21"/>
        </w:rPr>
        <w:t>1</w:t>
      </w:r>
      <w:r>
        <w:rPr>
          <w:sz w:val="21"/>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pPr>
            <w:r>
              <w:rPr>
                <w:sz w:val="19"/>
              </w:rPr>
              <w:t>流水号</w:t>
            </w:r>
          </w:p>
        </w:tc>
        <w:tc>
          <w:tcPr>
            <w:tcW w:type="dxa" w:w="1384"/>
          </w:tcPr>
          <w:p>
            <w:pPr>
              <w:pStyle w:val="null3"/>
            </w:pPr>
            <w:r>
              <w:rPr>
                <w:sz w:val="19"/>
              </w:rPr>
              <w:t>设备名称</w:t>
            </w:r>
          </w:p>
        </w:tc>
        <w:tc>
          <w:tcPr>
            <w:tcW w:type="dxa" w:w="1384"/>
          </w:tcPr>
          <w:p>
            <w:pPr>
              <w:pStyle w:val="null3"/>
            </w:pPr>
            <w:r>
              <w:rPr>
                <w:sz w:val="19"/>
              </w:rPr>
              <w:t>型号规格</w:t>
            </w:r>
          </w:p>
        </w:tc>
        <w:tc>
          <w:tcPr>
            <w:tcW w:type="dxa" w:w="1384"/>
          </w:tcPr>
          <w:p>
            <w:pPr>
              <w:pStyle w:val="null3"/>
            </w:pPr>
            <w:r>
              <w:rPr>
                <w:sz w:val="19"/>
              </w:rPr>
              <w:t>数量</w:t>
            </w:r>
          </w:p>
        </w:tc>
        <w:tc>
          <w:tcPr>
            <w:tcW w:type="dxa" w:w="1384"/>
          </w:tcPr>
          <w:p>
            <w:pPr>
              <w:pStyle w:val="null3"/>
            </w:pPr>
            <w:r>
              <w:rPr>
                <w:sz w:val="19"/>
              </w:rPr>
              <w:t>配置清单</w:t>
            </w:r>
          </w:p>
          <w:p>
            <w:pPr>
              <w:pStyle w:val="null3"/>
            </w:pPr>
            <w:r>
              <w:rPr>
                <w:sz w:val="19"/>
              </w:rPr>
              <w:t>（列清配件型号、数量，是否是国内供货还是国外供货）</w:t>
            </w:r>
          </w:p>
        </w:tc>
        <w:tc>
          <w:tcPr>
            <w:tcW w:type="dxa" w:w="1384"/>
          </w:tcPr>
          <w:p>
            <w:pPr>
              <w:pStyle w:val="null3"/>
            </w:pPr>
            <w:r>
              <w:rPr>
                <w:sz w:val="19"/>
              </w:rPr>
              <w:t>用户确认</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bl>
    <w:p>
      <w:pPr>
        <w:pStyle w:val="null3"/>
        <w:jc w:val="both"/>
      </w:pPr>
      <w:r>
        <w:rPr>
          <w:sz w:val="21"/>
        </w:rPr>
        <w:t>附件</w:t>
      </w:r>
      <w:r>
        <w:rPr>
          <w:sz w:val="21"/>
        </w:rPr>
        <w:t>2</w:t>
      </w:r>
      <w:r>
        <w:rPr>
          <w:sz w:val="21"/>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流水号</w:t>
            </w:r>
          </w:p>
        </w:tc>
        <w:tc>
          <w:tcPr>
            <w:tcW w:type="dxa" w:w="2076"/>
          </w:tcPr>
          <w:p>
            <w:pPr>
              <w:pStyle w:val="null3"/>
            </w:pPr>
            <w:r>
              <w:rPr>
                <w:sz w:val="19"/>
              </w:rPr>
              <w:t>货物名称</w:t>
            </w:r>
          </w:p>
        </w:tc>
        <w:tc>
          <w:tcPr>
            <w:tcW w:type="dxa" w:w="2076"/>
          </w:tcPr>
          <w:p>
            <w:pPr>
              <w:pStyle w:val="null3"/>
            </w:pPr>
            <w:r>
              <w:rPr>
                <w:sz w:val="19"/>
              </w:rPr>
              <w:t>技术参数</w:t>
            </w:r>
          </w:p>
        </w:tc>
        <w:tc>
          <w:tcPr>
            <w:tcW w:type="dxa" w:w="2076"/>
          </w:tcPr>
          <w:p>
            <w:pPr>
              <w:pStyle w:val="null3"/>
            </w:pPr>
            <w:r>
              <w:rPr>
                <w:sz w:val="19"/>
              </w:rPr>
              <w:t>用户确认</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bl>
    <w:p>
      <w:pPr>
        <w:pStyle w:val="null3"/>
        <w:jc w:val="both"/>
      </w:pPr>
      <w:r>
        <w:rPr>
          <w:sz w:val="21"/>
        </w:rPr>
        <w:t>附件</w:t>
      </w:r>
      <w:r>
        <w:rPr>
          <w:sz w:val="21"/>
        </w:rPr>
        <w:t>3</w:t>
      </w:r>
      <w:r>
        <w:rPr>
          <w:sz w:val="21"/>
        </w:rPr>
        <w:t>：用户信息</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pPr>
            <w:r>
              <w:rPr>
                <w:sz w:val="19"/>
              </w:rPr>
              <w:t>流水号</w:t>
            </w:r>
          </w:p>
        </w:tc>
        <w:tc>
          <w:tcPr>
            <w:tcW w:type="dxa" w:w="1384"/>
          </w:tcPr>
          <w:p>
            <w:pPr>
              <w:pStyle w:val="null3"/>
            </w:pPr>
            <w:r>
              <w:rPr>
                <w:sz w:val="19"/>
              </w:rPr>
              <w:t>货物名称</w:t>
            </w:r>
          </w:p>
        </w:tc>
        <w:tc>
          <w:tcPr>
            <w:tcW w:type="dxa" w:w="1384"/>
          </w:tcPr>
          <w:p>
            <w:pPr>
              <w:pStyle w:val="null3"/>
            </w:pPr>
            <w:r>
              <w:rPr>
                <w:sz w:val="19"/>
              </w:rPr>
              <w:t>联系人</w:t>
            </w:r>
          </w:p>
        </w:tc>
        <w:tc>
          <w:tcPr>
            <w:tcW w:type="dxa" w:w="1384"/>
          </w:tcPr>
          <w:p>
            <w:pPr>
              <w:pStyle w:val="null3"/>
            </w:pPr>
            <w:r>
              <w:rPr>
                <w:sz w:val="19"/>
              </w:rPr>
              <w:t>单位</w:t>
            </w:r>
          </w:p>
        </w:tc>
        <w:tc>
          <w:tcPr>
            <w:tcW w:type="dxa" w:w="1384"/>
          </w:tcPr>
          <w:p>
            <w:pPr>
              <w:pStyle w:val="null3"/>
            </w:pPr>
            <w:r>
              <w:rPr>
                <w:sz w:val="19"/>
              </w:rPr>
              <w:t>放置地点</w:t>
            </w:r>
          </w:p>
        </w:tc>
        <w:tc>
          <w:tcPr>
            <w:tcW w:type="dxa" w:w="1384"/>
          </w:tcPr>
          <w:p>
            <w:pPr>
              <w:pStyle w:val="null3"/>
            </w:pPr>
            <w:r>
              <w:rPr>
                <w:sz w:val="19"/>
              </w:rPr>
              <w:t>联系方式</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bl>
    <w:p>
      <w:pPr>
        <w:pStyle w:val="null3"/>
        <w:jc w:val="both"/>
      </w:pPr>
      <w:r>
        <w:rPr>
          <w:sz w:val="21"/>
        </w:rPr>
        <w:t xml:space="preserve"> </w:t>
      </w:r>
    </w:p>
    <w:p>
      <w:pPr>
        <w:pStyle w:val="null3"/>
        <w:jc w:val="both"/>
      </w:pPr>
      <w:r>
        <w:rPr>
          <w:sz w:val="21"/>
        </w:rPr>
        <w:t xml:space="preserve"> </w:t>
      </w:r>
      <w:r>
        <w:rPr>
          <w:sz w:val="21"/>
        </w:rPr>
        <w:t>国内采购合同</w:t>
      </w:r>
    </w:p>
    <w:p>
      <w:pPr>
        <w:pStyle w:val="null3"/>
        <w:jc w:val="both"/>
      </w:pPr>
      <w:r>
        <w:rPr>
          <w:sz w:val="21"/>
        </w:rPr>
        <w:t>甲方：南方医科大学</w:t>
      </w:r>
    </w:p>
    <w:p>
      <w:pPr>
        <w:pStyle w:val="null3"/>
        <w:jc w:val="both"/>
      </w:pPr>
      <w:r>
        <w:rPr>
          <w:sz w:val="21"/>
        </w:rPr>
        <w:t>法定代表人：</w:t>
      </w:r>
    </w:p>
    <w:p>
      <w:pPr>
        <w:pStyle w:val="null3"/>
        <w:jc w:val="both"/>
      </w:pPr>
      <w:r>
        <w:rPr>
          <w:sz w:val="21"/>
        </w:rPr>
        <w:t>地址：</w:t>
      </w:r>
    </w:p>
    <w:p>
      <w:pPr>
        <w:pStyle w:val="null3"/>
        <w:jc w:val="both"/>
      </w:pPr>
      <w:r>
        <w:rPr>
          <w:sz w:val="21"/>
        </w:rPr>
        <w:t>指定联系人：</w:t>
      </w:r>
    </w:p>
    <w:p>
      <w:pPr>
        <w:pStyle w:val="null3"/>
        <w:jc w:val="both"/>
      </w:pPr>
      <w:r>
        <w:rPr>
          <w:sz w:val="21"/>
        </w:rPr>
        <w:t>联系电话：</w:t>
      </w:r>
    </w:p>
    <w:p>
      <w:pPr>
        <w:pStyle w:val="null3"/>
        <w:jc w:val="both"/>
      </w:pPr>
      <w:r>
        <w:rPr>
          <w:sz w:val="21"/>
        </w:rPr>
        <w:t>乙方：</w:t>
      </w:r>
    </w:p>
    <w:p>
      <w:pPr>
        <w:pStyle w:val="null3"/>
        <w:jc w:val="both"/>
      </w:pPr>
      <w:r>
        <w:rPr>
          <w:sz w:val="21"/>
        </w:rPr>
        <w:t>法定代表人：</w:t>
      </w:r>
    </w:p>
    <w:p>
      <w:pPr>
        <w:pStyle w:val="null3"/>
        <w:jc w:val="both"/>
      </w:pPr>
      <w:r>
        <w:rPr>
          <w:sz w:val="21"/>
        </w:rPr>
        <w:t>地址：</w:t>
      </w:r>
    </w:p>
    <w:p>
      <w:pPr>
        <w:pStyle w:val="null3"/>
        <w:jc w:val="both"/>
      </w:pPr>
      <w:r>
        <w:rPr>
          <w:sz w:val="21"/>
        </w:rPr>
        <w:t>指定联系人：</w:t>
      </w:r>
    </w:p>
    <w:p>
      <w:pPr>
        <w:pStyle w:val="null3"/>
        <w:jc w:val="both"/>
      </w:pPr>
      <w:r>
        <w:rPr>
          <w:sz w:val="21"/>
        </w:rPr>
        <w:t>联系电话：</w:t>
      </w:r>
    </w:p>
    <w:p>
      <w:pPr>
        <w:pStyle w:val="null3"/>
        <w:jc w:val="both"/>
      </w:pPr>
      <w:r>
        <w:rPr>
          <w:sz w:val="21"/>
        </w:rPr>
        <w:t xml:space="preserve">    </w:t>
      </w:r>
    </w:p>
    <w:p>
      <w:pPr>
        <w:pStyle w:val="null3"/>
        <w:jc w:val="both"/>
      </w:pPr>
      <w:r>
        <w:rPr>
          <w:sz w:val="21"/>
        </w:rPr>
        <w:t>根据《中华人民共和国政府采购法》、《中华人民共和国民法典》及</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u w:val="single"/>
        </w:rPr>
        <w:t xml:space="preserve">          </w:t>
      </w:r>
      <w:r>
        <w:rPr>
          <w:sz w:val="21"/>
        </w:rPr>
        <w:t>采购结果，经双方协商一致，签订本合同，由双方共同恪守。招标项目的投标文件、招标文件均为本合同的有效组成部分，与本合同具有同等法律效力。</w:t>
      </w:r>
    </w:p>
    <w:p>
      <w:pPr>
        <w:pStyle w:val="null3"/>
        <w:jc w:val="both"/>
      </w:pPr>
      <w:r>
        <w:rPr>
          <w:sz w:val="21"/>
        </w:rPr>
        <w:t>一、货物名称及规格型号、数量、价格等（详细参数及配置见附件）。</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156"/>
        <w:gridCol w:w="1068"/>
        <w:gridCol w:w="827"/>
        <w:gridCol w:w="852"/>
        <w:gridCol w:w="568"/>
        <w:gridCol w:w="949"/>
        <w:gridCol w:w="1306"/>
        <w:gridCol w:w="1575"/>
      </w:tblGrid>
      <w:tr>
        <w:tc>
          <w:tcPr>
            <w:tcW w:type="dxa" w:w="11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流水号</w:t>
            </w:r>
          </w:p>
        </w:tc>
        <w:tc>
          <w:tcPr>
            <w:tcW w:type="dxa" w:w="106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设备名称</w:t>
            </w:r>
          </w:p>
          <w:p>
            <w:pPr>
              <w:pStyle w:val="null3"/>
              <w:jc w:val="both"/>
            </w:pPr>
            <w:r>
              <w:rPr>
                <w:sz w:val="21"/>
              </w:rPr>
              <w:t>（彩页名称）</w:t>
            </w:r>
          </w:p>
        </w:tc>
        <w:tc>
          <w:tcPr>
            <w:tcW w:type="dxa" w:w="82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型号规格</w:t>
            </w:r>
          </w:p>
        </w:tc>
        <w:tc>
          <w:tcPr>
            <w:tcW w:type="dxa" w:w="85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厂家</w:t>
            </w:r>
            <w:r>
              <w:rPr>
                <w:sz w:val="21"/>
              </w:rPr>
              <w:t>/</w:t>
            </w:r>
            <w:r>
              <w:rPr>
                <w:sz w:val="21"/>
              </w:rPr>
              <w:t>产地</w:t>
            </w:r>
          </w:p>
        </w:tc>
        <w:tc>
          <w:tcPr>
            <w:tcW w:type="dxa" w:w="56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数量</w:t>
            </w:r>
          </w:p>
        </w:tc>
        <w:tc>
          <w:tcPr>
            <w:tcW w:type="dxa" w:w="94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单价</w:t>
            </w:r>
          </w:p>
        </w:tc>
        <w:tc>
          <w:tcPr>
            <w:tcW w:type="dxa" w:w="130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总价</w:t>
            </w:r>
          </w:p>
        </w:tc>
        <w:tc>
          <w:tcPr>
            <w:tcW w:type="dxa" w:w="157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用户确认</w:t>
            </w:r>
          </w:p>
        </w:tc>
      </w:tr>
      <w:tr>
        <w:tc>
          <w:tcPr>
            <w:tcW w:type="dxa" w:w="11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pPr>
            <w:r>
              <w:rPr>
                <w:sz w:val="21"/>
              </w:rPr>
              <w:t>…</w:t>
            </w:r>
          </w:p>
          <w:p>
            <w:pPr>
              <w:pStyle w:val="null3"/>
              <w:jc w:val="both"/>
            </w:pPr>
          </w:p>
        </w:tc>
        <w:tc>
          <w:tcPr>
            <w:tcW w:type="dxa" w:w="106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27"/>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5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56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4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0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57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11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合计</w:t>
            </w:r>
          </w:p>
        </w:tc>
        <w:tc>
          <w:tcPr>
            <w:tcW w:type="dxa" w:w="7145"/>
            <w:gridSpan w:val="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rPr>
              <w:t>人民币大写：</w:t>
            </w:r>
            <w:r>
              <w:rPr>
                <w:sz w:val="21"/>
              </w:rPr>
              <w:t xml:space="preserve">    </w:t>
            </w:r>
            <w:r>
              <w:rPr>
                <w:sz w:val="21"/>
              </w:rPr>
              <w:t>元整</w:t>
            </w:r>
            <w:r>
              <w:rPr>
                <w:sz w:val="21"/>
              </w:rPr>
              <w:t xml:space="preserve">  </w:t>
            </w:r>
            <w:r>
              <w:rPr>
                <w:sz w:val="21"/>
              </w:rPr>
              <w:t>（￥</w:t>
            </w:r>
            <w:r>
              <w:rPr>
                <w:sz w:val="21"/>
              </w:rPr>
              <w:t xml:space="preserve">    </w:t>
            </w:r>
            <w:r>
              <w:rPr>
                <w:sz w:val="21"/>
              </w:rPr>
              <w:t>）</w:t>
            </w:r>
          </w:p>
        </w:tc>
      </w:tr>
    </w:tbl>
    <w:p>
      <w:pPr>
        <w:pStyle w:val="null3"/>
        <w:jc w:val="both"/>
      </w:pPr>
      <w:r>
        <w:rPr>
          <w:sz w:val="21"/>
        </w:rPr>
        <w:t>1</w:t>
      </w:r>
      <w:r>
        <w:rPr>
          <w:sz w:val="21"/>
        </w:rPr>
        <w:t>、本合同约定的货物单价已包含购买货物及售后服务所发生的所有费用，包括但不限于运输费、保险费、装卸费、配套资料费、安装调试费用、培训费用、税费、技术服务以及售后服务费用等。货物单价在本合同履行过程中保持不变，经甲乙双方协商一致以书面形式予以变更的除外。除本合同明确约定的费用外，甲方无需支付任何额外费用和承担任何额外义务。在实际合同履行过程中，如果乙方履行合同义务不符合约定，对应违约金及赔偿款可由甲方直接从应付合同价款中扣除。</w:t>
      </w:r>
    </w:p>
    <w:p>
      <w:pPr>
        <w:pStyle w:val="null3"/>
        <w:jc w:val="both"/>
      </w:pPr>
      <w:r>
        <w:rPr>
          <w:sz w:val="21"/>
        </w:rPr>
        <w:t>2</w:t>
      </w:r>
      <w:r>
        <w:rPr>
          <w:sz w:val="21"/>
        </w:rPr>
        <w:t>、乙方应于本合同签订后</w:t>
      </w:r>
      <w:r>
        <w:rPr>
          <w:sz w:val="21"/>
        </w:rPr>
        <w:t>3</w:t>
      </w:r>
      <w:r>
        <w:rPr>
          <w:sz w:val="21"/>
        </w:rPr>
        <w:t>天内在甲方系统注册，并根据交易进度在系统内完成相关流程的操作（合同线上签订、发货情况填写等），并不断填写、完善各流程执行情况且上传至系统内。</w:t>
      </w:r>
    </w:p>
    <w:p>
      <w:pPr>
        <w:pStyle w:val="null3"/>
        <w:jc w:val="both"/>
      </w:pPr>
      <w:r>
        <w:rPr>
          <w:sz w:val="21"/>
        </w:rPr>
        <w:t>二、货物质量要求</w:t>
      </w:r>
    </w:p>
    <w:p>
      <w:pPr>
        <w:pStyle w:val="null3"/>
        <w:jc w:val="both"/>
      </w:pPr>
      <w:r>
        <w:rPr>
          <w:sz w:val="21"/>
        </w:rPr>
        <w:t>1</w:t>
      </w:r>
      <w:r>
        <w:rPr>
          <w:sz w:val="21"/>
        </w:rPr>
        <w:t>、乙方应保证所供货物符合甲方的采购要求，且必须符合中华人民共和国国家标准、行业标准、地方标准、设备生产商的产品质量标准、有关部门制定的相关技术规范、符合产品说明书标明的质量状况和使用性能、国家规定的安全和环保要求（该等标准不一致的，以较高者为准），并应保持货物品质的稳定性和安全性。</w:t>
      </w:r>
    </w:p>
    <w:p>
      <w:pPr>
        <w:pStyle w:val="null3"/>
        <w:jc w:val="both"/>
      </w:pPr>
      <w:r>
        <w:rPr>
          <w:sz w:val="21"/>
        </w:rPr>
        <w:t>2</w:t>
      </w:r>
      <w:r>
        <w:rPr>
          <w:sz w:val="21"/>
        </w:rPr>
        <w:t>、乙方提供的货物必须为原厂原装全新正版产品（含零部件、配件、随机工具等），包装外观完好、表面无划伤无破损、配件齐全，整机无污染、无任何缺陷隐患，序列号、包装箱号与出厂批号一致，并可追索查阅，且必须具备出厂合格证、产品质量检验合格证书和合法的进货渠道，乙方应保证所有设备在中华人民共和国境内可被安全且合法地使用。</w:t>
      </w:r>
    </w:p>
    <w:p>
      <w:pPr>
        <w:pStyle w:val="null3"/>
        <w:jc w:val="both"/>
      </w:pPr>
      <w:r>
        <w:rPr>
          <w:sz w:val="21"/>
        </w:rPr>
        <w:t>3</w:t>
      </w:r>
      <w:r>
        <w:rPr>
          <w:sz w:val="21"/>
        </w:rPr>
        <w:t>、乙方提供的货物因质量、安全、技术或权属等问题给甲方或第三方造成人身或财产损害的，乙方应承担一切责任；如甲方因此遭受任何第三方指控的，甲方有权就所遭受的损失（包括但不限于律师费、诉讼费、财产保全担保费等维权成本费用）向乙方追偿。</w:t>
      </w:r>
    </w:p>
    <w:p>
      <w:pPr>
        <w:pStyle w:val="null3"/>
        <w:jc w:val="both"/>
      </w:pPr>
      <w:r>
        <w:rPr>
          <w:sz w:val="21"/>
        </w:rPr>
        <w:t>三、货物交付及验收</w:t>
      </w:r>
    </w:p>
    <w:p>
      <w:pPr>
        <w:pStyle w:val="null3"/>
        <w:jc w:val="both"/>
      </w:pPr>
      <w:r>
        <w:rPr>
          <w:sz w:val="21"/>
        </w:rPr>
        <w:t>1</w:t>
      </w:r>
      <w:r>
        <w:rPr>
          <w:sz w:val="21"/>
        </w:rPr>
        <w:t>、交货地点：甲方指定地点。</w:t>
      </w:r>
    </w:p>
    <w:p>
      <w:pPr>
        <w:pStyle w:val="null3"/>
        <w:jc w:val="both"/>
      </w:pPr>
      <w:r>
        <w:rPr>
          <w:sz w:val="21"/>
        </w:rPr>
        <w:t>交货日期：</w:t>
      </w:r>
      <w:r>
        <w:rPr>
          <w:sz w:val="21"/>
          <w:u w:val="single"/>
        </w:rPr>
        <w:t xml:space="preserve">                            </w:t>
      </w:r>
      <w:r>
        <w:rPr>
          <w:sz w:val="21"/>
        </w:rPr>
        <w:t xml:space="preserve">                    </w:t>
      </w:r>
    </w:p>
    <w:p>
      <w:pPr>
        <w:pStyle w:val="null3"/>
        <w:jc w:val="both"/>
      </w:pPr>
      <w:r>
        <w:rPr>
          <w:sz w:val="21"/>
        </w:rPr>
        <w:t>2</w:t>
      </w:r>
      <w:r>
        <w:rPr>
          <w:sz w:val="21"/>
        </w:rPr>
        <w:t>、乙方应在交货时同时向甲方提供与本合同项下货物相符且完整的技术资料，技术资料必须以简体中文书写。</w:t>
      </w:r>
    </w:p>
    <w:p>
      <w:pPr>
        <w:pStyle w:val="null3"/>
        <w:jc w:val="both"/>
      </w:pPr>
      <w:r>
        <w:rPr>
          <w:sz w:val="21"/>
        </w:rPr>
        <w:t>3</w:t>
      </w:r>
      <w:r>
        <w:rPr>
          <w:sz w:val="21"/>
        </w:rPr>
        <w:t>、乙方应保证货物的包装符合运输的要求，符合相关包装储运指示标志的规定，按照最新国家标准及相关规定进行包装，应满足长途运输、能承受水平受力、垂直受力、多次搬运、装卸、防潮、防震、防碎等包装要求。同时，乙方应按照合同货物的特点，按需要分别加上防冲撞、防霉、防锈、防腐蚀、防冻等相应保护措施，以确保货物在没有任何损坏和腐蚀的情况下安全完好地运抵交付地点。</w:t>
      </w:r>
    </w:p>
    <w:p>
      <w:pPr>
        <w:pStyle w:val="null3"/>
        <w:jc w:val="both"/>
      </w:pPr>
      <w:r>
        <w:rPr>
          <w:sz w:val="21"/>
        </w:rPr>
        <w:t>4</w:t>
      </w:r>
      <w:r>
        <w:rPr>
          <w:sz w:val="21"/>
        </w:rPr>
        <w:t>、乙方负责将货物运输至约定的交货地点并交付甲方（应有甲方人员在场，其中单价</w:t>
      </w:r>
      <w:r>
        <w:rPr>
          <w:sz w:val="21"/>
        </w:rPr>
        <w:t>30</w:t>
      </w:r>
      <w:r>
        <w:rPr>
          <w:sz w:val="21"/>
        </w:rPr>
        <w:t>万元及以上设备，应提前联系甲方工作人员，电话：</w:t>
      </w:r>
      <w:r>
        <w:rPr>
          <w:sz w:val="21"/>
        </w:rPr>
        <w:t>020-61647405</w:t>
      </w:r>
      <w:r>
        <w:rPr>
          <w:sz w:val="21"/>
        </w:rPr>
        <w:t>），并承担因运输货物所发生的一切费用，包括但不限于运输费、保险费、装卸费等，如设备外包装存在二次封箱现象，乙方无法提供相关证明，甲方有权视实际情况提出退、换货要求，乙方应在甲方指定期限内完成退、换货；设备及其配件有破损或污渍，甲方亦有权视实际情况提出退、换货要求，乙方应在甲方指定期限内完成退、换货。因退、换货产生的一切费用（包括但不限于运输费、保险费、装卸费等）均由乙方自行承担。</w:t>
      </w:r>
    </w:p>
    <w:p>
      <w:pPr>
        <w:pStyle w:val="null3"/>
        <w:jc w:val="both"/>
      </w:pPr>
      <w:r>
        <w:rPr>
          <w:sz w:val="21"/>
        </w:rPr>
        <w:t>5</w:t>
      </w:r>
      <w:r>
        <w:rPr>
          <w:sz w:val="21"/>
        </w:rPr>
        <w:t>、乙方应委派技术人员进行现场安装、调试，并提供货物安装调试的一切技术支持。安装调试的具体时间由甲方提前</w:t>
      </w:r>
      <w:r>
        <w:rPr>
          <w:sz w:val="21"/>
        </w:rPr>
        <w:t>3</w:t>
      </w:r>
      <w:r>
        <w:rPr>
          <w:sz w:val="21"/>
        </w:rPr>
        <w:t>天通知乙方。</w:t>
      </w:r>
    </w:p>
    <w:p>
      <w:pPr>
        <w:pStyle w:val="null3"/>
        <w:jc w:val="both"/>
      </w:pPr>
      <w:r>
        <w:rPr>
          <w:sz w:val="21"/>
        </w:rPr>
        <w:t>6</w:t>
      </w:r>
      <w:r>
        <w:rPr>
          <w:sz w:val="21"/>
        </w:rPr>
        <w:t>、乙方完成货物的安装调试和人员的技术培训，且甲方确认设备正常运转后，</w:t>
      </w:r>
      <w:r>
        <w:rPr>
          <w:sz w:val="21"/>
        </w:rPr>
        <w:t>3</w:t>
      </w:r>
      <w:r>
        <w:rPr>
          <w:sz w:val="21"/>
        </w:rPr>
        <w:t>个月内双方完成验收。验收内容包括但不限于：（</w:t>
      </w:r>
      <w:r>
        <w:rPr>
          <w:sz w:val="21"/>
        </w:rPr>
        <w:t>1</w:t>
      </w:r>
      <w:r>
        <w:rPr>
          <w:sz w:val="21"/>
        </w:rPr>
        <w:t>）规格型号、数量及外观；（</w:t>
      </w:r>
      <w:r>
        <w:rPr>
          <w:sz w:val="21"/>
        </w:rPr>
        <w:t>2</w:t>
      </w:r>
      <w:r>
        <w:rPr>
          <w:sz w:val="21"/>
        </w:rPr>
        <w:t>）货物所附技术资料；（</w:t>
      </w:r>
      <w:r>
        <w:rPr>
          <w:sz w:val="21"/>
        </w:rPr>
        <w:t>3</w:t>
      </w:r>
      <w:r>
        <w:rPr>
          <w:sz w:val="21"/>
        </w:rPr>
        <w:t>）货物组件及配置；（</w:t>
      </w:r>
      <w:r>
        <w:rPr>
          <w:sz w:val="21"/>
        </w:rPr>
        <w:t>4</w:t>
      </w:r>
      <w:r>
        <w:rPr>
          <w:sz w:val="21"/>
        </w:rPr>
        <w:t>）货物功能、性能及各项技术参数指标；（</w:t>
      </w:r>
      <w:r>
        <w:rPr>
          <w:sz w:val="21"/>
        </w:rPr>
        <w:t>5</w:t>
      </w:r>
      <w:r>
        <w:rPr>
          <w:sz w:val="21"/>
        </w:rPr>
        <w:t>）品牌；（</w:t>
      </w:r>
      <w:r>
        <w:rPr>
          <w:sz w:val="21"/>
        </w:rPr>
        <w:t>6</w:t>
      </w:r>
      <w:r>
        <w:rPr>
          <w:sz w:val="21"/>
        </w:rPr>
        <w:t>）设备标识的名称、产地、生产日期（生产日期与到货日期之间的时间间隔最长不得超过两年）； （</w:t>
      </w:r>
      <w:r>
        <w:rPr>
          <w:sz w:val="21"/>
        </w:rPr>
        <w:t>7</w:t>
      </w:r>
      <w:r>
        <w:rPr>
          <w:sz w:val="21"/>
        </w:rPr>
        <w:t>）是否已缴纳履约保证金；（</w:t>
      </w:r>
      <w:r>
        <w:rPr>
          <w:sz w:val="21"/>
        </w:rPr>
        <w:t>8</w:t>
      </w:r>
      <w:r>
        <w:rPr>
          <w:sz w:val="21"/>
        </w:rPr>
        <w:t>）其他需验收的事项。</w:t>
      </w:r>
    </w:p>
    <w:p>
      <w:pPr>
        <w:pStyle w:val="null3"/>
        <w:jc w:val="both"/>
      </w:pPr>
      <w:r>
        <w:rPr>
          <w:sz w:val="21"/>
        </w:rPr>
        <w:t>7</w:t>
      </w:r>
      <w:r>
        <w:rPr>
          <w:sz w:val="21"/>
        </w:rPr>
        <w:t>、验收标准：按本合同约定的设备及价格、质量要求、详细配置清单及技术指标、符合采购文件和响应承诺中甲方认可的合理最佳配置、参数及各项要求、国家相关标准和行业规范进行验收（该等标准不一致的，以较高者为准）。验收时如发现所交付的设备有短装、次品、损坏或其它不符合本合同规定之情形者，甲方应做出详尽的现场记录，并由甲乙双方共同签署甲方制式开箱报告。此开箱报告可用作补充、缺失和更换损坏部件的有效证据。由此产生的有关费用由乙方承担。乙方未按要求缴纳保证金的，甲方有权不履行后续验收流程。</w:t>
      </w:r>
    </w:p>
    <w:p>
      <w:pPr>
        <w:pStyle w:val="null3"/>
        <w:jc w:val="both"/>
      </w:pPr>
      <w:r>
        <w:rPr>
          <w:sz w:val="21"/>
        </w:rPr>
        <w:t>8</w:t>
      </w:r>
      <w:r>
        <w:rPr>
          <w:sz w:val="21"/>
        </w:rPr>
        <w:t xml:space="preserve">、甲方所购货物全部通过验收的，必须经甲方确认并出具验收合格证明后，方可视为验收合格。验收合格文件的签署不使甲方丧失因质量问题而向乙方索赔和求偿的权利，同时亦不免除乙方对于货物质量缺陷或瑕疵负有的相应责任。  </w:t>
      </w:r>
    </w:p>
    <w:p>
      <w:pPr>
        <w:pStyle w:val="null3"/>
        <w:jc w:val="both"/>
      </w:pPr>
      <w:r>
        <w:rPr>
          <w:sz w:val="21"/>
        </w:rPr>
        <w:t>9</w:t>
      </w:r>
      <w:r>
        <w:rPr>
          <w:sz w:val="21"/>
        </w:rPr>
        <w:t>、甲方在验收中如发现货物不符合合同的约定，有权拒绝接受货物，并签发拒绝收货通知书。乙方应于本合同约定的交货期限内重新提供符合合同约定的货物，否则，视为乙方逾期交货。</w:t>
      </w:r>
    </w:p>
    <w:p>
      <w:pPr>
        <w:pStyle w:val="null3"/>
        <w:jc w:val="both"/>
      </w:pPr>
      <w:r>
        <w:rPr>
          <w:sz w:val="21"/>
        </w:rPr>
        <w:t>10</w:t>
      </w:r>
      <w:r>
        <w:rPr>
          <w:sz w:val="21"/>
        </w:rPr>
        <w:t>、如乙方对验收结果有异议，可以委托甲方所在地商检部门进行复检。商检部门的检验结果表明货物不符合合同约定的，因复检发生的费用由乙方承担；检验结果表明货物符合合同约定的，因复检发生的费用由甲方承担。</w:t>
      </w:r>
    </w:p>
    <w:p>
      <w:pPr>
        <w:pStyle w:val="null3"/>
        <w:jc w:val="both"/>
      </w:pPr>
      <w:r>
        <w:rPr>
          <w:sz w:val="21"/>
        </w:rPr>
        <w:t>四、付款安排</w:t>
      </w:r>
    </w:p>
    <w:p>
      <w:pPr>
        <w:pStyle w:val="null3"/>
        <w:jc w:val="both"/>
      </w:pPr>
      <w:r>
        <w:rPr>
          <w:sz w:val="21"/>
        </w:rPr>
        <w:t>1</w:t>
      </w:r>
      <w:r>
        <w:rPr>
          <w:sz w:val="21"/>
        </w:rPr>
        <w:t>、</w:t>
      </w:r>
      <w:r>
        <w:rPr>
          <w:sz w:val="21"/>
        </w:rPr>
        <w:t>双方签订合同之日起</w:t>
      </w:r>
      <w:r>
        <w:rPr>
          <w:sz w:val="21"/>
        </w:rPr>
        <w:t>5</w:t>
      </w:r>
      <w:r>
        <w:rPr>
          <w:sz w:val="21"/>
        </w:rPr>
        <w:t>个工作日内，</w:t>
      </w:r>
      <w:r>
        <w:rPr>
          <w:sz w:val="21"/>
        </w:rPr>
        <w:t>乙方</w:t>
      </w:r>
      <w:r>
        <w:rPr>
          <w:sz w:val="21"/>
        </w:rPr>
        <w:t>应按合同总价款的</w:t>
      </w:r>
      <w:r>
        <w:rPr>
          <w:sz w:val="21"/>
        </w:rPr>
        <w:t>5%</w:t>
      </w:r>
      <w:r>
        <w:rPr>
          <w:sz w:val="21"/>
        </w:rPr>
        <w:t>作为履约保证金汇至</w:t>
      </w:r>
      <w:r>
        <w:rPr>
          <w:sz w:val="21"/>
        </w:rPr>
        <w:t>甲方</w:t>
      </w:r>
      <w:r>
        <w:rPr>
          <w:sz w:val="21"/>
        </w:rPr>
        <w:t>账户，并提供银行汇款凭据。</w:t>
      </w:r>
      <w:r>
        <w:rPr>
          <w:sz w:val="21"/>
        </w:rPr>
        <w:t>在乙方将合同义务全部履行完毕且无违约行为或未结款项</w:t>
      </w:r>
      <w:r>
        <w:rPr>
          <w:sz w:val="21"/>
        </w:rPr>
        <w:t>(</w:t>
      </w:r>
      <w:r>
        <w:rPr>
          <w:sz w:val="21"/>
        </w:rPr>
        <w:t>包括但不限于违约金、赔偿金等</w:t>
      </w:r>
      <w:r>
        <w:rPr>
          <w:sz w:val="21"/>
        </w:rPr>
        <w:t>)</w:t>
      </w:r>
      <w:r>
        <w:rPr>
          <w:sz w:val="21"/>
        </w:rPr>
        <w:t>的情况下，乙方可向甲方申请退还履约保证金，甲方于退还申请审批手续办理完毕后</w:t>
      </w:r>
      <w:r>
        <w:rPr>
          <w:sz w:val="21"/>
        </w:rPr>
        <w:t>30</w:t>
      </w:r>
      <w:r>
        <w:rPr>
          <w:sz w:val="21"/>
        </w:rPr>
        <w:t>日内向乙方无息退还履约保证金（如遇甲方寒暑假，甲方有权顺延退回时间且无需承担任何违约责任）。乙方逾期交纳履约保证金的，甲方按照逾期天数</w:t>
      </w:r>
      <w:r>
        <w:rPr>
          <w:sz w:val="21"/>
        </w:rPr>
        <w:t>3</w:t>
      </w:r>
      <w:r>
        <w:rPr>
          <w:sz w:val="21"/>
        </w:rPr>
        <w:t>倍的时间无息延长退还履约保证金的时间。合同期内乙方存在违约行为或因乙方原因导致甲方解除合同的，甲方有权不予退回履约保证金且无需就此承担任何责任。履约保证金的退还，不免除乙方因货物或服务质量问题而应承担的任何责任（包括但不限于对甲方损失的赔偿责任等）。</w:t>
      </w:r>
    </w:p>
    <w:p>
      <w:pPr>
        <w:pStyle w:val="null3"/>
        <w:jc w:val="both"/>
      </w:pPr>
      <w:r>
        <w:rPr>
          <w:sz w:val="21"/>
        </w:rPr>
        <w:t>2</w:t>
      </w:r>
      <w:r>
        <w:rPr>
          <w:sz w:val="21"/>
        </w:rPr>
        <w:t>、国内采购部分执行的付款方式：</w:t>
      </w:r>
    </w:p>
    <w:p>
      <w:pPr>
        <w:pStyle w:val="null3"/>
        <w:jc w:val="both"/>
      </w:pPr>
      <w:r>
        <w:rPr>
          <w:sz w:val="21"/>
        </w:rPr>
        <w:t xml:space="preserve">2.1 </w:t>
      </w:r>
      <w:r>
        <w:rPr>
          <w:sz w:val="21"/>
        </w:rPr>
        <w:t>对于国内采购部分的付款，若乙方属于中小企业的，付款方式按第</w:t>
      </w:r>
      <w:r>
        <w:rPr>
          <w:sz w:val="21"/>
        </w:rPr>
        <w:t>2.2</w:t>
      </w:r>
      <w:r>
        <w:rPr>
          <w:sz w:val="21"/>
        </w:rPr>
        <w:t>条的约定执行；若乙方不属于中小企业的，付款方式按第</w:t>
      </w:r>
      <w:r>
        <w:rPr>
          <w:sz w:val="21"/>
        </w:rPr>
        <w:t>2.3</w:t>
      </w:r>
      <w:r>
        <w:rPr>
          <w:sz w:val="21"/>
        </w:rPr>
        <w:t>条执行。本条所述的中小企业，</w:t>
      </w:r>
      <w:r>
        <w:rPr>
          <w:sz w:val="21"/>
        </w:rPr>
        <w:t>按《中小企业划型标准规定》（工信部联企业〔</w:t>
      </w:r>
      <w:r>
        <w:rPr>
          <w:sz w:val="21"/>
        </w:rPr>
        <w:t>2011</w:t>
      </w:r>
      <w:r>
        <w:rPr>
          <w:sz w:val="21"/>
        </w:rPr>
        <w:t>〕</w:t>
      </w:r>
      <w:r>
        <w:rPr>
          <w:sz w:val="21"/>
        </w:rPr>
        <w:t>300</w:t>
      </w:r>
      <w:r>
        <w:rPr>
          <w:sz w:val="21"/>
        </w:rPr>
        <w:t>号）</w:t>
      </w:r>
      <w:r>
        <w:rPr>
          <w:sz w:val="21"/>
        </w:rPr>
        <w:t>及</w:t>
      </w:r>
      <w:r>
        <w:rPr>
          <w:sz w:val="21"/>
        </w:rPr>
        <w:t>《金融业企业划型标准规定》（银发〔</w:t>
      </w:r>
      <w:r>
        <w:rPr>
          <w:sz w:val="21"/>
        </w:rPr>
        <w:t>2015</w:t>
      </w:r>
      <w:r>
        <w:rPr>
          <w:sz w:val="21"/>
        </w:rPr>
        <w:t>〕</w:t>
      </w:r>
      <w:r>
        <w:rPr>
          <w:sz w:val="21"/>
        </w:rPr>
        <w:t>309</w:t>
      </w:r>
      <w:r>
        <w:rPr>
          <w:sz w:val="21"/>
        </w:rPr>
        <w:t>号）界定</w:t>
      </w:r>
      <w:r>
        <w:rPr>
          <w:sz w:val="21"/>
        </w:rPr>
        <w:t>。</w:t>
      </w:r>
    </w:p>
    <w:p>
      <w:pPr>
        <w:pStyle w:val="null3"/>
        <w:jc w:val="both"/>
      </w:pPr>
      <w:r>
        <w:rPr>
          <w:sz w:val="21"/>
        </w:rPr>
        <w:t xml:space="preserve">2.2 </w:t>
      </w:r>
      <w:r>
        <w:rPr>
          <w:sz w:val="21"/>
        </w:rPr>
        <w:t>乙方属于中小企业的，双方确认，按以下方式付款：</w:t>
      </w:r>
    </w:p>
    <w:p>
      <w:pPr>
        <w:pStyle w:val="null3"/>
        <w:jc w:val="both"/>
      </w:pPr>
      <w:r>
        <w:rPr>
          <w:sz w:val="21"/>
        </w:rPr>
        <w:t>甲方</w:t>
      </w:r>
      <w:r>
        <w:rPr>
          <w:sz w:val="21"/>
        </w:rPr>
        <w:t>在合同签订后</w:t>
      </w:r>
      <w:r>
        <w:rPr>
          <w:sz w:val="21"/>
        </w:rPr>
        <w:t>5</w:t>
      </w:r>
      <w:r>
        <w:rPr>
          <w:sz w:val="21"/>
        </w:rPr>
        <w:t>个工作日内，向</w:t>
      </w:r>
      <w:r>
        <w:rPr>
          <w:sz w:val="21"/>
        </w:rPr>
        <w:t>乙方</w:t>
      </w:r>
      <w:r>
        <w:rPr>
          <w:sz w:val="21"/>
        </w:rPr>
        <w:t>预付合同金额的</w:t>
      </w:r>
      <w:r>
        <w:rPr>
          <w:sz w:val="21"/>
        </w:rPr>
        <w:t>30%</w:t>
      </w:r>
      <w:r>
        <w:rPr>
          <w:sz w:val="21"/>
        </w:rPr>
        <w:t>汇至合同</w:t>
      </w:r>
      <w:r>
        <w:rPr>
          <w:sz w:val="21"/>
        </w:rPr>
        <w:t>项下载明的乙方</w:t>
      </w:r>
      <w:r>
        <w:rPr>
          <w:sz w:val="21"/>
        </w:rPr>
        <w:t>账户，合同剩余</w:t>
      </w:r>
      <w:r>
        <w:rPr>
          <w:sz w:val="21"/>
        </w:rPr>
        <w:t>70%</w:t>
      </w:r>
      <w:r>
        <w:rPr>
          <w:sz w:val="21"/>
        </w:rPr>
        <w:t>资金采取</w:t>
      </w:r>
      <w:r>
        <w:rPr>
          <w:sz w:val="21"/>
        </w:rPr>
        <w:t>合同第</w:t>
      </w:r>
      <w:r>
        <w:rPr>
          <w:sz w:val="21"/>
        </w:rPr>
        <w:t>2.4</w:t>
      </w:r>
      <w:r>
        <w:rPr>
          <w:sz w:val="21"/>
        </w:rPr>
        <w:t>条约定的</w:t>
      </w:r>
      <w:r>
        <w:rPr>
          <w:sz w:val="21"/>
        </w:rPr>
        <w:t>预付款资金监管模式支付。</w:t>
      </w:r>
    </w:p>
    <w:p>
      <w:pPr>
        <w:pStyle w:val="null3"/>
        <w:jc w:val="both"/>
      </w:pPr>
      <w:r>
        <w:rPr>
          <w:sz w:val="21"/>
        </w:rPr>
        <w:t>2.</w:t>
      </w:r>
      <w:r>
        <w:rPr>
          <w:sz w:val="21"/>
        </w:rPr>
        <w:t>3</w:t>
      </w:r>
      <w:r>
        <w:rPr>
          <w:sz w:val="21"/>
        </w:rPr>
        <w:t xml:space="preserve"> </w:t>
      </w:r>
      <w:r>
        <w:rPr>
          <w:sz w:val="21"/>
        </w:rPr>
        <w:t>乙方不属于中小企业的，双方确认，按以下方式付款：</w:t>
      </w:r>
    </w:p>
    <w:p>
      <w:pPr>
        <w:pStyle w:val="null3"/>
        <w:jc w:val="both"/>
      </w:pPr>
      <w:r>
        <w:rPr>
          <w:sz w:val="21"/>
        </w:rPr>
        <w:t>甲方</w:t>
      </w:r>
      <w:r>
        <w:rPr>
          <w:sz w:val="21"/>
        </w:rPr>
        <w:t>采取</w:t>
      </w:r>
      <w:r>
        <w:rPr>
          <w:sz w:val="21"/>
        </w:rPr>
        <w:t>合同第</w:t>
      </w:r>
      <w:r>
        <w:rPr>
          <w:sz w:val="21"/>
        </w:rPr>
        <w:t>2.4</w:t>
      </w:r>
      <w:r>
        <w:rPr>
          <w:sz w:val="21"/>
        </w:rPr>
        <w:t>条约定的</w:t>
      </w:r>
      <w:r>
        <w:rPr>
          <w:sz w:val="21"/>
        </w:rPr>
        <w:t>预付款资金监管模式支付全额货款。</w:t>
      </w:r>
    </w:p>
    <w:p>
      <w:pPr>
        <w:pStyle w:val="null3"/>
        <w:jc w:val="both"/>
      </w:pPr>
      <w:r>
        <w:rPr>
          <w:sz w:val="21"/>
        </w:rPr>
        <w:t xml:space="preserve">2.4 </w:t>
      </w:r>
      <w:r>
        <w:rPr>
          <w:sz w:val="21"/>
        </w:rPr>
        <w:t>本条款所述的</w:t>
      </w:r>
      <w:r>
        <w:rPr>
          <w:sz w:val="21"/>
        </w:rPr>
        <w:t>预付款资金监管模式</w:t>
      </w:r>
      <w:r>
        <w:rPr>
          <w:sz w:val="21"/>
        </w:rPr>
        <w:t>按以下方式执行：</w:t>
      </w:r>
    </w:p>
    <w:p>
      <w:pPr>
        <w:pStyle w:val="null3"/>
        <w:jc w:val="both"/>
      </w:pPr>
      <w:r>
        <w:rPr>
          <w:sz w:val="21"/>
        </w:rPr>
        <w:t>（</w:t>
      </w:r>
      <w:r>
        <w:rPr>
          <w:sz w:val="21"/>
        </w:rPr>
        <w:t>1</w:t>
      </w:r>
      <w:r>
        <w:rPr>
          <w:sz w:val="21"/>
        </w:rPr>
        <w:t>）甲方</w:t>
      </w:r>
      <w:r>
        <w:rPr>
          <w:sz w:val="21"/>
        </w:rPr>
        <w:t>合作银行为兴业银行广州分行、中信银行、中国农业银行广州白云支行，</w:t>
      </w:r>
      <w:r>
        <w:rPr>
          <w:sz w:val="21"/>
        </w:rPr>
        <w:t>乙方</w:t>
      </w:r>
      <w:r>
        <w:rPr>
          <w:sz w:val="21"/>
        </w:rPr>
        <w:t>需在</w:t>
      </w:r>
      <w:r>
        <w:rPr>
          <w:sz w:val="21"/>
        </w:rPr>
        <w:t>该</w:t>
      </w:r>
      <w:r>
        <w:rPr>
          <w:sz w:val="21"/>
        </w:rPr>
        <w:t>3</w:t>
      </w:r>
      <w:r>
        <w:rPr>
          <w:sz w:val="21"/>
        </w:rPr>
        <w:t>家银行中自行选择资金监管服务银行。</w:t>
      </w:r>
    </w:p>
    <w:p>
      <w:pPr>
        <w:pStyle w:val="null3"/>
        <w:jc w:val="both"/>
      </w:pPr>
      <w:r>
        <w:rPr>
          <w:sz w:val="21"/>
        </w:rPr>
        <w:t>（</w:t>
      </w:r>
      <w:r>
        <w:rPr>
          <w:sz w:val="21"/>
        </w:rPr>
        <w:t>2</w:t>
      </w:r>
      <w:r>
        <w:rPr>
          <w:sz w:val="21"/>
        </w:rPr>
        <w:t>）乙方</w:t>
      </w:r>
      <w:r>
        <w:rPr>
          <w:sz w:val="21"/>
        </w:rPr>
        <w:t>凭采购合同及银行资金监管业务协议，</w:t>
      </w:r>
      <w:r>
        <w:rPr>
          <w:sz w:val="21"/>
        </w:rPr>
        <w:t>3</w:t>
      </w:r>
      <w:r>
        <w:rPr>
          <w:sz w:val="21"/>
        </w:rPr>
        <w:t>个工作日内开立银行监管账户。</w:t>
      </w:r>
      <w:r>
        <w:rPr>
          <w:sz w:val="21"/>
        </w:rPr>
        <w:t>乙方</w:t>
      </w:r>
      <w:r>
        <w:rPr>
          <w:sz w:val="21"/>
        </w:rPr>
        <w:t>监管账户开设完毕，经</w:t>
      </w:r>
      <w:r>
        <w:rPr>
          <w:sz w:val="21"/>
        </w:rPr>
        <w:t>乙方</w:t>
      </w:r>
      <w:r>
        <w:rPr>
          <w:sz w:val="21"/>
        </w:rPr>
        <w:t>或银行通知，</w:t>
      </w:r>
      <w:r>
        <w:rPr>
          <w:sz w:val="21"/>
        </w:rPr>
        <w:t>甲方</w:t>
      </w:r>
      <w:r>
        <w:rPr>
          <w:sz w:val="21"/>
        </w:rPr>
        <w:t>将设备款项</w:t>
      </w:r>
      <w:r>
        <w:rPr>
          <w:sz w:val="21"/>
        </w:rPr>
        <w:t>（具体按本条款前述约定确定付款金额）支付</w:t>
      </w:r>
      <w:r>
        <w:rPr>
          <w:sz w:val="21"/>
        </w:rPr>
        <w:t>至</w:t>
      </w:r>
      <w:r>
        <w:rPr>
          <w:sz w:val="21"/>
        </w:rPr>
        <w:t>乙方</w:t>
      </w:r>
      <w:r>
        <w:rPr>
          <w:sz w:val="21"/>
        </w:rPr>
        <w:t>该监管账户。</w:t>
      </w:r>
      <w:r>
        <w:rPr>
          <w:sz w:val="21"/>
        </w:rPr>
        <w:t>乙方</w:t>
      </w:r>
      <w:r>
        <w:rPr>
          <w:sz w:val="21"/>
        </w:rPr>
        <w:t>监管账户中资金的收付及结算必须且仅可通过监管账户实现，非经</w:t>
      </w:r>
      <w:r>
        <w:rPr>
          <w:sz w:val="21"/>
        </w:rPr>
        <w:t>甲方</w:t>
      </w:r>
      <w:r>
        <w:rPr>
          <w:sz w:val="21"/>
        </w:rPr>
        <w:t>书面同意，该监管账户不得擅自变更。双方应严格按照《资金监管业务三方协议》约定履行。</w:t>
      </w:r>
    </w:p>
    <w:p>
      <w:pPr>
        <w:pStyle w:val="null3"/>
        <w:jc w:val="both"/>
      </w:pPr>
      <w:r>
        <w:rPr>
          <w:sz w:val="21"/>
        </w:rPr>
        <w:t>（</w:t>
      </w:r>
      <w:r>
        <w:rPr>
          <w:sz w:val="21"/>
        </w:rPr>
        <w:t>3</w:t>
      </w:r>
      <w:r>
        <w:rPr>
          <w:sz w:val="21"/>
        </w:rPr>
        <w:t>）甲方</w:t>
      </w:r>
      <w:r>
        <w:rPr>
          <w:sz w:val="21"/>
        </w:rPr>
        <w:t>收到履约保证金，且设备</w:t>
      </w:r>
      <w:r>
        <w:rPr>
          <w:sz w:val="21"/>
        </w:rPr>
        <w:t>交付</w:t>
      </w:r>
      <w:r>
        <w:rPr>
          <w:sz w:val="21"/>
        </w:rPr>
        <w:t>并通过</w:t>
      </w:r>
      <w:r>
        <w:rPr>
          <w:sz w:val="21"/>
        </w:rPr>
        <w:t>甲方</w:t>
      </w:r>
      <w:r>
        <w:rPr>
          <w:sz w:val="21"/>
        </w:rPr>
        <w:t>验收合格后，</w:t>
      </w:r>
      <w:r>
        <w:rPr>
          <w:sz w:val="21"/>
        </w:rPr>
        <w:t>乙方</w:t>
      </w:r>
      <w:r>
        <w:rPr>
          <w:sz w:val="21"/>
        </w:rPr>
        <w:t>向</w:t>
      </w:r>
      <w:r>
        <w:rPr>
          <w:sz w:val="21"/>
        </w:rPr>
        <w:t>甲方</w:t>
      </w:r>
      <w:r>
        <w:rPr>
          <w:sz w:val="21"/>
        </w:rPr>
        <w:t>提供合法有效的等额发票，经</w:t>
      </w:r>
      <w:r>
        <w:rPr>
          <w:sz w:val="21"/>
        </w:rPr>
        <w:t>甲方</w:t>
      </w:r>
      <w:r>
        <w:rPr>
          <w:sz w:val="21"/>
        </w:rPr>
        <w:t>审核通过后，</w:t>
      </w:r>
      <w:r>
        <w:rPr>
          <w:sz w:val="21"/>
        </w:rPr>
        <w:t>甲方</w:t>
      </w:r>
      <w:r>
        <w:rPr>
          <w:sz w:val="21"/>
        </w:rPr>
        <w:t>在</w:t>
      </w:r>
      <w:r>
        <w:rPr>
          <w:sz w:val="21"/>
        </w:rPr>
        <w:t>10</w:t>
      </w:r>
      <w:r>
        <w:rPr>
          <w:sz w:val="21"/>
        </w:rPr>
        <w:t>个工作日内向银行提出资金解除监管申请。</w:t>
      </w:r>
    </w:p>
    <w:p>
      <w:pPr>
        <w:pStyle w:val="null3"/>
        <w:jc w:val="both"/>
      </w:pPr>
      <w:r>
        <w:rPr>
          <w:sz w:val="21"/>
        </w:rPr>
        <w:t>（</w:t>
      </w:r>
      <w:r>
        <w:rPr>
          <w:sz w:val="21"/>
        </w:rPr>
        <w:t>4</w:t>
      </w:r>
      <w:r>
        <w:rPr>
          <w:sz w:val="21"/>
        </w:rPr>
        <w:t>）甲方按前述约定</w:t>
      </w:r>
      <w:r>
        <w:rPr>
          <w:sz w:val="21"/>
        </w:rPr>
        <w:t>向监管账户汇出款项后，即视为已履行付款义务。在汇款过程中，因</w:t>
      </w:r>
      <w:r>
        <w:rPr>
          <w:sz w:val="21"/>
        </w:rPr>
        <w:t>乙方</w:t>
      </w:r>
      <w:r>
        <w:rPr>
          <w:sz w:val="21"/>
        </w:rPr>
        <w:t>账户的原因（包括但不限于账号被注销、被冻结等）导致</w:t>
      </w:r>
      <w:r>
        <w:rPr>
          <w:sz w:val="21"/>
        </w:rPr>
        <w:t>乙方</w:t>
      </w:r>
      <w:r>
        <w:rPr>
          <w:sz w:val="21"/>
        </w:rPr>
        <w:t>无法收取款项的，由</w:t>
      </w:r>
      <w:r>
        <w:rPr>
          <w:sz w:val="21"/>
        </w:rPr>
        <w:t>乙方</w:t>
      </w:r>
      <w:r>
        <w:rPr>
          <w:sz w:val="21"/>
        </w:rPr>
        <w:t>承担相应后果</w:t>
      </w:r>
      <w:r>
        <w:rPr>
          <w:sz w:val="21"/>
        </w:rPr>
        <w:t>，甲方无需承担任何违约责任。</w:t>
      </w:r>
    </w:p>
    <w:p>
      <w:pPr>
        <w:pStyle w:val="null3"/>
        <w:jc w:val="both"/>
      </w:pPr>
      <w:r>
        <w:rPr>
          <w:sz w:val="21"/>
        </w:rPr>
        <w:t>3</w:t>
      </w:r>
      <w:r>
        <w:rPr>
          <w:sz w:val="21"/>
        </w:rPr>
        <w:t>、若本合同项下的款项支付按本合同的相关条款约定需向某一方支付的，各方一致确认如下银行账户即作为该等款项的指定收款账户：</w:t>
      </w:r>
    </w:p>
    <w:p>
      <w:pPr>
        <w:pStyle w:val="null3"/>
        <w:jc w:val="both"/>
      </w:pPr>
      <w:r>
        <w:rPr>
          <w:sz w:val="21"/>
        </w:rPr>
        <w:t>（</w:t>
      </w:r>
      <w:r>
        <w:rPr>
          <w:sz w:val="21"/>
        </w:rPr>
        <w:t>1</w:t>
      </w:r>
      <w:r>
        <w:rPr>
          <w:sz w:val="21"/>
        </w:rPr>
        <w:t>）甲方的银行账号信息：</w:t>
      </w:r>
    </w:p>
    <w:tbl>
      <w:tblPr>
        <w:tblW w:w="0" w:type="auto"/>
        <w:tblBorders>
          <w:top w:val="none" w:color="000000" w:sz="4"/>
          <w:left w:val="none" w:color="000000" w:sz="4"/>
          <w:bottom w:val="none" w:color="000000" w:sz="4"/>
          <w:right w:val="none" w:color="000000" w:sz="4"/>
          <w:insideH w:val="none"/>
          <w:insideV w:val="none"/>
        </w:tblBorders>
      </w:tblPr>
      <w:tblGrid>
        <w:gridCol w:w="1859"/>
        <w:gridCol w:w="6447"/>
      </w:tblGrid>
      <w:tr>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6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南方医科大学</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r>
              <w:rPr>
                <w:sz w:val="21"/>
              </w:rPr>
              <w:t>三证合一</w:t>
            </w:r>
            <w:r>
              <w:rPr>
                <w:sz w:val="21"/>
              </w:rPr>
              <w:t>)</w:t>
            </w:r>
          </w:p>
        </w:tc>
        <w:tc>
          <w:tcPr>
            <w:tcW w:type="dxa" w:w="6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12440000771868596D</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6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广东省广州市白云区沙太南路</w:t>
            </w:r>
            <w:r>
              <w:rPr>
                <w:sz w:val="21"/>
              </w:rPr>
              <w:t>1023</w:t>
            </w:r>
            <w:r>
              <w:rPr>
                <w:sz w:val="21"/>
              </w:rPr>
              <w:t>号</w:t>
            </w:r>
            <w:r>
              <w:rPr>
                <w:sz w:val="21"/>
              </w:rPr>
              <w:t>-1063</w:t>
            </w:r>
            <w:r>
              <w:rPr>
                <w:sz w:val="21"/>
              </w:rPr>
              <w:t>号</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6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中行同和支行</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开户行账号</w:t>
            </w:r>
          </w:p>
        </w:tc>
        <w:tc>
          <w:tcPr>
            <w:tcW w:type="dxa" w:w="6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632757745044</w:t>
            </w:r>
          </w:p>
        </w:tc>
      </w:tr>
    </w:tbl>
    <w:p>
      <w:pPr>
        <w:pStyle w:val="null3"/>
        <w:jc w:val="both"/>
      </w:pPr>
      <w:r>
        <w:rPr>
          <w:sz w:val="21"/>
        </w:rPr>
        <w:t>（</w:t>
      </w:r>
      <w:r>
        <w:rPr>
          <w:sz w:val="21"/>
        </w:rPr>
        <w:t>2</w:t>
      </w:r>
      <w:r>
        <w:rPr>
          <w:sz w:val="21"/>
        </w:rPr>
        <w:t>）乙方的银行账号信息（如采取银行资金监管模式，以银行监管协议中相关账户为准）：</w:t>
      </w:r>
    </w:p>
    <w:tbl>
      <w:tblPr>
        <w:tblW w:w="0" w:type="auto"/>
        <w:tblBorders>
          <w:top w:val="none" w:color="000000" w:sz="4"/>
          <w:left w:val="none" w:color="000000" w:sz="4"/>
          <w:bottom w:val="none" w:color="000000" w:sz="4"/>
          <w:right w:val="none" w:color="000000" w:sz="4"/>
          <w:insideH w:val="none"/>
          <w:insideV w:val="none"/>
        </w:tblBorders>
      </w:tblPr>
      <w:tblGrid>
        <w:gridCol w:w="1856"/>
        <w:gridCol w:w="6449"/>
      </w:tblGrid>
      <w:tr>
        <w:tc>
          <w:tcPr>
            <w:tcW w:type="dxa" w:w="1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单位名称</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r>
              <w:rPr>
                <w:sz w:val="21"/>
              </w:rPr>
              <w:t>三证合一</w:t>
            </w:r>
            <w:r>
              <w:rPr>
                <w:sz w:val="21"/>
              </w:rPr>
              <w:t>)</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五、售后服务条款：</w:t>
      </w:r>
    </w:p>
    <w:p>
      <w:pPr>
        <w:pStyle w:val="null3"/>
        <w:jc w:val="both"/>
      </w:pPr>
      <w:r>
        <w:rPr>
          <w:sz w:val="21"/>
        </w:rPr>
        <w:t>1</w:t>
      </w:r>
      <w:r>
        <w:rPr>
          <w:sz w:val="21"/>
        </w:rPr>
        <w:t>、乙方负责甲方使用人员的使用操作技术及维护技术的培训直至其能熟练、独立操作，具体培训内容和时间安排按甲方通知确定（但甲方应当为乙方预留合理的准备时间）。涉及软件类产品的，乙方还应当对甲方使用人员进行必要的现场培训，保证甲方使用人员能独立安装、升级软件和运行算例。</w:t>
      </w:r>
    </w:p>
    <w:p>
      <w:pPr>
        <w:pStyle w:val="null3"/>
        <w:jc w:val="both"/>
      </w:pPr>
      <w:r>
        <w:rPr>
          <w:sz w:val="21"/>
        </w:rPr>
        <w:t>2</w:t>
      </w:r>
      <w:r>
        <w:rPr>
          <w:sz w:val="21"/>
        </w:rPr>
        <w:t>、质保期期限：</w:t>
      </w:r>
      <w:r>
        <w:rPr>
          <w:sz w:val="21"/>
          <w:u w:val="single"/>
        </w:rPr>
        <w:t xml:space="preserve">          </w:t>
      </w:r>
      <w:r>
        <w:rPr>
          <w:sz w:val="21"/>
        </w:rPr>
        <w:t>年。质保期自设备验收合格之日起计算。</w:t>
      </w:r>
    </w:p>
    <w:p>
      <w:pPr>
        <w:pStyle w:val="null3"/>
        <w:jc w:val="both"/>
      </w:pPr>
      <w:r>
        <w:rPr>
          <w:sz w:val="21"/>
        </w:rPr>
        <w:t>3</w:t>
      </w:r>
      <w:r>
        <w:rPr>
          <w:sz w:val="21"/>
        </w:rPr>
        <w:t>、质保期内，乙方负责所有因设备质量问题而产生的费用，乙方应免费派出专业维修人员提供上门保修服务和系统维护，且乙方负责设备升级的服务工作并提供相关的信息技术和跟进服务。</w:t>
      </w:r>
    </w:p>
    <w:p>
      <w:pPr>
        <w:pStyle w:val="null3"/>
        <w:jc w:val="both"/>
      </w:pPr>
      <w:r>
        <w:rPr>
          <w:sz w:val="21"/>
        </w:rPr>
        <w:t>4</w:t>
      </w:r>
      <w:r>
        <w:rPr>
          <w:sz w:val="21"/>
        </w:rPr>
        <w:t>、质保期内，设备或零部件出现故障而造成短期停用时，则质保期相应顺延。如停用时间累计超过</w:t>
      </w:r>
      <w:r>
        <w:rPr>
          <w:sz w:val="21"/>
        </w:rPr>
        <w:t>60</w:t>
      </w:r>
      <w:r>
        <w:rPr>
          <w:sz w:val="21"/>
        </w:rPr>
        <w:t>天则质保期重新计算。</w:t>
      </w:r>
    </w:p>
    <w:p>
      <w:pPr>
        <w:pStyle w:val="null3"/>
        <w:jc w:val="both"/>
      </w:pPr>
      <w:r>
        <w:rPr>
          <w:sz w:val="21"/>
        </w:rPr>
        <w:t>5</w:t>
      </w:r>
      <w:r>
        <w:rPr>
          <w:sz w:val="21"/>
        </w:rPr>
        <w:t>、质保期内，设备如非甲方人为原因而出现的问题均由乙方负责包修、包换或包退，并由乙方自行承担修理、调换或退货的全部费用。如果设备同一硬件一个月内连续</w:t>
      </w:r>
      <w:r>
        <w:rPr>
          <w:sz w:val="21"/>
        </w:rPr>
        <w:t>2</w:t>
      </w:r>
      <w:r>
        <w:rPr>
          <w:sz w:val="21"/>
        </w:rPr>
        <w:t>次出现同一故障时，甲方有权要求乙方在限期内无偿更换同等设备或按合同约定价值作出赔偿（具体以甲方届时的单方决定为准）。</w:t>
      </w:r>
    </w:p>
    <w:p>
      <w:pPr>
        <w:pStyle w:val="null3"/>
        <w:jc w:val="both"/>
      </w:pPr>
      <w:r>
        <w:rPr>
          <w:sz w:val="21"/>
        </w:rPr>
        <w:t>6</w:t>
      </w:r>
      <w:r>
        <w:rPr>
          <w:sz w:val="21"/>
        </w:rPr>
        <w:t>、质保期内维修人员接到维修通知后到场时间：质保期内乙方接到甲方的维修通知后</w:t>
      </w:r>
      <w:r>
        <w:rPr>
          <w:sz w:val="21"/>
        </w:rPr>
        <w:t>24</w:t>
      </w:r>
      <w:r>
        <w:rPr>
          <w:sz w:val="21"/>
        </w:rPr>
        <w:t>小时内给予答复，并派出维修人员在三个工作日内到达用户现场完成维修。</w:t>
      </w:r>
    </w:p>
    <w:p>
      <w:pPr>
        <w:pStyle w:val="null3"/>
        <w:jc w:val="both"/>
      </w:pPr>
      <w:r>
        <w:rPr>
          <w:sz w:val="21"/>
        </w:rPr>
        <w:t>7</w:t>
      </w:r>
      <w:r>
        <w:rPr>
          <w:sz w:val="21"/>
        </w:rPr>
        <w:t>、质保期后的服务要求：质保期满后，乙方应继续提供终身维护服务，且乙方应仅按厂价收取所换的材料费，而不应收取其他任何维护费用。</w:t>
      </w:r>
    </w:p>
    <w:p>
      <w:pPr>
        <w:pStyle w:val="null3"/>
        <w:jc w:val="both"/>
      </w:pPr>
      <w:r>
        <w:rPr>
          <w:sz w:val="21"/>
        </w:rPr>
        <w:t>六、违约责任：</w:t>
      </w:r>
    </w:p>
    <w:p>
      <w:pPr>
        <w:pStyle w:val="null3"/>
        <w:jc w:val="both"/>
      </w:pPr>
      <w:r>
        <w:rPr>
          <w:sz w:val="21"/>
        </w:rPr>
        <w:t>1</w:t>
      </w:r>
      <w:r>
        <w:rPr>
          <w:sz w:val="21"/>
        </w:rPr>
        <w:t>、甲乙双方均应全面履行本合同，任何一方未能按照本合同的约定履行自己的义务，应当承担违约责任。违约方应当赔偿守约方因此遭受的损失，包括但不限于守约方的直接经济损失、间接经济损失、守约方为追究违约责任所发生的律师费、差旅费、交通费等。</w:t>
      </w:r>
    </w:p>
    <w:p>
      <w:pPr>
        <w:pStyle w:val="null3"/>
        <w:jc w:val="both"/>
      </w:pPr>
      <w:r>
        <w:rPr>
          <w:sz w:val="21"/>
        </w:rPr>
        <w:t>2</w:t>
      </w:r>
      <w:r>
        <w:rPr>
          <w:sz w:val="21"/>
        </w:rPr>
        <w:t>、乙方交付的货物不符合合同规定的，甲方有权拒收，且乙方应按合同总价的</w:t>
      </w:r>
      <w:r>
        <w:rPr>
          <w:sz w:val="21"/>
        </w:rPr>
        <w:t>20%</w:t>
      </w:r>
      <w:r>
        <w:rPr>
          <w:sz w:val="21"/>
        </w:rPr>
        <w:t>向甲方支付逾期交货违约金。如甲方同意乙方限期整改的，乙方除应缴纳前述逾期交货违约金外，还必须在甲方规定的期限内整改到位（包括但不限于退换货），且乙方应承担由此产生的退运等全部费用；如甲方不同意乙方整改的，视为乙方严重违约，甲方有权单方面解除合同，届时乙方除应缴纳前述逾期交货违约金外，还应退还甲方已支付的所有款项，甲方若有其他损失的（包括但不限于甲方重新委托招标代理的费用等），乙方应当继续作出赔偿。</w:t>
      </w:r>
    </w:p>
    <w:p>
      <w:pPr>
        <w:pStyle w:val="null3"/>
        <w:jc w:val="both"/>
      </w:pPr>
      <w:r>
        <w:rPr>
          <w:sz w:val="21"/>
        </w:rPr>
        <w:t>3</w:t>
      </w:r>
      <w:r>
        <w:rPr>
          <w:sz w:val="21"/>
        </w:rPr>
        <w:t>、甲方无正当理由拒收设备的，甲方应按拒收设备部分对应之采购价款金额的</w:t>
      </w:r>
      <w:r>
        <w:rPr>
          <w:sz w:val="21"/>
        </w:rPr>
        <w:t>5%</w:t>
      </w:r>
      <w:r>
        <w:rPr>
          <w:sz w:val="21"/>
        </w:rPr>
        <w:t>的标准向乙方支付违约金。</w:t>
      </w:r>
    </w:p>
    <w:p>
      <w:pPr>
        <w:pStyle w:val="null3"/>
        <w:jc w:val="both"/>
      </w:pPr>
      <w:r>
        <w:rPr>
          <w:sz w:val="21"/>
        </w:rPr>
        <w:t>4</w:t>
      </w:r>
      <w:r>
        <w:rPr>
          <w:sz w:val="21"/>
        </w:rPr>
        <w:t>、甲方无正当理由逾期支付货款的，经乙方书面催告后仍未在合理期限内支付的，每逾期</w:t>
      </w:r>
      <w:r>
        <w:rPr>
          <w:sz w:val="21"/>
        </w:rPr>
        <w:t>1</w:t>
      </w:r>
      <w:r>
        <w:rPr>
          <w:sz w:val="21"/>
        </w:rPr>
        <w:t>天，甲方应向乙方赔付欠款总额的</w:t>
      </w:r>
      <w:r>
        <w:rPr>
          <w:sz w:val="21"/>
        </w:rPr>
        <w:t>3</w:t>
      </w:r>
      <w:r>
        <w:rPr>
          <w:sz w:val="21"/>
        </w:rPr>
        <w:t>‰的滞纳金，累计滞纳金总额不超过欠款金额的</w:t>
      </w:r>
      <w:r>
        <w:rPr>
          <w:sz w:val="21"/>
        </w:rPr>
        <w:t>5%</w:t>
      </w:r>
      <w:r>
        <w:rPr>
          <w:sz w:val="21"/>
        </w:rPr>
        <w:t>。由于财政拨款未到位等原因而导致甲方逾期付款的，甲方无需承担违约责任。且甲方逾期付款（如有）在任何情况下均不能成为乙方延期或者拒绝提供设备及服务的理由。</w:t>
      </w:r>
    </w:p>
    <w:p>
      <w:pPr>
        <w:pStyle w:val="null3"/>
        <w:jc w:val="both"/>
      </w:pPr>
      <w:r>
        <w:rPr>
          <w:sz w:val="21"/>
        </w:rPr>
        <w:t>5</w:t>
      </w:r>
      <w:r>
        <w:rPr>
          <w:sz w:val="21"/>
        </w:rPr>
        <w:t>、乙方逾期交付货物的，则应自逾期之日起每天按合同总价的</w:t>
      </w:r>
      <w:r>
        <w:rPr>
          <w:sz w:val="21"/>
        </w:rPr>
        <w:t>3</w:t>
      </w:r>
      <w:r>
        <w:rPr>
          <w:sz w:val="21"/>
        </w:rPr>
        <w:t>‰向甲方支付违约金。逾期交付超过</w:t>
      </w:r>
      <w:r>
        <w:rPr>
          <w:sz w:val="21"/>
        </w:rPr>
        <w:t>5</w:t>
      </w:r>
      <w:r>
        <w:rPr>
          <w:sz w:val="21"/>
        </w:rPr>
        <w:t>天的，甲方有权终止合同并且不退还履约保证金，乙方除应向甲方退还已收取的全部合同款项外，亦应向甲方支付合同总价</w:t>
      </w:r>
      <w:r>
        <w:rPr>
          <w:sz w:val="21"/>
        </w:rPr>
        <w:t>20%</w:t>
      </w:r>
      <w:r>
        <w:rPr>
          <w:sz w:val="21"/>
        </w:rPr>
        <w:t>的违约金，违约金不足以弥补甲方损失的，乙方还应另行赔偿，且由此造成的一切费用和损失（包括但不限于甲方重新委托招标代理的费用等）均由乙方承担。</w:t>
      </w:r>
    </w:p>
    <w:p>
      <w:pPr>
        <w:pStyle w:val="null3"/>
        <w:jc w:val="both"/>
      </w:pPr>
      <w:r>
        <w:rPr>
          <w:sz w:val="21"/>
        </w:rPr>
        <w:t>6</w:t>
      </w:r>
      <w:r>
        <w:rPr>
          <w:sz w:val="21"/>
        </w:rPr>
        <w:t>、若乙方未按本合同的约定履行义务（包括但不限于售后服务义务等），甲方有权自行决定委托第三方替代履行相应义务，所发生的全部费用（包括但不限于维保费用、采购差价等）均由乙方承担，如因此造成甲方损失的，乙方应承担赔偿责任。</w:t>
      </w:r>
    </w:p>
    <w:p>
      <w:pPr>
        <w:pStyle w:val="null3"/>
        <w:jc w:val="both"/>
      </w:pPr>
      <w:r>
        <w:rPr>
          <w:sz w:val="21"/>
        </w:rPr>
        <w:t>7</w:t>
      </w:r>
      <w:r>
        <w:rPr>
          <w:sz w:val="21"/>
        </w:rPr>
        <w:t>、乙方有以下情形之一的，甲方有权解除合同且不退还履约保证金，届时乙方应退还甲方已支付的所有款项并同时应按合同总价</w:t>
      </w:r>
      <w:r>
        <w:rPr>
          <w:sz w:val="21"/>
        </w:rPr>
        <w:t>20%</w:t>
      </w:r>
      <w:r>
        <w:rPr>
          <w:sz w:val="21"/>
        </w:rPr>
        <w:t>的标准向甲方支付违约金，且乙方亦应赔偿甲方的一切损失（包括但不限于甲方重新委托招标代理的费用、律师费、差旅费、公证费、检测费、税费、财产保全担保费等）：</w:t>
      </w:r>
    </w:p>
    <w:p>
      <w:pPr>
        <w:pStyle w:val="null3"/>
        <w:jc w:val="both"/>
      </w:pPr>
      <w:r>
        <w:rPr>
          <w:sz w:val="21"/>
        </w:rPr>
        <w:t>（</w:t>
      </w:r>
      <w:r>
        <w:rPr>
          <w:sz w:val="21"/>
        </w:rPr>
        <w:t>1</w:t>
      </w:r>
      <w:r>
        <w:rPr>
          <w:sz w:val="21"/>
        </w:rPr>
        <w:t>）乙方违反预付款专款专用义务的【双方确认，本合同项下的预付款项仅能用于乙方采购、预定、生产本合同项下设备所用，甲方对该笔费用使用情况享有绝对知情权，乙方应主动及时向甲方告知本合同预付款使用的真实情况，并向甲方提供相关佐证依据；乙方在收到甲方通知后未在甲方指定期限内向甲方提供本合同项下预付款使用情况的书面报告及相应凭证（包括但不限于银行转账凭证等）的，构成对于本项义务的违反】；</w:t>
      </w:r>
    </w:p>
    <w:p>
      <w:pPr>
        <w:pStyle w:val="null3"/>
        <w:jc w:val="both"/>
      </w:pPr>
      <w:r>
        <w:rPr>
          <w:sz w:val="21"/>
        </w:rPr>
        <w:t>（</w:t>
      </w:r>
      <w:r>
        <w:rPr>
          <w:sz w:val="21"/>
        </w:rPr>
        <w:t>2</w:t>
      </w:r>
      <w:r>
        <w:rPr>
          <w:sz w:val="21"/>
        </w:rPr>
        <w:t>）乙方交付的设备存在侵犯他人知识产权、所有权、肖像权、技术秘密、商业秘密或其他任何权益的；</w:t>
      </w:r>
    </w:p>
    <w:p>
      <w:pPr>
        <w:pStyle w:val="null3"/>
        <w:jc w:val="both"/>
      </w:pPr>
      <w:r>
        <w:rPr>
          <w:sz w:val="21"/>
        </w:rPr>
        <w:t>（</w:t>
      </w:r>
      <w:r>
        <w:rPr>
          <w:sz w:val="21"/>
        </w:rPr>
        <w:t>3</w:t>
      </w:r>
      <w:r>
        <w:rPr>
          <w:sz w:val="21"/>
        </w:rPr>
        <w:t>）乙方履行本合同项下义务（包括但不限于质量保证义务、售后服务义务等）不符合合同约定，经甲方催促后在合理期限内仍未整改到位的；</w:t>
      </w:r>
    </w:p>
    <w:p>
      <w:pPr>
        <w:pStyle w:val="null3"/>
        <w:jc w:val="both"/>
      </w:pPr>
      <w:r>
        <w:rPr>
          <w:sz w:val="21"/>
        </w:rPr>
        <w:t>（</w:t>
      </w:r>
      <w:r>
        <w:rPr>
          <w:sz w:val="21"/>
        </w:rPr>
        <w:t>4</w:t>
      </w:r>
      <w:r>
        <w:rPr>
          <w:sz w:val="21"/>
        </w:rPr>
        <w:t>）乙方提供的设备在验收通过之日起</w:t>
      </w:r>
      <w:r>
        <w:rPr>
          <w:sz w:val="21"/>
        </w:rPr>
        <w:t>6</w:t>
      </w:r>
      <w:r>
        <w:rPr>
          <w:sz w:val="21"/>
        </w:rPr>
        <w:t>个月内非甲方人为原因出现故障导致无法正常使用的；</w:t>
      </w:r>
    </w:p>
    <w:p>
      <w:pPr>
        <w:pStyle w:val="null3"/>
        <w:jc w:val="both"/>
      </w:pPr>
      <w:r>
        <w:rPr>
          <w:sz w:val="21"/>
        </w:rPr>
        <w:t>（</w:t>
      </w:r>
      <w:r>
        <w:rPr>
          <w:sz w:val="21"/>
        </w:rPr>
        <w:t>5</w:t>
      </w:r>
      <w:r>
        <w:rPr>
          <w:sz w:val="21"/>
        </w:rPr>
        <w:t>）设备在质保期内被证明有缺陷的（包括内在缺陷或使用不适当原材料等）或者设备在质保期内维修超过</w:t>
      </w:r>
      <w:r>
        <w:rPr>
          <w:sz w:val="21"/>
        </w:rPr>
        <w:t>3</w:t>
      </w:r>
      <w:r>
        <w:rPr>
          <w:sz w:val="21"/>
        </w:rPr>
        <w:t>次但仍达不到合同要求的；</w:t>
      </w:r>
    </w:p>
    <w:p>
      <w:pPr>
        <w:pStyle w:val="null3"/>
        <w:jc w:val="both"/>
      </w:pPr>
      <w:r>
        <w:rPr>
          <w:sz w:val="21"/>
        </w:rPr>
        <w:t>（</w:t>
      </w:r>
      <w:r>
        <w:rPr>
          <w:sz w:val="21"/>
        </w:rPr>
        <w:t>6</w:t>
      </w:r>
      <w:r>
        <w:rPr>
          <w:sz w:val="21"/>
        </w:rPr>
        <w:t>）未经甲方书面同意，乙方将本合同项下的权利或义务转让，或将本合同项下服务转包或分包的；</w:t>
      </w:r>
    </w:p>
    <w:p>
      <w:pPr>
        <w:pStyle w:val="null3"/>
        <w:jc w:val="both"/>
      </w:pPr>
      <w:r>
        <w:rPr>
          <w:sz w:val="21"/>
        </w:rPr>
        <w:t>（</w:t>
      </w:r>
      <w:r>
        <w:rPr>
          <w:sz w:val="21"/>
        </w:rPr>
        <w:t>7</w:t>
      </w:r>
      <w:r>
        <w:rPr>
          <w:sz w:val="21"/>
        </w:rPr>
        <w:t>）违反本合同约定的保密义务的；</w:t>
      </w:r>
    </w:p>
    <w:p>
      <w:pPr>
        <w:pStyle w:val="null3"/>
        <w:jc w:val="both"/>
      </w:pPr>
      <w:r>
        <w:rPr>
          <w:sz w:val="21"/>
        </w:rPr>
        <w:t>（</w:t>
      </w:r>
      <w:r>
        <w:rPr>
          <w:sz w:val="21"/>
        </w:rPr>
        <w:t>8</w:t>
      </w:r>
      <w:r>
        <w:rPr>
          <w:sz w:val="21"/>
        </w:rPr>
        <w:t>）国家法律法规规定的甲方因乙方违约而享有合同解除权的其他情形。</w:t>
      </w:r>
    </w:p>
    <w:p>
      <w:pPr>
        <w:pStyle w:val="null3"/>
        <w:jc w:val="both"/>
      </w:pPr>
      <w:r>
        <w:rPr>
          <w:sz w:val="21"/>
        </w:rPr>
        <w:t>8</w:t>
      </w:r>
      <w:r>
        <w:rPr>
          <w:sz w:val="21"/>
        </w:rPr>
        <w:t>、签订合同时，乙方提供的信息与投标文件不符或要求做出修改的，甲方有权要求乙方按照合同总价的</w:t>
      </w:r>
      <w:r>
        <w:rPr>
          <w:sz w:val="21"/>
        </w:rPr>
        <w:t>20%</w:t>
      </w:r>
      <w:r>
        <w:rPr>
          <w:sz w:val="21"/>
        </w:rPr>
        <w:t>支付违约金。</w:t>
      </w:r>
    </w:p>
    <w:p>
      <w:pPr>
        <w:pStyle w:val="null3"/>
        <w:jc w:val="both"/>
      </w:pPr>
      <w:r>
        <w:rPr>
          <w:sz w:val="21"/>
        </w:rPr>
        <w:t>9</w:t>
      </w:r>
      <w:r>
        <w:rPr>
          <w:sz w:val="21"/>
        </w:rPr>
        <w:t>、除上述违约责任外，本合同其他条款约定了其他违约责任的，按该等其他条款的约定执行。且，本合同未作出约定的违约责任情形，按中华人民共和国相关法律法规执行。</w:t>
      </w:r>
    </w:p>
    <w:p>
      <w:pPr>
        <w:pStyle w:val="null3"/>
        <w:jc w:val="both"/>
      </w:pPr>
      <w:r>
        <w:rPr>
          <w:sz w:val="21"/>
        </w:rPr>
        <w:t>10</w:t>
      </w:r>
      <w:r>
        <w:rPr>
          <w:sz w:val="21"/>
        </w:rPr>
        <w:t>、本合同中所涉甲方违约赔偿金及滞纳金费用，由经费负责人及其相关责任二级单位支出。</w:t>
      </w:r>
    </w:p>
    <w:p>
      <w:pPr>
        <w:pStyle w:val="null3"/>
        <w:jc w:val="both"/>
      </w:pPr>
      <w:r>
        <w:rPr>
          <w:sz w:val="21"/>
        </w:rPr>
        <w:t>七、风险承担</w:t>
      </w:r>
    </w:p>
    <w:p>
      <w:pPr>
        <w:pStyle w:val="null3"/>
        <w:jc w:val="both"/>
      </w:pPr>
      <w:r>
        <w:rPr>
          <w:sz w:val="21"/>
        </w:rPr>
        <w:t>1</w:t>
      </w:r>
      <w:r>
        <w:rPr>
          <w:sz w:val="21"/>
        </w:rPr>
        <w:t>、货物毁损、灭失的风险，在货物经甲方验收合格以前由乙方承担，在货物经甲方验收合格以后由甲方承担。</w:t>
      </w:r>
    </w:p>
    <w:p>
      <w:pPr>
        <w:pStyle w:val="null3"/>
        <w:jc w:val="both"/>
      </w:pPr>
      <w:r>
        <w:rPr>
          <w:sz w:val="21"/>
        </w:rPr>
        <w:t>2</w:t>
      </w:r>
      <w:r>
        <w:rPr>
          <w:sz w:val="21"/>
        </w:rPr>
        <w:t>、甲方因货物质量不符合约定的质量要求而拒绝接受货物、解除合同的，货物毁损、灭失的风险由始至终由乙方承担。</w:t>
      </w:r>
    </w:p>
    <w:p>
      <w:pPr>
        <w:pStyle w:val="null3"/>
        <w:jc w:val="both"/>
      </w:pPr>
      <w:r>
        <w:rPr>
          <w:sz w:val="21"/>
        </w:rPr>
        <w:t>3</w:t>
      </w:r>
      <w:r>
        <w:rPr>
          <w:sz w:val="21"/>
        </w:rPr>
        <w:t>、货物毁损、灭失的风险转移由甲方承担的，不影响甲方追究乙方违约责任的权利。</w:t>
      </w:r>
    </w:p>
    <w:p>
      <w:pPr>
        <w:pStyle w:val="null3"/>
        <w:jc w:val="both"/>
      </w:pPr>
      <w:r>
        <w:rPr>
          <w:sz w:val="21"/>
        </w:rPr>
        <w:t>4</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rPr>
        <w:t>八、通知与送达</w:t>
      </w:r>
    </w:p>
    <w:p>
      <w:pPr>
        <w:pStyle w:val="null3"/>
        <w:jc w:val="both"/>
      </w:pPr>
      <w:r>
        <w:rPr>
          <w:sz w:val="21"/>
        </w:rPr>
        <w:t>本合同载明的双方联系方式和地址适用于双方往来联系、书面文件送达及争议解决时法律文书送达。一方变更名称、联系方式、地址的，应当在变更后</w:t>
      </w:r>
      <w:r>
        <w:rPr>
          <w:sz w:val="21"/>
        </w:rPr>
        <w:t>3</w:t>
      </w:r>
      <w:r>
        <w:rPr>
          <w:sz w:val="21"/>
        </w:rPr>
        <w:t>个工作日内及时书面通知另一方。另一方实际收到变更通知前，按原地址和联系方式邮寄相关材料或通知相关信息即视为已履行送达义务。当面交付的，在交付之时视为送达；以邮寄方式交付的，寄出、发出或者投邮后即视为送达。</w:t>
      </w:r>
    </w:p>
    <w:p>
      <w:pPr>
        <w:pStyle w:val="null3"/>
        <w:jc w:val="both"/>
      </w:pPr>
      <w:r>
        <w:rPr>
          <w:sz w:val="21"/>
        </w:rPr>
        <w:t>九、其他</w:t>
      </w:r>
    </w:p>
    <w:p>
      <w:pPr>
        <w:pStyle w:val="null3"/>
        <w:jc w:val="both"/>
      </w:pPr>
      <w:r>
        <w:rPr>
          <w:sz w:val="21"/>
        </w:rPr>
        <w:t>1</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jc w:val="both"/>
      </w:pPr>
      <w:r>
        <w:rPr>
          <w:sz w:val="21"/>
        </w:rPr>
        <w:t>2</w:t>
      </w:r>
      <w:r>
        <w:rPr>
          <w:sz w:val="21"/>
        </w:rPr>
        <w:t>、因本合同而起或与本合同相关的一切争议，由双方协商或调解解决，协商或调解不成时，任一方均可向合同签订地有管辖权的人民法院起诉。本合同的成立、有效性、解释、履行、签署、修订和终止以及争议的解决均应适用中华人民共和国法律（香港、澳门与台湾地区的法律除外）。在协商或诉讼期间，双方应继续执行合同不涉及争议部分的条款。</w:t>
      </w:r>
    </w:p>
    <w:p>
      <w:pPr>
        <w:pStyle w:val="null3"/>
        <w:jc w:val="both"/>
      </w:pPr>
      <w:r>
        <w:rPr>
          <w:sz w:val="21"/>
        </w:rPr>
        <w:t>3</w:t>
      </w:r>
      <w:r>
        <w:rPr>
          <w:sz w:val="21"/>
        </w:rPr>
        <w:t>、本合同一式陆份，甲方执四份，乙方执贰份，均为正本，具有同等法律效力。本合同未尽事宜或合同变更事项，由双方友好协商并签订补充协议，补充协议与本合同有不一致的，以补充协议为准。</w:t>
      </w:r>
    </w:p>
    <w:p>
      <w:pPr>
        <w:pStyle w:val="null3"/>
        <w:jc w:val="both"/>
      </w:pPr>
      <w:r>
        <w:rPr>
          <w:sz w:val="21"/>
        </w:rPr>
        <w:t>4</w:t>
      </w:r>
      <w:r>
        <w:rPr>
          <w:sz w:val="21"/>
        </w:rPr>
        <w:t>、本合同签订地：广州市白云区沙太南路</w:t>
      </w:r>
      <w:r>
        <w:rPr>
          <w:sz w:val="21"/>
        </w:rPr>
        <w:t>1023</w:t>
      </w:r>
      <w:r>
        <w:rPr>
          <w:sz w:val="21"/>
        </w:rPr>
        <w:t>号</w:t>
      </w:r>
      <w:r>
        <w:rPr>
          <w:sz w:val="21"/>
        </w:rPr>
        <w:t>-1063</w:t>
      </w:r>
      <w:r>
        <w:rPr>
          <w:sz w:val="21"/>
        </w:rPr>
        <w:t>号南方医科大学。</w:t>
      </w:r>
    </w:p>
    <w:p>
      <w:pPr>
        <w:pStyle w:val="null3"/>
        <w:jc w:val="both"/>
      </w:pPr>
      <w:r>
        <w:rPr>
          <w:sz w:val="21"/>
        </w:rPr>
        <w:t>5</w:t>
      </w:r>
      <w:r>
        <w:rPr>
          <w:sz w:val="21"/>
        </w:rPr>
        <w:t>、本合同自双方签字盖章之日起生效。</w:t>
      </w:r>
    </w:p>
    <w:p>
      <w:pPr>
        <w:pStyle w:val="null3"/>
        <w:jc w:val="both"/>
      </w:pPr>
      <w:r>
        <w:rPr>
          <w:sz w:val="21"/>
        </w:rPr>
        <w:t>6</w:t>
      </w:r>
      <w:r>
        <w:rPr>
          <w:sz w:val="21"/>
        </w:rPr>
        <w:t>、乙方保证安全、文明履行合同义务。乙方在履行合同过程中造成的人身、财产损害由乙方独立承担责任。</w:t>
      </w:r>
    </w:p>
    <w:p>
      <w:pPr>
        <w:pStyle w:val="null3"/>
        <w:jc w:val="both"/>
      </w:pPr>
      <w:r>
        <w:rPr>
          <w:sz w:val="21"/>
        </w:rPr>
        <w:t>7</w:t>
      </w:r>
      <w:r>
        <w:rPr>
          <w:sz w:val="21"/>
        </w:rPr>
        <w:t>、下列文件是本合同的组成部分，彼此相互解释，互为说明。当出现相互矛盾时，组成本合同文件的优先解释顺序如下：</w:t>
      </w:r>
    </w:p>
    <w:p>
      <w:pPr>
        <w:pStyle w:val="null3"/>
        <w:jc w:val="both"/>
      </w:pPr>
      <w:r>
        <w:rPr>
          <w:sz w:val="21"/>
        </w:rPr>
        <w:t>(1)</w:t>
      </w:r>
      <w:r>
        <w:rPr>
          <w:sz w:val="21"/>
        </w:rPr>
        <w:t>履行本合同的相关补充协议（含会议纪要）；</w:t>
      </w:r>
    </w:p>
    <w:p>
      <w:pPr>
        <w:pStyle w:val="null3"/>
        <w:jc w:val="both"/>
      </w:pPr>
      <w:r>
        <w:rPr>
          <w:sz w:val="21"/>
        </w:rPr>
        <w:t>(2)</w:t>
      </w:r>
      <w:r>
        <w:rPr>
          <w:sz w:val="21"/>
        </w:rPr>
        <w:t>本合同及其附件；</w:t>
      </w:r>
    </w:p>
    <w:p>
      <w:pPr>
        <w:pStyle w:val="null3"/>
        <w:jc w:val="both"/>
      </w:pPr>
      <w:r>
        <w:rPr>
          <w:sz w:val="21"/>
        </w:rPr>
        <w:t>(3)</w:t>
      </w:r>
      <w:r>
        <w:rPr>
          <w:sz w:val="21"/>
        </w:rPr>
        <w:t>中标通知书；</w:t>
      </w:r>
    </w:p>
    <w:p>
      <w:pPr>
        <w:pStyle w:val="null3"/>
        <w:jc w:val="both"/>
      </w:pPr>
      <w:r>
        <w:rPr>
          <w:sz w:val="21"/>
        </w:rPr>
        <w:t>(4)</w:t>
      </w:r>
      <w:r>
        <w:rPr>
          <w:sz w:val="21"/>
        </w:rPr>
        <w:t>采购文件；</w:t>
      </w:r>
    </w:p>
    <w:p>
      <w:pPr>
        <w:pStyle w:val="null3"/>
        <w:jc w:val="both"/>
      </w:pPr>
      <w:r>
        <w:rPr>
          <w:sz w:val="21"/>
        </w:rPr>
        <w:t>(5)</w:t>
      </w:r>
      <w:r>
        <w:rPr>
          <w:sz w:val="21"/>
        </w:rPr>
        <w:t>乙方投标文件及其附件（含评标期间的澄清文件和补充资料）。</w:t>
      </w:r>
    </w:p>
    <w:p>
      <w:pPr>
        <w:pStyle w:val="null3"/>
        <w:jc w:val="both"/>
      </w:pPr>
      <w:r>
        <w:rPr>
          <w:sz w:val="21"/>
        </w:rPr>
        <w:t>8</w:t>
      </w:r>
      <w:r>
        <w:rPr>
          <w:sz w:val="21"/>
        </w:rPr>
        <w:t>、附件：</w:t>
      </w:r>
    </w:p>
    <w:p>
      <w:pPr>
        <w:pStyle w:val="null3"/>
        <w:jc w:val="both"/>
      </w:pPr>
      <w:r>
        <w:rPr>
          <w:sz w:val="21"/>
        </w:rPr>
        <w:t>(1)</w:t>
      </w:r>
      <w:r>
        <w:rPr>
          <w:sz w:val="21"/>
        </w:rPr>
        <w:t>配置清单；</w:t>
      </w:r>
    </w:p>
    <w:p>
      <w:pPr>
        <w:pStyle w:val="null3"/>
        <w:jc w:val="both"/>
      </w:pPr>
      <w:r>
        <w:rPr>
          <w:sz w:val="21"/>
        </w:rPr>
        <w:t>(2)</w:t>
      </w:r>
      <w:r>
        <w:rPr>
          <w:sz w:val="21"/>
        </w:rPr>
        <w:t>技术参数。</w:t>
      </w:r>
    </w:p>
    <w:p>
      <w:pPr>
        <w:pStyle w:val="null3"/>
        <w:jc w:val="both"/>
      </w:pPr>
      <w:r>
        <w:rPr>
          <w:sz w:val="21"/>
        </w:rPr>
        <w:t>（以下无正文，为本合同的签署部分及附件）</w:t>
      </w:r>
    </w:p>
    <w:tbl>
      <w:tblPr>
        <w:tblW w:w="0" w:type="auto"/>
        <w:tblBorders>
          <w:top w:val="none" w:color="000000" w:sz="4"/>
          <w:left w:val="none" w:color="000000" w:sz="4"/>
          <w:bottom w:val="none" w:color="000000" w:sz="4"/>
          <w:right w:val="none" w:color="000000" w:sz="4"/>
          <w:insideH w:val="none"/>
          <w:insideV w:val="none"/>
        </w:tblBorders>
      </w:tblPr>
      <w:tblGrid>
        <w:gridCol w:w="3798"/>
        <w:gridCol w:w="4507"/>
      </w:tblGrid>
      <w:tr>
        <w:tc>
          <w:tcPr>
            <w:tcW w:type="dxa" w:w="37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甲方（盖章）：南方医科大学</w:t>
            </w:r>
          </w:p>
        </w:tc>
        <w:tc>
          <w:tcPr>
            <w:tcW w:type="dxa" w:w="45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r>
              <w:rPr>
                <w:sz w:val="21"/>
              </w:rPr>
              <w:t>××××公司</w:t>
            </w:r>
          </w:p>
          <w:p>
            <w:pPr>
              <w:pStyle w:val="null3"/>
              <w:jc w:val="both"/>
            </w:pPr>
          </w:p>
        </w:tc>
      </w:tr>
      <w:tr>
        <w:tc>
          <w:tcPr>
            <w:tcW w:type="dxa" w:w="37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代表签字：</w:t>
            </w:r>
          </w:p>
        </w:tc>
        <w:tc>
          <w:tcPr>
            <w:tcW w:type="dxa" w:w="45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联系电话（手机及座机）：</w:t>
            </w:r>
          </w:p>
        </w:tc>
      </w:tr>
      <w:tr>
        <w:tc>
          <w:tcPr>
            <w:tcW w:type="dxa" w:w="37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5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代表签字：</w:t>
            </w:r>
          </w:p>
        </w:tc>
      </w:tr>
      <w:tr>
        <w:tc>
          <w:tcPr>
            <w:tcW w:type="dxa" w:w="37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通讯地址：</w:t>
            </w:r>
          </w:p>
        </w:tc>
        <w:tc>
          <w:tcPr>
            <w:tcW w:type="dxa" w:w="45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通讯地址：</w:t>
            </w:r>
          </w:p>
        </w:tc>
      </w:tr>
      <w:tr>
        <w:tc>
          <w:tcPr>
            <w:tcW w:type="dxa" w:w="37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签字日期：</w:t>
            </w:r>
          </w:p>
        </w:tc>
        <w:tc>
          <w:tcPr>
            <w:tcW w:type="dxa" w:w="45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签字日期：</w:t>
            </w:r>
          </w:p>
        </w:tc>
      </w:tr>
    </w:tbl>
    <w:p>
      <w:pPr>
        <w:pStyle w:val="null3"/>
        <w:jc w:val="both"/>
      </w:pPr>
      <w:r>
        <w:rPr>
          <w:sz w:val="21"/>
        </w:rPr>
        <w:t>附件</w:t>
      </w:r>
      <w:r>
        <w:rPr>
          <w:sz w:val="21"/>
        </w:rPr>
        <w:t>1</w:t>
      </w:r>
      <w:r>
        <w:rPr>
          <w:sz w:val="21"/>
        </w:rPr>
        <w:t>：配置清单</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pPr>
            <w:r>
              <w:rPr>
                <w:sz w:val="19"/>
              </w:rPr>
              <w:t>流水号</w:t>
            </w:r>
          </w:p>
        </w:tc>
        <w:tc>
          <w:tcPr>
            <w:tcW w:type="dxa" w:w="1384"/>
          </w:tcPr>
          <w:p>
            <w:pPr>
              <w:pStyle w:val="null3"/>
            </w:pPr>
            <w:r>
              <w:rPr>
                <w:sz w:val="19"/>
              </w:rPr>
              <w:t>设备名称</w:t>
            </w:r>
          </w:p>
        </w:tc>
        <w:tc>
          <w:tcPr>
            <w:tcW w:type="dxa" w:w="1384"/>
          </w:tcPr>
          <w:p>
            <w:pPr>
              <w:pStyle w:val="null3"/>
            </w:pPr>
            <w:r>
              <w:rPr>
                <w:sz w:val="19"/>
              </w:rPr>
              <w:t>型号规格</w:t>
            </w:r>
          </w:p>
        </w:tc>
        <w:tc>
          <w:tcPr>
            <w:tcW w:type="dxa" w:w="1384"/>
          </w:tcPr>
          <w:p>
            <w:pPr>
              <w:pStyle w:val="null3"/>
            </w:pPr>
            <w:r>
              <w:rPr>
                <w:sz w:val="19"/>
              </w:rPr>
              <w:t>数量</w:t>
            </w:r>
          </w:p>
        </w:tc>
        <w:tc>
          <w:tcPr>
            <w:tcW w:type="dxa" w:w="1384"/>
          </w:tcPr>
          <w:p>
            <w:pPr>
              <w:pStyle w:val="null3"/>
            </w:pPr>
            <w:r>
              <w:rPr>
                <w:sz w:val="19"/>
              </w:rPr>
              <w:t>配置清单</w:t>
            </w:r>
          </w:p>
          <w:p>
            <w:pPr>
              <w:pStyle w:val="null3"/>
            </w:pPr>
            <w:r>
              <w:rPr>
                <w:sz w:val="19"/>
              </w:rPr>
              <w:t>（列清配件型号、数量，是否是国内供货还是国外供货）</w:t>
            </w:r>
          </w:p>
        </w:tc>
        <w:tc>
          <w:tcPr>
            <w:tcW w:type="dxa" w:w="1384"/>
          </w:tcPr>
          <w:p>
            <w:pPr>
              <w:pStyle w:val="null3"/>
            </w:pPr>
            <w:r>
              <w:rPr>
                <w:sz w:val="19"/>
              </w:rPr>
              <w:t>用户确认</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bl>
    <w:p>
      <w:pPr>
        <w:pStyle w:val="null3"/>
        <w:jc w:val="both"/>
      </w:pPr>
      <w:r>
        <w:rPr>
          <w:sz w:val="21"/>
        </w:rPr>
        <w:t>附件</w:t>
      </w:r>
      <w:r>
        <w:rPr>
          <w:sz w:val="21"/>
        </w:rPr>
        <w:t>2</w:t>
      </w:r>
      <w:r>
        <w:rPr>
          <w:sz w:val="21"/>
        </w:rPr>
        <w:t>：技术参数</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流水号</w:t>
            </w:r>
          </w:p>
        </w:tc>
        <w:tc>
          <w:tcPr>
            <w:tcW w:type="dxa" w:w="2076"/>
          </w:tcPr>
          <w:p>
            <w:pPr>
              <w:pStyle w:val="null3"/>
            </w:pPr>
            <w:r>
              <w:rPr>
                <w:sz w:val="19"/>
              </w:rPr>
              <w:t>货物名称</w:t>
            </w:r>
          </w:p>
        </w:tc>
        <w:tc>
          <w:tcPr>
            <w:tcW w:type="dxa" w:w="2076"/>
          </w:tcPr>
          <w:p>
            <w:pPr>
              <w:pStyle w:val="null3"/>
            </w:pPr>
            <w:r>
              <w:rPr>
                <w:sz w:val="19"/>
              </w:rPr>
              <w:t>技术参数</w:t>
            </w:r>
          </w:p>
        </w:tc>
        <w:tc>
          <w:tcPr>
            <w:tcW w:type="dxa" w:w="2076"/>
          </w:tcPr>
          <w:p>
            <w:pPr>
              <w:pStyle w:val="null3"/>
            </w:pPr>
            <w:r>
              <w:rPr>
                <w:sz w:val="19"/>
              </w:rPr>
              <w:t>用户确认</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r>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c>
          <w:tcPr>
            <w:tcW w:type="dxa" w:w="2076"/>
          </w:tcPr>
          <w:p>
            <w:pPr>
              <w:pStyle w:val="null3"/>
            </w:pPr>
            <w:r>
              <w:rPr>
                <w:sz w:val="19"/>
              </w:rPr>
              <w:t xml:space="preserve"> </w:t>
            </w:r>
          </w:p>
        </w:tc>
      </w:tr>
    </w:tbl>
    <w:p>
      <w:pPr>
        <w:pStyle w:val="null3"/>
        <w:jc w:val="both"/>
      </w:pPr>
      <w:r>
        <w:rPr>
          <w:sz w:val="21"/>
        </w:rPr>
        <w:t>附件</w:t>
      </w:r>
      <w:r>
        <w:rPr>
          <w:sz w:val="21"/>
        </w:rPr>
        <w:t>3</w:t>
      </w:r>
      <w:r>
        <w:rPr>
          <w:sz w:val="21"/>
        </w:rPr>
        <w:t>：用户信息</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Pr>
          <w:p>
            <w:pPr>
              <w:pStyle w:val="null3"/>
            </w:pPr>
            <w:r>
              <w:rPr>
                <w:sz w:val="19"/>
              </w:rPr>
              <w:t>流水号</w:t>
            </w:r>
          </w:p>
        </w:tc>
        <w:tc>
          <w:tcPr>
            <w:tcW w:type="dxa" w:w="1384"/>
          </w:tcPr>
          <w:p>
            <w:pPr>
              <w:pStyle w:val="null3"/>
            </w:pPr>
            <w:r>
              <w:rPr>
                <w:sz w:val="19"/>
              </w:rPr>
              <w:t>货物名称</w:t>
            </w:r>
          </w:p>
        </w:tc>
        <w:tc>
          <w:tcPr>
            <w:tcW w:type="dxa" w:w="1384"/>
          </w:tcPr>
          <w:p>
            <w:pPr>
              <w:pStyle w:val="null3"/>
            </w:pPr>
            <w:r>
              <w:rPr>
                <w:sz w:val="19"/>
              </w:rPr>
              <w:t>联系人</w:t>
            </w:r>
          </w:p>
        </w:tc>
        <w:tc>
          <w:tcPr>
            <w:tcW w:type="dxa" w:w="1384"/>
          </w:tcPr>
          <w:p>
            <w:pPr>
              <w:pStyle w:val="null3"/>
            </w:pPr>
            <w:r>
              <w:rPr>
                <w:sz w:val="19"/>
              </w:rPr>
              <w:t>单位</w:t>
            </w:r>
          </w:p>
        </w:tc>
        <w:tc>
          <w:tcPr>
            <w:tcW w:type="dxa" w:w="1384"/>
          </w:tcPr>
          <w:p>
            <w:pPr>
              <w:pStyle w:val="null3"/>
            </w:pPr>
            <w:r>
              <w:rPr>
                <w:sz w:val="19"/>
              </w:rPr>
              <w:t>放置地点</w:t>
            </w:r>
          </w:p>
        </w:tc>
        <w:tc>
          <w:tcPr>
            <w:tcW w:type="dxa" w:w="1384"/>
          </w:tcPr>
          <w:p>
            <w:pPr>
              <w:pStyle w:val="null3"/>
            </w:pPr>
            <w:r>
              <w:rPr>
                <w:sz w:val="19"/>
              </w:rPr>
              <w:t>联系方式</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r>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c>
          <w:tcPr>
            <w:tcW w:type="dxa" w:w="1384"/>
          </w:tcPr>
          <w:p>
            <w:pPr>
              <w:pStyle w:val="null3"/>
            </w:pPr>
            <w:r>
              <w:rPr>
                <w:sz w:val="19"/>
              </w:rPr>
              <w:t xml:space="preserve"> </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440001-2024-57404</w:t>
      </w:r>
    </w:p>
    <w:p>
      <w:pPr>
        <w:pStyle w:val="null3"/>
        <w:jc w:val="center"/>
        <w:outlineLvl w:val="3"/>
      </w:pPr>
      <w:r>
        <w:rPr>
          <w:sz w:val="24"/>
          <w:b/>
        </w:rPr>
        <w:t>采购项目编号：</w:t>
      </w:r>
      <w:r>
        <w:rPr>
          <w:sz w:val="24"/>
          <w:b/>
        </w:rPr>
        <w:t>1210-2441YDZB8606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2024JK-02南方医科大学中心实验室购电镜等科研设备一批</w:t>
      </w:r>
      <w:r>
        <w:rPr>
          <w:u w:val="single"/>
        </w:rPr>
        <w:t>”</w:t>
      </w:r>
      <w:r>
        <w:rPr/>
        <w:t>项目的招标[采购项目编号为：</w:t>
      </w:r>
      <w:r>
        <w:rPr>
          <w:u w:val="single"/>
        </w:rPr>
        <w:t>1210-2441YDZB8606</w:t>
      </w:r>
      <w:r>
        <w:rPr/>
        <w:t>]，我方愿参与投标。</w:t>
      </w:r>
    </w:p>
    <w:p>
      <w:pPr>
        <w:pStyle w:val="null3"/>
        <w:ind w:firstLine="480"/>
      </w:pPr>
      <w:r>
        <w:rPr/>
        <w:t>我方确认收到贵方提供的</w:t>
      </w:r>
      <w:r>
        <w:rPr>
          <w:u w:val="single"/>
        </w:rPr>
        <w:t>“</w:t>
      </w:r>
      <w:r>
        <w:rPr>
          <w:u w:val="single"/>
        </w:rPr>
        <w:t>2024JK-02南方医科大学中心实验室购电镜等科研设备一批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2024JK-02南方医科大学中心实验室购电镜等科研设备一批</w:t>
      </w:r>
      <w:r>
        <w:rPr/>
        <w:t>”项目采购[采购项目编号为</w:t>
      </w:r>
      <w:r>
        <w:rPr/>
        <w:t>1210-2441YDZB8606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2024JK-02南方医科大学中心实验室购电镜等科研设备一批</w:t>
      </w:r>
      <w:r>
        <w:rPr/>
        <w:t>招标中获中标（采购项目编号：</w:t>
      </w:r>
      <w:r>
        <w:rPr/>
        <w:t>1210-2441YDZB8606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w:t>
      </w:r>
    </w:p>
    <w:p>
      <w:pPr>
        <w:pStyle w:val="null3"/>
        <w:ind w:firstLine="480"/>
      </w:pPr>
      <w:r>
        <w:rPr/>
        <w:t>我单位已登记并准备参与“</w:t>
      </w:r>
      <w:r>
        <w:rPr/>
        <w:t>2024JK-02南方医科大学中心实验室购电镜等科研设备一批</w:t>
      </w:r>
      <w:r>
        <w:rPr/>
        <w:t>”项目（采购项目编号：</w:t>
      </w:r>
      <w:r>
        <w:rPr/>
        <w:t>1210-2441YDZB8606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