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49E229">
      <w:pPr>
        <w:pStyle w:val="8"/>
        <w:spacing w:line="360" w:lineRule="auto"/>
        <w:jc w:val="both"/>
        <w:outlineLvl w:val="2"/>
        <w:rPr>
          <w:rFonts w:hint="eastAsia" w:ascii="宋体" w:hAnsi="宋体" w:eastAsia="宋体" w:cs="宋体"/>
          <w:color w:val="auto"/>
        </w:rPr>
      </w:pPr>
      <w:r>
        <w:rPr>
          <w:rFonts w:hint="eastAsia" w:ascii="宋体" w:hAnsi="宋体" w:eastAsia="宋体" w:cs="宋体"/>
          <w:b/>
          <w:color w:val="auto"/>
          <w:sz w:val="28"/>
        </w:rPr>
        <w:t>二、技术和服务要求（以“★”标示的内容为不允许负偏离的实质性要求）</w:t>
      </w:r>
    </w:p>
    <w:p w14:paraId="7B3621B9">
      <w:pPr>
        <w:pStyle w:val="8"/>
        <w:spacing w:line="360" w:lineRule="auto"/>
        <w:jc w:val="both"/>
        <w:outlineLvl w:val="2"/>
        <w:rPr>
          <w:rFonts w:hint="eastAsia" w:ascii="宋体" w:hAnsi="宋体" w:eastAsia="宋体" w:cs="宋体"/>
          <w:b w:val="0"/>
          <w:bCs/>
          <w:color w:val="auto"/>
          <w:sz w:val="24"/>
          <w:szCs w:val="24"/>
          <w:lang w:val="en-US" w:eastAsia="zh-CN"/>
        </w:rPr>
      </w:pPr>
      <w:r>
        <w:rPr>
          <w:rFonts w:hint="eastAsia" w:ascii="宋体" w:hAnsi="宋体" w:eastAsia="宋体" w:cs="宋体"/>
          <w:b/>
          <w:color w:val="auto"/>
          <w:sz w:val="28"/>
        </w:rPr>
        <w:t>★</w:t>
      </w:r>
      <w:r>
        <w:rPr>
          <w:rFonts w:hint="eastAsia" w:ascii="宋体" w:hAnsi="宋体" w:eastAsia="宋体" w:cs="宋体"/>
          <w:b w:val="0"/>
          <w:bCs/>
          <w:color w:val="auto"/>
          <w:sz w:val="24"/>
          <w:szCs w:val="24"/>
          <w:lang w:val="en-US" w:eastAsia="zh-CN"/>
        </w:rPr>
        <w:t>1、采购清单</w:t>
      </w:r>
    </w:p>
    <w:tbl>
      <w:tblPr>
        <w:tblStyle w:val="4"/>
        <w:tblW w:w="498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22"/>
        <w:gridCol w:w="1065"/>
        <w:gridCol w:w="4402"/>
        <w:gridCol w:w="498"/>
        <w:gridCol w:w="657"/>
        <w:gridCol w:w="2478"/>
      </w:tblGrid>
      <w:tr w14:paraId="1EC7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367" w:type="pct"/>
            <w:shd w:val="clear" w:color="auto" w:fill="auto"/>
            <w:vAlign w:val="center"/>
          </w:tcPr>
          <w:p w14:paraId="2EF9E102">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序号</w:t>
            </w:r>
          </w:p>
        </w:tc>
        <w:tc>
          <w:tcPr>
            <w:tcW w:w="542" w:type="pct"/>
            <w:shd w:val="clear" w:color="auto" w:fill="auto"/>
            <w:vAlign w:val="center"/>
          </w:tcPr>
          <w:p w14:paraId="54F090E8">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产品名称</w:t>
            </w:r>
          </w:p>
        </w:tc>
        <w:tc>
          <w:tcPr>
            <w:tcW w:w="2240" w:type="pct"/>
            <w:shd w:val="clear" w:color="auto" w:fill="auto"/>
            <w:vAlign w:val="center"/>
          </w:tcPr>
          <w:p w14:paraId="79934E91">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技术参数要求</w:t>
            </w:r>
          </w:p>
        </w:tc>
        <w:tc>
          <w:tcPr>
            <w:tcW w:w="253" w:type="pct"/>
            <w:shd w:val="clear" w:color="auto" w:fill="auto"/>
            <w:vAlign w:val="center"/>
          </w:tcPr>
          <w:p w14:paraId="52396D86">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单位</w:t>
            </w:r>
          </w:p>
        </w:tc>
        <w:tc>
          <w:tcPr>
            <w:tcW w:w="334" w:type="pct"/>
            <w:shd w:val="clear" w:color="auto" w:fill="auto"/>
            <w:vAlign w:val="center"/>
          </w:tcPr>
          <w:p w14:paraId="3AC5DFA2">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数量</w:t>
            </w:r>
          </w:p>
        </w:tc>
        <w:tc>
          <w:tcPr>
            <w:tcW w:w="1261" w:type="pct"/>
            <w:shd w:val="clear" w:color="auto" w:fill="auto"/>
            <w:vAlign w:val="center"/>
          </w:tcPr>
          <w:p w14:paraId="4A3776FD">
            <w:pPr>
              <w:keepNext w:val="0"/>
              <w:keepLines w:val="0"/>
              <w:widowControl/>
              <w:suppressLineNumbers w:val="0"/>
              <w:spacing w:line="360" w:lineRule="auto"/>
              <w:jc w:val="center"/>
              <w:textAlignment w:val="center"/>
              <w:rPr>
                <w:rFonts w:hint="eastAsia" w:ascii="宋体" w:hAnsi="宋体" w:eastAsia="宋体" w:cs="宋体"/>
                <w:b/>
                <w:bCs/>
                <w:i w:val="0"/>
                <w:iCs w:val="0"/>
                <w:color w:val="auto"/>
                <w:kern w:val="0"/>
                <w:sz w:val="24"/>
                <w:szCs w:val="24"/>
                <w:highlight w:val="none"/>
                <w:u w:val="none"/>
                <w:lang w:val="en-US" w:eastAsia="zh-CN" w:bidi="ar"/>
              </w:rPr>
            </w:pPr>
            <w:r>
              <w:rPr>
                <w:rFonts w:hint="eastAsia" w:ascii="宋体" w:hAnsi="宋体" w:eastAsia="宋体" w:cs="宋体"/>
                <w:b/>
                <w:bCs/>
                <w:i w:val="0"/>
                <w:iCs w:val="0"/>
                <w:color w:val="auto"/>
                <w:kern w:val="0"/>
                <w:sz w:val="24"/>
                <w:szCs w:val="24"/>
                <w:highlight w:val="none"/>
                <w:u w:val="none"/>
                <w:lang w:val="en-US" w:eastAsia="zh-CN" w:bidi="ar"/>
              </w:rPr>
              <w:t>参考图片</w:t>
            </w:r>
          </w:p>
        </w:tc>
      </w:tr>
      <w:tr w14:paraId="0D855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0" w:hRule="atLeast"/>
        </w:trPr>
        <w:tc>
          <w:tcPr>
            <w:tcW w:w="5000" w:type="pct"/>
            <w:gridSpan w:val="6"/>
            <w:shd w:val="clear" w:color="auto" w:fill="auto"/>
            <w:noWrap/>
            <w:vAlign w:val="center"/>
          </w:tcPr>
          <w:p w14:paraId="4CAB8BBB">
            <w:pPr>
              <w:spacing w:line="360" w:lineRule="auto"/>
              <w:jc w:val="center"/>
              <w:rPr>
                <w:rFonts w:hint="eastAsia" w:ascii="宋体" w:hAnsi="宋体" w:eastAsia="宋体" w:cs="宋体"/>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一、信息化设备</w:t>
            </w:r>
          </w:p>
        </w:tc>
      </w:tr>
      <w:tr w14:paraId="5B355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7" w:hRule="atLeast"/>
        </w:trPr>
        <w:tc>
          <w:tcPr>
            <w:tcW w:w="367" w:type="pct"/>
            <w:shd w:val="clear" w:color="auto" w:fill="auto"/>
            <w:vAlign w:val="center"/>
          </w:tcPr>
          <w:p w14:paraId="534F0AE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542" w:type="pct"/>
            <w:shd w:val="clear" w:color="auto" w:fill="auto"/>
            <w:vAlign w:val="center"/>
          </w:tcPr>
          <w:p w14:paraId="1283A40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图书馆管理系统</w:t>
            </w:r>
          </w:p>
        </w:tc>
        <w:tc>
          <w:tcPr>
            <w:tcW w:w="2240" w:type="pct"/>
            <w:shd w:val="clear" w:color="auto" w:fill="auto"/>
            <w:vAlign w:val="center"/>
          </w:tcPr>
          <w:p w14:paraId="59AF7495">
            <w:pPr>
              <w:pStyle w:val="8"/>
              <w:spacing w:line="360" w:lineRule="auto"/>
              <w:jc w:val="both"/>
              <w:rPr>
                <w:rStyle w:val="10"/>
                <w:rFonts w:hint="eastAsia" w:ascii="宋体" w:hAnsi="宋体" w:eastAsia="宋体" w:cs="宋体"/>
                <w:b/>
                <w:bCs/>
                <w:color w:val="auto"/>
                <w:sz w:val="24"/>
                <w:szCs w:val="24"/>
                <w:highlight w:val="none"/>
                <w:u w:val="single"/>
                <w:lang w:val="en-US" w:eastAsia="zh-CN" w:bidi="ar"/>
              </w:rPr>
            </w:pPr>
            <w:r>
              <w:rPr>
                <w:rStyle w:val="9"/>
                <w:rFonts w:hint="eastAsia" w:ascii="宋体" w:hAnsi="宋体" w:eastAsia="宋体" w:cs="宋体"/>
                <w:color w:val="auto"/>
                <w:sz w:val="24"/>
                <w:szCs w:val="24"/>
                <w:highlight w:val="none"/>
                <w:lang w:val="en-US" w:eastAsia="zh-CN" w:bidi="ar"/>
              </w:rPr>
              <w:t>1、智慧图书管理系统：</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1.1本系统至少包含15个功能模块：首页、组织用户、读者管理、流通管理、编目管理、采访管理、典藏管理、统计管理、设备管理、门禁管理、发布管理、客户管理、日志管理、期刊管理、系统管理。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1.2图书馆管理系统采用B/S模式，可进行跨平台多平台使用，支持传统windows系统，安卓系统，国产化统信系统、麒麟系统均能正常使用。</w:t>
            </w:r>
            <w:r>
              <w:rPr>
                <w:rFonts w:hint="eastAsia" w:ascii="宋体" w:hAnsi="宋体" w:eastAsia="宋体" w:cs="宋体"/>
                <w:b/>
                <w:color w:val="auto"/>
                <w:sz w:val="24"/>
                <w:szCs w:val="24"/>
                <w:highlight w:val="none"/>
                <w:u w:val="single"/>
              </w:rPr>
              <w:t>投标人须在</w:t>
            </w:r>
            <w:r>
              <w:rPr>
                <w:rFonts w:hint="eastAsia" w:ascii="宋体" w:hAnsi="宋体" w:eastAsia="宋体" w:cs="宋体"/>
                <w:b/>
                <w:color w:val="auto"/>
                <w:sz w:val="24"/>
                <w:szCs w:val="24"/>
                <w:highlight w:val="none"/>
                <w:u w:val="single"/>
                <w:lang w:eastAsia="zh-CN"/>
              </w:rPr>
              <w:t>投标文件</w:t>
            </w:r>
            <w:r>
              <w:rPr>
                <w:rFonts w:hint="eastAsia" w:ascii="宋体" w:hAnsi="宋体" w:eastAsia="宋体" w:cs="宋体"/>
                <w:b/>
                <w:color w:val="auto"/>
                <w:sz w:val="24"/>
                <w:szCs w:val="24"/>
                <w:highlight w:val="none"/>
                <w:u w:val="single"/>
              </w:rPr>
              <w:t>技术商务部分中针对</w:t>
            </w:r>
            <w:r>
              <w:rPr>
                <w:rFonts w:hint="eastAsia" w:ascii="宋体" w:hAnsi="宋体" w:eastAsia="宋体" w:cs="宋体"/>
                <w:b/>
                <w:color w:val="auto"/>
                <w:sz w:val="24"/>
                <w:szCs w:val="24"/>
                <w:highlight w:val="none"/>
                <w:u w:val="single"/>
                <w:lang w:eastAsia="zh-CN"/>
              </w:rPr>
              <w:t>本</w:t>
            </w:r>
            <w:r>
              <w:rPr>
                <w:rFonts w:hint="eastAsia" w:ascii="宋体" w:hAnsi="宋体" w:eastAsia="宋体" w:cs="宋体"/>
                <w:b/>
                <w:color w:val="auto"/>
                <w:sz w:val="24"/>
                <w:szCs w:val="24"/>
                <w:highlight w:val="none"/>
                <w:u w:val="single"/>
              </w:rPr>
              <w:t>项</w:t>
            </w:r>
            <w:r>
              <w:rPr>
                <w:rFonts w:hint="eastAsia" w:ascii="宋体" w:hAnsi="宋体" w:eastAsia="宋体" w:cs="宋体"/>
                <w:b/>
                <w:color w:val="auto"/>
                <w:sz w:val="24"/>
                <w:szCs w:val="24"/>
                <w:highlight w:val="none"/>
                <w:u w:val="single"/>
                <w:lang w:eastAsia="zh-CN"/>
              </w:rPr>
              <w:t>内容</w:t>
            </w:r>
            <w:r>
              <w:rPr>
                <w:rFonts w:hint="eastAsia" w:ascii="宋体" w:hAnsi="宋体" w:eastAsia="宋体" w:cs="宋体"/>
                <w:b/>
                <w:color w:val="auto"/>
                <w:sz w:val="24"/>
                <w:szCs w:val="24"/>
                <w:highlight w:val="none"/>
                <w:u w:val="single"/>
              </w:rPr>
              <w:t>提供单独</w:t>
            </w:r>
            <w:r>
              <w:rPr>
                <w:rFonts w:hint="eastAsia" w:ascii="宋体" w:hAnsi="宋体" w:eastAsia="宋体" w:cs="宋体"/>
                <w:b/>
                <w:color w:val="auto"/>
                <w:sz w:val="24"/>
                <w:szCs w:val="24"/>
                <w:highlight w:val="none"/>
                <w:u w:val="single"/>
                <w:lang w:eastAsia="zh-CN"/>
              </w:rPr>
              <w:t>的</w:t>
            </w:r>
            <w:r>
              <w:rPr>
                <w:rFonts w:hint="eastAsia" w:ascii="宋体" w:hAnsi="宋体" w:eastAsia="宋体" w:cs="宋体"/>
                <w:b/>
                <w:color w:val="auto"/>
                <w:sz w:val="24"/>
                <w:szCs w:val="24"/>
                <w:highlight w:val="none"/>
                <w:u w:val="single"/>
              </w:rPr>
              <w:t>承诺函（格式自拟），在《技术和服务要求响应表》和《商务条件响应表》进行响应的，不视为单独的承诺函。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2、首页功能。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2.1常用功能：系统用户登录后可对经常使用模块进行快捷键设置，点击即可进入对应功能模块进行操作。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2.2饼图百分比展示：</w:t>
            </w:r>
            <w:r>
              <w:rPr>
                <w:rStyle w:val="9"/>
                <w:rFonts w:hint="eastAsia" w:ascii="宋体" w:hAnsi="宋体" w:eastAsia="宋体" w:cs="宋体"/>
                <w:color w:val="auto"/>
                <w:sz w:val="24"/>
                <w:szCs w:val="24"/>
                <w:highlight w:val="none"/>
                <w:lang w:bidi="ar"/>
              </w:rPr>
              <w:t>根据中图法：1、马克思主义、列宁主义、毛泽东思想、邓小平理论；2、哲学、宗教；3、社会科学；4、自然科学；5、综合性图书</w:t>
            </w:r>
            <w:r>
              <w:rPr>
                <w:rStyle w:val="9"/>
                <w:rFonts w:hint="eastAsia" w:ascii="宋体" w:hAnsi="宋体" w:eastAsia="宋体" w:cs="宋体"/>
                <w:color w:val="auto"/>
                <w:sz w:val="24"/>
                <w:szCs w:val="24"/>
                <w:highlight w:val="none"/>
                <w:lang w:val="en-US" w:eastAsia="zh-CN" w:bidi="ar"/>
              </w:rPr>
              <w:t>五大类馆藏占比饼图展示、图书流通率百分比数据展示、读者借阅人数占比百分比展示、图书归还率百分比展示。</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2.3基础数据展示：馆藏总量、外借总数，馆藏总金额，组织总数(单位部门)，读者总数，设备总数(硬件)，今日借阅，今日归还、本月借阅、本年借阅、人均借阅、累计借阅。</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2.4数据统计：折线图展示一段时间内(默认一周内)的进馆人数、借阅数量、归还数量；</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2.5逾期归还：列表展示借书逾期未归还的人员名单，点击并进入明细列表，针对明细列表，可以勾选一条或者多条记录，进行短信发送催化功能，本功能默认云端部署，并开通读者短信提示功能，读者信息包含存有正确的手机号。</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3、组织管理。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3.1不同等级权限用户登录系统，可新建下级组织部门名称，可添加、修改、删除下级组织部门信息。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3.2除超级管理员外，不可建立同等级账户信息。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3.3不同等级权限用户登录系统，可通过树状方式展示所有下级组织单位部门班组信息，并进行对应的增删改操作。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3.4可维护部门/年级，班级/组别的基本信息，可修改用户名称，账号，密码等信息。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3.5可定义是否开启读者类型的数据确认筛选，对首页展示的内容进行全部或者某一个读者类型的数据进行筛选显示。</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3.6系统可以通过不同的账号密码登录划分区域权限，可进行多分部多校区数据统一管理和分权限管理，超级管理员具有一切权限。</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3.7不同的账号登录后可进行组织、部门年级、组别班级等逐级管理。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4、读者管理：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4.1读者类型：可新增、修改、删除读者类型，对不同类型进行规则定义，对各类型的借书数量和期限、预借量和期限、续借次数和天数、丢损罚款倍数、超期罚款价格、信用分、有效使用期限进行定义，定义限制读者借阅的规则，定义读者可借阅的图书馆馆藏地图书(一个或多个或全选)、定义读者可借阅的图书类型范围(一个或多个或全选)。</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4.2人员管理：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4.2.1可单个新增读者，也可以从表格模版中批量导入读者，批量导出读者名单表格，下载读者名单表格模版。</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4.2.2新增读者可以定义读者类型、可定义读者状态，定义读者所属组织、年级部门、班级组别、登录密码等相关信息。</w:t>
            </w:r>
            <w:r>
              <w:rPr>
                <w:rStyle w:val="9"/>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4.2.3支持软件直接在</w:t>
            </w:r>
            <w:r>
              <w:rPr>
                <w:rStyle w:val="9"/>
                <w:rFonts w:hint="eastAsia" w:ascii="宋体" w:hAnsi="宋体" w:eastAsia="宋体" w:cs="宋体"/>
                <w:color w:val="auto"/>
                <w:sz w:val="24"/>
                <w:szCs w:val="24"/>
                <w:highlight w:val="none"/>
                <w:lang w:val="en-US" w:eastAsia="zh-CN" w:bidi="ar"/>
              </w:rPr>
              <w:t>读者管理</w:t>
            </w:r>
            <w:r>
              <w:rPr>
                <w:rStyle w:val="10"/>
                <w:rFonts w:hint="eastAsia" w:ascii="宋体" w:hAnsi="宋体" w:eastAsia="宋体" w:cs="宋体"/>
                <w:color w:val="auto"/>
                <w:sz w:val="24"/>
                <w:szCs w:val="24"/>
                <w:highlight w:val="none"/>
                <w:lang w:val="en-US" w:eastAsia="zh-CN" w:bidi="ar"/>
              </w:rPr>
              <w:t>页面读取读者卡号和读者证号。</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r>
              <w:rPr>
                <w:rStyle w:val="9"/>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4.2.4可通过网页的采集按钮，直接采集读者人脸照片信息，进行人脸绑定。</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4.2.5定义读者的类型的同时，定义好读者的借阅规则信息，有效使用期限日期。</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4.2.5通过条件筛选检索读者，单个或者多个勾选读者，进行读者类型的批量赋值或者变更，达到批量变更读者类型的功能。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4.2.6通过条件筛选检索读者，单个或者多个勾选读者，加入黑名单，则禁止此读者进行任何的线上和终端设备的登录操作。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4.3班组管理：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4.3.1通过树形逐级展开结构，查看单位组织下面的所有部门年级、班级组别信息，点击某个部门年级或者班级组别，则右侧显示对应的读者信息列表。</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4.3.2通过条件筛选检索读者，单个或者多个勾选读者，进行读者的全部升级操作。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4.3.3通过条件筛选检索读者，单个或者多个勾选读者，进行读者的全部毕业操作，毕业操作需要每个读者名下没有未归还的图书借阅情况。</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4.3.4通过条件筛选检索读者，单个或者多个勾选读者，进行读者的身份信息变更操作，变更部门年级、变更班级组别、变更读者状态、变更读者账号的有效使用日期。</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4.4名单打印：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4.4.1通过条件、打印读者证号范围筛选检索读者，调用外包打印机进行名单打印，可将打印的不干胶铭牌贴在读者证卡上。</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4.4.2打印内容设置，可勾选组织名称、读者证号、部门/年级、读者卡号、班级/组别、姓名等内容进行多选打印。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4.4.3打印纸张大小可设置：打印书标40*30mm，打印馆藏码40*20mm，打印书标40*25mm。</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4.4.4跟进不同打印机打印宽度，设置打印行占数量，且可以查看打印效果页面显示。</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4.5人脸同步：</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4.5.1通过条件筛选检索读者信息，单个或者多个勾选读者，可选择是否同步覆盖读者原有一注册的人脸头像。</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4.5.2人脸照片可保存在读者信息表同步数据库、选择好需要同步的人员的名单，选择好需要注册的人脸服务器，进行单个或者批量人脸注册，注册成功后，会返回读者对应的人脸ID。</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4.6黑名单：通过条件筛选检索读者信息，单个或者多个勾选读者，加入黑名单锁定读者状态，也可以移除黑名单解锁读者状态，可批量导出读者黑名单表格信息。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4.7个人收藏：读者通过个人账号密码登录OPAC综合查询检索系统，进入我的图书馆，可将喜欢的图书信息进行收藏、收藏成功后可在个人收藏页面进行记录，并可以批量导出表格收藏信息。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4.8爱书推荐：读者通过个人账号密码登录OPAC综合查询检索系统，进入我的图书馆，可将喜欢的图书而图书馆没有馆藏信息的，则可以提交相关信息进行推荐、推荐成功后可在爱书推荐页面进行记录，并可以批量导出表格推荐信息，并可以通过采访系统，审批通过后纳入后期采购计划中。</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4.9读者通过个人账号密码登录OPAC综合查询检索系统，进入我的图书馆，可将个人对图书馆的一些看法建议进行文字提交、建议提交成功后可在个人建议页面进行记录，并可以批量导出表格建议信息。个人建议将提交给图书管理人员进行汇总，后期汇报给单位领导进行参考。</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5、流通管理：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5.1图书借阅：</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5.1.1输入读者的姓名、证号、卡号，快速掉出读者信息，并显示器对应的可借数量、已借数量、能借数量信息，信用分。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5.1.2输入图书馆藏条码号、可连续单个或者多个输入馆藏条码号，下面列表中会出现多条图书信息，可暂在列表中右侧点击单个借阅，也可以在上部点击全部借阅按钮，进行读书借阅。</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5.1.3输入读者的姓名、证号、卡号后，可点击借阅记录按钮，列表中会列出此对应读者的所有在借和未还的图书信息，未还图书并可在右侧点击续借按钮进行续借操作，也可以点击全部归还按钮，将下发列出的所有未还进行进行一键全部归还。</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5.2图书归还：</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5.2.1输入图书馆藏条码号并执行后，会将在借的图书信息显示在下部列表中，列表右侧可对图书信息进行逐个归还，勾选一键归按钮后，输入馆藏条码号后，同时这些归还操作。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5.2.2输入借阅人读者的姓名，点击搜索后，会显示当前读者的所有未归还图书信息列表，并在右侧列表中对图书信息进行逐个归还。</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5.3流通查询：</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5.3.1通过条件筛选检索读者的借还流通信息，并在下部列表中显示所有借还记录，可将记录批量导出数据表格。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5.3.2可在条件搜索列表中显示所有借还记录，或显示已还记录，或显示未还记录，或显示超时未还记录。</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5.3.3未还记录黑色字体显示，已还记录绿色字体显示，可在未还记录、超时未还记录两个界面，显用归还全部按钮，方便管理人员将一些未及时处理的记录进行人工归还。</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5.3.4可在超时未还的记录界面，现实短信催还按钮，点击后对未还记录的读者，进行短信通知，此功能需要开通短信提醒功能，且操作页面的终端电脑能连接外网调用第三方短信接口。</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5.3.5可在未还记录或者超时未还的记录界面，勾选记录可以进行全部归还，或者丢失归还处理，丢失归还后，会将丢失信息转移到一个专门的馆藏书库：丢失书库，库存状态改为：丢失下架。则这些丢失处理的图书后面将不能再继续流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5.4催还记录：可查看所有催化的短信记录，会显示记录的状态是否成功发生，读者信息，图书信息，短信内容，状态原因，绿色字体代表短信发送成功，红色表示失败。</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5.5流通轨迹：通过条件筛选检索图书的所有流通信息，红色字体代表未还记录，绿色字体代表已还记录，黑色字体代表未发生过流通记录，在列表右侧操作自动，可以查看图书的流通时间段，有对应的读者姓名，操作日期。</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5.6异常处理：通过条件筛选检索异常借还记录(超借、超期、丢失、损坏、超借已处理、超期已处理、丢失已处理、损坏已处理)，此功能多用于分布式架构下，外部24小时微型图柜的借还异常记录，比如读者开柜门后，超借的图书会显示为异常，需要管理人员及时处理，可以手工编辑和归还图书，其他馆藏资源的异常库存记录、异常借还记录、异常处理记录等。</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6、编目管理：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6.1书目录入：通过输入ISBN号，进行联动第三方书目库，进行本地图书的书目录入，书目只保存ISBN号和书名的唯一性及相关图书信息图片，不保存重复记录，下部列表会列出所有属于同一个ISBN号的馆藏图书信息。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6.2书目管理：通过条件筛选检索书目信息，并进行编辑修改、删除、批量导出表格信息，也可以通过模版表格信息批量导入，同时可以点击同步上云功能，将本地的书目库存，同步保存到云端以做备份。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6.3图书录入：</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6.3.1可勾选是否启用Z39.50协议进行图书编目，编目管理支持第三方ISBN码数据同步功能，自带500万册及以上标准的辅助编目库，支持图书数据表格批量导入导出功能。</w:t>
            </w:r>
            <w:r>
              <w:rPr>
                <w:rStyle w:val="9"/>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6.3.2图书录入支持绑定RFID芯片码和书标条码绑定录入功能，支持启用EAS或者AFI单个或者组合防盗位修改功能，支持AFI和DSFID防盗位参数值赋值功能，支持启用馆藏条码和RFID芯片码保存功能。</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r>
              <w:rPr>
                <w:rStyle w:val="10"/>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6.3.3图书录入支持复本数自动统计累加功能，索引号按分类号+复本数自动累加生成功能。</w:t>
            </w:r>
            <w:r>
              <w:rPr>
                <w:rStyle w:val="10"/>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6.3.4图书录入界面，支持设定默认值：馆藏地、层架号、读者类型、批次号、RFID接口号设置默认值保存和获取功能。</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r>
              <w:rPr>
                <w:rStyle w:val="10"/>
                <w:rFonts w:hint="eastAsia" w:ascii="宋体" w:hAnsi="宋体" w:eastAsia="宋体" w:cs="宋体"/>
                <w:color w:val="auto"/>
                <w:sz w:val="24"/>
                <w:szCs w:val="24"/>
                <w:highlight w:val="none"/>
                <w:lang w:val="en-US" w:eastAsia="zh-CN" w:bidi="ar"/>
              </w:rPr>
              <w:br w:type="textWrapping"/>
            </w:r>
            <w:r>
              <w:rPr>
                <w:rStyle w:val="10"/>
                <w:rFonts w:hint="eastAsia" w:ascii="宋体" w:hAnsi="宋体" w:eastAsia="宋体" w:cs="宋体"/>
                <w:color w:val="auto"/>
                <w:sz w:val="24"/>
                <w:szCs w:val="24"/>
                <w:highlight w:val="none"/>
                <w:lang w:val="en-US" w:eastAsia="zh-CN" w:bidi="ar"/>
              </w:rPr>
              <w:t>6.3.5软件支持直接在管理页面读取图书标签UID号，支持读写、修改RFID图书标签防盗报警位，编目入库操作。</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p>
          <w:p w14:paraId="75988D04">
            <w:pPr>
              <w:keepNext w:val="0"/>
              <w:keepLines w:val="0"/>
              <w:widowControl/>
              <w:numPr>
                <w:ilvl w:val="0"/>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9"/>
                <w:rFonts w:hint="eastAsia" w:ascii="宋体" w:hAnsi="宋体" w:eastAsia="宋体" w:cs="宋体"/>
                <w:color w:val="auto"/>
                <w:sz w:val="24"/>
                <w:szCs w:val="24"/>
                <w:highlight w:val="none"/>
                <w:lang w:val="en-US" w:eastAsia="zh-CN" w:bidi="ar"/>
              </w:rPr>
              <w:t>6.3.6图书管理支持自动生成芯片码功能，自动生成馆藏条码功能，馆藏码和芯片码实时启用互换功能，多个图书连续编目录入列表显示。</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6.3.7图书编目下部列表，右侧操作字段可点击编辑功能，可对个别馆藏图书进行RFID芯片码、馆藏号、馆藏地、层架名称、索书号、批次号等的个性化修改。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6.4图书管理：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6.4.1可选中某一本图书进行删除、修改编辑基本信息，对芯片码、馆藏地、层架位置、批次号、批次号等进行修改。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6.4.2可从EXCEL表格模版中批量导入第三方提供的图书信息，超快导入到系统保存，且会自动过滤重复馆藏码信息。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6.4.3可从第三方提供的马克(Marc)图书信息文件，超快导入到系统保存，且支持修改马克(Marc)信息，会自动过滤重复馆藏码信息。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6.4.4支持从本系统中批量勾选图书信息进行EXCEL表格批量勾选导出数据。</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6.4.5支持从本系统中批量勾选图书信息进行马克(Marc)批量勾选导出数据。</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6.4.6支持从本系统中下载批量导入的EXCEL表格模版。</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6.4.7支持从本地图书列表中，批量同步并过来重复的ISBN图书类目信息到书目表。</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6.5书标打印：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6.5.1书标打印支持打印标题的设定，打印前缀、后缀文字数字的设定，打印机卷标行数的设定。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6.5.2书标打印支持打印范围从馆藏码号段的起始和结束范围进行设定。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6.5.3书标打印支持打印范围从分类号、索书号的模糊查询中进行筛选设定。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6.5.4书标打印支持打印范围从顺序或者反序进行排列打印。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6.5.5书标打印可对打印内容进行勾选设定：标题名称、条形码、馆藏条码号、前缀、后缀、分类号、索书号、层架名称。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6.5.6书标或馆藏码打印页面可对纸张的大小进行设定，书标可选择40*30mm或者40*25mm，馆藏码设定40*20mm。</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6.6图书类型：</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6.6.1可对本系统内的图书类型进行编辑修改删除设定，此类型可在读者权限管理中对不同类型的读者进行图书类型借阅权限进行赋值设定。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6.6.2可从EXCEL表格中批量导入图书类型。</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7、采访管理：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7.1书单推荐：</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7.1.1将读者从OPAC检索终端个人推荐书籍或者从手机APP移动端上推送过来的个人推荐书单进行审核推荐或修改。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7.1.2可从EXCEL表格中批量导入需要推荐的图书清单，并对清单的信息进行勾选推荐，填写推荐原因。</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7.1.3可通过条件筛选，列出所需要推荐的图书清单，进行推荐书籍或者取消推荐设定。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7.2订单管理：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7.2.1通过条件筛选各部推荐上来的书籍订单，并对推荐书籍进行订单合并、提交审批。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7.2.2可创建新订单，将其他推荐的书籍订单进行合并、提交审批。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7.2.3可批量EXCEL表格导出勾选的推荐书籍订单信息。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7.3订单审核：</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7.3.1对推荐订单进行审核完成操作，或者撤回操作。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7.3.2可创建新的订单，或者批量勾选订单进行EXCEL表格导出内容。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8、典藏管理：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8.1馆藏地管理：对图书馆的馆藏地基本信息进行添加修改删除管理。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8.2层架管理：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8.2.1对图书馆的书架层架编号、名称等基本信息进行添加修改删除管理。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8.2.2可从EXCEL表格批量导入图书馆的层架信息或者导出EXCEL表格信息。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8.2.3可批量勾选层架标信息，并对层架标的所属馆藏地进行转移设定。</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8.3典藏转移：</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8.3.1通过条件筛选并列出所有的图书信息；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8.3.2从条件筛选列出的图书信息中，可批量勾选图书，并选择馆藏地，层架信息，进行单个或者批量书籍典藏转移，赋值馆藏地和层架名称信息，即是上架操作。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8.3.3通过外部硬件终端连接：智能还书车、智慧盘点车、智慧盘点手持终端等硬件设备，通过智慧盘点终端软件+手持点检仪等，对图书进行上架定位，实时联动更新图书存架信息。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8.4任务盘点：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8.4.1通过条件筛选选择需要盘点的图书信息，然后批量勾选添加到一个盘点任务批次并命名。</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8.4.2通过外部盘点车、点检仪，移动平板电脑，手持机等终端设备，选择并下载对应的盘点任务批次名称信息列表，进行RFID的对应盘点。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8.4.3外部终端设备上传的盘点结果，平台对盘点任务进行明细查看，并得出盘实、盘盈、盘亏等盘点数据，从而辅助内部馆藏管理。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8.5图书下架：通过条件筛选出本馆图书信息列表，并通过批量勾选对选中的图书进行下架操作，改变图书库存状态为下架。</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8.6图书剔旧：通过条件筛选出本馆图书信息列表，并通过批量勾选对选中的图书进行剔旧操作，改变图书库存状态为剔旧。</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8.7图书丢失：通过条件筛选出本馆图书信息列表，并通过批量勾选对选中的图书进行丢失操作，改变图书库存状态为丢失。</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8.8图书损坏：通过条件筛选出本馆图书信息列表，并通过批量勾选对选中的图书进行损坏操作，改变图书库存状态为损坏，并可对图书状态进行损坏下架、损坏归还或者损坏剔旧操作。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9、期刊管理：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9.1管理书刊的编目，添加，修改，删除等信息。</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10、统计管理：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10.1分类图表统计：按五大类分类数据表格统计显示并导出Excel表，或按图书册数、种数图形显示并导出PDF文件供打印。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10.2分类图表统计：按二十二小类分类数据表格统计显示并导出Excel表，或按图书册数、种数图形显示导出PDF文件供打印。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10.3年底建设报表：按年份条件筛选显示图书馆年度建设数据情况，表格和图形显示并导出PDF文件供打印。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10.4图书明细报表：可按馆藏号、入库时间等条件进行数据筛选显示，可按馆藏码进行明细显示，或者按书目ISBN号进行过滤明细显示图书明细数据，统计显示总种数，总册数，复本数，剔旧数，总码洋，总实洋等数据，并可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10.5读者借阅统计：可通过条件筛选得出读者借阅数据饼图显示，折线图显示，并导出PDF文件供打印。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10.6图书借阅统计：可通过条件筛选得出图书借阅数据折线图显示，累计图书馆在线运营时长，并导出PDF文件供打印。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10.7分类借还统计：可通过借还日期范围等条件筛选得出二十二类图书借还数据折线图显示，并导出PDF文件供打印。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10.8借还明细报表：可通过条件筛选得图书的借还明细记录、未还记录、已还记录、超时未还记录、并将数据导出Excel表格。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10.9图书借阅排行：可按馆藏号、入库时间等条件进行数据筛选显示，按馆藏号或者按书目号进行明细展示，合计统计总借阅次数，借出次数，归还次数，按最大借阅统计量从大到小进行排序显示排名，并可将排名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10.10读者借阅排行：可按记录日期条件筛选读者的借阅量数据，按最大借阅统计量从大到小进行排序显示排名，并可将排名数据导出Excel表格，并可点击某个读者明细，查看其所有借阅记录，并可将读者借阅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10.11组织借阅排行：可按记录日期条件筛选组织部门年级班级的借阅量数据，按最大借阅统计量从大到小进行排序显示排名，并可将排名数据导出Excel表格，并可点击某个组织名下所有读者的借阅明细，查看其所有借阅记录，并可将读者借阅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10.12图书馆藏统计：可通过条件筛选得图书馆全部或某馆藏地的五大类藏书量进行统计，并通过饼图和折线图进行展示，可导出PDF文件供打印。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10.13馆藏总量统计：可通过馆藏地、入库时间范围进行条件筛选，得出图书馆的藏书总量、读者总数、人均馆藏量、年生均借阅数，并通过折线图进行展示，可导出PDF文件供打印。</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10.14异常馆藏统计：可通过馆藏号段、入库时间范围、图书馆藏异常状态等条件进行筛选展示明细数据，并可将明细数据导出Excel表格。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11、设备管理：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11.1可通过条件筛选展示明细，添加、修改、删除、批量导入和导出图书馆的所有硬件终端设备明细数据。</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11.2可显示图书馆所有硬件终端设备的运行状态，是否在线，设备编号，名称，MAC地址，IP地址，端口号，序列号，室内2D坐标，远程控制账号密码、有效使用期限等。</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11.3可通过编辑明细数据，对某个硬件终端设备运行状态进行正常或者禁用操作。</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11.4可通过终端设备自带的软件，进行心跳数据在网联网情况下上传到后台，后台从而得出某硬件终端设备是否处于正常开机运行状态。</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12、门禁管理：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12.1门禁明细：通过条件筛选智慧门禁终端读者进门出门明细数据，可过滤筛选当天未出门人员明细，批量勾选需要删除的明细记录，并可将明细数据导出Excel表格。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12.2停留统计：通过条件筛选智慧门禁终端读者每天进门出门的停留时间，并统计在场人数、离场人数、剩余人数，并可将明细数据导出Excel表格。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12.3停留排名：通过读者班组姓名条件和时间段条件，筛选个人或者班级的进馆停留时间排名，按停留时间的汇总的总数从大到小进行排序显示排名，可按读者个人进行排名，也可以按班级进行排名，可查看总排行情况，也可以查看月排行情况，进入查看明细可查看读者或班级的所有进出明细记录，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12.4进出流量：通过条件和日期时间段筛选安全门进出人流量数据，可联动图书安全门禁，获取每个安全门的人员进出流量情况，进行汇总展示，并可将明细数据导出Excel表格。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13、发布管理：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13.1公告管理：通过标题、内容、类型进行公告数据筛选展示，集成新闻、公告、通知、活动的发布和修改编辑管理。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13.2读者指南：集成关于本馆内容编辑、入馆须知内容编辑、借阅规则内容编辑、开馆时间内容编辑、馆情常识内容编辑、馆内布局内容编辑、规则制度内容编辑、联系我们内容编辑、办证须知内容编辑。各指南数据可在OPAC查询检索终端或其他手机APP终端上同步显示新添加或者更新的内容。</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14、客户管理：可通过条件筛选出客户(主要是供应商名录)数据，可进行添加、修改、删除管理，批量导入和导出图书馆的所有框架客户或合作伙伴等明细数据。</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15、日志管理：本平台管理系统所有添加、修改、删除等操作会同步进行日志保存，供后期进行溯源管理，可通过条件帅选搜索日志明细数据，并可将明细数据导出Excel表格。</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16、系统管理：</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16.1系统管理员可登录平台后台设定系统名称、版本号、版权所属单位、系统左上角LOGO图文等功能。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16.2系统管理员可登录平台后台修改系统登录密码，重新登录后生效。</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17、其他联动功能：</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17.1可通过平台顶部，跳转至图书馆OPAC综合查询检索系统登录页面，采用统一账号密码进行登录。</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r>
              <w:rPr>
                <w:rStyle w:val="9"/>
                <w:rFonts w:hint="eastAsia" w:ascii="宋体" w:hAnsi="宋体" w:eastAsia="宋体" w:cs="宋体"/>
                <w:color w:val="auto"/>
                <w:sz w:val="24"/>
                <w:szCs w:val="24"/>
                <w:highlight w:val="none"/>
                <w:lang w:val="en-US" w:eastAsia="zh-CN" w:bidi="ar"/>
              </w:rPr>
              <w:br w:type="textWrapping"/>
            </w:r>
            <w:r>
              <w:rPr>
                <w:rStyle w:val="9"/>
                <w:rFonts w:hint="eastAsia" w:ascii="宋体" w:hAnsi="宋体" w:eastAsia="宋体" w:cs="宋体"/>
                <w:color w:val="auto"/>
                <w:sz w:val="24"/>
                <w:szCs w:val="24"/>
                <w:highlight w:val="none"/>
                <w:lang w:val="en-US" w:eastAsia="zh-CN" w:bidi="ar"/>
              </w:rPr>
              <w:t>17.2可通过平台顶部，跳转至图书馆馆情大数据分析系统登录页面，采用统一账号密码进行登录。</w:t>
            </w:r>
            <w:r>
              <w:rPr>
                <w:rStyle w:val="10"/>
                <w:rFonts w:hint="eastAsia" w:ascii="宋体" w:hAnsi="宋体" w:eastAsia="宋体" w:cs="宋体"/>
                <w:b/>
                <w:bCs/>
                <w:color w:val="auto"/>
                <w:sz w:val="24"/>
                <w:szCs w:val="24"/>
                <w:highlight w:val="none"/>
                <w:u w:val="single"/>
                <w:lang w:val="en-US" w:eastAsia="zh-CN" w:bidi="ar"/>
              </w:rPr>
              <w:t>(投标人须在投标文件技术商务部分中提供软件功能截图佐证本项要求)</w:t>
            </w:r>
          </w:p>
        </w:tc>
        <w:tc>
          <w:tcPr>
            <w:tcW w:w="253" w:type="pct"/>
            <w:shd w:val="clear" w:color="auto" w:fill="auto"/>
            <w:noWrap/>
            <w:vAlign w:val="center"/>
          </w:tcPr>
          <w:p w14:paraId="086484C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15AE41B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1E56B2D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753CB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80" w:hRule="atLeast"/>
        </w:trPr>
        <w:tc>
          <w:tcPr>
            <w:tcW w:w="367" w:type="pct"/>
            <w:shd w:val="clear" w:color="auto" w:fill="auto"/>
            <w:vAlign w:val="center"/>
          </w:tcPr>
          <w:p w14:paraId="2DB1C7E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542" w:type="pct"/>
            <w:shd w:val="clear" w:color="auto" w:fill="auto"/>
            <w:vAlign w:val="center"/>
          </w:tcPr>
          <w:p w14:paraId="4A2B44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大数据展示平台</w:t>
            </w:r>
          </w:p>
        </w:tc>
        <w:tc>
          <w:tcPr>
            <w:tcW w:w="2240" w:type="pct"/>
            <w:shd w:val="clear" w:color="auto" w:fill="auto"/>
            <w:vAlign w:val="center"/>
          </w:tcPr>
          <w:p w14:paraId="0A404D7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（一）本系统可以与图书馆的图书管理系统连接，通过信息化技术手段对藏书、读者、流通借还等方面的数据进行采集、整理和分析，以便更好地管理馆藏、服务读者，提高图书馆的运营效率和服务质量。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1、采用分馆账号密码登录方式进行认证，登录后各分馆只查看名下的所有馆情数据。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2、首页自动定位展示所在城市，自动获取天气信息，自动获取周期日期时间信息。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3、首页隐藏分馆名称，通过鼠标或者触摸屏移动到位置等可显示分馆名称，并可以点击退出到登录界面。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4、藏书显示五大类库存数量占比，使用圆环饼图展示藏书五大类借还数量占比。</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5、馆情信息：该功能展示了馆藏总量、图书资源总量、其他资源总量、电子资源总量、累计借出数量、累计归还数量、读者总数、今日办证人数。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6、流通借还统计：统计本馆一周内的借书、还书情况，包括每天的借阅数量、归还数量、以当天为止向前统计一周内的借还数据，并以柱状图显示，用于分析读者借还数量和图书馆藏书利用情况。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7、流通统计汇总：该功能展示了图书借还流通率，图书借阅率，图书归还率。</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展示了今日到馆人数：记录当天图书馆的实际到馆人数，反映图书馆的人员流通使用情况。图书馆累计进馆人数，本月进馆人数，今日借阅人数，今日借阅册数，今日归还人数，今日归还册数，今日续借人数，今日续借册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9、最新借还记录：展示了最新借还信息，借还时间，书名，所属组织名称，借书人，借还操作。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10、公告：管理员通过后台管理系统添加公告，在馆情大数据平台左下角混动文本展示。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11、精品图书推荐、热门图书推荐： 根据图书馆馆藏和读者借阅情况，推荐热门图书或者相关资源给读者，并进行相应的排行统计。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12、班组借阅排行： 统计不同班组的借阅情况，发现借阅热点和特殊需求，为图书馆的服务提供数据支持。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13、读者阅读排行：统计热门图书、热门期刊、热门电子资源的借阅情况，帮助图书馆了解读者的阅读兴趣和需求，指导图书采购和馆藏管理。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（二）参数要求：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1、触摸触控：智能触控，高灵敏度书写更流畅，可识别多种触摸手势。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2、壁挂设计：纤巧机身，更符合人体使用需求。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3、高清显示：采用IPS商用屏，1080P高清分辨率，色彩丰富鲜明。</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4、触摸功能：内置支持滑屏和多点触控。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5、无线WIFI：配置WIFI模块，自由联网，享受上网急速体验。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6、安全防护：屏幕采用全钢化玻璃设计，防滑防撞。</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7、主机配置：标配</w:t>
            </w:r>
            <w:r>
              <w:rPr>
                <w:rFonts w:hint="eastAsia" w:ascii="宋体" w:hAnsi="宋体" w:eastAsia="宋体" w:cs="宋体"/>
                <w:i w:val="0"/>
                <w:iCs w:val="0"/>
                <w:caps w:val="0"/>
                <w:color w:val="auto"/>
                <w:spacing w:val="0"/>
                <w:sz w:val="24"/>
                <w:szCs w:val="24"/>
                <w:highlight w:val="none"/>
              </w:rPr>
              <w:t>不低于四线程桌面级处理器</w:t>
            </w:r>
            <w:r>
              <w:rPr>
                <w:rFonts w:hint="eastAsia" w:ascii="宋体" w:hAnsi="宋体" w:eastAsia="宋体" w:cs="宋体"/>
                <w:i w:val="0"/>
                <w:iCs w:val="0"/>
                <w:color w:val="auto"/>
                <w:kern w:val="0"/>
                <w:sz w:val="24"/>
                <w:szCs w:val="24"/>
                <w:highlight w:val="none"/>
                <w:u w:val="none"/>
                <w:lang w:val="en-US" w:eastAsia="zh-CN" w:bidi="ar"/>
              </w:rPr>
              <w:t>，4G及以上内存，120G及以上固态盘，windows10 64位或安卓系统。</w:t>
            </w:r>
          </w:p>
        </w:tc>
        <w:tc>
          <w:tcPr>
            <w:tcW w:w="253" w:type="pct"/>
            <w:shd w:val="clear" w:color="auto" w:fill="auto"/>
            <w:noWrap/>
            <w:vAlign w:val="center"/>
          </w:tcPr>
          <w:p w14:paraId="495955B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3EB596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2B2FD25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460F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32" w:hRule="atLeast"/>
        </w:trPr>
        <w:tc>
          <w:tcPr>
            <w:tcW w:w="367" w:type="pct"/>
            <w:shd w:val="clear" w:color="auto" w:fill="auto"/>
            <w:vAlign w:val="center"/>
          </w:tcPr>
          <w:p w14:paraId="4CC2CF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542" w:type="pct"/>
            <w:shd w:val="clear" w:color="auto" w:fill="auto"/>
            <w:vAlign w:val="center"/>
          </w:tcPr>
          <w:p w14:paraId="35A40F5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桌面式双屏馆员工作站一体机</w:t>
            </w:r>
          </w:p>
        </w:tc>
        <w:tc>
          <w:tcPr>
            <w:tcW w:w="2240" w:type="pct"/>
            <w:shd w:val="clear" w:color="auto" w:fill="auto"/>
            <w:vAlign w:val="center"/>
          </w:tcPr>
          <w:p w14:paraId="428AC8B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1、馆员工作站一体机包含触摸显示一体机，条形码阅读器，RFID图书标签读写器，IC卡读写器。（可扩展为四合一IC卡、身份证、RFID卡、CPU卡）。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2、可对RFID标签非接触式地进行阅读，有读取、写入、改写RFID标签的能力。亦可作为桌面式自助借还机使用，可选配借书、还书、查询等功能。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3、标签加工程序要有准确的操作提示，若条码录入成功，能够显示录入的条码信息及预设信息，若录入失败，界面会显示录入失败提示。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4、RFID天线采用屏蔽式设计，保证只能在天线上方的RFID图书能够读到。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5、图书加工软件转换过程中，可通过不需要按动鼠标或键盘操作RFID标签软件即可实现标签快速转速。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6、可对RFID标签非接触式地进行阅读，可以将流通资料的相关信息快速写入标签。</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7、系统应有准确的声音和画面的操作提示，清晰指示条形码扫描是否成功，RFID标签编写是否成功的状态。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8、可对条形码进行识别转换后将条码号写入RFID标签，转换效率高。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9、可通过标准串口、USB接口连接至计算机设备。</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10、为保证系统更具兼容性，可根据馆方实际需求，加载不同的应用程序（借书，还书，标签加工）。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11、应在软件界面方便配置写入标签的相关信息，包括馆代码、AFI值、是否改写EAS，DSFID，等等。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12、写入标签信息应符合国际、国家相关标准，条码号为必须写入标签的信息。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13、实现用户可在软件界面录入图书信息参数：读写板使用接口、馆藏条码号、AFI值、EAS、DSFID参数值等防盗模式做相应更改。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14、抗金属处理，不受金属桌面的影响。</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15、可通过安装借还软件进行升级，实现借还书功能。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16、馆员工作站，在短时间内读取存储在标签中的资料（实际工作环境，以标签容量1024bits为标准计算，每种工序中标签的读取速度都能达到0.1s之内）。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17、馆员工作站软件界面至少支持兼容国产化统信、麒麟系统。</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(投标人须在投标文件技术商务部分中提供软件界面截图佐证本项要求)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2、材质：钣金，亚克力；</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3、屏幕尺寸：≥21.5寸；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4、触摸类型：电容屏；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5、CPU：不低于四线程桌面级处理器；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6、内存：≥4G；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7、存储空间：≥120G固态硬盘；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8、供电：DC12V；</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9、功耗：≤60W；</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10、外观尺寸：≥长550*宽475*高546mm。</w:t>
            </w:r>
          </w:p>
        </w:tc>
        <w:tc>
          <w:tcPr>
            <w:tcW w:w="253" w:type="pct"/>
            <w:shd w:val="clear" w:color="auto" w:fill="auto"/>
            <w:vAlign w:val="center"/>
          </w:tcPr>
          <w:p w14:paraId="28DC06F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18DF8B0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13B7472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1098550"/>
                  <wp:effectExtent l="0" t="0" r="635" b="6350"/>
                  <wp:docPr id="92" name="图片 92" descr="3桌面式双屏馆员工作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3桌面式双屏馆员工作站"/>
                          <pic:cNvPicPr>
                            <a:picLocks noChangeAspect="1"/>
                          </pic:cNvPicPr>
                        </pic:nvPicPr>
                        <pic:blipFill>
                          <a:blip r:embed="rId4"/>
                          <a:stretch>
                            <a:fillRect/>
                          </a:stretch>
                        </pic:blipFill>
                        <pic:spPr>
                          <a:xfrm>
                            <a:off x="0" y="0"/>
                            <a:ext cx="1351915" cy="1098550"/>
                          </a:xfrm>
                          <a:prstGeom prst="rect">
                            <a:avLst/>
                          </a:prstGeom>
                        </pic:spPr>
                      </pic:pic>
                    </a:graphicData>
                  </a:graphic>
                </wp:inline>
              </w:drawing>
            </w:r>
          </w:p>
        </w:tc>
      </w:tr>
      <w:tr w14:paraId="5EDAE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7" w:hRule="atLeast"/>
        </w:trPr>
        <w:tc>
          <w:tcPr>
            <w:tcW w:w="367" w:type="pct"/>
            <w:shd w:val="clear" w:color="auto" w:fill="auto"/>
            <w:vAlign w:val="center"/>
          </w:tcPr>
          <w:p w14:paraId="2EC0F81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542" w:type="pct"/>
            <w:shd w:val="clear" w:color="auto" w:fill="auto"/>
            <w:vAlign w:val="center"/>
          </w:tcPr>
          <w:p w14:paraId="065220F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自助借还书机（包含外带还书箱）</w:t>
            </w:r>
          </w:p>
        </w:tc>
        <w:tc>
          <w:tcPr>
            <w:tcW w:w="2240" w:type="pct"/>
            <w:shd w:val="clear" w:color="auto" w:fill="auto"/>
            <w:vAlign w:val="center"/>
          </w:tcPr>
          <w:p w14:paraId="4DB2CFF9">
            <w:pPr>
              <w:numPr>
                <w:ilvl w:val="0"/>
                <w:numId w:val="0"/>
              </w:numPr>
              <w:spacing w:line="360" w:lineRule="auto"/>
              <w:ind w:leftChars="0"/>
              <w:jc w:val="left"/>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1、根据人体工学设计，设备开关按键及USB接口在机箱外背部，方便调试操作。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2、设备触摸显示与工控主机为一体化设计，方便模块化更换维护。</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3、设备要求支持图书馆自助借还书系统，可以与图书馆的图书管理系统无缝连接。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4、可以非接触式的快速识别粘贴在流通文献上的RFID标签和现有条形码，可进行读者卡密码确认。</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5、设备支持IC卡读者证身份验证方式，支持条形码读者证、电子二维码读者证、人脸识别摄像头，可选配二代身份及IC卡二合一认证等方式。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6、硬件支持选配身份证办证功能，软件上读者可使用二代身份证自助办理读者证。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7、具备开放读者自助操作的实时记录日志功能。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8、具备防止借阅过程中偷换、抽换书籍的功能。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9、可选配内置嵌入式打印机，自动载纸，可根据需求显示读者姓名、归还资料题名、归还日期、超期天数等相关信息。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10、读者可根据图书馆管理系统需要输入密码。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11、系统保证在设备指示区域范围内的图书能够读取，超过范围内的图书不被读取，保证读者操作时不会出错。</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12、系统提供准确的工作统计，如借还数量、借还类型、成功与否的借还统计等。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13、可通过标准串口、USB接口或网络接口连接至计算机设备。</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14、采用模块化设计，各部分设备可单独更换，系统可快速恢复使用。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15、系统需提供自动续连功能,在网络短暂故障恢复后,自动连接流通系统服务器,并恢复自助服务,无需馆员协助连接或重新启动服务。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16、为保证系统软件操作更便捷化，系统软件应用功能（借书、还书）可在管理员界面配置为只借书或只还书模式。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17、设备触控屏边框采用一体成型设计。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18、系统具有演示操作借续还查等使用功能的视频及图文材料，并可根据客户要求定期更换音视频。</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19、系统具备借续还查等操作的语音同步输出功能，并可根据客户要求进行定制化。</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20、设备具有人体靠近感应功能，该功能可拓展为控制声光提示功能。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21、系统在还书界面时，可显示书籍的层架位信息，并可显示地图导航功能。</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（投标人须在投标文件技术商务部分中提供软件功能截图佐证本项要求）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22、系统借续还查书界面简洁，并可通过参数配置，更换图文背景LOGO，日期、时间，界面按钮字体、颜色大小位置等灵活配置功能。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23、系统登入认证方式可先登入或后登入。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24、系统界面可适配多种不同分辨率的显示屏并提供参数配置文件。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2、阅读范围：确保250mm及250mm范围以内为有效阅读区域；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3、通信接口：USB或RS232、RJ45；</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4、供电要求：AC220V,50Hz；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5、功 耗：≤100W；</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6、主机：不低于四线程桌面级处理器；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7、内存：≥4G；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8、存储空间：≥120G固态硬盘；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9、屏幕显示：≥21.5寸；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10、触摸屏：电容触摸屏；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11、设备材质：钣金，钢化玻璃，亚克力；</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12、外观尺寸：≥长675*宽610*高1720mm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（三）性能要求：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w:t>
            </w:r>
            <w:r>
              <w:rPr>
                <w:rFonts w:hint="eastAsia" w:ascii="宋体" w:hAnsi="宋体" w:eastAsia="宋体" w:cs="宋体"/>
                <w:b/>
                <w:bCs/>
                <w:i w:val="0"/>
                <w:iCs w:val="0"/>
                <w:color w:val="auto"/>
                <w:kern w:val="0"/>
                <w:sz w:val="24"/>
                <w:szCs w:val="24"/>
                <w:highlight w:val="none"/>
                <w:u w:val="single"/>
                <w:lang w:val="en-US" w:eastAsia="zh-CN" w:bidi="ar"/>
              </w:rPr>
              <w:t>投标人须在技术商务部分中提供由第三方检测机构出具的</w:t>
            </w:r>
            <w:r>
              <w:rPr>
                <w:rFonts w:hint="eastAsia" w:ascii="宋体" w:hAnsi="宋体" w:eastAsia="宋体" w:cs="宋体"/>
                <w:b/>
                <w:bCs/>
                <w:color w:val="auto"/>
                <w:sz w:val="24"/>
                <w:szCs w:val="24"/>
                <w:highlight w:val="none"/>
                <w:u w:val="single"/>
                <w:lang w:val="en-US" w:eastAsia="zh-CN"/>
              </w:rPr>
              <w:t>所投产品</w:t>
            </w:r>
            <w:r>
              <w:rPr>
                <w:rFonts w:hint="eastAsia" w:ascii="宋体" w:hAnsi="宋体" w:eastAsia="宋体" w:cs="宋体"/>
                <w:b/>
                <w:bCs/>
                <w:i w:val="0"/>
                <w:iCs w:val="0"/>
                <w:color w:val="auto"/>
                <w:kern w:val="0"/>
                <w:sz w:val="24"/>
                <w:szCs w:val="24"/>
                <w:highlight w:val="none"/>
                <w:u w:val="single"/>
                <w:lang w:val="en-US" w:eastAsia="zh-CN" w:bidi="ar"/>
              </w:rPr>
              <w:t>由第三方检测机构依据GB/T17626.13-2006、GB/T17626.14-2005、GB/T17626.28-2006标准出具的带有CMA标识的检测报告佐证以下内容</w:t>
            </w:r>
            <w:r>
              <w:rPr>
                <w:rFonts w:hint="eastAsia" w:ascii="宋体" w:hAnsi="宋体" w:eastAsia="宋体" w:cs="宋体"/>
                <w:i w:val="0"/>
                <w:iCs w:val="0"/>
                <w:color w:val="auto"/>
                <w:kern w:val="0"/>
                <w:sz w:val="24"/>
                <w:szCs w:val="24"/>
                <w:highlight w:val="none"/>
                <w:u w:val="none"/>
                <w:lang w:val="en-US" w:eastAsia="zh-CN" w:bidi="ar"/>
              </w:rPr>
              <w:t>：</w:t>
            </w:r>
          </w:p>
          <w:p w14:paraId="45F6732F">
            <w:pPr>
              <w:numPr>
                <w:ilvl w:val="0"/>
                <w:numId w:val="0"/>
              </w:numPr>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①电磁兼容试验和测量技术交流电源端口谐波、谐间波及电网信号的低频抗扰度合格。②电磁兼容试验和测量技术电压波动抗扰度合格。③电磁兼容试验和测量技术工频频率变化抗扰度合格。</w:t>
            </w:r>
          </w:p>
          <w:p w14:paraId="0E842729">
            <w:pPr>
              <w:keepNext w:val="0"/>
              <w:keepLines w:val="0"/>
              <w:widowControl/>
              <w:numPr>
                <w:ilvl w:val="0"/>
                <w:numId w:val="1"/>
              </w:numPr>
              <w:suppressLineNumbers w:val="0"/>
              <w:spacing w:line="360" w:lineRule="auto"/>
              <w:jc w:val="left"/>
              <w:textAlignment w:val="auto"/>
              <w:rPr>
                <w:rFonts w:hint="eastAsia" w:ascii="宋体" w:hAnsi="宋体" w:eastAsia="宋体" w:cs="宋体"/>
                <w:b/>
                <w:bCs/>
                <w:i w:val="0"/>
                <w:iCs w:val="0"/>
                <w:color w:val="auto"/>
                <w:kern w:val="0"/>
                <w:sz w:val="24"/>
                <w:szCs w:val="24"/>
                <w:highlight w:val="none"/>
                <w:u w:val="single"/>
                <w:lang w:val="en-US" w:eastAsia="zh-CN" w:bidi="ar"/>
              </w:rPr>
            </w:pP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投标人须在投标文件技术商务部分中提供所投产品由第三方检测机构依据GB/T 25000.51-2016《系统与软件工程系统与软件质量要求和评价SQuaRE)第51 部分:就绪可用软件产品(RUSP)的质量要求和测试细则》标准进行检测的检测报告佐证以下内容：</w:t>
            </w:r>
          </w:p>
          <w:p w14:paraId="617A29E3">
            <w:pPr>
              <w:keepNext w:val="0"/>
              <w:keepLines w:val="0"/>
              <w:widowControl/>
              <w:numPr>
                <w:ilvl w:val="0"/>
                <w:numId w:val="0"/>
              </w:numPr>
              <w:suppressLineNumbers w:val="0"/>
              <w:spacing w:line="360" w:lineRule="auto"/>
              <w:jc w:val="left"/>
              <w:textAlignment w:val="auto"/>
              <w:rPr>
                <w:rFonts w:hint="eastAsia" w:ascii="宋体" w:hAnsi="宋体" w:eastAsia="宋体" w:cs="宋体"/>
                <w:i w:val="0"/>
                <w:iCs w:val="0"/>
                <w:color w:val="auto"/>
                <w:sz w:val="24"/>
                <w:szCs w:val="24"/>
                <w:highlight w:val="none"/>
                <w:u w:val="none"/>
              </w:rPr>
            </w:pPr>
            <w:r>
              <w:rPr>
                <w:rFonts w:hint="eastAsia" w:ascii="宋体" w:hAnsi="宋体" w:eastAsia="宋体" w:cs="宋体"/>
                <w:color w:val="auto"/>
                <w:kern w:val="0"/>
                <w:sz w:val="24"/>
                <w:szCs w:val="24"/>
                <w:highlight w:val="none"/>
                <w:u w:val="none"/>
                <w:lang w:val="en-US" w:eastAsia="zh-CN" w:bidi="ar"/>
              </w:rPr>
              <w:t>蓝光危害辐亮度风险等级为RG0。</w:t>
            </w:r>
          </w:p>
        </w:tc>
        <w:tc>
          <w:tcPr>
            <w:tcW w:w="253" w:type="pct"/>
            <w:shd w:val="clear" w:color="auto" w:fill="auto"/>
            <w:noWrap/>
            <w:vAlign w:val="center"/>
          </w:tcPr>
          <w:p w14:paraId="60903AD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3528A05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A3C403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2240915"/>
                  <wp:effectExtent l="0" t="0" r="0" b="6985"/>
                  <wp:docPr id="93" name="图片 93" descr="4 自助借还书机（外带还书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4 自助借还书机（外带还书箱）"/>
                          <pic:cNvPicPr>
                            <a:picLocks noChangeAspect="1"/>
                          </pic:cNvPicPr>
                        </pic:nvPicPr>
                        <pic:blipFill>
                          <a:blip r:embed="rId5"/>
                          <a:stretch>
                            <a:fillRect/>
                          </a:stretch>
                        </pic:blipFill>
                        <pic:spPr>
                          <a:xfrm>
                            <a:off x="0" y="0"/>
                            <a:ext cx="1352550" cy="2240915"/>
                          </a:xfrm>
                          <a:prstGeom prst="rect">
                            <a:avLst/>
                          </a:prstGeom>
                        </pic:spPr>
                      </pic:pic>
                    </a:graphicData>
                  </a:graphic>
                </wp:inline>
              </w:drawing>
            </w:r>
          </w:p>
        </w:tc>
      </w:tr>
      <w:tr w14:paraId="4FDD5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80" w:hRule="atLeast"/>
        </w:trPr>
        <w:tc>
          <w:tcPr>
            <w:tcW w:w="367" w:type="pct"/>
            <w:shd w:val="clear" w:color="auto" w:fill="auto"/>
            <w:vAlign w:val="center"/>
          </w:tcPr>
          <w:p w14:paraId="5FEAF7E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542" w:type="pct"/>
            <w:shd w:val="clear" w:color="auto" w:fill="auto"/>
            <w:vAlign w:val="center"/>
          </w:tcPr>
          <w:p w14:paraId="0D5C6A0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立式自助借还书机</w:t>
            </w:r>
          </w:p>
        </w:tc>
        <w:tc>
          <w:tcPr>
            <w:tcW w:w="2240" w:type="pct"/>
            <w:shd w:val="clear" w:color="auto" w:fill="auto"/>
            <w:vAlign w:val="center"/>
          </w:tcPr>
          <w:p w14:paraId="00101118">
            <w:pPr>
              <w:numPr>
                <w:ilvl w:val="0"/>
                <w:numId w:val="0"/>
              </w:numPr>
              <w:spacing w:line="360" w:lineRule="auto"/>
              <w:ind w:leftChars="0"/>
              <w:jc w:val="left"/>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1、根据人体工学设计，设备开关按键及USB接口在机箱外背部，方便调试操作。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2、设备触摸显示与工控主机为一体化设计，方便模块化更换维护。</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3、设备要求支持图书馆自助借还书系统，可以与图书馆的图书管理系统进行连接。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4、可以非接触式的快速识别粘贴在流通文献上的RFID标签和现有条形码，可进行读者卡密码确认。</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5、设备支持IC卡读者证身份验证方式，支持条形码读者证、电子二维码读者证、人脸识别摄像头，可选配二代身份及IC卡二合一认证等方式。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6、硬件支持选配身份证办证功能，软件上读者可使用二代身份证自助办理读者证。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7、具备开放读者自助操作的实时记录日志功能。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8、具备防止借阅过程中偷换、抽换书籍的功能。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9、可选配内置嵌入式打印机，自动载纸，可根据需求显示读者姓名、归还资料题名、归还日期、超期天数等相关信息。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10、读者可根据图书馆管理系统需要输入密码。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11、系统保证在设备指示区域范围内的图书能够读取，超过范围内的图书不被读取，保证读者操作时不会出错。</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12、系统提供准确的工作统计，如借还数量、借还类型、成功与否的借还统计等。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13、可通过标准串口、USB接口或网络接口连接至计算机设备。</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14、采用模块化设计，各部分设备可单独更换，系统可快速恢复使用。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15、系统需提供自动续连功能,在网络短暂故障恢复后,自动连接流通系统服务器,并恢复自助服务,无需馆员协助连接或重新启动服务。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16、为保证系统软件操作更便捷化，系统软件应用功能（借书、还书）可在管理员界面配置为只借书或只还书模式。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17、设备触控屏边框采用一体成型设计，外观完整大方。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18、系统具有演示操作借续还查等使用功能的视频及图文材料，并可根据客户要求定期更换音视频。</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19、系统具备借续还查等操作的语音同步输出功能，并可根据客户要求进行定制化。</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20、设备具有人体靠近感应功能，该功能可拓展为控制声光提示功能。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21、系统在还书界面时，可显示书籍的层架位信息，并可显示地图导航功能。</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（投标人须在投标文件技术商务部分中提供软件功能截图佐证本项要求）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22、系统借续还查书界面简洁，并可通过参数配置，更换图文背景LOGO，日期、时间，界面按钮字体、颜色大小位置等灵活配置功能。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23、系统登入认证方式可先登入或后登入。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24、系统界面可适配多种不同分辨率的显示屏并提供参数配置文件。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2、阅读范围：确保250mm及250mm范围以内为有效阅读区域；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3、通信接口：USB或RS232、RJ45；</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4、供电要求：AC220V,50Hz；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5、功 耗：≤100W；</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6、主机：不低于四线程桌面级处理器；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7、内存：≥4G；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8、存储空间：≥120G以上固态硬盘；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9、屏幕显示：≥21.5寸；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10、触摸屏：电容触摸屏；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11、设备材质：钣金，钢化玻璃，亚克力；</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12、外观尺寸：≥长675*宽610*高1720MM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（三）性能要求：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w:t>
            </w:r>
            <w:r>
              <w:rPr>
                <w:rFonts w:hint="eastAsia" w:ascii="宋体" w:hAnsi="宋体" w:eastAsia="宋体" w:cs="宋体"/>
                <w:b/>
                <w:bCs/>
                <w:i w:val="0"/>
                <w:iCs w:val="0"/>
                <w:color w:val="auto"/>
                <w:kern w:val="0"/>
                <w:sz w:val="24"/>
                <w:szCs w:val="24"/>
                <w:highlight w:val="none"/>
                <w:u w:val="single"/>
                <w:lang w:val="en-US" w:eastAsia="zh-CN" w:bidi="ar"/>
              </w:rPr>
              <w:t>投标人须在技术商务部分中提供由第三方检测机构出具的</w:t>
            </w:r>
            <w:r>
              <w:rPr>
                <w:rFonts w:hint="eastAsia" w:ascii="宋体" w:hAnsi="宋体" w:eastAsia="宋体" w:cs="宋体"/>
                <w:b/>
                <w:bCs/>
                <w:color w:val="auto"/>
                <w:sz w:val="24"/>
                <w:szCs w:val="24"/>
                <w:highlight w:val="none"/>
                <w:u w:val="single"/>
                <w:lang w:val="en-US" w:eastAsia="zh-CN"/>
              </w:rPr>
              <w:t>所投产品</w:t>
            </w:r>
            <w:r>
              <w:rPr>
                <w:rFonts w:hint="eastAsia" w:ascii="宋体" w:hAnsi="宋体" w:eastAsia="宋体" w:cs="宋体"/>
                <w:b/>
                <w:bCs/>
                <w:i w:val="0"/>
                <w:iCs w:val="0"/>
                <w:color w:val="auto"/>
                <w:kern w:val="0"/>
                <w:sz w:val="24"/>
                <w:szCs w:val="24"/>
                <w:highlight w:val="none"/>
                <w:u w:val="single"/>
                <w:lang w:val="en-US" w:eastAsia="zh-CN" w:bidi="ar"/>
              </w:rPr>
              <w:t>由第三方检测机构依据GB/T17626.13-2006、GB/T17626.14-2005、GB/T17626.28-2006标准出具的带有CMA标识的检测报告佐证以下内容</w:t>
            </w:r>
            <w:r>
              <w:rPr>
                <w:rFonts w:hint="eastAsia" w:ascii="宋体" w:hAnsi="宋体" w:eastAsia="宋体" w:cs="宋体"/>
                <w:i w:val="0"/>
                <w:iCs w:val="0"/>
                <w:color w:val="auto"/>
                <w:kern w:val="0"/>
                <w:sz w:val="24"/>
                <w:szCs w:val="24"/>
                <w:highlight w:val="none"/>
                <w:u w:val="none"/>
                <w:lang w:val="en-US" w:eastAsia="zh-CN" w:bidi="ar"/>
              </w:rPr>
              <w:t>：</w:t>
            </w:r>
          </w:p>
          <w:p w14:paraId="2B1E0FC4">
            <w:pPr>
              <w:keepNext w:val="0"/>
              <w:keepLines w:val="0"/>
              <w:widowControl/>
              <w:suppressLineNumbers w:val="0"/>
              <w:spacing w:line="360" w:lineRule="auto"/>
              <w:jc w:val="lef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①电磁兼容试验和测量技术交流电源端口谐波、谐间波及电网信号的低频抗扰度合格。②电磁兼容试验和测量技术电压波动抗扰度合格。③电磁兼容试验和测量技术工频频率变化抗扰度合格。</w:t>
            </w:r>
          </w:p>
          <w:p w14:paraId="5F958304">
            <w:pPr>
              <w:keepNext w:val="0"/>
              <w:keepLines w:val="0"/>
              <w:widowControl/>
              <w:suppressLineNumbers w:val="0"/>
              <w:spacing w:line="360" w:lineRule="auto"/>
              <w:jc w:val="left"/>
              <w:textAlignment w:val="auto"/>
              <w:rPr>
                <w:rFonts w:hint="eastAsia" w:ascii="宋体" w:hAnsi="宋体" w:eastAsia="宋体" w:cs="宋体"/>
                <w:b/>
                <w:bCs/>
                <w:i w:val="0"/>
                <w:iCs w:val="0"/>
                <w:color w:val="auto"/>
                <w:kern w:val="0"/>
                <w:sz w:val="24"/>
                <w:szCs w:val="24"/>
                <w:highlight w:val="none"/>
                <w:u w:val="single"/>
                <w:lang w:val="en-US" w:eastAsia="zh-CN" w:bidi="ar"/>
              </w:rPr>
            </w:pPr>
            <w:r>
              <w:rPr>
                <w:rFonts w:hint="eastAsia" w:ascii="宋体" w:hAnsi="宋体" w:eastAsia="宋体" w:cs="宋体"/>
                <w:color w:val="auto"/>
                <w:sz w:val="24"/>
                <w:szCs w:val="24"/>
                <w:highlight w:val="none"/>
                <w:lang w:val="en-US" w:eastAsia="zh-CN"/>
              </w:rPr>
              <w:t>2、</w:t>
            </w:r>
            <w:r>
              <w:rPr>
                <w:rFonts w:hint="eastAsia" w:ascii="宋体" w:hAnsi="宋体" w:eastAsia="宋体" w:cs="宋体"/>
                <w:b/>
                <w:bCs/>
                <w:color w:val="auto"/>
                <w:sz w:val="24"/>
                <w:szCs w:val="24"/>
                <w:highlight w:val="none"/>
                <w:u w:val="single"/>
                <w:lang w:val="en-US" w:eastAsia="zh-CN"/>
              </w:rPr>
              <w:t>投标人须在投标文件技术商务部分中提供所投产品由第三方检测机构依据</w:t>
            </w:r>
            <w:r>
              <w:rPr>
                <w:rFonts w:hint="eastAsia" w:ascii="宋体" w:hAnsi="宋体" w:eastAsia="宋体" w:cs="宋体"/>
                <w:b/>
                <w:bCs/>
                <w:color w:val="auto"/>
                <w:sz w:val="24"/>
                <w:szCs w:val="24"/>
                <w:highlight w:val="none"/>
                <w:u w:val="single"/>
              </w:rPr>
              <w:t>GB/T 25000.51-2016《系统与软件工程系统与软件质量要求和评价SQuaRE)第51 部分:就绪可用软件产品(RUSP)的质量要求和测试细则》</w:t>
            </w:r>
            <w:r>
              <w:rPr>
                <w:rFonts w:hint="eastAsia" w:ascii="宋体" w:hAnsi="宋体" w:eastAsia="宋体" w:cs="宋体"/>
                <w:b/>
                <w:bCs/>
                <w:color w:val="auto"/>
                <w:sz w:val="24"/>
                <w:szCs w:val="24"/>
                <w:highlight w:val="none"/>
                <w:u w:val="single"/>
                <w:lang w:eastAsia="zh-CN"/>
              </w:rPr>
              <w:t>标准进行检测的检测报告佐证以下内容</w:t>
            </w:r>
            <w:r>
              <w:rPr>
                <w:rFonts w:hint="eastAsia" w:ascii="宋体" w:hAnsi="宋体" w:eastAsia="宋体" w:cs="宋体"/>
                <w:b/>
                <w:bCs/>
                <w:i w:val="0"/>
                <w:iCs w:val="0"/>
                <w:color w:val="auto"/>
                <w:kern w:val="0"/>
                <w:sz w:val="24"/>
                <w:szCs w:val="24"/>
                <w:highlight w:val="none"/>
                <w:u w:val="single"/>
                <w:lang w:val="en-US" w:eastAsia="zh-CN" w:bidi="ar"/>
              </w:rPr>
              <w:t>：</w:t>
            </w:r>
          </w:p>
          <w:p w14:paraId="77A504BF">
            <w:pPr>
              <w:keepNext w:val="0"/>
              <w:keepLines w:val="0"/>
              <w:widowControl/>
              <w:suppressLineNumbers w:val="0"/>
              <w:spacing w:line="360" w:lineRule="auto"/>
              <w:jc w:val="left"/>
              <w:textAlignment w:val="auto"/>
              <w:rPr>
                <w:rFonts w:hint="eastAsia" w:ascii="宋体" w:hAnsi="宋体" w:eastAsia="宋体" w:cs="宋体"/>
                <w:i w:val="0"/>
                <w:iCs w:val="0"/>
                <w:color w:val="auto"/>
                <w:sz w:val="24"/>
                <w:szCs w:val="24"/>
                <w:highlight w:val="none"/>
                <w:u w:val="none"/>
              </w:rPr>
            </w:pPr>
            <w:r>
              <w:rPr>
                <w:rFonts w:hint="eastAsia" w:ascii="宋体" w:hAnsi="宋体" w:eastAsia="宋体" w:cs="宋体"/>
                <w:b w:val="0"/>
                <w:bCs w:val="0"/>
                <w:color w:val="auto"/>
                <w:kern w:val="0"/>
                <w:sz w:val="24"/>
                <w:szCs w:val="24"/>
                <w:highlight w:val="none"/>
                <w:u w:val="none"/>
                <w:lang w:val="en-US" w:eastAsia="zh-CN" w:bidi="ar"/>
              </w:rPr>
              <w:t>蓝光危害辐亮度风险等级为RG0。</w:t>
            </w:r>
          </w:p>
        </w:tc>
        <w:tc>
          <w:tcPr>
            <w:tcW w:w="253" w:type="pct"/>
            <w:shd w:val="clear" w:color="auto" w:fill="auto"/>
            <w:noWrap/>
            <w:vAlign w:val="center"/>
          </w:tcPr>
          <w:p w14:paraId="1B63851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36E1AEF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84842E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71575" cy="1943100"/>
                  <wp:effectExtent l="0" t="0" r="9525" b="0"/>
                  <wp:docPr id="94" name="图片 94" descr="5立式自助借还书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5立式自助借还书机"/>
                          <pic:cNvPicPr>
                            <a:picLocks noChangeAspect="1"/>
                          </pic:cNvPicPr>
                        </pic:nvPicPr>
                        <pic:blipFill>
                          <a:blip r:embed="rId6"/>
                          <a:stretch>
                            <a:fillRect/>
                          </a:stretch>
                        </pic:blipFill>
                        <pic:spPr>
                          <a:xfrm>
                            <a:off x="0" y="0"/>
                            <a:ext cx="1171575" cy="1943100"/>
                          </a:xfrm>
                          <a:prstGeom prst="rect">
                            <a:avLst/>
                          </a:prstGeom>
                        </pic:spPr>
                      </pic:pic>
                    </a:graphicData>
                  </a:graphic>
                </wp:inline>
              </w:drawing>
            </w:r>
          </w:p>
        </w:tc>
      </w:tr>
      <w:tr w14:paraId="7AE63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40" w:hRule="atLeast"/>
        </w:trPr>
        <w:tc>
          <w:tcPr>
            <w:tcW w:w="367" w:type="pct"/>
            <w:shd w:val="clear" w:color="auto" w:fill="auto"/>
            <w:vAlign w:val="center"/>
          </w:tcPr>
          <w:p w14:paraId="11CBFEE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542" w:type="pct"/>
            <w:shd w:val="clear" w:color="auto" w:fill="auto"/>
            <w:vAlign w:val="center"/>
          </w:tcPr>
          <w:p w14:paraId="45D2B39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电子标签</w:t>
            </w:r>
          </w:p>
        </w:tc>
        <w:tc>
          <w:tcPr>
            <w:tcW w:w="2240" w:type="pct"/>
            <w:shd w:val="clear" w:color="auto" w:fill="auto"/>
            <w:vAlign w:val="center"/>
          </w:tcPr>
          <w:p w14:paraId="67C30C2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1、标签为无源标签，其中具有存储器，存储在其中的资料可重复读、写。</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2、标签可以非接触式的读取和写入，加快资源流通的处理手续。</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3、标签具有一定的抗冲突性，最大可支持50张/秒同时识别。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4、标签具有不可改写的唯一序列号（UID）供识别和加密，防止存储在其中的信息资料被泄露。</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5、用户可自定义数据格式和内容，具有良好的数据扩展性。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6、标签覆合为INLAY居中覆合，芯片朝向面纸。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7、标签固有频率误差率±300K Hz范围。</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8、实际工作环境，以标签容量1024bits为标准计算，每种工序中标签的读取速度都能达到0.1s之内。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9、须采用中性粘胶对图书及其它介质粘贴表面无损害。</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 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2、内存容量：≥1024 bits。</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5、图书标签尺寸：长50mm×宽50mm（误差±5MM）。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6、有效使用寿命：≥10 年；内存须可读写100,000次及以上。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7、防冲突机制：≥30个标签/秒。</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8、具有良好的互换性与兼容性。</w:t>
            </w:r>
          </w:p>
        </w:tc>
        <w:tc>
          <w:tcPr>
            <w:tcW w:w="253" w:type="pct"/>
            <w:shd w:val="clear" w:color="auto" w:fill="auto"/>
            <w:vAlign w:val="center"/>
          </w:tcPr>
          <w:p w14:paraId="55400CB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43B8837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18000</w:t>
            </w:r>
          </w:p>
        </w:tc>
        <w:tc>
          <w:tcPr>
            <w:tcW w:w="1261" w:type="pct"/>
            <w:shd w:val="clear" w:color="auto" w:fill="auto"/>
            <w:vAlign w:val="center"/>
          </w:tcPr>
          <w:p w14:paraId="62E1679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600710"/>
                  <wp:effectExtent l="0" t="0" r="0" b="8890"/>
                  <wp:docPr id="95" name="图片 95" descr="6电子标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6电子标签"/>
                          <pic:cNvPicPr>
                            <a:picLocks noChangeAspect="1"/>
                          </pic:cNvPicPr>
                        </pic:nvPicPr>
                        <pic:blipFill>
                          <a:blip r:embed="rId7"/>
                          <a:stretch>
                            <a:fillRect/>
                          </a:stretch>
                        </pic:blipFill>
                        <pic:spPr>
                          <a:xfrm>
                            <a:off x="0" y="0"/>
                            <a:ext cx="1352550" cy="600710"/>
                          </a:xfrm>
                          <a:prstGeom prst="rect">
                            <a:avLst/>
                          </a:prstGeom>
                        </pic:spPr>
                      </pic:pic>
                    </a:graphicData>
                  </a:graphic>
                </wp:inline>
              </w:drawing>
            </w:r>
          </w:p>
        </w:tc>
      </w:tr>
      <w:tr w14:paraId="40E3F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2" w:hRule="atLeast"/>
        </w:trPr>
        <w:tc>
          <w:tcPr>
            <w:tcW w:w="367" w:type="pct"/>
            <w:shd w:val="clear" w:color="auto" w:fill="auto"/>
            <w:vAlign w:val="center"/>
          </w:tcPr>
          <w:p w14:paraId="54AF218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w:t>
            </w:r>
          </w:p>
        </w:tc>
        <w:tc>
          <w:tcPr>
            <w:tcW w:w="542" w:type="pct"/>
            <w:shd w:val="clear" w:color="auto" w:fill="auto"/>
            <w:vAlign w:val="center"/>
          </w:tcPr>
          <w:p w14:paraId="1BEF02C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层架标</w:t>
            </w:r>
          </w:p>
        </w:tc>
        <w:tc>
          <w:tcPr>
            <w:tcW w:w="2240" w:type="pct"/>
            <w:shd w:val="clear" w:color="auto" w:fill="auto"/>
            <w:vAlign w:val="center"/>
          </w:tcPr>
          <w:p w14:paraId="3927A5BD">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RFID层架标签能够方便的贴在书架上，包括各种材质的书架，如金属或者木质书架。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1.实际工作环境，以标签容量1024bits为标准计算，每种工序中标签的读取速度都能达到0.1s之内；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2.标签中有存储器，存储在其中的资料可重复读、写，容量为1024bits/1MHz；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3.标签可以非接触式的读取和写入，加快资源流通的处理手续；</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4.标签具有一定的抗冲突性，能保证多个标签的同时可靠识别；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5.用户可自定义数据格式和内容，具有良好的数据扩展性；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6.具有不可改写的唯一序列号（UID）供识别和加密；</w:t>
            </w:r>
            <w:r>
              <w:rPr>
                <w:rFonts w:hint="eastAsia" w:ascii="宋体" w:hAnsi="宋体" w:eastAsia="宋体" w:cs="宋体"/>
                <w:b/>
                <w:bCs/>
                <w:i w:val="0"/>
                <w:iCs w:val="0"/>
                <w:color w:val="auto"/>
                <w:kern w:val="0"/>
                <w:sz w:val="24"/>
                <w:szCs w:val="24"/>
                <w:highlight w:val="none"/>
                <w:u w:val="single"/>
                <w:lang w:val="en-US" w:eastAsia="zh-CN" w:bidi="ar"/>
              </w:rPr>
              <w:t>（</w:t>
            </w:r>
            <w:r>
              <w:rPr>
                <w:rFonts w:hint="eastAsia" w:ascii="宋体" w:hAnsi="宋体" w:eastAsia="宋体" w:cs="宋体"/>
                <w:b/>
                <w:bCs/>
                <w:color w:val="auto"/>
                <w:kern w:val="0"/>
                <w:sz w:val="24"/>
                <w:szCs w:val="24"/>
                <w:highlight w:val="none"/>
                <w:u w:val="single"/>
                <w:lang w:val="en-US" w:eastAsia="zh-CN" w:bidi="ar"/>
              </w:rPr>
              <w:t>投标人须在投标文件技术商务部分中提供所投产品由第三方检测机构出具的检测报告佐证本项要求</w:t>
            </w:r>
            <w:r>
              <w:rPr>
                <w:rFonts w:hint="eastAsia" w:ascii="宋体" w:hAnsi="宋体" w:eastAsia="宋体" w:cs="宋体"/>
                <w:b/>
                <w:bCs/>
                <w:i w:val="0"/>
                <w:iCs w:val="0"/>
                <w:color w:val="auto"/>
                <w:kern w:val="0"/>
                <w:sz w:val="24"/>
                <w:szCs w:val="24"/>
                <w:highlight w:val="none"/>
                <w:u w:val="single"/>
                <w:lang w:val="en-US" w:eastAsia="zh-CN" w:bidi="ar"/>
              </w:rPr>
              <w:t>）</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7.相关的RFID阅读产品设备，可在0.1s内读取存储在标签中的资料（每种工序中标签的读取速度都能达到0.1s之内）</w:t>
            </w:r>
            <w:r>
              <w:rPr>
                <w:rFonts w:hint="eastAsia" w:ascii="宋体" w:hAnsi="宋体" w:eastAsia="宋体" w:cs="宋体"/>
                <w:b/>
                <w:bCs/>
                <w:i w:val="0"/>
                <w:iCs w:val="0"/>
                <w:color w:val="auto"/>
                <w:kern w:val="0"/>
                <w:sz w:val="24"/>
                <w:szCs w:val="24"/>
                <w:highlight w:val="none"/>
                <w:u w:val="single"/>
                <w:lang w:val="en-US" w:eastAsia="zh-CN" w:bidi="ar"/>
              </w:rPr>
              <w:t>（</w:t>
            </w:r>
            <w:r>
              <w:rPr>
                <w:rFonts w:hint="eastAsia" w:ascii="宋体" w:hAnsi="宋体" w:eastAsia="宋体" w:cs="宋体"/>
                <w:b/>
                <w:bCs/>
                <w:color w:val="auto"/>
                <w:sz w:val="24"/>
                <w:szCs w:val="24"/>
                <w:highlight w:val="none"/>
                <w:u w:val="single"/>
                <w:lang w:val="en-US" w:eastAsia="zh-CN"/>
              </w:rPr>
              <w:t>投标人须在投标文件技术商务部分中提供所投产品由第三方检测机构出具的检测报告佐证本项要求</w:t>
            </w:r>
            <w:r>
              <w:rPr>
                <w:rFonts w:hint="eastAsia" w:ascii="宋体" w:hAnsi="宋体" w:eastAsia="宋体" w:cs="宋体"/>
                <w:b/>
                <w:bCs/>
                <w:i w:val="0"/>
                <w:iCs w:val="0"/>
                <w:color w:val="auto"/>
                <w:kern w:val="0"/>
                <w:sz w:val="24"/>
                <w:szCs w:val="24"/>
                <w:highlight w:val="none"/>
                <w:u w:val="single"/>
                <w:lang w:val="en-US" w:eastAsia="zh-CN" w:bidi="ar"/>
              </w:rPr>
              <w:t>）</w:t>
            </w:r>
            <w:r>
              <w:rPr>
                <w:rFonts w:hint="eastAsia" w:ascii="宋体" w:hAnsi="宋体" w:eastAsia="宋体" w:cs="宋体"/>
                <w:i w:val="0"/>
                <w:iCs w:val="0"/>
                <w:color w:val="auto"/>
                <w:kern w:val="0"/>
                <w:sz w:val="24"/>
                <w:szCs w:val="24"/>
                <w:highlight w:val="none"/>
                <w:u w:val="none"/>
                <w:lang w:val="en-US" w:eastAsia="zh-CN" w:bidi="ar"/>
              </w:rPr>
              <w:t>；</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8.工作频率：13.56MHz，频率误差±300kHz范围；</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9.数据擦写寿命≥100000次；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10.数据保存≥10年；</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11.层架表签天线尺寸 ≤长52×宽15mm；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12.层架位标签长度：85MM ±0.5MM；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13.层架位标签宽度：25MM ±0.5MM；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14.层架位为层板防电磁屏蔽用RFID标签，自带背胶，可固定于图书馆的金属书架层板表面（钢木架）。</w:t>
            </w:r>
          </w:p>
        </w:tc>
        <w:tc>
          <w:tcPr>
            <w:tcW w:w="253" w:type="pct"/>
            <w:shd w:val="clear" w:color="auto" w:fill="auto"/>
            <w:vAlign w:val="center"/>
          </w:tcPr>
          <w:p w14:paraId="5B275E2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164226B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500</w:t>
            </w:r>
          </w:p>
        </w:tc>
        <w:tc>
          <w:tcPr>
            <w:tcW w:w="1261" w:type="pct"/>
            <w:shd w:val="clear" w:color="auto" w:fill="auto"/>
            <w:vAlign w:val="center"/>
          </w:tcPr>
          <w:p w14:paraId="71278DD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949325"/>
                  <wp:effectExtent l="0" t="0" r="635" b="3175"/>
                  <wp:docPr id="96" name="图片 96" descr="7层架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7层架标"/>
                          <pic:cNvPicPr>
                            <a:picLocks noChangeAspect="1"/>
                          </pic:cNvPicPr>
                        </pic:nvPicPr>
                        <pic:blipFill>
                          <a:blip r:embed="rId8"/>
                          <a:stretch>
                            <a:fillRect/>
                          </a:stretch>
                        </pic:blipFill>
                        <pic:spPr>
                          <a:xfrm>
                            <a:off x="0" y="0"/>
                            <a:ext cx="1351915" cy="949325"/>
                          </a:xfrm>
                          <a:prstGeom prst="rect">
                            <a:avLst/>
                          </a:prstGeom>
                        </pic:spPr>
                      </pic:pic>
                    </a:graphicData>
                  </a:graphic>
                </wp:inline>
              </w:drawing>
            </w:r>
          </w:p>
        </w:tc>
      </w:tr>
      <w:tr w14:paraId="2BEAE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rPr>
        <w:tc>
          <w:tcPr>
            <w:tcW w:w="367" w:type="pct"/>
            <w:shd w:val="clear" w:color="auto" w:fill="auto"/>
            <w:vAlign w:val="center"/>
          </w:tcPr>
          <w:p w14:paraId="4A5DE02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w:t>
            </w:r>
          </w:p>
        </w:tc>
        <w:tc>
          <w:tcPr>
            <w:tcW w:w="542" w:type="pct"/>
            <w:shd w:val="clear" w:color="auto" w:fill="auto"/>
            <w:vAlign w:val="center"/>
          </w:tcPr>
          <w:p w14:paraId="7A08AF5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数据加工服务</w:t>
            </w:r>
          </w:p>
        </w:tc>
        <w:tc>
          <w:tcPr>
            <w:tcW w:w="2240" w:type="pct"/>
            <w:shd w:val="clear" w:color="auto" w:fill="auto"/>
            <w:vAlign w:val="center"/>
          </w:tcPr>
          <w:p w14:paraId="185AFC9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1、在图书书脊位置粘贴RFID电子标签，通过馆员工作站给图书电子标签写入图书数据（数据转换），并与RFID系统及图书管理系统准确对接。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2、所有图书加工完毕后，需按照图书馆原有的排列方式归回原架，并整齐摆放。</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3、层架标签加工服务：根据需求和馆方确定编码规则（采购人提供编码规则）；</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4、通过馆员工作站给图书电子标签写入层架信息；把相应的层架标签正确粘贴在相对应的层架上。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5、标签安装工作须建立质量管控抽查机制，除加工工人外须安排至少一名质量监督专员，每天对加工图书进行两次质量抽检。</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6、为了保证数据加工的专业性，投标人针对本</w:t>
            </w:r>
            <w:r>
              <w:rPr>
                <w:rFonts w:hint="eastAsia" w:ascii="宋体" w:hAnsi="宋体" w:eastAsia="宋体" w:cs="宋体"/>
                <w:color w:val="auto"/>
                <w:kern w:val="0"/>
                <w:sz w:val="24"/>
                <w:szCs w:val="24"/>
                <w:highlight w:val="none"/>
                <w:u w:val="none"/>
                <w:lang w:val="en-US" w:eastAsia="zh-CN" w:bidi="ar"/>
              </w:rPr>
              <w:t>项目拟配的人员中至少1名须持有</w:t>
            </w:r>
            <w:r>
              <w:rPr>
                <w:rFonts w:hint="eastAsia" w:ascii="宋体" w:hAnsi="宋体" w:eastAsia="宋体" w:cs="宋体"/>
                <w:color w:val="auto"/>
                <w:sz w:val="24"/>
                <w:szCs w:val="24"/>
                <w:highlight w:val="none"/>
              </w:rPr>
              <w:t>国家图书馆培训中心</w:t>
            </w:r>
            <w:r>
              <w:rPr>
                <w:rFonts w:hint="eastAsia" w:ascii="宋体" w:hAnsi="宋体" w:eastAsia="宋体" w:cs="宋体"/>
                <w:color w:val="auto"/>
                <w:sz w:val="24"/>
                <w:szCs w:val="24"/>
                <w:highlight w:val="none"/>
                <w:lang w:val="en-US" w:eastAsia="zh-CN"/>
              </w:rPr>
              <w:t>出具的编目员上岗证书</w:t>
            </w:r>
            <w:r>
              <w:rPr>
                <w:rFonts w:hint="eastAsia" w:ascii="宋体" w:hAnsi="宋体" w:eastAsia="宋体" w:cs="宋体"/>
                <w:color w:val="auto"/>
                <w:kern w:val="0"/>
                <w:sz w:val="24"/>
                <w:szCs w:val="24"/>
                <w:highlight w:val="none"/>
                <w:u w:val="none"/>
                <w:lang w:val="en-US" w:eastAsia="zh-CN" w:bidi="ar"/>
              </w:rPr>
              <w:t>或CALIS编目员资格证书</w:t>
            </w:r>
            <w:r>
              <w:rPr>
                <w:rFonts w:hint="eastAsia" w:ascii="宋体" w:hAnsi="宋体" w:eastAsia="宋体" w:cs="宋体"/>
                <w:i w:val="0"/>
                <w:iCs w:val="0"/>
                <w:color w:val="auto"/>
                <w:kern w:val="0"/>
                <w:sz w:val="24"/>
                <w:szCs w:val="24"/>
                <w:highlight w:val="none"/>
                <w:u w:val="none"/>
                <w:lang w:val="en-US" w:eastAsia="zh-CN" w:bidi="ar"/>
              </w:rPr>
              <w:t>。</w:t>
            </w:r>
            <w:r>
              <w:rPr>
                <w:rFonts w:hint="eastAsia" w:ascii="宋体" w:hAnsi="宋体" w:eastAsia="宋体" w:cs="宋体"/>
                <w:b/>
                <w:bCs/>
                <w:i w:val="0"/>
                <w:iCs w:val="0"/>
                <w:color w:val="auto"/>
                <w:kern w:val="0"/>
                <w:sz w:val="24"/>
                <w:szCs w:val="24"/>
                <w:highlight w:val="none"/>
                <w:u w:val="single"/>
                <w:lang w:val="en-US" w:eastAsia="zh-CN" w:bidi="ar"/>
              </w:rPr>
              <w:t>（投标人须在技术商务部分中提供人员相关证书复印件佐证）</w:t>
            </w:r>
          </w:p>
        </w:tc>
        <w:tc>
          <w:tcPr>
            <w:tcW w:w="253" w:type="pct"/>
            <w:shd w:val="clear" w:color="auto" w:fill="auto"/>
            <w:vAlign w:val="center"/>
          </w:tcPr>
          <w:p w14:paraId="55AF8F6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册</w:t>
            </w:r>
          </w:p>
        </w:tc>
        <w:tc>
          <w:tcPr>
            <w:tcW w:w="334" w:type="pct"/>
            <w:shd w:val="clear" w:color="auto" w:fill="auto"/>
            <w:vAlign w:val="center"/>
          </w:tcPr>
          <w:p w14:paraId="4F2E203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120000</w:t>
            </w:r>
          </w:p>
        </w:tc>
        <w:tc>
          <w:tcPr>
            <w:tcW w:w="1261" w:type="pct"/>
            <w:shd w:val="clear" w:color="auto" w:fill="auto"/>
            <w:vAlign w:val="center"/>
          </w:tcPr>
          <w:p w14:paraId="4A02B20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1B71D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0" w:hRule="atLeast"/>
        </w:trPr>
        <w:tc>
          <w:tcPr>
            <w:tcW w:w="367" w:type="pct"/>
            <w:shd w:val="clear" w:color="auto" w:fill="auto"/>
            <w:vAlign w:val="center"/>
          </w:tcPr>
          <w:p w14:paraId="6AB4F0F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c>
          <w:tcPr>
            <w:tcW w:w="542" w:type="pct"/>
            <w:shd w:val="clear" w:color="auto" w:fill="auto"/>
            <w:vAlign w:val="center"/>
          </w:tcPr>
          <w:p w14:paraId="5472847C">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系统对接服务</w:t>
            </w:r>
          </w:p>
        </w:tc>
        <w:tc>
          <w:tcPr>
            <w:tcW w:w="2240" w:type="pct"/>
            <w:shd w:val="clear" w:color="auto" w:fill="auto"/>
            <w:vAlign w:val="center"/>
          </w:tcPr>
          <w:p w14:paraId="7C71DC2C">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校园一卡通系统数据对接等</w:t>
            </w:r>
          </w:p>
        </w:tc>
        <w:tc>
          <w:tcPr>
            <w:tcW w:w="253" w:type="pct"/>
            <w:shd w:val="clear" w:color="auto" w:fill="auto"/>
            <w:vAlign w:val="center"/>
          </w:tcPr>
          <w:p w14:paraId="4A72EF4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vAlign w:val="center"/>
          </w:tcPr>
          <w:p w14:paraId="236C918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22000</w:t>
            </w:r>
          </w:p>
        </w:tc>
        <w:tc>
          <w:tcPr>
            <w:tcW w:w="1261" w:type="pct"/>
            <w:shd w:val="clear" w:color="auto" w:fill="auto"/>
            <w:vAlign w:val="center"/>
          </w:tcPr>
          <w:p w14:paraId="78EF01D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33AB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22" w:hRule="atLeast"/>
        </w:trPr>
        <w:tc>
          <w:tcPr>
            <w:tcW w:w="367" w:type="pct"/>
            <w:shd w:val="clear" w:color="auto" w:fill="auto"/>
            <w:vAlign w:val="center"/>
          </w:tcPr>
          <w:p w14:paraId="22D4A4D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542" w:type="pct"/>
            <w:shd w:val="clear" w:color="auto" w:fill="auto"/>
            <w:vAlign w:val="center"/>
          </w:tcPr>
          <w:p w14:paraId="340B039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移动点检车</w:t>
            </w:r>
          </w:p>
        </w:tc>
        <w:tc>
          <w:tcPr>
            <w:tcW w:w="2240" w:type="pct"/>
            <w:shd w:val="clear" w:color="auto" w:fill="auto"/>
            <w:vAlign w:val="center"/>
          </w:tcPr>
          <w:p w14:paraId="51DCC6F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1、设备屏幕支持上下左右调整角度，左右调整角度为：180度，上下调整角度为：90°。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2、设备具有一体式双层图书感应区域，一次可识别≥80册。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3、支持手持盘点仪或激光扫描器，识别层架书标，进行图书定位盘点。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4、可以非接触式地快速识别粘贴在流通资料上的RFID标签。</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5、实际阅览室工作条件下，正常图书盘点定位准确率≥98%。</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6、具备充电组件，设备充电一次，使用时间≥10小时。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7、手持盘点仪天线为软性材质，可支持至少15度弯曲、不易折断，方便插入图书进行识别。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8、支持上架辅助：对还回的图书，生成图书列表，显示原图书的层架位，方便管理员原位上架。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9、盘点设备配套软件支持图书原架位信息查询、资料错架检查、顺架、保存典藏结果等功能。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10、设备支持SD卡及U盘扩展储存容量。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11、具有扩展性和可维护性，系统设备通过简单的硬件转换可以升级，设备支持无线联网工作。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▲12、快速还书：设备支持快速还书功能，当启用快速还书功能时，读者只需将图书放入书车即完成还书，并有语音提示还书成功，且屏幕显示当次还书的书名、条码信息、操作结果的信息。</w:t>
            </w:r>
            <w:r>
              <w:rPr>
                <w:rFonts w:hint="eastAsia" w:ascii="宋体" w:hAnsi="宋体" w:eastAsia="宋体" w:cs="宋体"/>
                <w:b/>
                <w:bCs/>
                <w:i w:val="0"/>
                <w:iCs w:val="0"/>
                <w:color w:val="auto"/>
                <w:kern w:val="0"/>
                <w:sz w:val="24"/>
                <w:szCs w:val="24"/>
                <w:highlight w:val="none"/>
                <w:u w:val="single"/>
                <w:lang w:val="en-US" w:eastAsia="zh-CN" w:bidi="ar"/>
              </w:rPr>
              <w:t>（投标人须针对本项内容</w:t>
            </w:r>
            <w:r>
              <w:rPr>
                <w:rFonts w:hint="eastAsia" w:ascii="宋体" w:hAnsi="宋体" w:eastAsia="宋体" w:cs="宋体"/>
                <w:b/>
                <w:bCs/>
                <w:color w:val="auto"/>
                <w:sz w:val="24"/>
                <w:szCs w:val="24"/>
                <w:highlight w:val="none"/>
                <w:u w:val="single"/>
                <w:lang w:val="en-US" w:eastAsia="zh-CN"/>
              </w:rPr>
              <w:t>提供现场视频</w:t>
            </w:r>
            <w:r>
              <w:rPr>
                <w:rFonts w:hint="eastAsia" w:ascii="宋体" w:hAnsi="宋体" w:eastAsia="宋体" w:cs="宋体"/>
                <w:b/>
                <w:bCs/>
                <w:color w:val="auto"/>
                <w:sz w:val="24"/>
                <w:szCs w:val="24"/>
                <w:highlight w:val="none"/>
                <w:u w:val="single"/>
              </w:rPr>
              <w:t>演示</w:t>
            </w:r>
            <w:r>
              <w:rPr>
                <w:rFonts w:hint="eastAsia" w:ascii="宋体" w:hAnsi="宋体" w:eastAsia="宋体" w:cs="宋体"/>
                <w:b/>
                <w:bCs/>
                <w:color w:val="auto"/>
                <w:sz w:val="24"/>
                <w:szCs w:val="24"/>
                <w:highlight w:val="none"/>
                <w:u w:val="single"/>
                <w:lang w:eastAsia="zh-CN"/>
              </w:rPr>
              <w:t>佐证，</w:t>
            </w:r>
            <w:r>
              <w:rPr>
                <w:rStyle w:val="7"/>
                <w:rFonts w:hint="eastAsia" w:ascii="宋体" w:hAnsi="宋体" w:eastAsia="宋体" w:cs="宋体"/>
                <w:bCs/>
                <w:color w:val="auto"/>
                <w:sz w:val="24"/>
                <w:szCs w:val="24"/>
                <w:highlight w:val="none"/>
                <w:u w:val="single"/>
              </w:rPr>
              <w:t>否则视为无效投标。演示的其他规定详见本表后“关于</w:t>
            </w:r>
            <w:r>
              <w:rPr>
                <w:rStyle w:val="7"/>
                <w:rFonts w:hint="eastAsia" w:ascii="宋体" w:hAnsi="宋体" w:eastAsia="宋体" w:cs="宋体"/>
                <w:bCs/>
                <w:color w:val="auto"/>
                <w:sz w:val="24"/>
                <w:szCs w:val="24"/>
                <w:highlight w:val="none"/>
                <w:u w:val="single"/>
                <w:lang w:eastAsia="zh-CN"/>
              </w:rPr>
              <w:t>现场</w:t>
            </w:r>
            <w:r>
              <w:rPr>
                <w:rStyle w:val="7"/>
                <w:rFonts w:hint="eastAsia" w:ascii="宋体" w:hAnsi="宋体" w:eastAsia="宋体" w:cs="宋体"/>
                <w:bCs/>
                <w:color w:val="auto"/>
                <w:sz w:val="24"/>
                <w:szCs w:val="24"/>
                <w:highlight w:val="none"/>
                <w:u w:val="single"/>
              </w:rPr>
              <w:t>演示规定”。</w:t>
            </w:r>
            <w:r>
              <w:rPr>
                <w:rFonts w:hint="eastAsia" w:ascii="宋体" w:hAnsi="宋体" w:eastAsia="宋体" w:cs="宋体"/>
                <w:b/>
                <w:bCs/>
                <w:color w:val="auto"/>
                <w:sz w:val="24"/>
                <w:szCs w:val="24"/>
                <w:highlight w:val="none"/>
                <w:u w:val="single"/>
              </w:rPr>
              <w:t>）</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13、辅助上架：将读者归还回来的图书，每拿起一本书，则会调出其所在的架位地图位置，告知管理员应该将书放回到哪个书架和层架。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图书盘点：包含原仓储数据(可以从层架标获取原本库存数据)和最新的盘点数据(新采集数据)进行比对，得出盘亏数据(原存仓数据中未采集到的)，得出盘盈数据(新采集到的多余数据，不属于本层架的错架数据)，盘点过程中可将数据保存导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15、图书盘点过程中，对采集到的已借出状态的图书，可进行实时在线归还。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16、对盘点图书列表内错架、未上架图书进行不同颜色区分显示，对未上架图书可直接修改为当前层架位，自动保存盘点结果。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17、定位上架：能批量将图书信息和层架位信息相绑定一起，并提供OPAC查询系统显示,方便追加新的图书上架。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18、层架标管理：对层架进行增加、修改、删除功能。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19、批量还书：设备支持快速还书功能，当启用快速还书功能时，读者只需将图书放入书车即完成还书，并有语音提示还书成功，且屏幕显示当次还书的数量、书名、条码信息、操作结果等信息。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▲20、批量借书：设备支持以班级为单位进行借书，同时可支持≥80册批量借书或者还书。</w:t>
            </w:r>
            <w:r>
              <w:rPr>
                <w:rFonts w:hint="eastAsia" w:ascii="宋体" w:hAnsi="宋体" w:eastAsia="宋体" w:cs="宋体"/>
                <w:b/>
                <w:bCs/>
                <w:i w:val="0"/>
                <w:iCs w:val="0"/>
                <w:color w:val="auto"/>
                <w:kern w:val="0"/>
                <w:sz w:val="24"/>
                <w:szCs w:val="24"/>
                <w:highlight w:val="none"/>
                <w:u w:val="single"/>
                <w:lang w:val="en-US" w:eastAsia="zh-CN" w:bidi="ar"/>
              </w:rPr>
              <w:t>（投标人须针对本项内容</w:t>
            </w:r>
            <w:r>
              <w:rPr>
                <w:rFonts w:hint="eastAsia" w:ascii="宋体" w:hAnsi="宋体" w:eastAsia="宋体" w:cs="宋体"/>
                <w:b/>
                <w:bCs/>
                <w:color w:val="auto"/>
                <w:sz w:val="24"/>
                <w:szCs w:val="24"/>
                <w:highlight w:val="none"/>
                <w:u w:val="single"/>
                <w:lang w:val="en-US" w:eastAsia="zh-CN"/>
              </w:rPr>
              <w:t>提供现场视频</w:t>
            </w:r>
            <w:r>
              <w:rPr>
                <w:rFonts w:hint="eastAsia" w:ascii="宋体" w:hAnsi="宋体" w:eastAsia="宋体" w:cs="宋体"/>
                <w:b/>
                <w:bCs/>
                <w:color w:val="auto"/>
                <w:sz w:val="24"/>
                <w:szCs w:val="24"/>
                <w:highlight w:val="none"/>
                <w:u w:val="single"/>
              </w:rPr>
              <w:t>演示</w:t>
            </w:r>
            <w:r>
              <w:rPr>
                <w:rFonts w:hint="eastAsia" w:ascii="宋体" w:hAnsi="宋体" w:eastAsia="宋体" w:cs="宋体"/>
                <w:b/>
                <w:bCs/>
                <w:color w:val="auto"/>
                <w:sz w:val="24"/>
                <w:szCs w:val="24"/>
                <w:highlight w:val="none"/>
                <w:u w:val="single"/>
                <w:lang w:eastAsia="zh-CN"/>
              </w:rPr>
              <w:t>佐证，</w:t>
            </w:r>
            <w:r>
              <w:rPr>
                <w:rStyle w:val="7"/>
                <w:rFonts w:hint="eastAsia" w:ascii="宋体" w:hAnsi="宋体" w:eastAsia="宋体" w:cs="宋体"/>
                <w:bCs/>
                <w:color w:val="auto"/>
                <w:sz w:val="24"/>
                <w:szCs w:val="24"/>
                <w:highlight w:val="none"/>
                <w:u w:val="single"/>
              </w:rPr>
              <w:t>否则视为无效投标。演示的其他规定详见本表后“关于</w:t>
            </w:r>
            <w:r>
              <w:rPr>
                <w:rStyle w:val="7"/>
                <w:rFonts w:hint="eastAsia" w:ascii="宋体" w:hAnsi="宋体" w:eastAsia="宋体" w:cs="宋体"/>
                <w:bCs/>
                <w:color w:val="auto"/>
                <w:sz w:val="24"/>
                <w:szCs w:val="24"/>
                <w:highlight w:val="none"/>
                <w:u w:val="single"/>
                <w:lang w:eastAsia="zh-CN"/>
              </w:rPr>
              <w:t>现场</w:t>
            </w:r>
            <w:r>
              <w:rPr>
                <w:rStyle w:val="7"/>
                <w:rFonts w:hint="eastAsia" w:ascii="宋体" w:hAnsi="宋体" w:eastAsia="宋体" w:cs="宋体"/>
                <w:bCs/>
                <w:color w:val="auto"/>
                <w:sz w:val="24"/>
                <w:szCs w:val="24"/>
                <w:highlight w:val="none"/>
                <w:u w:val="single"/>
              </w:rPr>
              <w:t>演示规定”。</w:t>
            </w:r>
            <w:r>
              <w:rPr>
                <w:rFonts w:hint="eastAsia" w:ascii="宋体" w:hAnsi="宋体" w:eastAsia="宋体" w:cs="宋体"/>
                <w:b/>
                <w:bCs/>
                <w:color w:val="auto"/>
                <w:sz w:val="24"/>
                <w:szCs w:val="24"/>
                <w:highlight w:val="none"/>
                <w:u w:val="single"/>
              </w:rPr>
              <w:t>）</w:t>
            </w:r>
            <w:r>
              <w:rPr>
                <w:rFonts w:hint="eastAsia" w:ascii="宋体" w:hAnsi="宋体" w:eastAsia="宋体" w:cs="宋体"/>
                <w:i w:val="0"/>
                <w:iCs w:val="0"/>
                <w:color w:val="auto"/>
                <w:kern w:val="0"/>
                <w:sz w:val="24"/>
                <w:szCs w:val="24"/>
                <w:highlight w:val="none"/>
                <w:u w:val="single"/>
                <w:lang w:val="en-US" w:eastAsia="zh-CN" w:bidi="ar"/>
              </w:rPr>
              <w:t xml:space="preserve">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▲21、设备支持作为还书终端使用时，可同步显示所还图书的架位信息（架位号）。</w:t>
            </w:r>
            <w:r>
              <w:rPr>
                <w:rFonts w:hint="eastAsia" w:ascii="宋体" w:hAnsi="宋体" w:eastAsia="宋体" w:cs="宋体"/>
                <w:b/>
                <w:bCs/>
                <w:i w:val="0"/>
                <w:iCs w:val="0"/>
                <w:color w:val="auto"/>
                <w:kern w:val="0"/>
                <w:sz w:val="24"/>
                <w:szCs w:val="24"/>
                <w:highlight w:val="none"/>
                <w:u w:val="single"/>
                <w:lang w:val="en-US" w:eastAsia="zh-CN" w:bidi="ar"/>
              </w:rPr>
              <w:t>（投标人须针对本项内容</w:t>
            </w:r>
            <w:r>
              <w:rPr>
                <w:rFonts w:hint="eastAsia" w:ascii="宋体" w:hAnsi="宋体" w:eastAsia="宋体" w:cs="宋体"/>
                <w:b/>
                <w:bCs/>
                <w:color w:val="auto"/>
                <w:sz w:val="24"/>
                <w:szCs w:val="24"/>
                <w:highlight w:val="none"/>
                <w:u w:val="single"/>
                <w:lang w:val="en-US" w:eastAsia="zh-CN"/>
              </w:rPr>
              <w:t>提供现场视频</w:t>
            </w:r>
            <w:r>
              <w:rPr>
                <w:rFonts w:hint="eastAsia" w:ascii="宋体" w:hAnsi="宋体" w:eastAsia="宋体" w:cs="宋体"/>
                <w:b/>
                <w:bCs/>
                <w:color w:val="auto"/>
                <w:sz w:val="24"/>
                <w:szCs w:val="24"/>
                <w:highlight w:val="none"/>
                <w:u w:val="single"/>
              </w:rPr>
              <w:t>演示</w:t>
            </w:r>
            <w:r>
              <w:rPr>
                <w:rFonts w:hint="eastAsia" w:ascii="宋体" w:hAnsi="宋体" w:eastAsia="宋体" w:cs="宋体"/>
                <w:b/>
                <w:bCs/>
                <w:color w:val="auto"/>
                <w:sz w:val="24"/>
                <w:szCs w:val="24"/>
                <w:highlight w:val="none"/>
                <w:u w:val="single"/>
                <w:lang w:eastAsia="zh-CN"/>
              </w:rPr>
              <w:t>佐证，</w:t>
            </w:r>
            <w:r>
              <w:rPr>
                <w:rStyle w:val="7"/>
                <w:rFonts w:hint="eastAsia" w:ascii="宋体" w:hAnsi="宋体" w:eastAsia="宋体" w:cs="宋体"/>
                <w:bCs/>
                <w:color w:val="auto"/>
                <w:sz w:val="24"/>
                <w:szCs w:val="24"/>
                <w:highlight w:val="none"/>
                <w:u w:val="single"/>
              </w:rPr>
              <w:t>否则视为无效投标。演示的其他规定详见本表后“关于</w:t>
            </w:r>
            <w:r>
              <w:rPr>
                <w:rStyle w:val="7"/>
                <w:rFonts w:hint="eastAsia" w:ascii="宋体" w:hAnsi="宋体" w:eastAsia="宋体" w:cs="宋体"/>
                <w:bCs/>
                <w:color w:val="auto"/>
                <w:sz w:val="24"/>
                <w:szCs w:val="24"/>
                <w:highlight w:val="none"/>
                <w:u w:val="single"/>
                <w:lang w:eastAsia="zh-CN"/>
              </w:rPr>
              <w:t>现场</w:t>
            </w:r>
            <w:r>
              <w:rPr>
                <w:rStyle w:val="7"/>
                <w:rFonts w:hint="eastAsia" w:ascii="宋体" w:hAnsi="宋体" w:eastAsia="宋体" w:cs="宋体"/>
                <w:bCs/>
                <w:color w:val="auto"/>
                <w:sz w:val="24"/>
                <w:szCs w:val="24"/>
                <w:highlight w:val="none"/>
                <w:u w:val="single"/>
              </w:rPr>
              <w:t>演示规定”。</w:t>
            </w:r>
            <w:r>
              <w:rPr>
                <w:rFonts w:hint="eastAsia" w:ascii="宋体" w:hAnsi="宋体" w:eastAsia="宋体" w:cs="宋体"/>
                <w:b/>
                <w:bCs/>
                <w:color w:val="auto"/>
                <w:sz w:val="24"/>
                <w:szCs w:val="24"/>
                <w:highlight w:val="none"/>
                <w:u w:val="single"/>
              </w:rPr>
              <w:t>）</w:t>
            </w:r>
            <w:r>
              <w:rPr>
                <w:rFonts w:hint="eastAsia" w:ascii="宋体" w:hAnsi="宋体" w:eastAsia="宋体" w:cs="宋体"/>
                <w:i w:val="0"/>
                <w:iCs w:val="0"/>
                <w:color w:val="auto"/>
                <w:kern w:val="0"/>
                <w:sz w:val="24"/>
                <w:szCs w:val="24"/>
                <w:highlight w:val="none"/>
                <w:u w:val="single"/>
                <w:lang w:val="en-US" w:eastAsia="zh-CN" w:bidi="ar"/>
              </w:rPr>
              <w:t xml:space="preserve">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2、符合相关行业标准，</w:t>
            </w:r>
            <w:r>
              <w:rPr>
                <w:rFonts w:hint="eastAsia" w:ascii="宋体" w:hAnsi="宋体" w:eastAsia="宋体" w:cs="宋体"/>
                <w:color w:val="auto"/>
                <w:sz w:val="24"/>
                <w:szCs w:val="24"/>
                <w:highlight w:val="none"/>
                <w:lang w:eastAsia="zh-CN"/>
              </w:rPr>
              <w:t>至少包含：</w:t>
            </w:r>
            <w:r>
              <w:rPr>
                <w:rFonts w:hint="eastAsia" w:ascii="宋体" w:hAnsi="宋体" w:eastAsia="宋体" w:cs="宋体"/>
                <w:i w:val="0"/>
                <w:iCs w:val="0"/>
                <w:color w:val="auto"/>
                <w:kern w:val="0"/>
                <w:sz w:val="24"/>
                <w:szCs w:val="24"/>
                <w:highlight w:val="none"/>
                <w:u w:val="none"/>
                <w:lang w:val="en-US" w:eastAsia="zh-CN" w:bidi="ar"/>
              </w:rPr>
              <w:t>ISO18000-3，ISO15693；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3、材 质：钣金，亚克力，不锈钢拉手；</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4、屏幕尺寸：≥15.6寸（普屏16:10）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5、触摸类型：电容屏；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6、工作温度：-10℃～50℃、储存温度：-20℃～60℃；相对湿度：5%～80%；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8、主机配置：不低于四线程桌面级处理器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9、内 存：≥4G；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10、存储空间：≥120G固态硬盘；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11、电池容量：12V40AH；</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12、识别图书：多本；</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13、使用时间：≥8小时，具体时间视环境；</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14、供电要求：AC220V,50Hz；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15、功 耗：60W；</w:t>
            </w:r>
          </w:p>
        </w:tc>
        <w:tc>
          <w:tcPr>
            <w:tcW w:w="253" w:type="pct"/>
            <w:shd w:val="clear" w:color="auto" w:fill="auto"/>
            <w:vAlign w:val="center"/>
          </w:tcPr>
          <w:p w14:paraId="42958E2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384B1CD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BCD493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843280"/>
                  <wp:effectExtent l="0" t="0" r="635" b="13970"/>
                  <wp:docPr id="97" name="图片 97" descr="10 移动点检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10 移动点检车"/>
                          <pic:cNvPicPr>
                            <a:picLocks noChangeAspect="1"/>
                          </pic:cNvPicPr>
                        </pic:nvPicPr>
                        <pic:blipFill>
                          <a:blip r:embed="rId9"/>
                          <a:stretch>
                            <a:fillRect/>
                          </a:stretch>
                        </pic:blipFill>
                        <pic:spPr>
                          <a:xfrm>
                            <a:off x="0" y="0"/>
                            <a:ext cx="1351915" cy="843280"/>
                          </a:xfrm>
                          <a:prstGeom prst="rect">
                            <a:avLst/>
                          </a:prstGeom>
                        </pic:spPr>
                      </pic:pic>
                    </a:graphicData>
                  </a:graphic>
                </wp:inline>
              </w:drawing>
            </w:r>
          </w:p>
        </w:tc>
      </w:tr>
      <w:tr w14:paraId="7081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1" w:hRule="atLeast"/>
        </w:trPr>
        <w:tc>
          <w:tcPr>
            <w:tcW w:w="367" w:type="pct"/>
            <w:shd w:val="clear" w:color="auto" w:fill="auto"/>
            <w:vAlign w:val="center"/>
          </w:tcPr>
          <w:p w14:paraId="4628AAD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w:t>
            </w:r>
          </w:p>
        </w:tc>
        <w:tc>
          <w:tcPr>
            <w:tcW w:w="542" w:type="pct"/>
            <w:shd w:val="clear" w:color="auto" w:fill="auto"/>
            <w:vAlign w:val="center"/>
          </w:tcPr>
          <w:p w14:paraId="762FD82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听书机</w:t>
            </w:r>
          </w:p>
        </w:tc>
        <w:tc>
          <w:tcPr>
            <w:tcW w:w="2240" w:type="pct"/>
            <w:shd w:val="clear" w:color="auto" w:fill="auto"/>
            <w:vAlign w:val="top"/>
          </w:tcPr>
          <w:p w14:paraId="0C106807">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（一）硬件要求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1、≥10.1</w:t>
            </w:r>
            <w:r>
              <w:rPr>
                <w:rFonts w:hint="eastAsia" w:ascii="宋体" w:hAnsi="宋体" w:eastAsia="宋体" w:cs="宋体"/>
                <w:color w:val="auto"/>
                <w:sz w:val="24"/>
                <w:szCs w:val="24"/>
                <w:highlight w:val="none"/>
                <w:lang w:eastAsia="zh-CN"/>
              </w:rPr>
              <w:t>寸</w:t>
            </w:r>
            <w:r>
              <w:rPr>
                <w:rFonts w:hint="eastAsia" w:ascii="宋体" w:hAnsi="宋体" w:eastAsia="宋体" w:cs="宋体"/>
                <w:i w:val="0"/>
                <w:iCs w:val="0"/>
                <w:color w:val="auto"/>
                <w:kern w:val="0"/>
                <w:sz w:val="24"/>
                <w:szCs w:val="24"/>
                <w:highlight w:val="none"/>
                <w:u w:val="none"/>
                <w:lang w:val="en-US" w:eastAsia="zh-CN" w:bidi="ar"/>
              </w:rPr>
              <w:t>电容一体机，分辨率为≥1920*1080。防水防尘、环境适应性强。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2、采用安卓配置方案，高速运行，灵活应对多种环境下的使用要求。接口预留有千兆以太网口、≥1个USB2.0、电源输入，电源开关。</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3、cpu：≥RK3288；</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4、内存：≥4G;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5、SD卡：≥64G；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6、网卡：支持集成10/100/1000M自适应网卡，无线网卡802.11a/b/g/n；</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7、系统：至少支持安卓系统；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8、面板：LED；</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9、采用铝型材边框、防尘、防水、超薄设计；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10、内件采用钣金结构件，整体设计坚固耐用；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11.机柜环保，外表烤漆，防锈、防磁、防静电处理；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12、主控采用嵌入式设计，保证全天候安全、稳定运行；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13、全高清显示屏，画面比传统电视机清晰；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14、配带耳机。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（二）系统要求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1、阅读平台需使用FLEX 技术开发,，具有运行平台无关性，且适应各种操作系统平台；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2、前台展示阅读功能动态3D效果显示，符合传统的阅读习惯。具有良好的客户体验效果。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3、平台需要内置有声均可通过移动设备直接扫描终端设备上的二维码下载资源到移动端在线阅读、收藏。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4、支持资源分类检索与分类导航功能；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5、可根据客户需求协助采购人管理展示相关特色资源</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6、在联网情况下，支持系统远程定时内容及系统更新。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7、所有模块可根据采购人需求进行定制服务。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（三）资源要求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1、有声资源≥20000辑。</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2、听书资源需要可根据用户人群进行个性化分类，如党政类：抗日战争、长征系列、军事文学、颂党情、纪实文学、中外名著。</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抗日战争须至少包含：1894燃烧的甲午、30年来抗日战争研究述评、百团大战、谍战上海滩、国际友人与抗日战争、华北抗战；长征系列须至少包含：1942年远征军未解之谜、改变中国命运的遵义会议；军事文学须至少包含：1964暗战原子弹、北洋军阀覆灭记、大辛亥、二战讲坛、波罗奔尼撒战争；颂党情须至少包含：一带一路、备战公考、党史故事100讲、建党伟业、三严三实、十八大报告权威专题解读；纪实文学须至少包含：蔡东藩中华史后汉、二十四史、汉书、红墙见证录、后汉史、欧洲中世纪史；中外名著须至少包含：爱的教育、安徒生童话故事、傲慢与偏见、八十天环游地球、巴黎圣母院、悲惨世界。</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p>
        </w:tc>
        <w:tc>
          <w:tcPr>
            <w:tcW w:w="253" w:type="pct"/>
            <w:shd w:val="clear" w:color="auto" w:fill="auto"/>
            <w:noWrap/>
            <w:vAlign w:val="center"/>
          </w:tcPr>
          <w:p w14:paraId="71AD004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0938F2D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w:t>
            </w:r>
          </w:p>
        </w:tc>
        <w:tc>
          <w:tcPr>
            <w:tcW w:w="1261" w:type="pct"/>
            <w:shd w:val="clear" w:color="auto" w:fill="auto"/>
            <w:noWrap/>
            <w:vAlign w:val="center"/>
          </w:tcPr>
          <w:p w14:paraId="7134B9C8">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280" cy="1017905"/>
                  <wp:effectExtent l="0" t="0" r="1270" b="10795"/>
                  <wp:docPr id="98" name="图片 98" descr="11 听书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11 听书机"/>
                          <pic:cNvPicPr>
                            <a:picLocks noChangeAspect="1"/>
                          </pic:cNvPicPr>
                        </pic:nvPicPr>
                        <pic:blipFill>
                          <a:blip r:embed="rId10"/>
                          <a:stretch>
                            <a:fillRect/>
                          </a:stretch>
                        </pic:blipFill>
                        <pic:spPr>
                          <a:xfrm>
                            <a:off x="0" y="0"/>
                            <a:ext cx="1351280" cy="1017905"/>
                          </a:xfrm>
                          <a:prstGeom prst="rect">
                            <a:avLst/>
                          </a:prstGeom>
                        </pic:spPr>
                      </pic:pic>
                    </a:graphicData>
                  </a:graphic>
                </wp:inline>
              </w:drawing>
            </w:r>
          </w:p>
        </w:tc>
      </w:tr>
      <w:tr w14:paraId="278BC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4" w:hRule="atLeast"/>
        </w:trPr>
        <w:tc>
          <w:tcPr>
            <w:tcW w:w="367" w:type="pct"/>
            <w:shd w:val="clear" w:color="auto" w:fill="auto"/>
            <w:vAlign w:val="center"/>
          </w:tcPr>
          <w:p w14:paraId="4B901CF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w:t>
            </w:r>
          </w:p>
        </w:tc>
        <w:tc>
          <w:tcPr>
            <w:tcW w:w="542" w:type="pct"/>
            <w:shd w:val="clear" w:color="auto" w:fill="auto"/>
            <w:vAlign w:val="center"/>
          </w:tcPr>
          <w:p w14:paraId="24FA834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读报机</w:t>
            </w:r>
          </w:p>
        </w:tc>
        <w:tc>
          <w:tcPr>
            <w:tcW w:w="2240" w:type="pct"/>
            <w:shd w:val="clear" w:color="auto" w:fill="auto"/>
            <w:vAlign w:val="top"/>
          </w:tcPr>
          <w:p w14:paraId="4B5CAB68">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17550"/>
                  <wp:effectExtent l="0" t="0" r="0" b="0"/>
                  <wp:wrapNone/>
                  <wp:docPr id="1" name="图片_18"/>
                  <wp:cNvGraphicFramePr/>
                  <a:graphic xmlns:a="http://schemas.openxmlformats.org/drawingml/2006/main">
                    <a:graphicData uri="http://schemas.openxmlformats.org/drawingml/2006/picture">
                      <pic:pic xmlns:pic="http://schemas.openxmlformats.org/drawingml/2006/picture">
                        <pic:nvPicPr>
                          <pic:cNvPr id="1" name="图片_18"/>
                          <pic:cNvPicPr/>
                        </pic:nvPicPr>
                        <pic:blipFill>
                          <a:blip r:embed="rId11"/>
                          <a:stretch>
                            <a:fillRect/>
                          </a:stretch>
                        </pic:blipFill>
                        <pic:spPr>
                          <a:xfrm>
                            <a:off x="0" y="0"/>
                            <a:ext cx="720090" cy="7175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3" name="图片_64"/>
                  <wp:cNvGraphicFramePr/>
                  <a:graphic xmlns:a="http://schemas.openxmlformats.org/drawingml/2006/main">
                    <a:graphicData uri="http://schemas.openxmlformats.org/drawingml/2006/picture">
                      <pic:pic xmlns:pic="http://schemas.openxmlformats.org/drawingml/2006/picture">
                        <pic:nvPicPr>
                          <pic:cNvPr id="3" name="图片_64"/>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4" name="图片_72"/>
                  <wp:cNvGraphicFramePr/>
                  <a:graphic xmlns:a="http://schemas.openxmlformats.org/drawingml/2006/main">
                    <a:graphicData uri="http://schemas.openxmlformats.org/drawingml/2006/picture">
                      <pic:pic xmlns:pic="http://schemas.openxmlformats.org/drawingml/2006/picture">
                        <pic:nvPicPr>
                          <pic:cNvPr id="4" name="图片_72"/>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5" name="图片_87"/>
                  <wp:cNvGraphicFramePr/>
                  <a:graphic xmlns:a="http://schemas.openxmlformats.org/drawingml/2006/main">
                    <a:graphicData uri="http://schemas.openxmlformats.org/drawingml/2006/picture">
                      <pic:pic xmlns:pic="http://schemas.openxmlformats.org/drawingml/2006/picture">
                        <pic:nvPicPr>
                          <pic:cNvPr id="5" name="图片_87"/>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6" name="图片_88"/>
                  <wp:cNvGraphicFramePr/>
                  <a:graphic xmlns:a="http://schemas.openxmlformats.org/drawingml/2006/main">
                    <a:graphicData uri="http://schemas.openxmlformats.org/drawingml/2006/picture">
                      <pic:pic xmlns:pic="http://schemas.openxmlformats.org/drawingml/2006/picture">
                        <pic:nvPicPr>
                          <pic:cNvPr id="6" name="图片_88"/>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21360"/>
                  <wp:effectExtent l="0" t="0" r="0" b="0"/>
                  <wp:wrapNone/>
                  <wp:docPr id="7" name="图片_19"/>
                  <wp:cNvGraphicFramePr/>
                  <a:graphic xmlns:a="http://schemas.openxmlformats.org/drawingml/2006/main">
                    <a:graphicData uri="http://schemas.openxmlformats.org/drawingml/2006/picture">
                      <pic:pic xmlns:pic="http://schemas.openxmlformats.org/drawingml/2006/picture">
                        <pic:nvPicPr>
                          <pic:cNvPr id="7" name="图片_19"/>
                          <pic:cNvPicPr/>
                        </pic:nvPicPr>
                        <pic:blipFill>
                          <a:blip r:embed="rId12"/>
                          <a:stretch>
                            <a:fillRect/>
                          </a:stretch>
                        </pic:blipFill>
                        <pic:spPr>
                          <a:xfrm>
                            <a:off x="0" y="0"/>
                            <a:ext cx="72009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21360"/>
                  <wp:effectExtent l="0" t="0" r="0" b="0"/>
                  <wp:wrapNone/>
                  <wp:docPr id="8" name="图片_19_SpCnt_1"/>
                  <wp:cNvGraphicFramePr/>
                  <a:graphic xmlns:a="http://schemas.openxmlformats.org/drawingml/2006/main">
                    <a:graphicData uri="http://schemas.openxmlformats.org/drawingml/2006/picture">
                      <pic:pic xmlns:pic="http://schemas.openxmlformats.org/drawingml/2006/picture">
                        <pic:nvPicPr>
                          <pic:cNvPr id="8" name="图片_19_SpCnt_1"/>
                          <pic:cNvPicPr/>
                        </pic:nvPicPr>
                        <pic:blipFill>
                          <a:blip r:embed="rId11"/>
                          <a:stretch>
                            <a:fillRect/>
                          </a:stretch>
                        </pic:blipFill>
                        <pic:spPr>
                          <a:xfrm>
                            <a:off x="0" y="0"/>
                            <a:ext cx="71882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15645"/>
                  <wp:effectExtent l="0" t="0" r="0" b="0"/>
                  <wp:wrapNone/>
                  <wp:docPr id="9" name="图片_18_SpCnt_1"/>
                  <wp:cNvGraphicFramePr/>
                  <a:graphic xmlns:a="http://schemas.openxmlformats.org/drawingml/2006/main">
                    <a:graphicData uri="http://schemas.openxmlformats.org/drawingml/2006/picture">
                      <pic:pic xmlns:pic="http://schemas.openxmlformats.org/drawingml/2006/picture">
                        <pic:nvPicPr>
                          <pic:cNvPr id="9" name="图片_18_SpCnt_1"/>
                          <pic:cNvPicPr/>
                        </pic:nvPicPr>
                        <pic:blipFill>
                          <a:blip r:embed="rId11"/>
                          <a:stretch>
                            <a:fillRect/>
                          </a:stretch>
                        </pic:blipFill>
                        <pic:spPr>
                          <a:xfrm>
                            <a:off x="0" y="0"/>
                            <a:ext cx="718820" cy="71564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4365" cy="544195"/>
                  <wp:effectExtent l="0" t="0" r="0" b="0"/>
                  <wp:wrapNone/>
                  <wp:docPr id="10" name="图片_42"/>
                  <wp:cNvGraphicFramePr/>
                  <a:graphic xmlns:a="http://schemas.openxmlformats.org/drawingml/2006/main">
                    <a:graphicData uri="http://schemas.openxmlformats.org/drawingml/2006/picture">
                      <pic:pic xmlns:pic="http://schemas.openxmlformats.org/drawingml/2006/picture">
                        <pic:nvPicPr>
                          <pic:cNvPr id="10" name="图片_42"/>
                          <pic:cNvPicPr/>
                        </pic:nvPicPr>
                        <pic:blipFill>
                          <a:blip r:embed="rId11"/>
                          <a:stretch>
                            <a:fillRect/>
                          </a:stretch>
                        </pic:blipFill>
                        <pic:spPr>
                          <a:xfrm>
                            <a:off x="0" y="0"/>
                            <a:ext cx="634365" cy="54419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21360"/>
                  <wp:effectExtent l="0" t="0" r="0" b="0"/>
                  <wp:wrapNone/>
                  <wp:docPr id="11" name="图片_19_SpCnt_2"/>
                  <wp:cNvGraphicFramePr/>
                  <a:graphic xmlns:a="http://schemas.openxmlformats.org/drawingml/2006/main">
                    <a:graphicData uri="http://schemas.openxmlformats.org/drawingml/2006/picture">
                      <pic:pic xmlns:pic="http://schemas.openxmlformats.org/drawingml/2006/picture">
                        <pic:nvPicPr>
                          <pic:cNvPr id="11" name="图片_19_SpCnt_2"/>
                          <pic:cNvPicPr/>
                        </pic:nvPicPr>
                        <pic:blipFill>
                          <a:blip r:embed="rId11"/>
                          <a:stretch>
                            <a:fillRect/>
                          </a:stretch>
                        </pic:blipFill>
                        <pic:spPr>
                          <a:xfrm>
                            <a:off x="0" y="0"/>
                            <a:ext cx="72009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12" name="图片_40"/>
                  <wp:cNvGraphicFramePr/>
                  <a:graphic xmlns:a="http://schemas.openxmlformats.org/drawingml/2006/main">
                    <a:graphicData uri="http://schemas.openxmlformats.org/drawingml/2006/picture">
                      <pic:pic xmlns:pic="http://schemas.openxmlformats.org/drawingml/2006/picture">
                        <pic:nvPicPr>
                          <pic:cNvPr id="12" name="图片_40"/>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13" name="图片_39"/>
                  <wp:cNvGraphicFramePr/>
                  <a:graphic xmlns:a="http://schemas.openxmlformats.org/drawingml/2006/main">
                    <a:graphicData uri="http://schemas.openxmlformats.org/drawingml/2006/picture">
                      <pic:pic xmlns:pic="http://schemas.openxmlformats.org/drawingml/2006/picture">
                        <pic:nvPicPr>
                          <pic:cNvPr id="13" name="图片_39"/>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14" name="图片_38"/>
                  <wp:cNvGraphicFramePr/>
                  <a:graphic xmlns:a="http://schemas.openxmlformats.org/drawingml/2006/main">
                    <a:graphicData uri="http://schemas.openxmlformats.org/drawingml/2006/picture">
                      <pic:pic xmlns:pic="http://schemas.openxmlformats.org/drawingml/2006/picture">
                        <pic:nvPicPr>
                          <pic:cNvPr id="14" name="图片_38"/>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15" name="图片_18_SpCnt_2"/>
                  <wp:cNvGraphicFramePr/>
                  <a:graphic xmlns:a="http://schemas.openxmlformats.org/drawingml/2006/main">
                    <a:graphicData uri="http://schemas.openxmlformats.org/drawingml/2006/picture">
                      <pic:pic xmlns:pic="http://schemas.openxmlformats.org/drawingml/2006/picture">
                        <pic:nvPicPr>
                          <pic:cNvPr id="15" name="图片_18_SpCnt_2"/>
                          <pic:cNvPicPr/>
                        </pic:nvPicPr>
                        <pic:blipFill>
                          <a:blip r:embed="rId13"/>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16" name="图片_16"/>
                  <wp:cNvGraphicFramePr/>
                  <a:graphic xmlns:a="http://schemas.openxmlformats.org/drawingml/2006/main">
                    <a:graphicData uri="http://schemas.openxmlformats.org/drawingml/2006/picture">
                      <pic:pic xmlns:pic="http://schemas.openxmlformats.org/drawingml/2006/picture">
                        <pic:nvPicPr>
                          <pic:cNvPr id="16" name="图片_16"/>
                          <pic:cNvPicPr/>
                        </pic:nvPicPr>
                        <pic:blipFill>
                          <a:blip r:embed="rId14"/>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17" name="图片_17"/>
                  <wp:cNvGraphicFramePr/>
                  <a:graphic xmlns:a="http://schemas.openxmlformats.org/drawingml/2006/main">
                    <a:graphicData uri="http://schemas.openxmlformats.org/drawingml/2006/picture">
                      <pic:pic xmlns:pic="http://schemas.openxmlformats.org/drawingml/2006/picture">
                        <pic:nvPicPr>
                          <pic:cNvPr id="17" name="图片_17"/>
                          <pic:cNvPicPr/>
                        </pic:nvPicPr>
                        <pic:blipFill>
                          <a:blip r:embed="rId15"/>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18" name="图片_284"/>
                  <wp:cNvGraphicFramePr/>
                  <a:graphic xmlns:a="http://schemas.openxmlformats.org/drawingml/2006/main">
                    <a:graphicData uri="http://schemas.openxmlformats.org/drawingml/2006/picture">
                      <pic:pic xmlns:pic="http://schemas.openxmlformats.org/drawingml/2006/picture">
                        <pic:nvPicPr>
                          <pic:cNvPr id="18" name="图片_284"/>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19" name="图片_283"/>
                  <wp:cNvGraphicFramePr/>
                  <a:graphic xmlns:a="http://schemas.openxmlformats.org/drawingml/2006/main">
                    <a:graphicData uri="http://schemas.openxmlformats.org/drawingml/2006/picture">
                      <pic:pic xmlns:pic="http://schemas.openxmlformats.org/drawingml/2006/picture">
                        <pic:nvPicPr>
                          <pic:cNvPr id="19" name="图片_283"/>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20" name="图片_282"/>
                  <wp:cNvGraphicFramePr/>
                  <a:graphic xmlns:a="http://schemas.openxmlformats.org/drawingml/2006/main">
                    <a:graphicData uri="http://schemas.openxmlformats.org/drawingml/2006/picture">
                      <pic:pic xmlns:pic="http://schemas.openxmlformats.org/drawingml/2006/picture">
                        <pic:nvPicPr>
                          <pic:cNvPr id="20" name="图片_282"/>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21" name="图片_31"/>
                  <wp:cNvGraphicFramePr/>
                  <a:graphic xmlns:a="http://schemas.openxmlformats.org/drawingml/2006/main">
                    <a:graphicData uri="http://schemas.openxmlformats.org/drawingml/2006/picture">
                      <pic:pic xmlns:pic="http://schemas.openxmlformats.org/drawingml/2006/picture">
                        <pic:nvPicPr>
                          <pic:cNvPr id="21" name="图片_31"/>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22" name="图片_29"/>
                  <wp:cNvGraphicFramePr/>
                  <a:graphic xmlns:a="http://schemas.openxmlformats.org/drawingml/2006/main">
                    <a:graphicData uri="http://schemas.openxmlformats.org/drawingml/2006/picture">
                      <pic:pic xmlns:pic="http://schemas.openxmlformats.org/drawingml/2006/picture">
                        <pic:nvPicPr>
                          <pic:cNvPr id="22" name="图片_29"/>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17550"/>
                  <wp:effectExtent l="0" t="0" r="0" b="0"/>
                  <wp:wrapNone/>
                  <wp:docPr id="23" name="图片_18_SpCnt_3"/>
                  <wp:cNvGraphicFramePr/>
                  <a:graphic xmlns:a="http://schemas.openxmlformats.org/drawingml/2006/main">
                    <a:graphicData uri="http://schemas.openxmlformats.org/drawingml/2006/picture">
                      <pic:pic xmlns:pic="http://schemas.openxmlformats.org/drawingml/2006/picture">
                        <pic:nvPicPr>
                          <pic:cNvPr id="23" name="图片_18_SpCnt_3"/>
                          <pic:cNvPicPr/>
                        </pic:nvPicPr>
                        <pic:blipFill>
                          <a:blip r:embed="rId11"/>
                          <a:stretch>
                            <a:fillRect/>
                          </a:stretch>
                        </pic:blipFill>
                        <pic:spPr>
                          <a:xfrm>
                            <a:off x="0" y="0"/>
                            <a:ext cx="720090" cy="7175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24" name="图片_86"/>
                  <wp:cNvGraphicFramePr/>
                  <a:graphic xmlns:a="http://schemas.openxmlformats.org/drawingml/2006/main">
                    <a:graphicData uri="http://schemas.openxmlformats.org/drawingml/2006/picture">
                      <pic:pic xmlns:pic="http://schemas.openxmlformats.org/drawingml/2006/picture">
                        <pic:nvPicPr>
                          <pic:cNvPr id="24" name="图片_86"/>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25" name="图片_15"/>
                  <wp:cNvGraphicFramePr/>
                  <a:graphic xmlns:a="http://schemas.openxmlformats.org/drawingml/2006/main">
                    <a:graphicData uri="http://schemas.openxmlformats.org/drawingml/2006/picture">
                      <pic:pic xmlns:pic="http://schemas.openxmlformats.org/drawingml/2006/picture">
                        <pic:nvPicPr>
                          <pic:cNvPr id="25" name="图片_15"/>
                          <pic:cNvPicPr/>
                        </pic:nvPicPr>
                        <pic:blipFill>
                          <a:blip r:embed="rId16"/>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26" name="图片_284_SpCnt_1"/>
                  <wp:cNvGraphicFramePr/>
                  <a:graphic xmlns:a="http://schemas.openxmlformats.org/drawingml/2006/main">
                    <a:graphicData uri="http://schemas.openxmlformats.org/drawingml/2006/picture">
                      <pic:pic xmlns:pic="http://schemas.openxmlformats.org/drawingml/2006/picture">
                        <pic:nvPicPr>
                          <pic:cNvPr id="26" name="图片_284_SpCnt_1"/>
                          <pic:cNvPicPr/>
                        </pic:nvPicPr>
                        <pic:blipFill>
                          <a:blip r:embed="rId17"/>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21360"/>
                  <wp:effectExtent l="0" t="0" r="0" b="0"/>
                  <wp:wrapNone/>
                  <wp:docPr id="27" name="图片_19_SpCnt_3"/>
                  <wp:cNvGraphicFramePr/>
                  <a:graphic xmlns:a="http://schemas.openxmlformats.org/drawingml/2006/main">
                    <a:graphicData uri="http://schemas.openxmlformats.org/drawingml/2006/picture">
                      <pic:pic xmlns:pic="http://schemas.openxmlformats.org/drawingml/2006/picture">
                        <pic:nvPicPr>
                          <pic:cNvPr id="27" name="图片_19_SpCnt_3"/>
                          <pic:cNvPicPr/>
                        </pic:nvPicPr>
                        <pic:blipFill>
                          <a:blip r:embed="rId18"/>
                          <a:stretch>
                            <a:fillRect/>
                          </a:stretch>
                        </pic:blipFill>
                        <pic:spPr>
                          <a:xfrm>
                            <a:off x="0" y="0"/>
                            <a:ext cx="71882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15645"/>
                  <wp:effectExtent l="0" t="0" r="0" b="0"/>
                  <wp:wrapNone/>
                  <wp:docPr id="28" name="图片_18_SpCnt_4"/>
                  <wp:cNvGraphicFramePr/>
                  <a:graphic xmlns:a="http://schemas.openxmlformats.org/drawingml/2006/main">
                    <a:graphicData uri="http://schemas.openxmlformats.org/drawingml/2006/picture">
                      <pic:pic xmlns:pic="http://schemas.openxmlformats.org/drawingml/2006/picture">
                        <pic:nvPicPr>
                          <pic:cNvPr id="28" name="图片_18_SpCnt_4"/>
                          <pic:cNvPicPr/>
                        </pic:nvPicPr>
                        <pic:blipFill>
                          <a:blip r:embed="rId19"/>
                          <a:stretch>
                            <a:fillRect/>
                          </a:stretch>
                        </pic:blipFill>
                        <pic:spPr>
                          <a:xfrm>
                            <a:off x="0" y="0"/>
                            <a:ext cx="718820" cy="71564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29" name="图片_284_SpCnt_2"/>
                  <wp:cNvGraphicFramePr/>
                  <a:graphic xmlns:a="http://schemas.openxmlformats.org/drawingml/2006/main">
                    <a:graphicData uri="http://schemas.openxmlformats.org/drawingml/2006/picture">
                      <pic:pic xmlns:pic="http://schemas.openxmlformats.org/drawingml/2006/picture">
                        <pic:nvPicPr>
                          <pic:cNvPr id="29" name="图片_284_SpCnt_2"/>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30" name="图片_8"/>
                  <wp:cNvGraphicFramePr/>
                  <a:graphic xmlns:a="http://schemas.openxmlformats.org/drawingml/2006/main">
                    <a:graphicData uri="http://schemas.openxmlformats.org/drawingml/2006/picture">
                      <pic:pic xmlns:pic="http://schemas.openxmlformats.org/drawingml/2006/picture">
                        <pic:nvPicPr>
                          <pic:cNvPr id="30" name="图片_8"/>
                          <pic:cNvPicPr/>
                        </pic:nvPicPr>
                        <pic:blipFill>
                          <a:blip r:embed="rId20"/>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31" name="图片_282_SpCnt_1"/>
                  <wp:cNvGraphicFramePr/>
                  <a:graphic xmlns:a="http://schemas.openxmlformats.org/drawingml/2006/main">
                    <a:graphicData uri="http://schemas.openxmlformats.org/drawingml/2006/picture">
                      <pic:pic xmlns:pic="http://schemas.openxmlformats.org/drawingml/2006/picture">
                        <pic:nvPicPr>
                          <pic:cNvPr id="31" name="图片_282_SpCnt_1"/>
                          <pic:cNvPicPr/>
                        </pic:nvPicPr>
                        <pic:blipFill>
                          <a:blip r:embed="rId2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32" name="图片_283_SpCnt_1"/>
                  <wp:cNvGraphicFramePr/>
                  <a:graphic xmlns:a="http://schemas.openxmlformats.org/drawingml/2006/main">
                    <a:graphicData uri="http://schemas.openxmlformats.org/drawingml/2006/picture">
                      <pic:pic xmlns:pic="http://schemas.openxmlformats.org/drawingml/2006/picture">
                        <pic:nvPicPr>
                          <pic:cNvPr id="32" name="图片_283_SpCnt_1"/>
                          <pic:cNvPicPr/>
                        </pic:nvPicPr>
                        <pic:blipFill>
                          <a:blip r:embed="rId22"/>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33" name="图片_9"/>
                  <wp:cNvGraphicFramePr/>
                  <a:graphic xmlns:a="http://schemas.openxmlformats.org/drawingml/2006/main">
                    <a:graphicData uri="http://schemas.openxmlformats.org/drawingml/2006/picture">
                      <pic:pic xmlns:pic="http://schemas.openxmlformats.org/drawingml/2006/picture">
                        <pic:nvPicPr>
                          <pic:cNvPr id="33" name="图片_9"/>
                          <pic:cNvPicPr/>
                        </pic:nvPicPr>
                        <pic:blipFill>
                          <a:blip r:embed="rId23"/>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17550"/>
                  <wp:effectExtent l="0" t="0" r="0" b="0"/>
                  <wp:wrapNone/>
                  <wp:docPr id="34" name="图片_18_SpCnt_5"/>
                  <wp:cNvGraphicFramePr/>
                  <a:graphic xmlns:a="http://schemas.openxmlformats.org/drawingml/2006/main">
                    <a:graphicData uri="http://schemas.openxmlformats.org/drawingml/2006/picture">
                      <pic:pic xmlns:pic="http://schemas.openxmlformats.org/drawingml/2006/picture">
                        <pic:nvPicPr>
                          <pic:cNvPr id="34" name="图片_18_SpCnt_5"/>
                          <pic:cNvPicPr/>
                        </pic:nvPicPr>
                        <pic:blipFill>
                          <a:blip r:embed="rId24"/>
                          <a:stretch>
                            <a:fillRect/>
                          </a:stretch>
                        </pic:blipFill>
                        <pic:spPr>
                          <a:xfrm>
                            <a:off x="0" y="0"/>
                            <a:ext cx="720090" cy="7175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35" name="图片_7"/>
                  <wp:cNvGraphicFramePr/>
                  <a:graphic xmlns:a="http://schemas.openxmlformats.org/drawingml/2006/main">
                    <a:graphicData uri="http://schemas.openxmlformats.org/drawingml/2006/picture">
                      <pic:pic xmlns:pic="http://schemas.openxmlformats.org/drawingml/2006/picture">
                        <pic:nvPicPr>
                          <pic:cNvPr id="35" name="图片_7"/>
                          <pic:cNvPicPr/>
                        </pic:nvPicPr>
                        <pic:blipFill>
                          <a:blip r:embed="rId25"/>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36" name="图片_65"/>
                  <wp:cNvGraphicFramePr/>
                  <a:graphic xmlns:a="http://schemas.openxmlformats.org/drawingml/2006/main">
                    <a:graphicData uri="http://schemas.openxmlformats.org/drawingml/2006/picture">
                      <pic:pic xmlns:pic="http://schemas.openxmlformats.org/drawingml/2006/picture">
                        <pic:nvPicPr>
                          <pic:cNvPr id="36" name="图片_65"/>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37" name="图片_282_SpCnt_2"/>
                  <wp:cNvGraphicFramePr/>
                  <a:graphic xmlns:a="http://schemas.openxmlformats.org/drawingml/2006/main">
                    <a:graphicData uri="http://schemas.openxmlformats.org/drawingml/2006/picture">
                      <pic:pic xmlns:pic="http://schemas.openxmlformats.org/drawingml/2006/picture">
                        <pic:nvPicPr>
                          <pic:cNvPr id="37" name="图片_282_SpCnt_2"/>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38" name="图片_283_SpCnt_2"/>
                  <wp:cNvGraphicFramePr/>
                  <a:graphic xmlns:a="http://schemas.openxmlformats.org/drawingml/2006/main">
                    <a:graphicData uri="http://schemas.openxmlformats.org/drawingml/2006/picture">
                      <pic:pic xmlns:pic="http://schemas.openxmlformats.org/drawingml/2006/picture">
                        <pic:nvPicPr>
                          <pic:cNvPr id="38" name="图片_283_SpCnt_2"/>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21360"/>
                  <wp:effectExtent l="0" t="0" r="0" b="0"/>
                  <wp:wrapNone/>
                  <wp:docPr id="39" name="图片_19_SpCnt_4"/>
                  <wp:cNvGraphicFramePr/>
                  <a:graphic xmlns:a="http://schemas.openxmlformats.org/drawingml/2006/main">
                    <a:graphicData uri="http://schemas.openxmlformats.org/drawingml/2006/picture">
                      <pic:pic xmlns:pic="http://schemas.openxmlformats.org/drawingml/2006/picture">
                        <pic:nvPicPr>
                          <pic:cNvPr id="39" name="图片_19_SpCnt_4"/>
                          <pic:cNvPicPr/>
                        </pic:nvPicPr>
                        <pic:blipFill>
                          <a:blip r:embed="rId11"/>
                          <a:stretch>
                            <a:fillRect/>
                          </a:stretch>
                        </pic:blipFill>
                        <pic:spPr>
                          <a:xfrm>
                            <a:off x="0" y="0"/>
                            <a:ext cx="71882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21360"/>
                  <wp:effectExtent l="0" t="0" r="0" b="0"/>
                  <wp:wrapNone/>
                  <wp:docPr id="40" name="图片_19_SpCnt_5"/>
                  <wp:cNvGraphicFramePr/>
                  <a:graphic xmlns:a="http://schemas.openxmlformats.org/drawingml/2006/main">
                    <a:graphicData uri="http://schemas.openxmlformats.org/drawingml/2006/picture">
                      <pic:pic xmlns:pic="http://schemas.openxmlformats.org/drawingml/2006/picture">
                        <pic:nvPicPr>
                          <pic:cNvPr id="40" name="图片_19_SpCnt_5"/>
                          <pic:cNvPicPr/>
                        </pic:nvPicPr>
                        <pic:blipFill>
                          <a:blip r:embed="rId11"/>
                          <a:stretch>
                            <a:fillRect/>
                          </a:stretch>
                        </pic:blipFill>
                        <pic:spPr>
                          <a:xfrm>
                            <a:off x="0" y="0"/>
                            <a:ext cx="71882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4365" cy="544195"/>
                  <wp:effectExtent l="0" t="0" r="0" b="0"/>
                  <wp:wrapNone/>
                  <wp:docPr id="54" name="图片_77"/>
                  <wp:cNvGraphicFramePr/>
                  <a:graphic xmlns:a="http://schemas.openxmlformats.org/drawingml/2006/main">
                    <a:graphicData uri="http://schemas.openxmlformats.org/drawingml/2006/picture">
                      <pic:pic xmlns:pic="http://schemas.openxmlformats.org/drawingml/2006/picture">
                        <pic:nvPicPr>
                          <pic:cNvPr id="54" name="图片_77"/>
                          <pic:cNvPicPr/>
                        </pic:nvPicPr>
                        <pic:blipFill>
                          <a:blip r:embed="rId11"/>
                          <a:stretch>
                            <a:fillRect/>
                          </a:stretch>
                        </pic:blipFill>
                        <pic:spPr>
                          <a:xfrm>
                            <a:off x="0" y="0"/>
                            <a:ext cx="634365" cy="54419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15645"/>
                  <wp:effectExtent l="0" t="0" r="0" b="0"/>
                  <wp:wrapNone/>
                  <wp:docPr id="55" name="图片_18_SpCnt_6"/>
                  <wp:cNvGraphicFramePr/>
                  <a:graphic xmlns:a="http://schemas.openxmlformats.org/drawingml/2006/main">
                    <a:graphicData uri="http://schemas.openxmlformats.org/drawingml/2006/picture">
                      <pic:pic xmlns:pic="http://schemas.openxmlformats.org/drawingml/2006/picture">
                        <pic:nvPicPr>
                          <pic:cNvPr id="55" name="图片_18_SpCnt_6"/>
                          <pic:cNvPicPr/>
                        </pic:nvPicPr>
                        <pic:blipFill>
                          <a:blip r:embed="rId11"/>
                          <a:stretch>
                            <a:fillRect/>
                          </a:stretch>
                        </pic:blipFill>
                        <pic:spPr>
                          <a:xfrm>
                            <a:off x="0" y="0"/>
                            <a:ext cx="718820" cy="71564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715645"/>
                  <wp:effectExtent l="0" t="0" r="0" b="0"/>
                  <wp:wrapNone/>
                  <wp:docPr id="56" name="图片_18_SpCnt_7"/>
                  <wp:cNvGraphicFramePr/>
                  <a:graphic xmlns:a="http://schemas.openxmlformats.org/drawingml/2006/main">
                    <a:graphicData uri="http://schemas.openxmlformats.org/drawingml/2006/picture">
                      <pic:pic xmlns:pic="http://schemas.openxmlformats.org/drawingml/2006/picture">
                        <pic:nvPicPr>
                          <pic:cNvPr id="56" name="图片_18_SpCnt_7"/>
                          <pic:cNvPicPr/>
                        </pic:nvPicPr>
                        <pic:blipFill>
                          <a:blip r:embed="rId11"/>
                          <a:stretch>
                            <a:fillRect/>
                          </a:stretch>
                        </pic:blipFill>
                        <pic:spPr>
                          <a:xfrm>
                            <a:off x="0" y="0"/>
                            <a:ext cx="718820" cy="71564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4365" cy="544195"/>
                  <wp:effectExtent l="0" t="0" r="0" b="0"/>
                  <wp:wrapNone/>
                  <wp:docPr id="57" name="图片_99"/>
                  <wp:cNvGraphicFramePr/>
                  <a:graphic xmlns:a="http://schemas.openxmlformats.org/drawingml/2006/main">
                    <a:graphicData uri="http://schemas.openxmlformats.org/drawingml/2006/picture">
                      <pic:pic xmlns:pic="http://schemas.openxmlformats.org/drawingml/2006/picture">
                        <pic:nvPicPr>
                          <pic:cNvPr id="57" name="图片_99"/>
                          <pic:cNvPicPr/>
                        </pic:nvPicPr>
                        <pic:blipFill>
                          <a:blip r:embed="rId11"/>
                          <a:stretch>
                            <a:fillRect/>
                          </a:stretch>
                        </pic:blipFill>
                        <pic:spPr>
                          <a:xfrm>
                            <a:off x="0" y="0"/>
                            <a:ext cx="634365" cy="54419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58" name="图片_97"/>
                  <wp:cNvGraphicFramePr/>
                  <a:graphic xmlns:a="http://schemas.openxmlformats.org/drawingml/2006/main">
                    <a:graphicData uri="http://schemas.openxmlformats.org/drawingml/2006/picture">
                      <pic:pic xmlns:pic="http://schemas.openxmlformats.org/drawingml/2006/picture">
                        <pic:nvPicPr>
                          <pic:cNvPr id="58" name="图片_97"/>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21360"/>
                  <wp:effectExtent l="0" t="0" r="0" b="0"/>
                  <wp:wrapNone/>
                  <wp:docPr id="59" name="图片_19_SpCnt_6"/>
                  <wp:cNvGraphicFramePr/>
                  <a:graphic xmlns:a="http://schemas.openxmlformats.org/drawingml/2006/main">
                    <a:graphicData uri="http://schemas.openxmlformats.org/drawingml/2006/picture">
                      <pic:pic xmlns:pic="http://schemas.openxmlformats.org/drawingml/2006/picture">
                        <pic:nvPicPr>
                          <pic:cNvPr id="59" name="图片_19_SpCnt_6"/>
                          <pic:cNvPicPr/>
                        </pic:nvPicPr>
                        <pic:blipFill>
                          <a:blip r:embed="rId11"/>
                          <a:stretch>
                            <a:fillRect/>
                          </a:stretch>
                        </pic:blipFill>
                        <pic:spPr>
                          <a:xfrm>
                            <a:off x="0" y="0"/>
                            <a:ext cx="72009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60" name="图片_37"/>
                  <wp:cNvGraphicFramePr/>
                  <a:graphic xmlns:a="http://schemas.openxmlformats.org/drawingml/2006/main">
                    <a:graphicData uri="http://schemas.openxmlformats.org/drawingml/2006/picture">
                      <pic:pic xmlns:pic="http://schemas.openxmlformats.org/drawingml/2006/picture">
                        <pic:nvPicPr>
                          <pic:cNvPr id="60" name="图片_37"/>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61" name="图片_66"/>
                  <wp:cNvGraphicFramePr/>
                  <a:graphic xmlns:a="http://schemas.openxmlformats.org/drawingml/2006/main">
                    <a:graphicData uri="http://schemas.openxmlformats.org/drawingml/2006/picture">
                      <pic:pic xmlns:pic="http://schemas.openxmlformats.org/drawingml/2006/picture">
                        <pic:nvPicPr>
                          <pic:cNvPr id="61" name="图片_66"/>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62" name="图片_75"/>
                  <wp:cNvGraphicFramePr/>
                  <a:graphic xmlns:a="http://schemas.openxmlformats.org/drawingml/2006/main">
                    <a:graphicData uri="http://schemas.openxmlformats.org/drawingml/2006/picture">
                      <pic:pic xmlns:pic="http://schemas.openxmlformats.org/drawingml/2006/picture">
                        <pic:nvPicPr>
                          <pic:cNvPr id="62" name="图片_75"/>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21360"/>
                  <wp:effectExtent l="0" t="0" r="0" b="0"/>
                  <wp:wrapNone/>
                  <wp:docPr id="63" name="图片_19_SpCnt_7"/>
                  <wp:cNvGraphicFramePr/>
                  <a:graphic xmlns:a="http://schemas.openxmlformats.org/drawingml/2006/main">
                    <a:graphicData uri="http://schemas.openxmlformats.org/drawingml/2006/picture">
                      <pic:pic xmlns:pic="http://schemas.openxmlformats.org/drawingml/2006/picture">
                        <pic:nvPicPr>
                          <pic:cNvPr id="63" name="图片_19_SpCnt_7"/>
                          <pic:cNvPicPr/>
                        </pic:nvPicPr>
                        <pic:blipFill>
                          <a:blip r:embed="rId11"/>
                          <a:stretch>
                            <a:fillRect/>
                          </a:stretch>
                        </pic:blipFill>
                        <pic:spPr>
                          <a:xfrm>
                            <a:off x="0" y="0"/>
                            <a:ext cx="720090" cy="72136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64" name="图片_96"/>
                  <wp:cNvGraphicFramePr/>
                  <a:graphic xmlns:a="http://schemas.openxmlformats.org/drawingml/2006/main">
                    <a:graphicData uri="http://schemas.openxmlformats.org/drawingml/2006/picture">
                      <pic:pic xmlns:pic="http://schemas.openxmlformats.org/drawingml/2006/picture">
                        <pic:nvPicPr>
                          <pic:cNvPr id="64" name="图片_96"/>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65" name="图片_95"/>
                  <wp:cNvGraphicFramePr/>
                  <a:graphic xmlns:a="http://schemas.openxmlformats.org/drawingml/2006/main">
                    <a:graphicData uri="http://schemas.openxmlformats.org/drawingml/2006/picture">
                      <pic:pic xmlns:pic="http://schemas.openxmlformats.org/drawingml/2006/picture">
                        <pic:nvPicPr>
                          <pic:cNvPr id="65" name="图片_95"/>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66" name="图片_94"/>
                  <wp:cNvGraphicFramePr/>
                  <a:graphic xmlns:a="http://schemas.openxmlformats.org/drawingml/2006/main">
                    <a:graphicData uri="http://schemas.openxmlformats.org/drawingml/2006/picture">
                      <pic:pic xmlns:pic="http://schemas.openxmlformats.org/drawingml/2006/picture">
                        <pic:nvPicPr>
                          <pic:cNvPr id="66" name="图片_94"/>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8480"/>
                  <wp:effectExtent l="0" t="0" r="0" b="0"/>
                  <wp:wrapNone/>
                  <wp:docPr id="67" name="图片_30"/>
                  <wp:cNvGraphicFramePr/>
                  <a:graphic xmlns:a="http://schemas.openxmlformats.org/drawingml/2006/main">
                    <a:graphicData uri="http://schemas.openxmlformats.org/drawingml/2006/picture">
                      <pic:pic xmlns:pic="http://schemas.openxmlformats.org/drawingml/2006/picture">
                        <pic:nvPicPr>
                          <pic:cNvPr id="67" name="图片_30"/>
                          <pic:cNvPicPr/>
                        </pic:nvPicPr>
                        <pic:blipFill>
                          <a:blip r:embed="rId11"/>
                          <a:stretch>
                            <a:fillRect/>
                          </a:stretch>
                        </pic:blipFill>
                        <pic:spPr>
                          <a:xfrm>
                            <a:off x="0" y="0"/>
                            <a:ext cx="539750" cy="53848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717550"/>
                  <wp:effectExtent l="0" t="0" r="0" b="0"/>
                  <wp:wrapNone/>
                  <wp:docPr id="68" name="图片_18_SpCnt_8"/>
                  <wp:cNvGraphicFramePr/>
                  <a:graphic xmlns:a="http://schemas.openxmlformats.org/drawingml/2006/main">
                    <a:graphicData uri="http://schemas.openxmlformats.org/drawingml/2006/picture">
                      <pic:pic xmlns:pic="http://schemas.openxmlformats.org/drawingml/2006/picture">
                        <pic:nvPicPr>
                          <pic:cNvPr id="68" name="图片_18_SpCnt_8"/>
                          <pic:cNvPicPr/>
                        </pic:nvPicPr>
                        <pic:blipFill>
                          <a:blip r:embed="rId11"/>
                          <a:stretch>
                            <a:fillRect/>
                          </a:stretch>
                        </pic:blipFill>
                        <pic:spPr>
                          <a:xfrm>
                            <a:off x="0" y="0"/>
                            <a:ext cx="720090" cy="7175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39750"/>
                  <wp:effectExtent l="0" t="0" r="0" b="0"/>
                  <wp:wrapNone/>
                  <wp:docPr id="69" name="图片_73"/>
                  <wp:cNvGraphicFramePr/>
                  <a:graphic xmlns:a="http://schemas.openxmlformats.org/drawingml/2006/main">
                    <a:graphicData uri="http://schemas.openxmlformats.org/drawingml/2006/picture">
                      <pic:pic xmlns:pic="http://schemas.openxmlformats.org/drawingml/2006/picture">
                        <pic:nvPicPr>
                          <pic:cNvPr id="69" name="图片_73"/>
                          <pic:cNvPicPr/>
                        </pic:nvPicPr>
                        <pic:blipFill>
                          <a:blip r:embed="rId11"/>
                          <a:stretch>
                            <a:fillRect/>
                          </a:stretch>
                        </pic:blipFill>
                        <pic:spPr>
                          <a:xfrm>
                            <a:off x="0" y="0"/>
                            <a:ext cx="539750"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750" cy="540385"/>
                  <wp:effectExtent l="0" t="0" r="0" b="0"/>
                  <wp:wrapNone/>
                  <wp:docPr id="70" name="图片_74"/>
                  <wp:cNvGraphicFramePr/>
                  <a:graphic xmlns:a="http://schemas.openxmlformats.org/drawingml/2006/main">
                    <a:graphicData uri="http://schemas.openxmlformats.org/drawingml/2006/picture">
                      <pic:pic xmlns:pic="http://schemas.openxmlformats.org/drawingml/2006/picture">
                        <pic:nvPicPr>
                          <pic:cNvPr id="70" name="图片_74"/>
                          <pic:cNvPicPr/>
                        </pic:nvPicPr>
                        <pic:blipFill>
                          <a:blip r:embed="rId11"/>
                          <a:stretch>
                            <a:fillRect/>
                          </a:stretch>
                        </pic:blipFill>
                        <pic:spPr>
                          <a:xfrm>
                            <a:off x="0" y="0"/>
                            <a:ext cx="539750" cy="54038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71" name="图片_284_SpCnt_3"/>
                  <wp:cNvGraphicFramePr/>
                  <a:graphic xmlns:a="http://schemas.openxmlformats.org/drawingml/2006/main">
                    <a:graphicData uri="http://schemas.openxmlformats.org/drawingml/2006/picture">
                      <pic:pic xmlns:pic="http://schemas.openxmlformats.org/drawingml/2006/picture">
                        <pic:nvPicPr>
                          <pic:cNvPr id="71" name="图片_284_SpCnt_3"/>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72" name="图片_282_SpCnt_3"/>
                  <wp:cNvGraphicFramePr/>
                  <a:graphic xmlns:a="http://schemas.openxmlformats.org/drawingml/2006/main">
                    <a:graphicData uri="http://schemas.openxmlformats.org/drawingml/2006/picture">
                      <pic:pic xmlns:pic="http://schemas.openxmlformats.org/drawingml/2006/picture">
                        <pic:nvPicPr>
                          <pic:cNvPr id="72" name="图片_282_SpCnt_3"/>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39115" cy="537210"/>
                  <wp:effectExtent l="0" t="0" r="0" b="0"/>
                  <wp:wrapNone/>
                  <wp:docPr id="73" name="图片_283_SpCnt_3"/>
                  <wp:cNvGraphicFramePr/>
                  <a:graphic xmlns:a="http://schemas.openxmlformats.org/drawingml/2006/main">
                    <a:graphicData uri="http://schemas.openxmlformats.org/drawingml/2006/picture">
                      <pic:pic xmlns:pic="http://schemas.openxmlformats.org/drawingml/2006/picture">
                        <pic:nvPicPr>
                          <pic:cNvPr id="73" name="图片_283_SpCnt_3"/>
                          <pic:cNvPicPr/>
                        </pic:nvPicPr>
                        <pic:blipFill>
                          <a:blip r:embed="rId11"/>
                          <a:stretch>
                            <a:fillRect/>
                          </a:stretch>
                        </pic:blipFill>
                        <pic:spPr>
                          <a:xfrm>
                            <a:off x="0" y="0"/>
                            <a:ext cx="539115" cy="5372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4365" cy="544195"/>
                  <wp:effectExtent l="0" t="0" r="0" b="0"/>
                  <wp:wrapNone/>
                  <wp:docPr id="74" name="图片_20"/>
                  <wp:cNvGraphicFramePr/>
                  <a:graphic xmlns:a="http://schemas.openxmlformats.org/drawingml/2006/main">
                    <a:graphicData uri="http://schemas.openxmlformats.org/drawingml/2006/picture">
                      <pic:pic xmlns:pic="http://schemas.openxmlformats.org/drawingml/2006/picture">
                        <pic:nvPicPr>
                          <pic:cNvPr id="74" name="图片_20"/>
                          <pic:cNvPicPr/>
                        </pic:nvPicPr>
                        <pic:blipFill>
                          <a:blip r:embed="rId26"/>
                          <a:stretch>
                            <a:fillRect/>
                          </a:stretch>
                        </pic:blipFill>
                        <pic:spPr>
                          <a:xfrm>
                            <a:off x="0" y="0"/>
                            <a:ext cx="634365" cy="544195"/>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503555</wp:posOffset>
                  </wp:positionH>
                  <wp:positionV relativeFrom="paragraph">
                    <wp:posOffset>0</wp:posOffset>
                  </wp:positionV>
                  <wp:extent cx="634365" cy="539750"/>
                  <wp:effectExtent l="0" t="0" r="0" b="0"/>
                  <wp:wrapNone/>
                  <wp:docPr id="75" name="图片_18_SpCnt_9"/>
                  <wp:cNvGraphicFramePr/>
                  <a:graphic xmlns:a="http://schemas.openxmlformats.org/drawingml/2006/main">
                    <a:graphicData uri="http://schemas.openxmlformats.org/drawingml/2006/picture">
                      <pic:pic xmlns:pic="http://schemas.openxmlformats.org/drawingml/2006/picture">
                        <pic:nvPicPr>
                          <pic:cNvPr id="75" name="图片_18_SpCnt_9"/>
                          <pic:cNvPicPr/>
                        </pic:nvPicPr>
                        <pic:blipFill>
                          <a:blip r:embed="rId11"/>
                          <a:stretch>
                            <a:fillRect/>
                          </a:stretch>
                        </pic:blipFill>
                        <pic:spPr>
                          <a:xfrm>
                            <a:off x="0" y="0"/>
                            <a:ext cx="634365"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503555</wp:posOffset>
                  </wp:positionH>
                  <wp:positionV relativeFrom="paragraph">
                    <wp:posOffset>0</wp:posOffset>
                  </wp:positionV>
                  <wp:extent cx="634365" cy="539750"/>
                  <wp:effectExtent l="0" t="0" r="0" b="0"/>
                  <wp:wrapNone/>
                  <wp:docPr id="76" name="图片_18_SpCnt_10"/>
                  <wp:cNvGraphicFramePr/>
                  <a:graphic xmlns:a="http://schemas.openxmlformats.org/drawingml/2006/main">
                    <a:graphicData uri="http://schemas.openxmlformats.org/drawingml/2006/picture">
                      <pic:pic xmlns:pic="http://schemas.openxmlformats.org/drawingml/2006/picture">
                        <pic:nvPicPr>
                          <pic:cNvPr id="76" name="图片_18_SpCnt_10"/>
                          <pic:cNvPicPr/>
                        </pic:nvPicPr>
                        <pic:blipFill>
                          <a:blip r:embed="rId27"/>
                          <a:stretch>
                            <a:fillRect/>
                          </a:stretch>
                        </pic:blipFill>
                        <pic:spPr>
                          <a:xfrm>
                            <a:off x="0" y="0"/>
                            <a:ext cx="634365"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503555</wp:posOffset>
                  </wp:positionH>
                  <wp:positionV relativeFrom="paragraph">
                    <wp:posOffset>0</wp:posOffset>
                  </wp:positionV>
                  <wp:extent cx="634365" cy="539750"/>
                  <wp:effectExtent l="0" t="0" r="0" b="0"/>
                  <wp:wrapNone/>
                  <wp:docPr id="77" name="图片_18_SpCnt_11"/>
                  <wp:cNvGraphicFramePr/>
                  <a:graphic xmlns:a="http://schemas.openxmlformats.org/drawingml/2006/main">
                    <a:graphicData uri="http://schemas.openxmlformats.org/drawingml/2006/picture">
                      <pic:pic xmlns:pic="http://schemas.openxmlformats.org/drawingml/2006/picture">
                        <pic:nvPicPr>
                          <pic:cNvPr id="77" name="图片_18_SpCnt_11"/>
                          <pic:cNvPicPr/>
                        </pic:nvPicPr>
                        <pic:blipFill>
                          <a:blip r:embed="rId11"/>
                          <a:stretch>
                            <a:fillRect/>
                          </a:stretch>
                        </pic:blipFill>
                        <pic:spPr>
                          <a:xfrm>
                            <a:off x="0" y="0"/>
                            <a:ext cx="634365" cy="5397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578485</wp:posOffset>
                  </wp:positionH>
                  <wp:positionV relativeFrom="paragraph">
                    <wp:posOffset>0</wp:posOffset>
                  </wp:positionV>
                  <wp:extent cx="716280" cy="715010"/>
                  <wp:effectExtent l="0" t="0" r="0" b="0"/>
                  <wp:wrapNone/>
                  <wp:docPr id="79" name="ID_B5BF18E09CFE43799C5EE3D44F45FB47"/>
                  <wp:cNvGraphicFramePr/>
                  <a:graphic xmlns:a="http://schemas.openxmlformats.org/drawingml/2006/main">
                    <a:graphicData uri="http://schemas.openxmlformats.org/drawingml/2006/picture">
                      <pic:pic xmlns:pic="http://schemas.openxmlformats.org/drawingml/2006/picture">
                        <pic:nvPicPr>
                          <pic:cNvPr id="79" name="ID_B5BF18E09CFE43799C5EE3D44F45FB47"/>
                          <pic:cNvPicPr/>
                        </pic:nvPicPr>
                        <pic:blipFill>
                          <a:blip r:embed="rId11"/>
                          <a:stretch>
                            <a:fillRect/>
                          </a:stretch>
                        </pic:blipFill>
                        <pic:spPr>
                          <a:xfrm>
                            <a:off x="0" y="0"/>
                            <a:ext cx="716280"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571500</wp:posOffset>
                  </wp:positionH>
                  <wp:positionV relativeFrom="paragraph">
                    <wp:posOffset>0</wp:posOffset>
                  </wp:positionV>
                  <wp:extent cx="723265" cy="715010"/>
                  <wp:effectExtent l="0" t="0" r="0" b="0"/>
                  <wp:wrapNone/>
                  <wp:docPr id="80" name="ID_B73E8774DBA24C66A077783CE7B139D0"/>
                  <wp:cNvGraphicFramePr/>
                  <a:graphic xmlns:a="http://schemas.openxmlformats.org/drawingml/2006/main">
                    <a:graphicData uri="http://schemas.openxmlformats.org/drawingml/2006/picture">
                      <pic:pic xmlns:pic="http://schemas.openxmlformats.org/drawingml/2006/picture">
                        <pic:nvPicPr>
                          <pic:cNvPr id="80" name="ID_B73E8774DBA24C66A077783CE7B139D0"/>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578485</wp:posOffset>
                  </wp:positionH>
                  <wp:positionV relativeFrom="paragraph">
                    <wp:posOffset>0</wp:posOffset>
                  </wp:positionV>
                  <wp:extent cx="716280" cy="715010"/>
                  <wp:effectExtent l="0" t="0" r="0" b="0"/>
                  <wp:wrapNone/>
                  <wp:docPr id="81" name="ID_B5BF18E09CFE43799C5EE3D44F45FB47_SpCnt_1"/>
                  <wp:cNvGraphicFramePr/>
                  <a:graphic xmlns:a="http://schemas.openxmlformats.org/drawingml/2006/main">
                    <a:graphicData uri="http://schemas.openxmlformats.org/drawingml/2006/picture">
                      <pic:pic xmlns:pic="http://schemas.openxmlformats.org/drawingml/2006/picture">
                        <pic:nvPicPr>
                          <pic:cNvPr id="81" name="ID_B5BF18E09CFE43799C5EE3D44F45FB47_SpCnt_1"/>
                          <pic:cNvPicPr/>
                        </pic:nvPicPr>
                        <pic:blipFill>
                          <a:blip r:embed="rId11"/>
                          <a:stretch>
                            <a:fillRect/>
                          </a:stretch>
                        </pic:blipFill>
                        <pic:spPr>
                          <a:xfrm>
                            <a:off x="0" y="0"/>
                            <a:ext cx="716280"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571500</wp:posOffset>
                  </wp:positionH>
                  <wp:positionV relativeFrom="paragraph">
                    <wp:posOffset>0</wp:posOffset>
                  </wp:positionV>
                  <wp:extent cx="723265" cy="715010"/>
                  <wp:effectExtent l="0" t="0" r="0" b="0"/>
                  <wp:wrapNone/>
                  <wp:docPr id="82" name="ID_B73E8774DBA24C66A077783CE7B139D0_SpCnt_1"/>
                  <wp:cNvGraphicFramePr/>
                  <a:graphic xmlns:a="http://schemas.openxmlformats.org/drawingml/2006/main">
                    <a:graphicData uri="http://schemas.openxmlformats.org/drawingml/2006/picture">
                      <pic:pic xmlns:pic="http://schemas.openxmlformats.org/drawingml/2006/picture">
                        <pic:nvPicPr>
                          <pic:cNvPr id="82" name="ID_B73E8774DBA24C66A077783CE7B139D0_SpCnt_1"/>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578485</wp:posOffset>
                  </wp:positionH>
                  <wp:positionV relativeFrom="paragraph">
                    <wp:posOffset>0</wp:posOffset>
                  </wp:positionV>
                  <wp:extent cx="716280" cy="715010"/>
                  <wp:effectExtent l="0" t="0" r="0" b="0"/>
                  <wp:wrapNone/>
                  <wp:docPr id="83" name="ID_B5BF18E09CFE43799C5EE3D44F45FB47_SpCnt_2"/>
                  <wp:cNvGraphicFramePr/>
                  <a:graphic xmlns:a="http://schemas.openxmlformats.org/drawingml/2006/main">
                    <a:graphicData uri="http://schemas.openxmlformats.org/drawingml/2006/picture">
                      <pic:pic xmlns:pic="http://schemas.openxmlformats.org/drawingml/2006/picture">
                        <pic:nvPicPr>
                          <pic:cNvPr id="83" name="ID_B5BF18E09CFE43799C5EE3D44F45FB47_SpCnt_2"/>
                          <pic:cNvPicPr/>
                        </pic:nvPicPr>
                        <pic:blipFill>
                          <a:blip r:embed="rId28"/>
                          <a:stretch>
                            <a:fillRect/>
                          </a:stretch>
                        </pic:blipFill>
                        <pic:spPr>
                          <a:xfrm>
                            <a:off x="0" y="0"/>
                            <a:ext cx="716280"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571500</wp:posOffset>
                  </wp:positionH>
                  <wp:positionV relativeFrom="paragraph">
                    <wp:posOffset>0</wp:posOffset>
                  </wp:positionV>
                  <wp:extent cx="723265" cy="715010"/>
                  <wp:effectExtent l="0" t="0" r="0" b="0"/>
                  <wp:wrapNone/>
                  <wp:docPr id="84" name="ID_B73E8774DBA24C66A077783CE7B139D0_SpCnt_2"/>
                  <wp:cNvGraphicFramePr/>
                  <a:graphic xmlns:a="http://schemas.openxmlformats.org/drawingml/2006/main">
                    <a:graphicData uri="http://schemas.openxmlformats.org/drawingml/2006/picture">
                      <pic:pic xmlns:pic="http://schemas.openxmlformats.org/drawingml/2006/picture">
                        <pic:nvPicPr>
                          <pic:cNvPr id="84" name="ID_B73E8774DBA24C66A077783CE7B139D0_SpCnt_2"/>
                          <pic:cNvPicPr/>
                        </pic:nvPicPr>
                        <pic:blipFill>
                          <a:blip r:embed="rId29"/>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571500</wp:posOffset>
                  </wp:positionH>
                  <wp:positionV relativeFrom="paragraph">
                    <wp:posOffset>0</wp:posOffset>
                  </wp:positionV>
                  <wp:extent cx="723265" cy="715010"/>
                  <wp:effectExtent l="0" t="0" r="0" b="0"/>
                  <wp:wrapNone/>
                  <wp:docPr id="85" name="ID_B73E8774DBA24C66A077783CE7B139D0_SpCnt_3"/>
                  <wp:cNvGraphicFramePr/>
                  <a:graphic xmlns:a="http://schemas.openxmlformats.org/drawingml/2006/main">
                    <a:graphicData uri="http://schemas.openxmlformats.org/drawingml/2006/picture">
                      <pic:pic xmlns:pic="http://schemas.openxmlformats.org/drawingml/2006/picture">
                        <pic:nvPicPr>
                          <pic:cNvPr id="85" name="ID_B73E8774DBA24C66A077783CE7B139D0_SpCnt_3"/>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578485</wp:posOffset>
                  </wp:positionH>
                  <wp:positionV relativeFrom="paragraph">
                    <wp:posOffset>0</wp:posOffset>
                  </wp:positionV>
                  <wp:extent cx="716280" cy="715010"/>
                  <wp:effectExtent l="0" t="0" r="0" b="0"/>
                  <wp:wrapNone/>
                  <wp:docPr id="86" name="ID_B5BF18E09CFE43799C5EE3D44F45FB47_SpCnt_3"/>
                  <wp:cNvGraphicFramePr/>
                  <a:graphic xmlns:a="http://schemas.openxmlformats.org/drawingml/2006/main">
                    <a:graphicData uri="http://schemas.openxmlformats.org/drawingml/2006/picture">
                      <pic:pic xmlns:pic="http://schemas.openxmlformats.org/drawingml/2006/picture">
                        <pic:nvPicPr>
                          <pic:cNvPr id="86" name="ID_B5BF18E09CFE43799C5EE3D44F45FB47_SpCnt_3"/>
                          <pic:cNvPicPr/>
                        </pic:nvPicPr>
                        <pic:blipFill>
                          <a:blip r:embed="rId11"/>
                          <a:stretch>
                            <a:fillRect/>
                          </a:stretch>
                        </pic:blipFill>
                        <pic:spPr>
                          <a:xfrm>
                            <a:off x="0" y="0"/>
                            <a:ext cx="716280"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87" name="ID_CA31AD5AD4A240A69EBE9CEAC8E99D77"/>
                  <wp:cNvGraphicFramePr/>
                  <a:graphic xmlns:a="http://schemas.openxmlformats.org/drawingml/2006/main">
                    <a:graphicData uri="http://schemas.openxmlformats.org/drawingml/2006/picture">
                      <pic:pic xmlns:pic="http://schemas.openxmlformats.org/drawingml/2006/picture">
                        <pic:nvPicPr>
                          <pic:cNvPr id="87" name="ID_CA31AD5AD4A240A69EBE9CEAC8E99D77"/>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15645" cy="715010"/>
                  <wp:effectExtent l="0" t="0" r="0" b="0"/>
                  <wp:wrapNone/>
                  <wp:docPr id="88" name="ID_DE60E1367F4D47B68B43A253F9DB257F"/>
                  <wp:cNvGraphicFramePr/>
                  <a:graphic xmlns:a="http://schemas.openxmlformats.org/drawingml/2006/main">
                    <a:graphicData uri="http://schemas.openxmlformats.org/drawingml/2006/picture">
                      <pic:pic xmlns:pic="http://schemas.openxmlformats.org/drawingml/2006/picture">
                        <pic:nvPicPr>
                          <pic:cNvPr id="88" name="ID_DE60E1367F4D47B68B43A253F9DB257F"/>
                          <pic:cNvPicPr/>
                        </pic:nvPicPr>
                        <pic:blipFill>
                          <a:blip r:embed="rId30"/>
                          <a:stretch>
                            <a:fillRect/>
                          </a:stretch>
                        </pic:blipFill>
                        <pic:spPr>
                          <a:xfrm>
                            <a:off x="0" y="0"/>
                            <a:ext cx="71564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15645" cy="715010"/>
                  <wp:effectExtent l="0" t="0" r="0" b="0"/>
                  <wp:wrapNone/>
                  <wp:docPr id="41" name="ID_DE60E1367F4D47B68B43A253F9DB257F_SpCnt_1"/>
                  <wp:cNvGraphicFramePr/>
                  <a:graphic xmlns:a="http://schemas.openxmlformats.org/drawingml/2006/main">
                    <a:graphicData uri="http://schemas.openxmlformats.org/drawingml/2006/picture">
                      <pic:pic xmlns:pic="http://schemas.openxmlformats.org/drawingml/2006/picture">
                        <pic:nvPicPr>
                          <pic:cNvPr id="41" name="ID_DE60E1367F4D47B68B43A253F9DB257F_SpCnt_1"/>
                          <pic:cNvPicPr/>
                        </pic:nvPicPr>
                        <pic:blipFill>
                          <a:blip r:embed="rId11"/>
                          <a:stretch>
                            <a:fillRect/>
                          </a:stretch>
                        </pic:blipFill>
                        <pic:spPr>
                          <a:xfrm>
                            <a:off x="0" y="0"/>
                            <a:ext cx="71564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2" name="ID_CA31AD5AD4A240A69EBE9CEAC8E99D77_SpCnt_1"/>
                  <wp:cNvGraphicFramePr/>
                  <a:graphic xmlns:a="http://schemas.openxmlformats.org/drawingml/2006/main">
                    <a:graphicData uri="http://schemas.openxmlformats.org/drawingml/2006/picture">
                      <pic:pic xmlns:pic="http://schemas.openxmlformats.org/drawingml/2006/picture">
                        <pic:nvPicPr>
                          <pic:cNvPr id="42" name="ID_CA31AD5AD4A240A69EBE9CEAC8E99D77_SpCnt_1"/>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3" name="ID_CA31AD5AD4A240A69EBE9CEAC8E99D77_SpCnt_2"/>
                  <wp:cNvGraphicFramePr/>
                  <a:graphic xmlns:a="http://schemas.openxmlformats.org/drawingml/2006/main">
                    <a:graphicData uri="http://schemas.openxmlformats.org/drawingml/2006/picture">
                      <pic:pic xmlns:pic="http://schemas.openxmlformats.org/drawingml/2006/picture">
                        <pic:nvPicPr>
                          <pic:cNvPr id="43" name="ID_CA31AD5AD4A240A69EBE9CEAC8E99D77_SpCnt_2"/>
                          <pic:cNvPicPr/>
                        </pic:nvPicPr>
                        <pic:blipFill>
                          <a:blip r:embed="rId3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4" name="ID_E826D4FD2F1D481EA1CFBD3451A51F56"/>
                  <wp:cNvGraphicFramePr/>
                  <a:graphic xmlns:a="http://schemas.openxmlformats.org/drawingml/2006/main">
                    <a:graphicData uri="http://schemas.openxmlformats.org/drawingml/2006/picture">
                      <pic:pic xmlns:pic="http://schemas.openxmlformats.org/drawingml/2006/picture">
                        <pic:nvPicPr>
                          <pic:cNvPr id="44" name="ID_E826D4FD2F1D481EA1CFBD3451A51F56"/>
                          <pic:cNvPicPr/>
                        </pic:nvPicPr>
                        <pic:blipFill>
                          <a:blip r:embed="rId32"/>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5" name="ID_E826D4FD2F1D481EA1CFBD3451A51F56_SpCnt_1"/>
                  <wp:cNvGraphicFramePr/>
                  <a:graphic xmlns:a="http://schemas.openxmlformats.org/drawingml/2006/main">
                    <a:graphicData uri="http://schemas.openxmlformats.org/drawingml/2006/picture">
                      <pic:pic xmlns:pic="http://schemas.openxmlformats.org/drawingml/2006/picture">
                        <pic:nvPicPr>
                          <pic:cNvPr id="45" name="ID_E826D4FD2F1D481EA1CFBD3451A51F56_SpCnt_1"/>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15645" cy="715010"/>
                  <wp:effectExtent l="0" t="0" r="0" b="0"/>
                  <wp:wrapNone/>
                  <wp:docPr id="46" name="ID_DE60E1367F4D47B68B43A253F9DB257F_SpCnt_2"/>
                  <wp:cNvGraphicFramePr/>
                  <a:graphic xmlns:a="http://schemas.openxmlformats.org/drawingml/2006/main">
                    <a:graphicData uri="http://schemas.openxmlformats.org/drawingml/2006/picture">
                      <pic:pic xmlns:pic="http://schemas.openxmlformats.org/drawingml/2006/picture">
                        <pic:nvPicPr>
                          <pic:cNvPr id="46" name="ID_DE60E1367F4D47B68B43A253F9DB257F_SpCnt_2"/>
                          <pic:cNvPicPr/>
                        </pic:nvPicPr>
                        <pic:blipFill>
                          <a:blip r:embed="rId33"/>
                          <a:stretch>
                            <a:fillRect/>
                          </a:stretch>
                        </pic:blipFill>
                        <pic:spPr>
                          <a:xfrm>
                            <a:off x="0" y="0"/>
                            <a:ext cx="71564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15645" cy="715010"/>
                  <wp:effectExtent l="0" t="0" r="0" b="0"/>
                  <wp:wrapNone/>
                  <wp:docPr id="47" name="ID_DE60E1367F4D47B68B43A253F9DB257F_SpCnt_3"/>
                  <wp:cNvGraphicFramePr/>
                  <a:graphic xmlns:a="http://schemas.openxmlformats.org/drawingml/2006/main">
                    <a:graphicData uri="http://schemas.openxmlformats.org/drawingml/2006/picture">
                      <pic:pic xmlns:pic="http://schemas.openxmlformats.org/drawingml/2006/picture">
                        <pic:nvPicPr>
                          <pic:cNvPr id="47" name="ID_DE60E1367F4D47B68B43A253F9DB257F_SpCnt_3"/>
                          <pic:cNvPicPr/>
                        </pic:nvPicPr>
                        <pic:blipFill>
                          <a:blip r:embed="rId11"/>
                          <a:stretch>
                            <a:fillRect/>
                          </a:stretch>
                        </pic:blipFill>
                        <pic:spPr>
                          <a:xfrm>
                            <a:off x="0" y="0"/>
                            <a:ext cx="71564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8" name="ID_E826D4FD2F1D481EA1CFBD3451A51F56_SpCnt_2"/>
                  <wp:cNvGraphicFramePr/>
                  <a:graphic xmlns:a="http://schemas.openxmlformats.org/drawingml/2006/main">
                    <a:graphicData uri="http://schemas.openxmlformats.org/drawingml/2006/picture">
                      <pic:pic xmlns:pic="http://schemas.openxmlformats.org/drawingml/2006/picture">
                        <pic:nvPicPr>
                          <pic:cNvPr id="48" name="ID_E826D4FD2F1D481EA1CFBD3451A51F56_SpCnt_2"/>
                          <pic:cNvPicPr/>
                        </pic:nvPicPr>
                        <pic:blipFill>
                          <a:blip r:embed="rId34"/>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drawing>
                <wp:anchor distT="0" distB="0" distL="114300" distR="114300" simplePos="0" relativeHeight="251659264" behindDoc="0" locked="0" layoutInCell="1" allowOverlap="1">
                  <wp:simplePos x="0" y="0"/>
                  <wp:positionH relativeFrom="column">
                    <wp:posOffset>584200</wp:posOffset>
                  </wp:positionH>
                  <wp:positionV relativeFrom="paragraph">
                    <wp:posOffset>0</wp:posOffset>
                  </wp:positionV>
                  <wp:extent cx="723265" cy="715010"/>
                  <wp:effectExtent l="0" t="0" r="0" b="0"/>
                  <wp:wrapNone/>
                  <wp:docPr id="49" name="ID_E826D4FD2F1D481EA1CFBD3451A51F56_SpCnt_3"/>
                  <wp:cNvGraphicFramePr/>
                  <a:graphic xmlns:a="http://schemas.openxmlformats.org/drawingml/2006/main">
                    <a:graphicData uri="http://schemas.openxmlformats.org/drawingml/2006/picture">
                      <pic:pic xmlns:pic="http://schemas.openxmlformats.org/drawingml/2006/picture">
                        <pic:nvPicPr>
                          <pic:cNvPr id="49" name="ID_E826D4FD2F1D481EA1CFBD3451A51F56_SpCnt_3"/>
                          <pic:cNvPicPr/>
                        </pic:nvPicPr>
                        <pic:blipFill>
                          <a:blip r:embed="rId11"/>
                          <a:stretch>
                            <a:fillRect/>
                          </a:stretch>
                        </pic:blipFill>
                        <pic:spPr>
                          <a:xfrm>
                            <a:off x="0" y="0"/>
                            <a:ext cx="723265" cy="71501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t>（一）硬件参数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1.尺寸：≥43寸红外触摸一体机配置；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2.cpu：≥RK3288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3.内存：≥4G；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4.网卡：集成10/100/1000M自适应网卡，无线网卡802.11a/b/g/n；</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5.系统：安卓系统；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6.采用铝型材边框、防尘、超薄设计；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7.内件采用钣金结构件，整体设计坚固耐用；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8.机柜外表烤漆，防锈、防磁、防静电处理；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9.主控采用嵌入式设计，保证全天候安全、稳定、高效运行。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（二）软件功能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1.阅读平台采用Android语言开发，后台开发采用Java语言开发，软件兼容性强；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2.前台展示阅读功能符合传统的阅读习惯。具有良好的客户体验效果；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3.平台需要支持最新报刊更新，保证用户在第一时间看到最新的原版报纸；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4.系统使用方便，海量资讯，且安全；支持字体的放大与缩小，方便阅读并摘录内容。满足不同人员的阅读习惯；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5.兼具平面与互联网两者的特点，提供检索与目录导航功能，报刊与线下纸质出版物同步更新；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6.可根据采购人需求协助管理展示相关特色资源；</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7.在联网情况下，支持系统远程定时内容更新。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（三）资源配置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为满足日常读者使用，平台需提供适合读者阅读的国内报刊资源其中至少包括140份报纸，报纸分类有：综合报、晨报、日报、晚报、都市报、经济报、生活报、法制报、农业报、军事报、体育报、青少年、保健、其它等报纸分类。其中包含：人民日报、新华日报、南京日报、新京报、青年报等。报纸实时更新，可根据地区、喜好进行排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2.期刊至少900种，包含大众适合阅读的例如《互联网周刊》《新民周刊》《世界博览》《党建》《科学大观园》《老年文摘报》等各类期刊，并且期刊按刊更新。</w:t>
            </w:r>
          </w:p>
        </w:tc>
        <w:tc>
          <w:tcPr>
            <w:tcW w:w="253" w:type="pct"/>
            <w:shd w:val="clear" w:color="auto" w:fill="auto"/>
            <w:vAlign w:val="center"/>
          </w:tcPr>
          <w:p w14:paraId="337CAF5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51B29C7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38460F2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0010" cy="873125"/>
                  <wp:effectExtent l="0" t="0" r="2540" b="3175"/>
                  <wp:docPr id="99" name="图片 99" descr="12 读报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12 读报机"/>
                          <pic:cNvPicPr>
                            <a:picLocks noChangeAspect="1"/>
                          </pic:cNvPicPr>
                        </pic:nvPicPr>
                        <pic:blipFill>
                          <a:blip r:embed="rId35"/>
                          <a:stretch>
                            <a:fillRect/>
                          </a:stretch>
                        </pic:blipFill>
                        <pic:spPr>
                          <a:xfrm>
                            <a:off x="0" y="0"/>
                            <a:ext cx="1350010" cy="873125"/>
                          </a:xfrm>
                          <a:prstGeom prst="rect">
                            <a:avLst/>
                          </a:prstGeom>
                        </pic:spPr>
                      </pic:pic>
                    </a:graphicData>
                  </a:graphic>
                </wp:inline>
              </w:drawing>
            </w:r>
          </w:p>
        </w:tc>
      </w:tr>
      <w:tr w14:paraId="77F2D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00" w:hRule="atLeast"/>
        </w:trPr>
        <w:tc>
          <w:tcPr>
            <w:tcW w:w="367" w:type="pct"/>
            <w:shd w:val="clear" w:color="auto" w:fill="auto"/>
            <w:vAlign w:val="center"/>
          </w:tcPr>
          <w:p w14:paraId="26B0B2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13</w:t>
            </w:r>
          </w:p>
        </w:tc>
        <w:tc>
          <w:tcPr>
            <w:tcW w:w="542" w:type="pct"/>
            <w:shd w:val="clear" w:color="auto" w:fill="auto"/>
            <w:vAlign w:val="center"/>
          </w:tcPr>
          <w:p w14:paraId="0CE11DC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纸质图书</w:t>
            </w:r>
          </w:p>
        </w:tc>
        <w:tc>
          <w:tcPr>
            <w:tcW w:w="2240" w:type="pct"/>
            <w:shd w:val="clear" w:color="auto" w:fill="auto"/>
            <w:vAlign w:val="center"/>
          </w:tcPr>
          <w:p w14:paraId="27701770">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图书经国家批准的出版机构出版的有版权的正式出版或再版印刷的精品图书，图书印刷质量执行《中华人民共和国产品质量法》及新闻出版总署公布的《图书质量管理规定》（总署令第26号 2005年3月1日起施行）。图书必须符合国家教育部有关规定的，具有较强的思想性、知识性、启迪性、趣味性、教育性、可读性，图书内容积极健康向上、满足学生认知及阅读水平和教职工阅读要求。（详见附件1：图书清单）</w:t>
            </w:r>
          </w:p>
        </w:tc>
        <w:tc>
          <w:tcPr>
            <w:tcW w:w="253" w:type="pct"/>
            <w:shd w:val="clear" w:color="auto" w:fill="auto"/>
            <w:noWrap/>
            <w:vAlign w:val="center"/>
          </w:tcPr>
          <w:p w14:paraId="2497223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本</w:t>
            </w:r>
          </w:p>
        </w:tc>
        <w:tc>
          <w:tcPr>
            <w:tcW w:w="334" w:type="pct"/>
            <w:shd w:val="clear" w:color="auto" w:fill="auto"/>
            <w:vAlign w:val="center"/>
          </w:tcPr>
          <w:p w14:paraId="3C87F96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15000</w:t>
            </w:r>
          </w:p>
        </w:tc>
        <w:tc>
          <w:tcPr>
            <w:tcW w:w="1261" w:type="pct"/>
            <w:shd w:val="clear" w:color="auto" w:fill="auto"/>
            <w:vAlign w:val="center"/>
          </w:tcPr>
          <w:p w14:paraId="3F92AB7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76325" cy="1457325"/>
                  <wp:effectExtent l="0" t="0" r="9525" b="9525"/>
                  <wp:docPr id="100" name="图片 100" descr="13 纸质图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3 纸质图书"/>
                          <pic:cNvPicPr>
                            <a:picLocks noChangeAspect="1"/>
                          </pic:cNvPicPr>
                        </pic:nvPicPr>
                        <pic:blipFill>
                          <a:blip r:embed="rId36"/>
                          <a:stretch>
                            <a:fillRect/>
                          </a:stretch>
                        </pic:blipFill>
                        <pic:spPr>
                          <a:xfrm>
                            <a:off x="0" y="0"/>
                            <a:ext cx="1076325" cy="1457325"/>
                          </a:xfrm>
                          <a:prstGeom prst="rect">
                            <a:avLst/>
                          </a:prstGeom>
                        </pic:spPr>
                      </pic:pic>
                    </a:graphicData>
                  </a:graphic>
                </wp:inline>
              </w:drawing>
            </w:r>
          </w:p>
        </w:tc>
      </w:tr>
      <w:tr w14:paraId="7D8B0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89" w:hRule="atLeast"/>
        </w:trPr>
        <w:tc>
          <w:tcPr>
            <w:tcW w:w="367" w:type="pct"/>
            <w:shd w:val="clear" w:color="auto" w:fill="auto"/>
            <w:vAlign w:val="center"/>
          </w:tcPr>
          <w:p w14:paraId="41E8A9E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14</w:t>
            </w:r>
          </w:p>
        </w:tc>
        <w:tc>
          <w:tcPr>
            <w:tcW w:w="542" w:type="pct"/>
            <w:shd w:val="clear" w:color="auto" w:fill="auto"/>
            <w:vAlign w:val="center"/>
          </w:tcPr>
          <w:p w14:paraId="3C0D2AD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双通道安全门</w:t>
            </w:r>
          </w:p>
        </w:tc>
        <w:tc>
          <w:tcPr>
            <w:tcW w:w="2240" w:type="pct"/>
            <w:shd w:val="clear" w:color="auto" w:fill="auto"/>
            <w:vAlign w:val="center"/>
          </w:tcPr>
          <w:p w14:paraId="6F35C2C0">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1、支持多种报警检测模式：EAS、AFI、EAS+AFI、AFI+DSFID，同时配置报警模式按键选配按钮，增加AFI和DSFID报警参数值增减按钮，无需通过软件配置报警模式。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2、非接触式的快速识别粘贴在流通资料上的RFID标签。</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3、支持噪声检测，可检测周围环境是否有干扰信号。</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4、集成红外流量计数功能，数据可重置，支持对进出读者人次的双向统计。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5、具有音频语音喇叭和视觉报警信号，信号源可设置，报警音量可调控、语音播报声音可定制；支持通过蜂鸣器或者语音播报报警功能，区分不同事件。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6、多通道安全检测门具备单通道独立报警和提示功能，可配置触发报警时单片报警或者联合一起报警模式。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7、识别距离120C每通道，同一出入口可支持至少十片安全门并排按照。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8、系统支持主动报警和被动报警功能，用户可根据实际应用场景选配报警模式。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9、每片门上自带≥7寸显示屏，显示功能至少包含：日期、时间、人员进出数据、定制公司LOGO、报警信息、安全门数量，屏幕闲时自动进行待机状态，触发报警或者红外时自动亮屏工作。</w:t>
            </w:r>
            <w:r>
              <w:rPr>
                <w:rFonts w:hint="eastAsia" w:ascii="宋体" w:hAnsi="宋体" w:eastAsia="宋体" w:cs="宋体"/>
                <w:b/>
                <w:bCs/>
                <w:i w:val="0"/>
                <w:iCs w:val="0"/>
                <w:color w:val="auto"/>
                <w:kern w:val="0"/>
                <w:sz w:val="24"/>
                <w:szCs w:val="24"/>
                <w:highlight w:val="none"/>
                <w:u w:val="single"/>
                <w:lang w:val="en-US" w:eastAsia="zh-CN" w:bidi="ar"/>
              </w:rPr>
              <w:t>（</w:t>
            </w:r>
            <w:r>
              <w:rPr>
                <w:rFonts w:hint="eastAsia" w:ascii="宋体" w:hAnsi="宋体" w:eastAsia="宋体" w:cs="宋体"/>
                <w:b/>
                <w:bCs/>
                <w:color w:val="auto"/>
                <w:sz w:val="24"/>
                <w:szCs w:val="24"/>
                <w:highlight w:val="none"/>
                <w:u w:val="single"/>
                <w:lang w:eastAsia="zh-CN"/>
              </w:rPr>
              <w:t>投标人须在投标文件技术商务部分中提供所投产品由第三方检测机构出具的</w:t>
            </w:r>
            <w:r>
              <w:rPr>
                <w:rFonts w:hint="eastAsia" w:ascii="宋体" w:hAnsi="宋体" w:eastAsia="宋体" w:cs="宋体"/>
                <w:b/>
                <w:bCs/>
                <w:i w:val="0"/>
                <w:iCs w:val="0"/>
                <w:color w:val="auto"/>
                <w:kern w:val="0"/>
                <w:sz w:val="24"/>
                <w:szCs w:val="24"/>
                <w:highlight w:val="none"/>
                <w:u w:val="single"/>
                <w:lang w:val="en-US" w:eastAsia="zh-CN" w:bidi="ar"/>
              </w:rPr>
              <w:t>检测报告佐证本项要求）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10、安全门内置声光报警灯光颜色可七选一（红、橙、黄、绿、青、蓝、紫）。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11、支持配置呼吸灯设置，通电后自动进行工作状态，灯光类似呼吸效果自动明灭，提示安全门正常工作。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12、各安全门之间采用公母头串口线作为数据总线，进行数据通讯和供电处理，方便安装插拔。</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13、多通道安全门各片门之间的天线连接线从两条线简配到一条线，且接线头都采用一公一母模式，方便安装插拔。</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14、多通道组合具备智能匹配同步功能，无须每个门单独进行软件同步配置。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15、安全门系统支持远程开关机及定时开关机。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16、安全门系统自动识别多通道门同步级联，无需手动配置。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17、安全门系统具有八路继电器联动信号输出，支持环境电磁干扰检测功能、射频输出功率可调。</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18、支持一个22V主电源接入一片门，其他门的供电均通过数据总线进行供电。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19、可配置触发报警时单片报警或者联合一起报警模式。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20、可支持安全门通过饼图，柱状图，列表的形式，显示进出人流量统计，累计道馆人数，本年累计道馆人数，本月道馆人数，被人道馆人数，本日离馆人数，当天在馆人数，通过时间段筛选每天的进出人流量人数。</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 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2、符合协议：ISO18000-3/ISO15693。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3、门禁宽度：单通道最宽可以到1.5米。</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4、阅读范围半径：≥450 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5、响应速度：≥20个标签/秒。</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6、规格尺寸：≥长570*宽120*高1615MM，通道宽度1200±50mm，可选配内宽90cm和长120cm踏板底座。</w:t>
            </w:r>
          </w:p>
        </w:tc>
        <w:tc>
          <w:tcPr>
            <w:tcW w:w="253" w:type="pct"/>
            <w:shd w:val="clear" w:color="auto" w:fill="auto"/>
            <w:vAlign w:val="center"/>
          </w:tcPr>
          <w:p w14:paraId="1FD6533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5967445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vAlign w:val="center"/>
          </w:tcPr>
          <w:p w14:paraId="386E1F0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0645" cy="1107440"/>
                  <wp:effectExtent l="0" t="0" r="1905" b="16510"/>
                  <wp:docPr id="101" name="图片 101" descr="14 双通道安全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14 双通道安全门"/>
                          <pic:cNvPicPr>
                            <a:picLocks noChangeAspect="1"/>
                          </pic:cNvPicPr>
                        </pic:nvPicPr>
                        <pic:blipFill>
                          <a:blip r:embed="rId37"/>
                          <a:stretch>
                            <a:fillRect/>
                          </a:stretch>
                        </pic:blipFill>
                        <pic:spPr>
                          <a:xfrm>
                            <a:off x="0" y="0"/>
                            <a:ext cx="1350645" cy="1107440"/>
                          </a:xfrm>
                          <a:prstGeom prst="rect">
                            <a:avLst/>
                          </a:prstGeom>
                        </pic:spPr>
                      </pic:pic>
                    </a:graphicData>
                  </a:graphic>
                </wp:inline>
              </w:drawing>
            </w:r>
          </w:p>
        </w:tc>
      </w:tr>
      <w:tr w14:paraId="75A8E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78" w:hRule="atLeast"/>
        </w:trPr>
        <w:tc>
          <w:tcPr>
            <w:tcW w:w="367" w:type="pct"/>
            <w:shd w:val="clear" w:color="auto" w:fill="auto"/>
            <w:vAlign w:val="center"/>
          </w:tcPr>
          <w:p w14:paraId="482392E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w:t>
            </w:r>
          </w:p>
        </w:tc>
        <w:tc>
          <w:tcPr>
            <w:tcW w:w="542" w:type="pct"/>
            <w:shd w:val="clear" w:color="auto" w:fill="auto"/>
            <w:vAlign w:val="center"/>
          </w:tcPr>
          <w:p w14:paraId="58BAEBB9">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OPAC查询机</w:t>
            </w:r>
          </w:p>
        </w:tc>
        <w:tc>
          <w:tcPr>
            <w:tcW w:w="2240" w:type="pct"/>
            <w:shd w:val="clear" w:color="auto" w:fill="auto"/>
            <w:vAlign w:val="center"/>
          </w:tcPr>
          <w:p w14:paraId="65A9F5DD">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（一）功能要求：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1、系统提供接口，可以与图书馆的图书管理系统连接。</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2、整机设备集成触控一体机，支持选配嵌入WebOpac查询、馆情介绍、规章制度、进馆须知、借阅规则、图书馆常识、布局等全馆信息查询。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3、系统提供接口，可查询包括文献的馆藏状态、书架的区域位置、书架位置、具体所在书架的层标信息、借出日期，应还日期。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4、系统页面可列出最新借阅书籍信息并定时刷新页面数据内容；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5、系统可列出新手到馆、阅读排行、精品推荐等图书信息，并以图文形式进行左右滚动浏览，通过点击选中并计入图书信息的详情页面；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6、系统可通过中图法22小类，进行图书的分类查询并图文展示结果；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7、系统可通过后台发布新闻、公告、通知、活动等信息；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8、系统可列出热门图书阅读排行、班组借阅情况排行，个人借阅情况排行，最新借阅情况排行；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9、系统通过登录我的图书馆，可进行个人信息编辑、绑定微信号、修改密码；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10、系统通过登录我的图书馆，可查看个人借还情况、查看个人借阅的历史清单、查看超期未还图书信息；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11、系统通过登录我的图书馆，可将喜欢的图书信息进行收藏、可在未归还列表中进行线上续借功能、可向图书馆进行爱书推荐留言、个人建议等；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12、系统可通过后台进行图书馆相关图文信息、LOGO、名字等进行变更和替换；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13、系统可通过页面进行个人注册、绑定微信号、解除微信号绑定等功能；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14、可按系统设定的分类目录浏览图书，并进一步查看图书的详细信息，包括正题名、作者、ISBN、借阅次数、出版年份、索书号、 页数、其他责任者、丛书名、丛书责任者、附注等基础信息，以及条码号、图书位置、 状态、应还日期等馆藏信息，可预借图书；</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（二）参数要求：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1、触摸触控：智能触控，高灵敏度书写流畅，≥32英寸，可识别多种触摸手势。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2、主机配置：不低于四线程桌面级处理器，4G及以上内存，120G及以上固态盘，windows7或者10 64位。</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3、主机自带K型底座，方便放置和供读者触摸交互操作。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4、支持选配IC卡读者证身份验证方式，可选配条形码读者证、电子二维码读者证、人脸识别，二代身份及IC卡二合一认证等方式。</w:t>
            </w:r>
          </w:p>
        </w:tc>
        <w:tc>
          <w:tcPr>
            <w:tcW w:w="253" w:type="pct"/>
            <w:shd w:val="clear" w:color="auto" w:fill="auto"/>
            <w:vAlign w:val="center"/>
          </w:tcPr>
          <w:p w14:paraId="37DA353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1CA03E9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340E14F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00150" cy="1071880"/>
                  <wp:effectExtent l="0" t="0" r="0" b="13970"/>
                  <wp:docPr id="102" name="图片 102" descr="15 OPAC查询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15 OPAC查询机"/>
                          <pic:cNvPicPr>
                            <a:picLocks noChangeAspect="1"/>
                          </pic:cNvPicPr>
                        </pic:nvPicPr>
                        <pic:blipFill>
                          <a:blip r:embed="rId38"/>
                          <a:stretch>
                            <a:fillRect/>
                          </a:stretch>
                        </pic:blipFill>
                        <pic:spPr>
                          <a:xfrm>
                            <a:off x="0" y="0"/>
                            <a:ext cx="1200150" cy="1071880"/>
                          </a:xfrm>
                          <a:prstGeom prst="rect">
                            <a:avLst/>
                          </a:prstGeom>
                        </pic:spPr>
                      </pic:pic>
                    </a:graphicData>
                  </a:graphic>
                </wp:inline>
              </w:drawing>
            </w:r>
          </w:p>
        </w:tc>
      </w:tr>
      <w:tr w14:paraId="7E1BE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75" w:hRule="atLeast"/>
        </w:trPr>
        <w:tc>
          <w:tcPr>
            <w:tcW w:w="367" w:type="pct"/>
            <w:shd w:val="clear" w:color="auto" w:fill="auto"/>
            <w:vAlign w:val="center"/>
          </w:tcPr>
          <w:p w14:paraId="5BC6D6D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16</w:t>
            </w:r>
          </w:p>
        </w:tc>
        <w:tc>
          <w:tcPr>
            <w:tcW w:w="542" w:type="pct"/>
            <w:shd w:val="clear" w:color="auto" w:fill="auto"/>
            <w:vAlign w:val="center"/>
          </w:tcPr>
          <w:p w14:paraId="0CD2CE4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图书漂流柜</w:t>
            </w:r>
          </w:p>
        </w:tc>
        <w:tc>
          <w:tcPr>
            <w:tcW w:w="2240" w:type="pct"/>
            <w:shd w:val="clear" w:color="auto" w:fill="auto"/>
            <w:vAlign w:val="center"/>
          </w:tcPr>
          <w:p w14:paraId="57C80198">
            <w:pPr>
              <w:keepNext w:val="0"/>
              <w:keepLines w:val="0"/>
              <w:widowControl/>
              <w:numPr>
                <w:ilvl w:val="0"/>
                <w:numId w:val="2"/>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功能参数：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1、微型图书馆采用RFID智能书架技术，选用最适合图书管理的13.56MHz工作频段，ISO15693协议。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2、设备部署简单方便，选定投放位置后，现场通网通电即可完成设备硬件部署，无须额外配套工程。</w:t>
            </w:r>
          </w:p>
          <w:p w14:paraId="1A45A135">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3、设备采用工业级配件，支持24小时在线工作，实际解决图书馆闭馆后读者无法对图书进行借还的问题。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4、设备操作简单方便，效率高，每次借还≤5秒钟，支持同时取放多本，支持多人同时操作，支持实时数据采集等功能。设备人脸识别摄像头支持上下角度调整，方便适应不同身高的读者。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5、设备的图书存储区可分区域，每个区域独立门锁设置。对图书实现每个区域独立检测和独立操作管理。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6、默认设备藏书量可以藏书400-600册左右，支持扩展，可通过扩展储书副柜从而增加藏书量。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7、设备支持多种读者身份验证方式：IC卡读者证、条形码读者证、电子二维码读者证、可选配人脸识别，RFID卡读者证、二代身份证认证等方式。可以识别图书馆目前使用的有效证件。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8、设备可选配定时开关，可实现定时开关机。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9、设备每个书柜配备LED灯，可设置定时开关灯或者远程开关灯。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10、设备配备网络监控，可实现远程监控微型图书馆现场，支持实时录像，用户可选择指定时间段查看录像情况。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11、设备触摸显示与工控主机为一体化设计，方便模块化更换维护，主机需配备2个及以上usb接口和2个及以上com接口。</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12、操作方便，关门自动完成图书借还。</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13、采用 RFID 读写天线技术，可实时识别借还的书籍，实时掌握每个读者的借还书情况。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14、设备采用分区藏书设计。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15、读者可打开仓门自行选择或者试读图书，根据试读后再确定是否需要借阅读图书。如对试读的图书不感兴趣，直接放回即可，不占用读者借用册数，也无须重复操作。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16、通借通还：持读者证的读者，可以在任意一台智慧图书柜设备借还文献，也可以将所借阅文献归还到任意一个智慧图书柜设备上。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17、设备采用主副柜设计，可根据实际需求进行拓展和搭配，支持一主柜带多副柜模式。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19、设备外壳采用钣金结构，抗腐蚀、抗干扰性强。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20、智能电控锁可承受≥150KG拉力，断电关门；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（二）技术参数：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1、工作频率：13.56MHz；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2、材质： 钣金、亚克力；</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3、外观尺寸：≥长1890*宽450*高1800mm。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4、CPU：不低于四线程桌面级处理器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5、内存：≥4G</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6、硬盘：≥120G固态；</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7、屏幕尺寸：≥21.5寸；</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8、显示屏：分辨率：1920×1080；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9、显示比列：16:9；</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10、背光类型：LED液晶显示；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11、色彩深度：16.7M，亮度：250cd/m²，</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12、读写器响应时间：≤5ms，</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13、触摸类型：电容触摸屏；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14、网络 ：有线、RJ45（1000M）；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15、工作温度：-0℃～50℃；储存温度：-20℃～60℃；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16、相对湿度：5%～80%；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17、符合标准：ISO18000-3，ISO15693；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18、供电要求：AC220V,50Hz；</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19、功耗：≥120W;</w:t>
            </w:r>
          </w:p>
        </w:tc>
        <w:tc>
          <w:tcPr>
            <w:tcW w:w="253" w:type="pct"/>
            <w:shd w:val="clear" w:color="auto" w:fill="auto"/>
            <w:vAlign w:val="center"/>
          </w:tcPr>
          <w:p w14:paraId="740E219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4168090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5BE7AE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0010" cy="1927860"/>
                  <wp:effectExtent l="0" t="0" r="2540" b="15240"/>
                  <wp:docPr id="103" name="图片 103" descr="16 图书漂流柜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16 图书漂流柜 拷贝"/>
                          <pic:cNvPicPr>
                            <a:picLocks noChangeAspect="1"/>
                          </pic:cNvPicPr>
                        </pic:nvPicPr>
                        <pic:blipFill>
                          <a:blip r:embed="rId39"/>
                          <a:stretch>
                            <a:fillRect/>
                          </a:stretch>
                        </pic:blipFill>
                        <pic:spPr>
                          <a:xfrm>
                            <a:off x="0" y="0"/>
                            <a:ext cx="1350010" cy="1927860"/>
                          </a:xfrm>
                          <a:prstGeom prst="rect">
                            <a:avLst/>
                          </a:prstGeom>
                        </pic:spPr>
                      </pic:pic>
                    </a:graphicData>
                  </a:graphic>
                </wp:inline>
              </w:drawing>
            </w:r>
          </w:p>
        </w:tc>
      </w:tr>
      <w:tr w14:paraId="4D0B3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4" w:hRule="atLeast"/>
        </w:trPr>
        <w:tc>
          <w:tcPr>
            <w:tcW w:w="367" w:type="pct"/>
            <w:shd w:val="clear" w:color="auto" w:fill="auto"/>
            <w:vAlign w:val="center"/>
          </w:tcPr>
          <w:p w14:paraId="21D0EA6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17</w:t>
            </w:r>
          </w:p>
        </w:tc>
        <w:tc>
          <w:tcPr>
            <w:tcW w:w="542" w:type="pct"/>
            <w:shd w:val="clear" w:color="auto" w:fill="auto"/>
            <w:vAlign w:val="center"/>
          </w:tcPr>
          <w:p w14:paraId="78FB12C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数字图书馆软件平台</w:t>
            </w:r>
          </w:p>
        </w:tc>
        <w:tc>
          <w:tcPr>
            <w:tcW w:w="2240" w:type="pct"/>
            <w:shd w:val="clear" w:color="auto" w:fill="auto"/>
            <w:vAlign w:val="top"/>
          </w:tcPr>
          <w:p w14:paraId="21115302">
            <w:pPr>
              <w:keepNext w:val="0"/>
              <w:keepLines w:val="0"/>
              <w:widowControl/>
              <w:numPr>
                <w:ilvl w:val="0"/>
                <w:numId w:val="3"/>
              </w:numPr>
              <w:suppressLineNumbers w:val="0"/>
              <w:spacing w:line="360" w:lineRule="auto"/>
              <w:jc w:val="left"/>
              <w:textAlignment w:val="top"/>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图书阅读：下载图书图书内容放大、缩小、图书中插图截取，用户可对喜欢的图书进行推荐、收藏、下载。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2.图书信息检索：系统可以根据书名，作者检索出系统自带的图书资源，同时平台支持高级检索，可输入书名、作者、出版社的信息进行检索查询。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3.选择相应的标签跳转到对应的目录页。查看图书的书评并可以添加书评。</w:t>
            </w:r>
          </w:p>
          <w:p w14:paraId="2861010E">
            <w:pPr>
              <w:keepNext w:val="0"/>
              <w:keepLines w:val="0"/>
              <w:widowControl/>
              <w:numPr>
                <w:ilvl w:val="-1"/>
                <w:numId w:val="0"/>
              </w:numPr>
              <w:suppressLineNumbers w:val="0"/>
              <w:spacing w:line="360" w:lineRule="auto"/>
              <w:jc w:val="left"/>
              <w:textAlignment w:val="top"/>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4.平台系统对合法IP范围不限IP、注册用户数、并发数和在线浏览数。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平台图书按照中图法进行二级学科分类，系统平台具有图书列表、个人书房、高级搜索、读书活动、个人收藏、阅读排行榜，按照日、周、月各个排行，图书推荐，图书收藏排行榜、访问人次、资源总量的功能。</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r>
              <w:rPr>
                <w:rFonts w:hint="eastAsia" w:ascii="宋体" w:hAnsi="宋体" w:eastAsia="宋体" w:cs="宋体"/>
                <w:i w:val="0"/>
                <w:iCs w:val="0"/>
                <w:color w:val="auto"/>
                <w:kern w:val="0"/>
                <w:sz w:val="24"/>
                <w:szCs w:val="24"/>
                <w:highlight w:val="none"/>
                <w:u w:val="none"/>
                <w:lang w:val="en-US" w:eastAsia="zh-CN" w:bidi="ar"/>
              </w:rPr>
              <w:t xml:space="preserve">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6.分类：可以显示中图法22大分类和全部图书分类。</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7.个人书房：显示读者登录的用户名及个人信息，可以将自己喜欢的图书添加到个人书房，显示个人浏览图书足迹、个人阅读量、收藏量、下载量。</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读书活动：至少分为三部分，最新活动、最热活动和经典活动。每部分活动可自定义添加图片、标题，并显示活动时间、活动类型、主办单位、活动内容的信息，系统可以统计活动书单，提交作品数量以及参与人数。</w:t>
            </w:r>
            <w:r>
              <w:rPr>
                <w:rFonts w:hint="eastAsia" w:ascii="宋体" w:hAnsi="宋体" w:eastAsia="宋体" w:cs="宋体"/>
                <w:b/>
                <w:bCs/>
                <w:i w:val="0"/>
                <w:iCs w:val="0"/>
                <w:color w:val="auto"/>
                <w:kern w:val="0"/>
                <w:sz w:val="24"/>
                <w:szCs w:val="24"/>
                <w:highlight w:val="none"/>
                <w:u w:val="single"/>
                <w:lang w:val="en-US" w:eastAsia="zh-CN" w:bidi="ar"/>
              </w:rPr>
              <w:t>（投标人须在投标文件技术商务部分中提供功能截图佐证本项要求）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9.新书通报：显示最新的上传的图书，可以推荐到首页。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10.统计功能：平台可自动统计图书的阅读量、收藏量和下载量，同时平台可自动统计访问平台人数总量。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11.热门图书：根据读者搜索阅读图书的热门程度，图书会显示到首页。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12.图书推荐排行榜：根据</w:t>
            </w:r>
            <w:r>
              <w:rPr>
                <w:rFonts w:hint="eastAsia" w:ascii="宋体" w:hAnsi="宋体" w:eastAsia="宋体" w:cs="宋体"/>
                <w:color w:val="auto"/>
                <w:kern w:val="0"/>
                <w:sz w:val="24"/>
                <w:szCs w:val="24"/>
                <w:highlight w:val="none"/>
                <w:u w:val="none"/>
                <w:lang w:val="en-US" w:eastAsia="zh-CN" w:bidi="ar"/>
              </w:rPr>
              <w:t>推荐次数排行</w:t>
            </w:r>
            <w:r>
              <w:rPr>
                <w:rFonts w:hint="eastAsia" w:ascii="宋体" w:hAnsi="宋体" w:eastAsia="宋体" w:cs="宋体"/>
                <w:i w:val="0"/>
                <w:iCs w:val="0"/>
                <w:color w:val="auto"/>
                <w:kern w:val="0"/>
                <w:sz w:val="24"/>
                <w:szCs w:val="24"/>
                <w:highlight w:val="none"/>
                <w:u w:val="none"/>
                <w:lang w:val="en-US" w:eastAsia="zh-CN" w:bidi="ar"/>
              </w:rPr>
              <w:t>，可在首页展示，置顶供大家快速分享查阅。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13.图书阅读排行榜：图书阅读的次数越多，越靠前显示。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14.阅读方式：系统在展示平台界面必须针对电子资源(现代文图书)都有二维码扫码功能，且扫码后，可将资源下载到任意载体，且下载后无地域与时效性限制。阅读过程中，可以随时收藏图书。</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15.现代图书采用中图法分类、现代文平台同时支持客户自定义分类</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16.后台管理包含系统管理、会员管理、图片管理、资源上传、图书管理、访问管理、活动管理、必读书目、阅读统计等模块功能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17.系统管理包含用户管理、角色管理、菜单管理、推荐类型、图书分类、图书评论、logo设置。</w:t>
            </w:r>
          </w:p>
        </w:tc>
        <w:tc>
          <w:tcPr>
            <w:tcW w:w="253" w:type="pct"/>
            <w:shd w:val="clear" w:color="auto" w:fill="auto"/>
            <w:noWrap/>
            <w:vAlign w:val="center"/>
          </w:tcPr>
          <w:p w14:paraId="4494805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noWrap/>
            <w:vAlign w:val="center"/>
          </w:tcPr>
          <w:p w14:paraId="6023E16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71BC4E4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A71D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37" w:hRule="atLeast"/>
        </w:trPr>
        <w:tc>
          <w:tcPr>
            <w:tcW w:w="367" w:type="pct"/>
            <w:shd w:val="clear" w:color="auto" w:fill="auto"/>
            <w:vAlign w:val="center"/>
          </w:tcPr>
          <w:p w14:paraId="3BC7F7E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18</w:t>
            </w:r>
          </w:p>
        </w:tc>
        <w:tc>
          <w:tcPr>
            <w:tcW w:w="542" w:type="pct"/>
            <w:shd w:val="clear" w:color="auto" w:fill="auto"/>
            <w:vAlign w:val="center"/>
          </w:tcPr>
          <w:p w14:paraId="197E1B5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电子图书</w:t>
            </w:r>
          </w:p>
        </w:tc>
        <w:tc>
          <w:tcPr>
            <w:tcW w:w="2240" w:type="pct"/>
            <w:shd w:val="clear" w:color="auto" w:fill="auto"/>
            <w:vAlign w:val="center"/>
          </w:tcPr>
          <w:p w14:paraId="07D214A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1.图书数量:中文电子图书50000册。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2.图书格式:图书主要pdf 和PDF双文本国际公开标准格式保存，不可为私人模式以保持图书原有的版式，电子书资源质量高,并能越放大越清晰，图书“页”不可为图片格式压缩，以免造成占用存储容量过多和具有分辨率相关性；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3.图书种类包含：医学、卫生、文学、社科、经济、语言文字、生物等适合使用的图书，具体根据使用方自选决定。</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4.图书阅读方式：图书可在线全文阅读及具备二维码扫描功能，可以扫描到手机等移动设备在线阅读图书或下载到本地扫码下载等多种阅读方式阅读。</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5、图书选择：根据使用单位需求提供中图法22大分类图书供使用单位挑选。</w:t>
            </w:r>
          </w:p>
        </w:tc>
        <w:tc>
          <w:tcPr>
            <w:tcW w:w="253" w:type="pct"/>
            <w:shd w:val="clear" w:color="auto" w:fill="auto"/>
            <w:noWrap/>
            <w:vAlign w:val="center"/>
          </w:tcPr>
          <w:p w14:paraId="4E933A5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册</w:t>
            </w:r>
          </w:p>
        </w:tc>
        <w:tc>
          <w:tcPr>
            <w:tcW w:w="334" w:type="pct"/>
            <w:shd w:val="clear" w:color="auto" w:fill="auto"/>
            <w:noWrap/>
            <w:vAlign w:val="center"/>
          </w:tcPr>
          <w:p w14:paraId="7DB9965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50000</w:t>
            </w:r>
          </w:p>
        </w:tc>
        <w:tc>
          <w:tcPr>
            <w:tcW w:w="1261" w:type="pct"/>
            <w:shd w:val="clear" w:color="auto" w:fill="auto"/>
            <w:noWrap/>
            <w:vAlign w:val="center"/>
          </w:tcPr>
          <w:p w14:paraId="5933E40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7593E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58" w:hRule="atLeast"/>
        </w:trPr>
        <w:tc>
          <w:tcPr>
            <w:tcW w:w="367" w:type="pct"/>
            <w:shd w:val="clear" w:color="auto" w:fill="auto"/>
            <w:vAlign w:val="center"/>
          </w:tcPr>
          <w:p w14:paraId="6483CD7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19</w:t>
            </w:r>
          </w:p>
        </w:tc>
        <w:tc>
          <w:tcPr>
            <w:tcW w:w="542" w:type="pct"/>
            <w:shd w:val="clear" w:color="auto" w:fill="auto"/>
            <w:vAlign w:val="center"/>
          </w:tcPr>
          <w:p w14:paraId="290AAC5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自由学习空间灵控终端</w:t>
            </w:r>
          </w:p>
        </w:tc>
        <w:tc>
          <w:tcPr>
            <w:tcW w:w="2240" w:type="pct"/>
            <w:shd w:val="clear" w:color="auto" w:fill="auto"/>
            <w:vAlign w:val="center"/>
          </w:tcPr>
          <w:p w14:paraId="791B4092">
            <w:pPr>
              <w:keepNext w:val="0"/>
              <w:keepLines w:val="0"/>
              <w:widowControl/>
              <w:numPr>
                <w:ilvl w:val="0"/>
                <w:numId w:val="4"/>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研讨互动系统交互中枢，集成AI全景摄像头、≥1600万像素高拍仪、≥8路全向麦及触控按键，支持360°全景拍摄、发言人定位、研讨成果采集与一键操作，提升研讨效率与参与感。</w:t>
            </w:r>
          </w:p>
          <w:p w14:paraId="3C94EA32">
            <w:pPr>
              <w:keepNext w:val="0"/>
              <w:keepLines w:val="0"/>
              <w:widowControl/>
              <w:numPr>
                <w:ilvl w:val="0"/>
                <w:numId w:val="4"/>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投标人须提供≥6年系统升级服务（包含在投标报价中）。</w:t>
            </w:r>
          </w:p>
        </w:tc>
        <w:tc>
          <w:tcPr>
            <w:tcW w:w="253" w:type="pct"/>
            <w:shd w:val="clear" w:color="auto" w:fill="auto"/>
            <w:noWrap/>
            <w:vAlign w:val="center"/>
          </w:tcPr>
          <w:p w14:paraId="132B4BF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0E88E16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25B0977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1042F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20" w:hRule="atLeast"/>
        </w:trPr>
        <w:tc>
          <w:tcPr>
            <w:tcW w:w="367" w:type="pct"/>
            <w:shd w:val="clear" w:color="auto" w:fill="auto"/>
            <w:vAlign w:val="center"/>
          </w:tcPr>
          <w:p w14:paraId="60DA3CF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w:t>
            </w:r>
          </w:p>
        </w:tc>
        <w:tc>
          <w:tcPr>
            <w:tcW w:w="542" w:type="pct"/>
            <w:shd w:val="clear" w:color="auto" w:fill="auto"/>
            <w:vAlign w:val="center"/>
          </w:tcPr>
          <w:p w14:paraId="1B588FD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自由学习空间研讨终端</w:t>
            </w:r>
          </w:p>
        </w:tc>
        <w:tc>
          <w:tcPr>
            <w:tcW w:w="2240" w:type="pct"/>
            <w:shd w:val="clear" w:color="auto" w:fill="auto"/>
            <w:vAlign w:val="center"/>
          </w:tcPr>
          <w:p w14:paraId="444121B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搭载本地算力，支持4K</w:t>
            </w:r>
            <w:r>
              <w:rPr>
                <w:rFonts w:hint="eastAsia" w:ascii="宋体" w:hAnsi="宋体" w:eastAsia="宋体" w:cs="宋体"/>
                <w:color w:val="auto"/>
                <w:sz w:val="24"/>
                <w:szCs w:val="24"/>
                <w:highlight w:val="none"/>
                <w:lang w:val="en-US" w:eastAsia="zh-CN"/>
              </w:rPr>
              <w:t>或</w:t>
            </w:r>
            <w:r>
              <w:rPr>
                <w:rFonts w:hint="eastAsia" w:ascii="宋体" w:hAnsi="宋体" w:eastAsia="宋体" w:cs="宋体"/>
                <w:i w:val="0"/>
                <w:iCs w:val="0"/>
                <w:color w:val="auto"/>
                <w:kern w:val="0"/>
                <w:sz w:val="24"/>
                <w:szCs w:val="24"/>
                <w:highlight w:val="none"/>
                <w:u w:val="none"/>
                <w:lang w:val="en-US" w:eastAsia="zh-CN" w:bidi="ar"/>
              </w:rPr>
              <w:t>1080P音视频编解码，集成WiFi6、≥蓝牙5.0及千兆网口，可实现多协议视频推流与无线投屏，是研讨音视频处理与数据传输的核心载体。</w:t>
            </w:r>
          </w:p>
        </w:tc>
        <w:tc>
          <w:tcPr>
            <w:tcW w:w="253" w:type="pct"/>
            <w:shd w:val="clear" w:color="auto" w:fill="auto"/>
            <w:noWrap/>
            <w:vAlign w:val="center"/>
          </w:tcPr>
          <w:p w14:paraId="41AF29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47EBE3E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318CE22A">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17890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20" w:hRule="atLeast"/>
        </w:trPr>
        <w:tc>
          <w:tcPr>
            <w:tcW w:w="367" w:type="pct"/>
            <w:shd w:val="clear" w:color="auto" w:fill="auto"/>
            <w:vAlign w:val="center"/>
          </w:tcPr>
          <w:p w14:paraId="6A008A9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21</w:t>
            </w:r>
          </w:p>
        </w:tc>
        <w:tc>
          <w:tcPr>
            <w:tcW w:w="542" w:type="pct"/>
            <w:shd w:val="clear" w:color="auto" w:fill="auto"/>
            <w:vAlign w:val="center"/>
          </w:tcPr>
          <w:p w14:paraId="513271F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自由学习空间摄像头</w:t>
            </w:r>
          </w:p>
        </w:tc>
        <w:tc>
          <w:tcPr>
            <w:tcW w:w="2240" w:type="pct"/>
            <w:shd w:val="clear" w:color="auto" w:fill="auto"/>
            <w:vAlign w:val="center"/>
          </w:tcPr>
          <w:p w14:paraId="65E0C66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4K研讨摄像头，≥120°广角捕捉全小组画面，支持≥30°俯仰调节与自动白平衡，≥829万有效像素搭配标准阻尼支架，确保研讨过程高清拍摄。</w:t>
            </w:r>
          </w:p>
        </w:tc>
        <w:tc>
          <w:tcPr>
            <w:tcW w:w="253" w:type="pct"/>
            <w:shd w:val="clear" w:color="auto" w:fill="auto"/>
            <w:noWrap/>
            <w:vAlign w:val="center"/>
          </w:tcPr>
          <w:p w14:paraId="4EE50A3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0081945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0D91561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AB8E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00" w:hRule="atLeast"/>
        </w:trPr>
        <w:tc>
          <w:tcPr>
            <w:tcW w:w="367" w:type="pct"/>
            <w:shd w:val="clear" w:color="auto" w:fill="auto"/>
            <w:vAlign w:val="center"/>
          </w:tcPr>
          <w:p w14:paraId="38BCBB4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22</w:t>
            </w:r>
          </w:p>
        </w:tc>
        <w:tc>
          <w:tcPr>
            <w:tcW w:w="542" w:type="pct"/>
            <w:shd w:val="clear" w:color="auto" w:fill="auto"/>
            <w:vAlign w:val="center"/>
          </w:tcPr>
          <w:p w14:paraId="243F44D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超清录播融合主机</w:t>
            </w:r>
          </w:p>
        </w:tc>
        <w:tc>
          <w:tcPr>
            <w:tcW w:w="2240" w:type="pct"/>
            <w:shd w:val="clear" w:color="auto" w:fill="auto"/>
            <w:vAlign w:val="center"/>
          </w:tcPr>
          <w:p w14:paraId="032B258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ARM架构主机，内置≥15.6英寸触控屏，支持≥4路4K摄像机接入与多通道音视频输入输出，集成AI音频处理与多种录播模式，可实现本地/远程导播、RTMP推流及定时录像。</w:t>
            </w:r>
          </w:p>
        </w:tc>
        <w:tc>
          <w:tcPr>
            <w:tcW w:w="253" w:type="pct"/>
            <w:shd w:val="clear" w:color="auto" w:fill="auto"/>
            <w:noWrap/>
            <w:vAlign w:val="center"/>
          </w:tcPr>
          <w:p w14:paraId="2E434FA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2A327F4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720763D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47750" cy="695325"/>
                  <wp:effectExtent l="0" t="0" r="0" b="8890"/>
                  <wp:docPr id="108" name="图片 108" descr="22超清录播融合主机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22超清录播融合主机 拷贝"/>
                          <pic:cNvPicPr>
                            <a:picLocks noChangeAspect="1"/>
                          </pic:cNvPicPr>
                        </pic:nvPicPr>
                        <pic:blipFill>
                          <a:blip r:embed="rId40"/>
                          <a:stretch>
                            <a:fillRect/>
                          </a:stretch>
                        </pic:blipFill>
                        <pic:spPr>
                          <a:xfrm>
                            <a:off x="0" y="0"/>
                            <a:ext cx="1047750" cy="695325"/>
                          </a:xfrm>
                          <a:prstGeom prst="rect">
                            <a:avLst/>
                          </a:prstGeom>
                        </pic:spPr>
                      </pic:pic>
                    </a:graphicData>
                  </a:graphic>
                </wp:inline>
              </w:drawing>
            </w:r>
          </w:p>
        </w:tc>
      </w:tr>
      <w:tr w14:paraId="778DA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367" w:type="pct"/>
            <w:shd w:val="clear" w:color="auto" w:fill="auto"/>
            <w:vAlign w:val="center"/>
          </w:tcPr>
          <w:p w14:paraId="6820DE2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23</w:t>
            </w:r>
          </w:p>
        </w:tc>
        <w:tc>
          <w:tcPr>
            <w:tcW w:w="542" w:type="pct"/>
            <w:shd w:val="clear" w:color="auto" w:fill="auto"/>
            <w:vAlign w:val="center"/>
          </w:tcPr>
          <w:p w14:paraId="00ED349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老师双目跟踪摄像机</w:t>
            </w:r>
          </w:p>
        </w:tc>
        <w:tc>
          <w:tcPr>
            <w:tcW w:w="2240" w:type="pct"/>
            <w:shd w:val="clear" w:color="auto" w:fill="auto"/>
            <w:vAlign w:val="center"/>
          </w:tcPr>
          <w:p w14:paraId="36C791FC">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bidi="ar"/>
              </w:rPr>
              <w:t>≥851万像素UHD CMOS传感器摄像机，支持4K超高清拍摄与≥12倍光学变焦，内置智能跟踪算法，可同步输出全景与特写画面，配备HDMI/3G-SDI等多接口，适配教学跟踪场景。</w:t>
            </w:r>
            <w:r>
              <w:rPr>
                <w:rFonts w:hint="eastAsia" w:ascii="宋体" w:hAnsi="宋体" w:eastAsia="宋体" w:cs="宋体"/>
                <w:color w:val="auto"/>
                <w:sz w:val="24"/>
                <w:szCs w:val="24"/>
                <w:highlight w:val="none"/>
                <w:lang w:val="en-US" w:eastAsia="zh-CN"/>
              </w:rPr>
              <w:t>规格≥长</w:t>
            </w:r>
            <w:r>
              <w:rPr>
                <w:rFonts w:hint="eastAsia" w:ascii="宋体" w:hAnsi="宋体" w:eastAsia="宋体" w:cs="宋体"/>
                <w:color w:val="auto"/>
                <w:sz w:val="24"/>
                <w:szCs w:val="24"/>
                <w:highlight w:val="none"/>
              </w:rPr>
              <w:t>168</w:t>
            </w:r>
            <w:r>
              <w:rPr>
                <w:rFonts w:hint="eastAsia" w:ascii="宋体" w:hAnsi="宋体" w:eastAsia="宋体" w:cs="宋体"/>
                <w:color w:val="auto"/>
                <w:sz w:val="24"/>
                <w:szCs w:val="24"/>
                <w:highlight w:val="none"/>
                <w:lang w:val="en-US" w:eastAsia="zh-CN"/>
              </w:rPr>
              <w:t>*宽</w:t>
            </w:r>
            <w:r>
              <w:rPr>
                <w:rFonts w:hint="eastAsia" w:ascii="宋体" w:hAnsi="宋体" w:eastAsia="宋体" w:cs="宋体"/>
                <w:color w:val="auto"/>
                <w:sz w:val="24"/>
                <w:szCs w:val="24"/>
                <w:highlight w:val="none"/>
              </w:rPr>
              <w:t>132</w:t>
            </w:r>
            <w:r>
              <w:rPr>
                <w:rFonts w:hint="eastAsia" w:ascii="宋体" w:hAnsi="宋体" w:eastAsia="宋体" w:cs="宋体"/>
                <w:color w:val="auto"/>
                <w:sz w:val="24"/>
                <w:szCs w:val="24"/>
                <w:highlight w:val="none"/>
                <w:lang w:val="en-US" w:eastAsia="zh-CN"/>
              </w:rPr>
              <w:t>*高</w:t>
            </w:r>
            <w:r>
              <w:rPr>
                <w:rFonts w:hint="eastAsia" w:ascii="宋体" w:hAnsi="宋体" w:eastAsia="宋体" w:cs="宋体"/>
                <w:color w:val="auto"/>
                <w:sz w:val="24"/>
                <w:szCs w:val="24"/>
                <w:highlight w:val="none"/>
              </w:rPr>
              <w:t>120mm</w:t>
            </w:r>
            <w:r>
              <w:rPr>
                <w:rFonts w:hint="eastAsia" w:ascii="宋体" w:hAnsi="宋体" w:eastAsia="宋体" w:cs="宋体"/>
                <w:color w:val="auto"/>
                <w:sz w:val="24"/>
                <w:szCs w:val="24"/>
                <w:highlight w:val="none"/>
                <w:lang w:eastAsia="zh-CN"/>
              </w:rPr>
              <w:t>。</w:t>
            </w:r>
          </w:p>
        </w:tc>
        <w:tc>
          <w:tcPr>
            <w:tcW w:w="253" w:type="pct"/>
            <w:shd w:val="clear" w:color="auto" w:fill="auto"/>
            <w:noWrap/>
            <w:vAlign w:val="center"/>
          </w:tcPr>
          <w:p w14:paraId="1ADA455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1BD95B2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331E6A9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66825" cy="952500"/>
                  <wp:effectExtent l="0" t="0" r="9525" b="0"/>
                  <wp:docPr id="109" name="图片 109" descr="23、24 老师双目跟踪摄像机（4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23、24 老师双目跟踪摄像机（4K）"/>
                          <pic:cNvPicPr>
                            <a:picLocks noChangeAspect="1"/>
                          </pic:cNvPicPr>
                        </pic:nvPicPr>
                        <pic:blipFill>
                          <a:blip r:embed="rId41"/>
                          <a:stretch>
                            <a:fillRect/>
                          </a:stretch>
                        </pic:blipFill>
                        <pic:spPr>
                          <a:xfrm>
                            <a:off x="0" y="0"/>
                            <a:ext cx="1266825" cy="952500"/>
                          </a:xfrm>
                          <a:prstGeom prst="rect">
                            <a:avLst/>
                          </a:prstGeom>
                        </pic:spPr>
                      </pic:pic>
                    </a:graphicData>
                  </a:graphic>
                </wp:inline>
              </w:drawing>
            </w:r>
          </w:p>
        </w:tc>
      </w:tr>
      <w:tr w14:paraId="6E06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40" w:hRule="atLeast"/>
        </w:trPr>
        <w:tc>
          <w:tcPr>
            <w:tcW w:w="367" w:type="pct"/>
            <w:shd w:val="clear" w:color="auto" w:fill="auto"/>
            <w:vAlign w:val="center"/>
          </w:tcPr>
          <w:p w14:paraId="5BCB3BD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24</w:t>
            </w:r>
          </w:p>
        </w:tc>
        <w:tc>
          <w:tcPr>
            <w:tcW w:w="542" w:type="pct"/>
            <w:shd w:val="clear" w:color="auto" w:fill="auto"/>
            <w:vAlign w:val="center"/>
          </w:tcPr>
          <w:p w14:paraId="4834394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学生双目跟踪摄像机</w:t>
            </w:r>
          </w:p>
        </w:tc>
        <w:tc>
          <w:tcPr>
            <w:tcW w:w="2240" w:type="pct"/>
            <w:shd w:val="clear" w:color="auto" w:fill="auto"/>
            <w:vAlign w:val="center"/>
          </w:tcPr>
          <w:p w14:paraId="525E805D">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lang w:eastAsia="zh-CN"/>
              </w:rPr>
            </w:pPr>
            <w:r>
              <w:rPr>
                <w:rFonts w:hint="eastAsia" w:ascii="宋体" w:hAnsi="宋体" w:eastAsia="宋体" w:cs="宋体"/>
                <w:i w:val="0"/>
                <w:iCs w:val="0"/>
                <w:color w:val="auto"/>
                <w:kern w:val="0"/>
                <w:sz w:val="24"/>
                <w:szCs w:val="24"/>
                <w:highlight w:val="none"/>
                <w:u w:val="none"/>
                <w:lang w:val="en-US" w:eastAsia="zh-CN" w:bidi="ar"/>
              </w:rPr>
              <w:t>≥851万像素全景+特写一体化摄像机，≥84°广角全景拍摄搭配≥12倍光学变焦特写，支持4K或1080P多分辨率输出与智能跟踪，HDMI2.0与POE供电适配学生研讨拍摄需求。</w:t>
            </w:r>
            <w:r>
              <w:rPr>
                <w:rFonts w:hint="eastAsia" w:ascii="宋体" w:hAnsi="宋体" w:eastAsia="宋体" w:cs="宋体"/>
                <w:color w:val="auto"/>
                <w:kern w:val="0"/>
                <w:sz w:val="24"/>
                <w:szCs w:val="24"/>
                <w:highlight w:val="none"/>
                <w:u w:val="none"/>
                <w:lang w:val="en-US" w:eastAsia="zh-CN" w:bidi="ar"/>
              </w:rPr>
              <w:t>规格≥长</w:t>
            </w:r>
            <w:r>
              <w:rPr>
                <w:rFonts w:hint="eastAsia" w:ascii="宋体" w:hAnsi="宋体" w:eastAsia="宋体" w:cs="宋体"/>
                <w:color w:val="auto"/>
                <w:kern w:val="0"/>
                <w:sz w:val="24"/>
                <w:szCs w:val="24"/>
                <w:highlight w:val="none"/>
                <w:u w:val="none"/>
                <w:lang w:bidi="ar"/>
              </w:rPr>
              <w:t>168</w:t>
            </w:r>
            <w:r>
              <w:rPr>
                <w:rFonts w:hint="eastAsia" w:ascii="宋体" w:hAnsi="宋体" w:eastAsia="宋体" w:cs="宋体"/>
                <w:color w:val="auto"/>
                <w:kern w:val="0"/>
                <w:sz w:val="24"/>
                <w:szCs w:val="24"/>
                <w:highlight w:val="none"/>
                <w:u w:val="none"/>
                <w:lang w:val="en-US" w:eastAsia="zh-CN" w:bidi="ar"/>
              </w:rPr>
              <w:t>*宽</w:t>
            </w:r>
            <w:r>
              <w:rPr>
                <w:rFonts w:hint="eastAsia" w:ascii="宋体" w:hAnsi="宋体" w:eastAsia="宋体" w:cs="宋体"/>
                <w:color w:val="auto"/>
                <w:kern w:val="0"/>
                <w:sz w:val="24"/>
                <w:szCs w:val="24"/>
                <w:highlight w:val="none"/>
                <w:u w:val="none"/>
                <w:lang w:bidi="ar"/>
              </w:rPr>
              <w:t>132</w:t>
            </w:r>
            <w:r>
              <w:rPr>
                <w:rFonts w:hint="eastAsia" w:ascii="宋体" w:hAnsi="宋体" w:eastAsia="宋体" w:cs="宋体"/>
                <w:color w:val="auto"/>
                <w:kern w:val="0"/>
                <w:sz w:val="24"/>
                <w:szCs w:val="24"/>
                <w:highlight w:val="none"/>
                <w:u w:val="none"/>
                <w:lang w:val="en-US" w:eastAsia="zh-CN" w:bidi="ar"/>
              </w:rPr>
              <w:t>*高</w:t>
            </w:r>
            <w:r>
              <w:rPr>
                <w:rFonts w:hint="eastAsia" w:ascii="宋体" w:hAnsi="宋体" w:eastAsia="宋体" w:cs="宋体"/>
                <w:color w:val="auto"/>
                <w:kern w:val="0"/>
                <w:sz w:val="24"/>
                <w:szCs w:val="24"/>
                <w:highlight w:val="none"/>
                <w:u w:val="none"/>
                <w:lang w:bidi="ar"/>
              </w:rPr>
              <w:t>120mm</w:t>
            </w:r>
            <w:r>
              <w:rPr>
                <w:rFonts w:hint="eastAsia" w:ascii="宋体" w:hAnsi="宋体" w:eastAsia="宋体" w:cs="宋体"/>
                <w:color w:val="auto"/>
                <w:kern w:val="0"/>
                <w:sz w:val="24"/>
                <w:szCs w:val="24"/>
                <w:highlight w:val="none"/>
                <w:u w:val="none"/>
                <w:lang w:eastAsia="zh-CN" w:bidi="ar"/>
              </w:rPr>
              <w:t>。</w:t>
            </w:r>
          </w:p>
        </w:tc>
        <w:tc>
          <w:tcPr>
            <w:tcW w:w="253" w:type="pct"/>
            <w:shd w:val="clear" w:color="auto" w:fill="auto"/>
            <w:noWrap/>
            <w:vAlign w:val="center"/>
          </w:tcPr>
          <w:p w14:paraId="56F8ADE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1B0A9E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3217DA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66825" cy="952500"/>
                  <wp:effectExtent l="0" t="0" r="9525" b="0"/>
                  <wp:docPr id="110" name="图片 110" descr="23、24 老师双目跟踪摄像机（4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23、24 老师双目跟踪摄像机（4K）"/>
                          <pic:cNvPicPr>
                            <a:picLocks noChangeAspect="1"/>
                          </pic:cNvPicPr>
                        </pic:nvPicPr>
                        <pic:blipFill>
                          <a:blip r:embed="rId41"/>
                          <a:stretch>
                            <a:fillRect/>
                          </a:stretch>
                        </pic:blipFill>
                        <pic:spPr>
                          <a:xfrm>
                            <a:off x="0" y="0"/>
                            <a:ext cx="1266825" cy="952500"/>
                          </a:xfrm>
                          <a:prstGeom prst="rect">
                            <a:avLst/>
                          </a:prstGeom>
                        </pic:spPr>
                      </pic:pic>
                    </a:graphicData>
                  </a:graphic>
                </wp:inline>
              </w:drawing>
            </w:r>
          </w:p>
        </w:tc>
      </w:tr>
      <w:tr w14:paraId="689EE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0" w:hRule="atLeast"/>
        </w:trPr>
        <w:tc>
          <w:tcPr>
            <w:tcW w:w="367" w:type="pct"/>
            <w:shd w:val="clear" w:color="auto" w:fill="auto"/>
            <w:vAlign w:val="center"/>
          </w:tcPr>
          <w:p w14:paraId="5E35A7F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25</w:t>
            </w:r>
          </w:p>
        </w:tc>
        <w:tc>
          <w:tcPr>
            <w:tcW w:w="542" w:type="pct"/>
            <w:shd w:val="clear" w:color="auto" w:fill="auto"/>
            <w:vAlign w:val="center"/>
          </w:tcPr>
          <w:p w14:paraId="766837D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AI音频处理器</w:t>
            </w:r>
          </w:p>
        </w:tc>
        <w:tc>
          <w:tcPr>
            <w:tcW w:w="2240" w:type="pct"/>
            <w:shd w:val="clear" w:color="auto" w:fill="auto"/>
            <w:vAlign w:val="center"/>
          </w:tcPr>
          <w:p w14:paraId="5D8FE4EE">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DSP芯片驱动的一体化音频设备，支持多通道麦克风与线路输入输出，集成AEC/AFC/ANS等音频算法，具备一键AI调音与音频矩阵功能，实现高清降噪扩声。</w:t>
            </w:r>
          </w:p>
          <w:p w14:paraId="03846E7B">
            <w:pPr>
              <w:pStyle w:val="2"/>
              <w:ind w:firstLine="0" w:firstLineChars="0"/>
              <w:rPr>
                <w:rFonts w:hint="eastAsia" w:ascii="宋体" w:hAnsi="宋体" w:eastAsia="宋体" w:cs="宋体"/>
                <w:color w:val="auto"/>
                <w:sz w:val="24"/>
                <w:szCs w:val="24"/>
                <w:highlight w:val="none"/>
                <w:lang w:val="en-US"/>
              </w:rPr>
            </w:pPr>
            <w:r>
              <w:rPr>
                <w:rFonts w:hint="eastAsia" w:ascii="宋体" w:hAnsi="宋体" w:eastAsia="宋体" w:cs="宋体"/>
                <w:i w:val="0"/>
                <w:iCs w:val="0"/>
                <w:color w:val="auto"/>
                <w:kern w:val="0"/>
                <w:sz w:val="24"/>
                <w:szCs w:val="24"/>
                <w:highlight w:val="none"/>
                <w:u w:val="none"/>
                <w:lang w:val="en-US" w:eastAsia="zh-CN" w:bidi="ar"/>
              </w:rPr>
              <w:t>规格：尺寸（长*宽*高）≥482*180*44mm</w:t>
            </w:r>
          </w:p>
        </w:tc>
        <w:tc>
          <w:tcPr>
            <w:tcW w:w="253" w:type="pct"/>
            <w:shd w:val="clear" w:color="auto" w:fill="auto"/>
            <w:noWrap/>
            <w:vAlign w:val="center"/>
          </w:tcPr>
          <w:p w14:paraId="6ACDB4E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3977CC9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4E3D4F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280" cy="126365"/>
                  <wp:effectExtent l="0" t="0" r="1270" b="6985"/>
                  <wp:docPr id="111" name="图片 111" descr="25  AI音频处理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25  AI音频处理器"/>
                          <pic:cNvPicPr>
                            <a:picLocks noChangeAspect="1"/>
                          </pic:cNvPicPr>
                        </pic:nvPicPr>
                        <pic:blipFill>
                          <a:blip r:embed="rId42"/>
                          <a:stretch>
                            <a:fillRect/>
                          </a:stretch>
                        </pic:blipFill>
                        <pic:spPr>
                          <a:xfrm>
                            <a:off x="0" y="0"/>
                            <a:ext cx="1351280" cy="126365"/>
                          </a:xfrm>
                          <a:prstGeom prst="rect">
                            <a:avLst/>
                          </a:prstGeom>
                        </pic:spPr>
                      </pic:pic>
                    </a:graphicData>
                  </a:graphic>
                </wp:inline>
              </w:drawing>
            </w:r>
          </w:p>
        </w:tc>
      </w:tr>
      <w:tr w14:paraId="3BA60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367" w:type="pct"/>
            <w:shd w:val="clear" w:color="auto" w:fill="auto"/>
            <w:vAlign w:val="center"/>
          </w:tcPr>
          <w:p w14:paraId="524FEC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26</w:t>
            </w:r>
          </w:p>
        </w:tc>
        <w:tc>
          <w:tcPr>
            <w:tcW w:w="542" w:type="pct"/>
            <w:shd w:val="clear" w:color="auto" w:fill="auto"/>
            <w:vAlign w:val="center"/>
          </w:tcPr>
          <w:p w14:paraId="76BDA55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AI阵列全向麦</w:t>
            </w:r>
          </w:p>
        </w:tc>
        <w:tc>
          <w:tcPr>
            <w:tcW w:w="2240" w:type="pct"/>
            <w:shd w:val="clear" w:color="auto" w:fill="auto"/>
            <w:vAlign w:val="center"/>
          </w:tcPr>
          <w:p w14:paraId="0D17B60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麦克风组成环形阵列，360°8米全向拾音，集成AI降噪、回声消除与自动增益功能，支持主从麦级联，配合一键声场调音，确保研讨声音清晰采集。</w:t>
            </w:r>
          </w:p>
        </w:tc>
        <w:tc>
          <w:tcPr>
            <w:tcW w:w="253" w:type="pct"/>
            <w:shd w:val="clear" w:color="auto" w:fill="auto"/>
            <w:noWrap/>
            <w:vAlign w:val="center"/>
          </w:tcPr>
          <w:p w14:paraId="21F86C2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noWrap/>
            <w:vAlign w:val="center"/>
          </w:tcPr>
          <w:p w14:paraId="7AA3CB1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7EC43D0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853440"/>
                  <wp:effectExtent l="0" t="0" r="635" b="0"/>
                  <wp:docPr id="112" name="图片 112" descr="26 AI阵列全向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26 AI阵列全向麦"/>
                          <pic:cNvPicPr>
                            <a:picLocks noChangeAspect="1"/>
                          </pic:cNvPicPr>
                        </pic:nvPicPr>
                        <pic:blipFill>
                          <a:blip r:embed="rId43"/>
                          <a:stretch>
                            <a:fillRect/>
                          </a:stretch>
                        </pic:blipFill>
                        <pic:spPr>
                          <a:xfrm>
                            <a:off x="0" y="0"/>
                            <a:ext cx="1351915" cy="853440"/>
                          </a:xfrm>
                          <a:prstGeom prst="rect">
                            <a:avLst/>
                          </a:prstGeom>
                        </pic:spPr>
                      </pic:pic>
                    </a:graphicData>
                  </a:graphic>
                </wp:inline>
              </w:drawing>
            </w:r>
          </w:p>
        </w:tc>
      </w:tr>
      <w:tr w14:paraId="19F63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40" w:hRule="atLeast"/>
        </w:trPr>
        <w:tc>
          <w:tcPr>
            <w:tcW w:w="367" w:type="pct"/>
            <w:shd w:val="clear" w:color="auto" w:fill="auto"/>
            <w:vAlign w:val="center"/>
          </w:tcPr>
          <w:p w14:paraId="58B0376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27</w:t>
            </w:r>
          </w:p>
        </w:tc>
        <w:tc>
          <w:tcPr>
            <w:tcW w:w="542" w:type="pct"/>
            <w:shd w:val="clear" w:color="auto" w:fill="auto"/>
            <w:vAlign w:val="center"/>
          </w:tcPr>
          <w:p w14:paraId="5C0EB08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音箱</w:t>
            </w:r>
          </w:p>
        </w:tc>
        <w:tc>
          <w:tcPr>
            <w:tcW w:w="2240" w:type="pct"/>
            <w:shd w:val="clear" w:color="auto" w:fill="auto"/>
            <w:vAlign w:val="center"/>
          </w:tcPr>
          <w:p w14:paraId="1A44A0D8">
            <w:pPr>
              <w:keepNext w:val="0"/>
              <w:keepLines w:val="0"/>
              <w:widowControl/>
              <w:suppressLineNumbers w:val="0"/>
              <w:spacing w:line="360" w:lineRule="auto"/>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木质音箱，搭载1个高音与2个中低音单元，采用线性发声技术，70Hz-20kHz宽频响应，实现远距离均匀扩声。</w:t>
            </w:r>
          </w:p>
          <w:p w14:paraId="3721B2CE">
            <w:pPr>
              <w:pStyle w:val="2"/>
              <w:ind w:firstLine="0" w:firstLineChars="0"/>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规格：尺寸（长*宽*高）≥180*210*287mm</w:t>
            </w:r>
          </w:p>
        </w:tc>
        <w:tc>
          <w:tcPr>
            <w:tcW w:w="253" w:type="pct"/>
            <w:shd w:val="clear" w:color="auto" w:fill="auto"/>
            <w:noWrap/>
            <w:vAlign w:val="center"/>
          </w:tcPr>
          <w:p w14:paraId="6022027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对</w:t>
            </w:r>
          </w:p>
        </w:tc>
        <w:tc>
          <w:tcPr>
            <w:tcW w:w="334" w:type="pct"/>
            <w:shd w:val="clear" w:color="auto" w:fill="auto"/>
            <w:noWrap/>
            <w:vAlign w:val="center"/>
          </w:tcPr>
          <w:p w14:paraId="578AD9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2A37A1A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00125" cy="847725"/>
                  <wp:effectExtent l="0" t="0" r="9525" b="9525"/>
                  <wp:docPr id="113" name="图片 113" descr="27 音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27 音箱"/>
                          <pic:cNvPicPr>
                            <a:picLocks noChangeAspect="1"/>
                          </pic:cNvPicPr>
                        </pic:nvPicPr>
                        <pic:blipFill>
                          <a:blip r:embed="rId44"/>
                          <a:stretch>
                            <a:fillRect/>
                          </a:stretch>
                        </pic:blipFill>
                        <pic:spPr>
                          <a:xfrm>
                            <a:off x="0" y="0"/>
                            <a:ext cx="1000125" cy="847725"/>
                          </a:xfrm>
                          <a:prstGeom prst="rect">
                            <a:avLst/>
                          </a:prstGeom>
                        </pic:spPr>
                      </pic:pic>
                    </a:graphicData>
                  </a:graphic>
                </wp:inline>
              </w:drawing>
            </w:r>
          </w:p>
        </w:tc>
      </w:tr>
      <w:tr w14:paraId="63855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40" w:hRule="atLeast"/>
        </w:trPr>
        <w:tc>
          <w:tcPr>
            <w:tcW w:w="367" w:type="pct"/>
            <w:shd w:val="clear" w:color="auto" w:fill="auto"/>
            <w:vAlign w:val="center"/>
          </w:tcPr>
          <w:p w14:paraId="0C9EB78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28</w:t>
            </w:r>
          </w:p>
        </w:tc>
        <w:tc>
          <w:tcPr>
            <w:tcW w:w="542" w:type="pct"/>
            <w:shd w:val="clear" w:color="auto" w:fill="auto"/>
            <w:vAlign w:val="center"/>
          </w:tcPr>
          <w:p w14:paraId="6F93162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机柜</w:t>
            </w:r>
          </w:p>
        </w:tc>
        <w:tc>
          <w:tcPr>
            <w:tcW w:w="2240" w:type="pct"/>
            <w:shd w:val="clear" w:color="auto" w:fill="auto"/>
            <w:vAlign w:val="center"/>
          </w:tcPr>
          <w:p w14:paraId="5BC5B268">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12U标准机柜，SPCC冷轧钢板制成，带通用通锁，尺寸长600*宽600*高1082mm，符合行业标准，为设备提供安全稳固的安装存储空间。</w:t>
            </w:r>
          </w:p>
        </w:tc>
        <w:tc>
          <w:tcPr>
            <w:tcW w:w="253" w:type="pct"/>
            <w:shd w:val="clear" w:color="auto" w:fill="auto"/>
            <w:noWrap/>
            <w:vAlign w:val="center"/>
          </w:tcPr>
          <w:p w14:paraId="0084CFB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717786F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7574800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733425" cy="723900"/>
                  <wp:effectExtent l="0" t="0" r="9525" b="0"/>
                  <wp:docPr id="114" name="图片 114" descr="28 机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28 机柜"/>
                          <pic:cNvPicPr>
                            <a:picLocks noChangeAspect="1"/>
                          </pic:cNvPicPr>
                        </pic:nvPicPr>
                        <pic:blipFill>
                          <a:blip r:embed="rId45"/>
                          <a:stretch>
                            <a:fillRect/>
                          </a:stretch>
                        </pic:blipFill>
                        <pic:spPr>
                          <a:xfrm>
                            <a:off x="0" y="0"/>
                            <a:ext cx="733425" cy="723900"/>
                          </a:xfrm>
                          <a:prstGeom prst="rect">
                            <a:avLst/>
                          </a:prstGeom>
                        </pic:spPr>
                      </pic:pic>
                    </a:graphicData>
                  </a:graphic>
                </wp:inline>
              </w:drawing>
            </w:r>
          </w:p>
        </w:tc>
      </w:tr>
      <w:tr w14:paraId="470C5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20" w:hRule="atLeast"/>
        </w:trPr>
        <w:tc>
          <w:tcPr>
            <w:tcW w:w="367" w:type="pct"/>
            <w:shd w:val="clear" w:color="auto" w:fill="auto"/>
            <w:vAlign w:val="center"/>
          </w:tcPr>
          <w:p w14:paraId="711630D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29</w:t>
            </w:r>
          </w:p>
        </w:tc>
        <w:tc>
          <w:tcPr>
            <w:tcW w:w="542" w:type="pct"/>
            <w:shd w:val="clear" w:color="auto" w:fill="auto"/>
            <w:vAlign w:val="center"/>
          </w:tcPr>
          <w:p w14:paraId="0FCDB6C9">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会议音箱</w:t>
            </w:r>
          </w:p>
        </w:tc>
        <w:tc>
          <w:tcPr>
            <w:tcW w:w="2240" w:type="pct"/>
            <w:shd w:val="clear" w:color="auto" w:fill="auto"/>
            <w:vAlign w:val="center"/>
          </w:tcPr>
          <w:p w14:paraId="7A643887">
            <w:pPr>
              <w:keepNext w:val="0"/>
              <w:keepLines w:val="0"/>
              <w:widowControl/>
              <w:suppressLineNumbers w:val="0"/>
              <w:spacing w:line="360" w:lineRule="auto"/>
              <w:jc w:val="left"/>
              <w:textAlignment w:val="center"/>
              <w:rPr>
                <w:rFonts w:hint="eastAsia" w:ascii="宋体" w:hAnsi="宋体" w:eastAsia="宋体" w:cs="宋体"/>
                <w:color w:val="auto"/>
                <w:sz w:val="24"/>
                <w:szCs w:val="24"/>
                <w:highlight w:val="none"/>
              </w:rPr>
            </w:pPr>
            <w:r>
              <w:rPr>
                <w:rStyle w:val="11"/>
                <w:rFonts w:hint="eastAsia" w:ascii="宋体" w:hAnsi="宋体" w:eastAsia="宋体" w:cs="宋体"/>
                <w:color w:val="auto"/>
                <w:sz w:val="24"/>
                <w:szCs w:val="24"/>
                <w:highlight w:val="none"/>
                <w:lang w:val="en-US" w:eastAsia="zh-CN" w:bidi="ar"/>
              </w:rPr>
              <w:t>1.会议区音响；</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2.额定阻抗：8</w:t>
            </w:r>
            <w:r>
              <w:rPr>
                <w:rStyle w:val="12"/>
                <w:rFonts w:hint="eastAsia" w:ascii="宋体" w:hAnsi="宋体" w:eastAsia="宋体" w:cs="宋体"/>
                <w:color w:val="auto"/>
                <w:sz w:val="24"/>
                <w:szCs w:val="24"/>
                <w:highlight w:val="none"/>
                <w:lang w:val="en-US" w:eastAsia="zh-CN" w:bidi="ar"/>
              </w:rPr>
              <w:t>Ω</w:t>
            </w:r>
            <w:r>
              <w:rPr>
                <w:rStyle w:val="11"/>
                <w:rFonts w:hint="eastAsia" w:ascii="宋体" w:hAnsi="宋体" w:eastAsia="宋体" w:cs="宋体"/>
                <w:color w:val="auto"/>
                <w:sz w:val="24"/>
                <w:szCs w:val="24"/>
                <w:highlight w:val="none"/>
                <w:lang w:val="en-US" w:eastAsia="zh-CN" w:bidi="ar"/>
              </w:rPr>
              <w:t>；</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3.额定功率：</w:t>
            </w:r>
            <w:r>
              <w:rPr>
                <w:rStyle w:val="13"/>
                <w:rFonts w:hint="eastAsia" w:ascii="宋体" w:hAnsi="宋体" w:eastAsia="宋体" w:cs="宋体"/>
                <w:color w:val="auto"/>
                <w:sz w:val="24"/>
                <w:szCs w:val="24"/>
                <w:highlight w:val="none"/>
                <w:lang w:val="en-US" w:eastAsia="zh-CN" w:bidi="ar"/>
              </w:rPr>
              <w:t>≥</w:t>
            </w:r>
            <w:r>
              <w:rPr>
                <w:rStyle w:val="11"/>
                <w:rFonts w:hint="eastAsia" w:ascii="宋体" w:hAnsi="宋体" w:eastAsia="宋体" w:cs="宋体"/>
                <w:color w:val="auto"/>
                <w:sz w:val="24"/>
                <w:szCs w:val="24"/>
                <w:highlight w:val="none"/>
                <w:lang w:val="en-US" w:eastAsia="zh-CN" w:bidi="ar"/>
              </w:rPr>
              <w:t>150W。</w:t>
            </w:r>
          </w:p>
          <w:p w14:paraId="4E6A063E">
            <w:pPr>
              <w:pStyle w:val="2"/>
              <w:ind w:firstLine="0" w:firstLineChars="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u w:val="none"/>
                <w:lang w:val="en-US" w:eastAsia="zh-CN" w:bidi="ar"/>
              </w:rPr>
              <w:t>4.规格</w:t>
            </w:r>
            <w:r>
              <w:rPr>
                <w:rStyle w:val="13"/>
                <w:rFonts w:hint="eastAsia" w:ascii="宋体" w:hAnsi="宋体" w:eastAsia="宋体" w:cs="宋体"/>
                <w:color w:val="auto"/>
                <w:sz w:val="24"/>
                <w:szCs w:val="24"/>
                <w:highlight w:val="none"/>
                <w:lang w:val="en-US" w:eastAsia="zh-CN" w:bidi="ar"/>
              </w:rPr>
              <w:t>≥高</w:t>
            </w:r>
            <w:r>
              <w:rPr>
                <w:rFonts w:hint="eastAsia" w:ascii="宋体" w:hAnsi="宋体" w:eastAsia="宋体" w:cs="宋体"/>
                <w:color w:val="auto"/>
                <w:sz w:val="24"/>
                <w:szCs w:val="24"/>
                <w:highlight w:val="none"/>
              </w:rPr>
              <w:t>360</w:t>
            </w:r>
            <w:r>
              <w:rPr>
                <w:rFonts w:hint="eastAsia" w:ascii="宋体" w:hAnsi="宋体" w:eastAsia="宋体" w:cs="宋体"/>
                <w:color w:val="auto"/>
                <w:sz w:val="24"/>
                <w:szCs w:val="24"/>
                <w:highlight w:val="none"/>
                <w:lang w:val="en-US" w:eastAsia="zh-CN"/>
              </w:rPr>
              <w:t>*长200*宽</w:t>
            </w:r>
            <w:r>
              <w:rPr>
                <w:rFonts w:hint="eastAsia" w:ascii="宋体" w:hAnsi="宋体" w:eastAsia="宋体" w:cs="宋体"/>
                <w:color w:val="auto"/>
                <w:sz w:val="24"/>
                <w:szCs w:val="24"/>
                <w:highlight w:val="none"/>
              </w:rPr>
              <w:t xml:space="preserve">185 </w:t>
            </w:r>
            <w:r>
              <w:rPr>
                <w:rFonts w:hint="eastAsia" w:ascii="宋体" w:hAnsi="宋体" w:eastAsia="宋体" w:cs="宋体"/>
                <w:color w:val="auto"/>
                <w:sz w:val="24"/>
                <w:szCs w:val="24"/>
                <w:highlight w:val="none"/>
                <w:u w:val="none"/>
                <w:lang w:val="en-US" w:eastAsia="zh-CN" w:bidi="ar"/>
              </w:rPr>
              <w:t>mm</w:t>
            </w:r>
          </w:p>
        </w:tc>
        <w:tc>
          <w:tcPr>
            <w:tcW w:w="253" w:type="pct"/>
            <w:shd w:val="clear" w:color="auto" w:fill="auto"/>
            <w:noWrap/>
            <w:vAlign w:val="center"/>
          </w:tcPr>
          <w:p w14:paraId="1BC2517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只</w:t>
            </w:r>
          </w:p>
        </w:tc>
        <w:tc>
          <w:tcPr>
            <w:tcW w:w="334" w:type="pct"/>
            <w:shd w:val="clear" w:color="auto" w:fill="auto"/>
            <w:vAlign w:val="center"/>
          </w:tcPr>
          <w:p w14:paraId="7A37212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vAlign w:val="center"/>
          </w:tcPr>
          <w:p w14:paraId="5C0F65A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85850" cy="838200"/>
                  <wp:effectExtent l="0" t="0" r="0" b="0"/>
                  <wp:docPr id="115" name="图片 115" descr="29会议音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29会议音箱"/>
                          <pic:cNvPicPr>
                            <a:picLocks noChangeAspect="1"/>
                          </pic:cNvPicPr>
                        </pic:nvPicPr>
                        <pic:blipFill>
                          <a:blip r:embed="rId46"/>
                          <a:stretch>
                            <a:fillRect/>
                          </a:stretch>
                        </pic:blipFill>
                        <pic:spPr>
                          <a:xfrm>
                            <a:off x="0" y="0"/>
                            <a:ext cx="1085850" cy="838200"/>
                          </a:xfrm>
                          <a:prstGeom prst="rect">
                            <a:avLst/>
                          </a:prstGeom>
                        </pic:spPr>
                      </pic:pic>
                    </a:graphicData>
                  </a:graphic>
                </wp:inline>
              </w:drawing>
            </w:r>
          </w:p>
        </w:tc>
      </w:tr>
      <w:tr w14:paraId="5F9EB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trPr>
        <w:tc>
          <w:tcPr>
            <w:tcW w:w="367" w:type="pct"/>
            <w:shd w:val="clear" w:color="auto" w:fill="auto"/>
            <w:vAlign w:val="center"/>
          </w:tcPr>
          <w:p w14:paraId="48CD4AB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30</w:t>
            </w:r>
          </w:p>
        </w:tc>
        <w:tc>
          <w:tcPr>
            <w:tcW w:w="542" w:type="pct"/>
            <w:shd w:val="clear" w:color="auto" w:fill="auto"/>
            <w:vAlign w:val="center"/>
          </w:tcPr>
          <w:p w14:paraId="65EDC0E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功放</w:t>
            </w:r>
          </w:p>
        </w:tc>
        <w:tc>
          <w:tcPr>
            <w:tcW w:w="2240" w:type="pct"/>
            <w:shd w:val="clear" w:color="auto" w:fill="auto"/>
            <w:vAlign w:val="center"/>
          </w:tcPr>
          <w:p w14:paraId="380BFDF5">
            <w:pPr>
              <w:keepNext w:val="0"/>
              <w:keepLines w:val="0"/>
              <w:widowControl/>
              <w:suppressLineNumbers w:val="0"/>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rPr>
              <w:t>会议区音响功放</w:t>
            </w:r>
          </w:p>
          <w:p w14:paraId="122D4B98">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eastAsia="zh-CN" w:bidi="ar"/>
              </w:rPr>
              <w:t>（一）</w:t>
            </w:r>
            <w:r>
              <w:rPr>
                <w:rStyle w:val="11"/>
                <w:rFonts w:hint="eastAsia" w:ascii="宋体" w:hAnsi="宋体" w:eastAsia="宋体" w:cs="宋体"/>
                <w:color w:val="auto"/>
                <w:sz w:val="24"/>
                <w:szCs w:val="24"/>
                <w:highlight w:val="none"/>
                <w:lang w:bidi="ar"/>
              </w:rPr>
              <w:t>功能描述：</w:t>
            </w:r>
          </w:p>
          <w:p w14:paraId="66505901">
            <w:pPr>
              <w:widowControl/>
              <w:spacing w:line="360" w:lineRule="auto"/>
              <w:jc w:val="left"/>
              <w:textAlignment w:val="center"/>
              <w:rPr>
                <w:rStyle w:val="11"/>
                <w:rFonts w:hint="eastAsia" w:ascii="宋体" w:hAnsi="宋体" w:eastAsia="宋体" w:cs="宋体"/>
                <w:color w:val="auto"/>
                <w:sz w:val="24"/>
                <w:szCs w:val="24"/>
                <w:highlight w:val="none"/>
                <w:lang w:eastAsia="zh-CN" w:bidi="ar"/>
              </w:rPr>
            </w:pPr>
            <w:r>
              <w:rPr>
                <w:rStyle w:val="11"/>
                <w:rFonts w:hint="eastAsia" w:ascii="宋体" w:hAnsi="宋体" w:eastAsia="宋体" w:cs="宋体"/>
                <w:color w:val="auto"/>
                <w:sz w:val="24"/>
                <w:szCs w:val="24"/>
                <w:highlight w:val="none"/>
                <w:lang w:bidi="ar"/>
              </w:rPr>
              <w:t>1、多功能音频功率放大器，采用高效率的开关电源和数字功放技术，并集成专业前级放大系统、音频信号处理系统、功放电路保护系统等，产品可靠稳定、体积小</w:t>
            </w:r>
            <w:r>
              <w:rPr>
                <w:rStyle w:val="11"/>
                <w:rFonts w:hint="eastAsia" w:ascii="宋体" w:hAnsi="宋体" w:eastAsia="宋体" w:cs="宋体"/>
                <w:color w:val="auto"/>
                <w:sz w:val="24"/>
                <w:szCs w:val="24"/>
                <w:highlight w:val="none"/>
                <w:lang w:eastAsia="zh-CN" w:bidi="ar"/>
              </w:rPr>
              <w:t>；</w:t>
            </w:r>
          </w:p>
          <w:p w14:paraId="29F1D4CA">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2、带</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两路有线话筒输入接口，</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两路无线话筒输入接口，</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三组线路输入接口，</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三组线路输出接口，</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两组功率输出接口；</w:t>
            </w:r>
          </w:p>
          <w:p w14:paraId="3FEE77D1">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3、话筒、线路的音量可独立调节并具有高低音两段均衡，有线话筒输入通道带可独立开关的+48V幻像电源；</w:t>
            </w:r>
          </w:p>
          <w:p w14:paraId="4A6847DD">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4、带有蓝牙和USB播放功能；</w:t>
            </w:r>
          </w:p>
          <w:p w14:paraId="016E9581">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5、带有一键静音和RS232接口，可远程控制；</w:t>
            </w:r>
          </w:p>
          <w:p w14:paraId="72B3D33D">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6、功放输出通道中L通道可独立调节输出大小。</w:t>
            </w:r>
          </w:p>
          <w:p w14:paraId="07997A08">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eastAsia="zh-CN" w:bidi="ar"/>
              </w:rPr>
              <w:t>（二）</w:t>
            </w:r>
            <w:r>
              <w:rPr>
                <w:rStyle w:val="11"/>
                <w:rFonts w:hint="eastAsia" w:ascii="宋体" w:hAnsi="宋体" w:eastAsia="宋体" w:cs="宋体"/>
                <w:color w:val="auto"/>
                <w:sz w:val="24"/>
                <w:szCs w:val="24"/>
                <w:highlight w:val="none"/>
                <w:lang w:bidi="ar"/>
              </w:rPr>
              <w:t>技术参数：</w:t>
            </w:r>
          </w:p>
          <w:p w14:paraId="41734C24">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1、带U盘播放（优先播放，格式MP3）和蓝牙播放，带LCD液晶显示屏，两路音源切换按键；开机默认为线路，选择线路后可自动保存；同时使用蓝牙和 U 盘时，U 盘播放优先（U 盘插上后自动播放）；</w:t>
            </w:r>
          </w:p>
          <w:p w14:paraId="45253A34">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2、</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2路有线话筒输入（6.35话筒口，+48V幻像电源可切换）、</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1路无线话筒输入、</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一路USB可用于2.4G无线话筒供电，</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3组立体声线路输入（RCA*6莲花接口）；</w:t>
            </w:r>
          </w:p>
          <w:p w14:paraId="5BFD0FB8">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3、</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2组立体声线路输出（RCA*4莲花接口）；</w:t>
            </w:r>
          </w:p>
          <w:p w14:paraId="173F898F">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4、</w:t>
            </w:r>
            <w:r>
              <w:rPr>
                <w:rStyle w:val="11"/>
                <w:rFonts w:hint="eastAsia" w:ascii="宋体" w:hAnsi="宋体" w:eastAsia="宋体" w:cs="宋体"/>
                <w:color w:val="auto"/>
                <w:sz w:val="24"/>
                <w:szCs w:val="24"/>
                <w:highlight w:val="none"/>
                <w:lang w:eastAsia="zh-CN" w:bidi="ar"/>
              </w:rPr>
              <w:t>至少</w:t>
            </w:r>
            <w:r>
              <w:rPr>
                <w:rStyle w:val="11"/>
                <w:rFonts w:hint="eastAsia" w:ascii="宋体" w:hAnsi="宋体" w:eastAsia="宋体" w:cs="宋体"/>
                <w:color w:val="auto"/>
                <w:sz w:val="24"/>
                <w:szCs w:val="24"/>
                <w:highlight w:val="none"/>
                <w:lang w:bidi="ar"/>
              </w:rPr>
              <w:t>1路RS232控制接口、1路一键静音控制接口；</w:t>
            </w:r>
          </w:p>
          <w:p w14:paraId="1B2CC440">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5、话筒和线路音量、高/低音独立可调，带功放L输出通道信号大小调节功能；</w:t>
            </w:r>
          </w:p>
          <w:p w14:paraId="4F2ECE88">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 xml:space="preserve">6、额定功率(RMS)：2×300W  8Ω,2×570W  4Ω；                              </w:t>
            </w:r>
          </w:p>
          <w:p w14:paraId="3EB33E9C">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bidi="ar"/>
              </w:rPr>
              <w:t>7、总谐波失真：≤1%；</w:t>
            </w:r>
          </w:p>
          <w:p w14:paraId="0658BB84">
            <w:pPr>
              <w:widowControl/>
              <w:spacing w:line="360" w:lineRule="auto"/>
              <w:jc w:val="left"/>
              <w:textAlignment w:val="center"/>
              <w:rPr>
                <w:rStyle w:val="11"/>
                <w:rFonts w:hint="eastAsia" w:ascii="宋体" w:hAnsi="宋体" w:eastAsia="宋体" w:cs="宋体"/>
                <w:color w:val="auto"/>
                <w:sz w:val="24"/>
                <w:szCs w:val="24"/>
                <w:highlight w:val="none"/>
                <w:lang w:bidi="ar"/>
              </w:rPr>
            </w:pPr>
            <w:r>
              <w:rPr>
                <w:rStyle w:val="11"/>
                <w:rFonts w:hint="eastAsia" w:ascii="宋体" w:hAnsi="宋体" w:eastAsia="宋体" w:cs="宋体"/>
                <w:color w:val="auto"/>
                <w:sz w:val="24"/>
                <w:szCs w:val="24"/>
                <w:highlight w:val="none"/>
                <w:lang w:eastAsia="zh-CN" w:bidi="ar"/>
              </w:rPr>
              <w:t>8</w:t>
            </w:r>
            <w:r>
              <w:rPr>
                <w:rStyle w:val="11"/>
                <w:rFonts w:hint="eastAsia" w:ascii="宋体" w:hAnsi="宋体" w:eastAsia="宋体" w:cs="宋体"/>
                <w:color w:val="auto"/>
                <w:sz w:val="24"/>
                <w:szCs w:val="24"/>
                <w:highlight w:val="none"/>
                <w:lang w:bidi="ar"/>
              </w:rPr>
              <w:t>、额定电源电压：～220V/50Hz，电压适应范围：～180V-242V。</w:t>
            </w:r>
          </w:p>
          <w:p w14:paraId="5B83A03C">
            <w:pPr>
              <w:pStyle w:val="2"/>
              <w:ind w:firstLine="0" w:firstLineChars="0"/>
              <w:rPr>
                <w:rFonts w:hint="eastAsia" w:ascii="宋体" w:hAnsi="宋体" w:eastAsia="宋体" w:cs="宋体"/>
                <w:color w:val="auto"/>
                <w:sz w:val="24"/>
                <w:szCs w:val="24"/>
                <w:highlight w:val="none"/>
                <w:lang w:val="en-US" w:eastAsia="zh-CN"/>
              </w:rPr>
            </w:pPr>
            <w:r>
              <w:rPr>
                <w:rStyle w:val="11"/>
                <w:rFonts w:hint="eastAsia" w:ascii="宋体" w:hAnsi="宋体" w:eastAsia="宋体" w:cs="宋体"/>
                <w:color w:val="auto"/>
                <w:sz w:val="24"/>
                <w:szCs w:val="24"/>
                <w:highlight w:val="none"/>
                <w:lang w:val="en-US" w:eastAsia="zh-CN" w:bidi="ar"/>
              </w:rPr>
              <w:t>9、规格：</w:t>
            </w:r>
            <w:r>
              <w:rPr>
                <w:rStyle w:val="13"/>
                <w:rFonts w:hint="eastAsia" w:ascii="宋体" w:hAnsi="宋体" w:eastAsia="宋体" w:cs="宋体"/>
                <w:color w:val="auto"/>
                <w:sz w:val="24"/>
                <w:szCs w:val="24"/>
                <w:highlight w:val="none"/>
                <w:lang w:val="en-US" w:eastAsia="zh-CN" w:bidi="ar"/>
              </w:rPr>
              <w:t>≥</w:t>
            </w:r>
            <w:r>
              <w:rPr>
                <w:rFonts w:hint="eastAsia" w:ascii="宋体" w:hAnsi="宋体" w:eastAsia="宋体" w:cs="宋体"/>
                <w:color w:val="auto"/>
                <w:sz w:val="24"/>
                <w:szCs w:val="24"/>
                <w:highlight w:val="none"/>
                <w:lang w:val="en-US" w:eastAsia="zh-CN"/>
              </w:rPr>
              <w:t>长480*宽300*</w:t>
            </w:r>
            <w:r>
              <w:rPr>
                <w:rStyle w:val="13"/>
                <w:rFonts w:hint="eastAsia" w:ascii="宋体" w:hAnsi="宋体" w:eastAsia="宋体" w:cs="宋体"/>
                <w:color w:val="auto"/>
                <w:sz w:val="24"/>
                <w:szCs w:val="24"/>
                <w:highlight w:val="none"/>
                <w:lang w:val="en-US" w:eastAsia="zh-CN" w:bidi="ar"/>
              </w:rPr>
              <w:t>高</w:t>
            </w:r>
            <w:r>
              <w:rPr>
                <w:rFonts w:hint="eastAsia" w:ascii="宋体" w:hAnsi="宋体" w:eastAsia="宋体" w:cs="宋体"/>
                <w:color w:val="auto"/>
                <w:sz w:val="24"/>
                <w:szCs w:val="24"/>
                <w:highlight w:val="none"/>
                <w:lang w:val="en-US" w:eastAsia="zh-CN"/>
              </w:rPr>
              <w:t>44</w:t>
            </w:r>
            <w:r>
              <w:rPr>
                <w:rFonts w:hint="eastAsia" w:ascii="宋体" w:hAnsi="宋体" w:eastAsia="宋体" w:cs="宋体"/>
                <w:color w:val="auto"/>
                <w:sz w:val="24"/>
                <w:szCs w:val="24"/>
                <w:highlight w:val="none"/>
                <w:u w:val="none"/>
                <w:lang w:val="en-US" w:eastAsia="zh-CN" w:bidi="ar"/>
              </w:rPr>
              <w:t>mm。</w:t>
            </w:r>
          </w:p>
        </w:tc>
        <w:tc>
          <w:tcPr>
            <w:tcW w:w="253" w:type="pct"/>
            <w:shd w:val="clear" w:color="auto" w:fill="auto"/>
            <w:noWrap/>
            <w:vAlign w:val="center"/>
          </w:tcPr>
          <w:p w14:paraId="4D66573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w:t>
            </w:r>
          </w:p>
        </w:tc>
        <w:tc>
          <w:tcPr>
            <w:tcW w:w="334" w:type="pct"/>
            <w:shd w:val="clear" w:color="auto" w:fill="auto"/>
            <w:vAlign w:val="center"/>
          </w:tcPr>
          <w:p w14:paraId="0B42A8D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EE90C2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285750"/>
                  <wp:effectExtent l="0" t="0" r="635" b="0"/>
                  <wp:docPr id="116" name="图片 116" descr="30 功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30 功放"/>
                          <pic:cNvPicPr>
                            <a:picLocks noChangeAspect="1"/>
                          </pic:cNvPicPr>
                        </pic:nvPicPr>
                        <pic:blipFill>
                          <a:blip r:embed="rId47"/>
                          <a:stretch>
                            <a:fillRect/>
                          </a:stretch>
                        </pic:blipFill>
                        <pic:spPr>
                          <a:xfrm>
                            <a:off x="0" y="0"/>
                            <a:ext cx="1351915" cy="285750"/>
                          </a:xfrm>
                          <a:prstGeom prst="rect">
                            <a:avLst/>
                          </a:prstGeom>
                        </pic:spPr>
                      </pic:pic>
                    </a:graphicData>
                  </a:graphic>
                </wp:inline>
              </w:drawing>
            </w:r>
          </w:p>
        </w:tc>
      </w:tr>
      <w:tr w14:paraId="0D791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00" w:hRule="atLeast"/>
        </w:trPr>
        <w:tc>
          <w:tcPr>
            <w:tcW w:w="367" w:type="pct"/>
            <w:shd w:val="clear" w:color="auto" w:fill="auto"/>
            <w:vAlign w:val="center"/>
          </w:tcPr>
          <w:p w14:paraId="5BCDE8B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31</w:t>
            </w:r>
          </w:p>
        </w:tc>
        <w:tc>
          <w:tcPr>
            <w:tcW w:w="542" w:type="pct"/>
            <w:shd w:val="clear" w:color="auto" w:fill="auto"/>
            <w:vAlign w:val="center"/>
          </w:tcPr>
          <w:p w14:paraId="705836C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一拖二无线话筒</w:t>
            </w:r>
          </w:p>
        </w:tc>
        <w:tc>
          <w:tcPr>
            <w:tcW w:w="2240" w:type="pct"/>
            <w:shd w:val="clear" w:color="auto" w:fill="auto"/>
            <w:vAlign w:val="center"/>
          </w:tcPr>
          <w:p w14:paraId="2B7E0E4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一拖二无线话筒，采用金属机箱，具有坚固的结构、散热及隔离谐波干扰极佳的专业质量</w:t>
            </w:r>
          </w:p>
        </w:tc>
        <w:tc>
          <w:tcPr>
            <w:tcW w:w="253" w:type="pct"/>
            <w:shd w:val="clear" w:color="auto" w:fill="auto"/>
            <w:noWrap/>
            <w:vAlign w:val="center"/>
          </w:tcPr>
          <w:p w14:paraId="4DD6752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3622C73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3AE44E9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765175"/>
                  <wp:effectExtent l="0" t="0" r="0" b="15875"/>
                  <wp:docPr id="117" name="图片 117" descr="31 一拖二无线话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31 一拖二无线话筒"/>
                          <pic:cNvPicPr>
                            <a:picLocks noChangeAspect="1"/>
                          </pic:cNvPicPr>
                        </pic:nvPicPr>
                        <pic:blipFill>
                          <a:blip r:embed="rId48"/>
                          <a:stretch>
                            <a:fillRect/>
                          </a:stretch>
                        </pic:blipFill>
                        <pic:spPr>
                          <a:xfrm>
                            <a:off x="0" y="0"/>
                            <a:ext cx="1352550" cy="765175"/>
                          </a:xfrm>
                          <a:prstGeom prst="rect">
                            <a:avLst/>
                          </a:prstGeom>
                        </pic:spPr>
                      </pic:pic>
                    </a:graphicData>
                  </a:graphic>
                </wp:inline>
              </w:drawing>
            </w:r>
          </w:p>
        </w:tc>
      </w:tr>
      <w:tr w14:paraId="14624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20" w:hRule="atLeast"/>
        </w:trPr>
        <w:tc>
          <w:tcPr>
            <w:tcW w:w="367" w:type="pct"/>
            <w:shd w:val="clear" w:color="auto" w:fill="auto"/>
            <w:vAlign w:val="center"/>
          </w:tcPr>
          <w:p w14:paraId="5C664B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32</w:t>
            </w:r>
          </w:p>
        </w:tc>
        <w:tc>
          <w:tcPr>
            <w:tcW w:w="542" w:type="pct"/>
            <w:shd w:val="clear" w:color="auto" w:fill="auto"/>
            <w:vAlign w:val="center"/>
          </w:tcPr>
          <w:p w14:paraId="452DE45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技术服务费</w:t>
            </w:r>
          </w:p>
        </w:tc>
        <w:tc>
          <w:tcPr>
            <w:tcW w:w="2240" w:type="pct"/>
            <w:shd w:val="clear" w:color="auto" w:fill="auto"/>
            <w:vAlign w:val="center"/>
          </w:tcPr>
          <w:p w14:paraId="412652B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集成安装服务，及相关辅材等。</w:t>
            </w:r>
          </w:p>
        </w:tc>
        <w:tc>
          <w:tcPr>
            <w:tcW w:w="253" w:type="pct"/>
            <w:shd w:val="clear" w:color="auto" w:fill="auto"/>
            <w:noWrap/>
            <w:vAlign w:val="center"/>
          </w:tcPr>
          <w:p w14:paraId="494A47E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716D26C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4D820DA">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1456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0" w:hRule="atLeast"/>
        </w:trPr>
        <w:tc>
          <w:tcPr>
            <w:tcW w:w="5000" w:type="pct"/>
            <w:gridSpan w:val="6"/>
            <w:shd w:val="clear" w:color="auto" w:fill="auto"/>
            <w:noWrap/>
            <w:vAlign w:val="center"/>
          </w:tcPr>
          <w:p w14:paraId="0DC40571">
            <w:pPr>
              <w:spacing w:line="360" w:lineRule="auto"/>
              <w:jc w:val="center"/>
              <w:rPr>
                <w:rFonts w:hint="eastAsia" w:ascii="宋体" w:hAnsi="宋体" w:eastAsia="宋体" w:cs="宋体"/>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二、一楼家具类设备</w:t>
            </w:r>
          </w:p>
        </w:tc>
      </w:tr>
      <w:tr w14:paraId="5136B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2" w:hRule="atLeast"/>
        </w:trPr>
        <w:tc>
          <w:tcPr>
            <w:tcW w:w="367" w:type="pct"/>
            <w:shd w:val="clear" w:color="auto" w:fill="auto"/>
            <w:vAlign w:val="center"/>
          </w:tcPr>
          <w:p w14:paraId="698EC19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33</w:t>
            </w:r>
          </w:p>
        </w:tc>
        <w:tc>
          <w:tcPr>
            <w:tcW w:w="542" w:type="pct"/>
            <w:shd w:val="clear" w:color="auto" w:fill="auto"/>
            <w:vAlign w:val="center"/>
          </w:tcPr>
          <w:p w14:paraId="2B725FF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图书馆门厅改造</w:t>
            </w:r>
          </w:p>
        </w:tc>
        <w:tc>
          <w:tcPr>
            <w:tcW w:w="2240" w:type="pct"/>
            <w:shd w:val="clear" w:color="auto" w:fill="auto"/>
            <w:vAlign w:val="center"/>
          </w:tcPr>
          <w:p w14:paraId="0A69A997">
            <w:pPr>
              <w:keepNext w:val="0"/>
              <w:keepLines w:val="0"/>
              <w:widowControl/>
              <w:suppressLineNumbers w:val="0"/>
              <w:spacing w:line="360" w:lineRule="auto"/>
              <w:jc w:val="left"/>
              <w:textAlignment w:val="center"/>
              <w:rPr>
                <w:rStyle w:val="11"/>
                <w:rFonts w:hint="eastAsia" w:ascii="宋体" w:hAnsi="宋体" w:eastAsia="宋体" w:cs="宋体"/>
                <w:color w:val="auto"/>
                <w:sz w:val="24"/>
                <w:szCs w:val="24"/>
                <w:highlight w:val="none"/>
                <w:lang w:val="en-US" w:eastAsia="zh-CN" w:bidi="ar"/>
              </w:rPr>
            </w:pPr>
            <w:r>
              <w:rPr>
                <w:rStyle w:val="11"/>
                <w:rFonts w:hint="eastAsia" w:ascii="宋体" w:hAnsi="宋体" w:eastAsia="宋体" w:cs="宋体"/>
                <w:color w:val="auto"/>
                <w:sz w:val="24"/>
                <w:szCs w:val="24"/>
                <w:highlight w:val="none"/>
                <w:lang w:val="en-US" w:eastAsia="zh-CN" w:bidi="ar"/>
              </w:rPr>
              <w:t>1、</w:t>
            </w:r>
            <w:r>
              <w:rPr>
                <w:rStyle w:val="14"/>
                <w:rFonts w:hint="eastAsia" w:ascii="宋体" w:hAnsi="宋体" w:eastAsia="宋体" w:cs="宋体"/>
                <w:color w:val="auto"/>
                <w:sz w:val="24"/>
                <w:szCs w:val="24"/>
                <w:highlight w:val="none"/>
                <w:lang w:val="en-US" w:eastAsia="zh-CN" w:bidi="ar"/>
              </w:rPr>
              <w:t>铝塑板或铝单板</w:t>
            </w:r>
            <w:r>
              <w:rPr>
                <w:rStyle w:val="11"/>
                <w:rFonts w:hint="eastAsia" w:ascii="宋体" w:hAnsi="宋体" w:eastAsia="宋体" w:cs="宋体"/>
                <w:color w:val="auto"/>
                <w:sz w:val="24"/>
                <w:szCs w:val="24"/>
                <w:highlight w:val="none"/>
                <w:lang w:val="en-US" w:eastAsia="zh-CN" w:bidi="ar"/>
              </w:rPr>
              <w:t>装饰墙面，纹理自然，颜色线条拼合细密；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2、定制文化造型装饰；</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3、整体五金配件紧密拼接，封边细腻，转角过渡自然，间隙细小且均。</w:t>
            </w:r>
          </w:p>
          <w:p w14:paraId="315EC842">
            <w:pPr>
              <w:pStyle w:val="2"/>
              <w:spacing w:line="360" w:lineRule="auto"/>
              <w:ind w:firstLine="0" w:firstLineChars="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bidi="ar"/>
              </w:rPr>
              <w:t>4、</w:t>
            </w:r>
            <w:r>
              <w:rPr>
                <w:rFonts w:hint="eastAsia" w:ascii="宋体" w:hAnsi="宋体" w:eastAsia="宋体" w:cs="宋体"/>
                <w:b/>
                <w:bCs/>
                <w:color w:val="auto"/>
                <w:sz w:val="24"/>
                <w:szCs w:val="24"/>
                <w:highlight w:val="none"/>
                <w:u w:val="single"/>
                <w:lang w:eastAsia="zh-CN"/>
              </w:rPr>
              <w:t>投标人须</w:t>
            </w:r>
            <w:r>
              <w:rPr>
                <w:rFonts w:hint="eastAsia" w:ascii="宋体" w:hAnsi="宋体" w:eastAsia="宋体" w:cs="宋体"/>
                <w:b/>
                <w:bCs/>
                <w:color w:val="auto"/>
                <w:sz w:val="24"/>
                <w:szCs w:val="24"/>
                <w:highlight w:val="none"/>
                <w:u w:val="single"/>
                <w:lang w:val="en-US" w:eastAsia="zh-CN"/>
              </w:rPr>
              <w:t>根据提供的线条图</w:t>
            </w:r>
            <w:r>
              <w:rPr>
                <w:rFonts w:hint="eastAsia" w:ascii="宋体" w:hAnsi="宋体" w:eastAsia="宋体" w:cs="宋体"/>
                <w:b/>
                <w:bCs/>
                <w:color w:val="auto"/>
                <w:sz w:val="24"/>
                <w:szCs w:val="24"/>
                <w:highlight w:val="none"/>
                <w:u w:val="single"/>
                <w:lang w:eastAsia="zh-CN"/>
              </w:rPr>
              <w:t>在投标文件技术商务部分中提供</w:t>
            </w:r>
            <w:r>
              <w:rPr>
                <w:rFonts w:hint="eastAsia" w:ascii="宋体" w:hAnsi="宋体" w:eastAsia="宋体" w:cs="宋体"/>
                <w:b/>
                <w:bCs/>
                <w:color w:val="auto"/>
                <w:sz w:val="24"/>
                <w:szCs w:val="24"/>
                <w:highlight w:val="none"/>
                <w:u w:val="single"/>
                <w:lang w:val="en-US" w:eastAsia="zh-CN"/>
              </w:rPr>
              <w:t>进行</w:t>
            </w:r>
            <w:r>
              <w:rPr>
                <w:rFonts w:hint="eastAsia" w:ascii="宋体" w:hAnsi="宋体" w:eastAsia="宋体" w:cs="宋体"/>
                <w:b/>
                <w:bCs/>
                <w:color w:val="auto"/>
                <w:spacing w:val="0"/>
                <w:sz w:val="24"/>
                <w:szCs w:val="24"/>
                <w:highlight w:val="none"/>
                <w:u w:val="single"/>
              </w:rPr>
              <w:t>深化提升</w:t>
            </w:r>
            <w:r>
              <w:rPr>
                <w:rFonts w:hint="eastAsia" w:ascii="宋体" w:hAnsi="宋体" w:eastAsia="宋体" w:cs="宋体"/>
                <w:b/>
                <w:bCs/>
                <w:color w:val="auto"/>
                <w:spacing w:val="0"/>
                <w:sz w:val="24"/>
                <w:szCs w:val="24"/>
                <w:highlight w:val="none"/>
                <w:u w:val="single"/>
                <w:lang w:eastAsia="zh-CN"/>
              </w:rPr>
              <w:t>后的</w:t>
            </w:r>
            <w:r>
              <w:rPr>
                <w:rFonts w:hint="eastAsia" w:ascii="宋体" w:hAnsi="宋体" w:eastAsia="宋体" w:cs="宋体"/>
                <w:b/>
                <w:bCs/>
                <w:color w:val="auto"/>
                <w:spacing w:val="0"/>
                <w:sz w:val="24"/>
                <w:szCs w:val="24"/>
                <w:highlight w:val="none"/>
                <w:u w:val="single"/>
              </w:rPr>
              <w:t>主题创作画面的设计效果图</w:t>
            </w:r>
            <w:r>
              <w:rPr>
                <w:rFonts w:hint="eastAsia" w:ascii="宋体" w:hAnsi="宋体" w:eastAsia="宋体" w:cs="宋体"/>
                <w:b/>
                <w:bCs/>
                <w:color w:val="auto"/>
                <w:spacing w:val="0"/>
                <w:sz w:val="24"/>
                <w:szCs w:val="24"/>
                <w:highlight w:val="none"/>
                <w:u w:val="single"/>
                <w:lang w:eastAsia="zh-CN"/>
              </w:rPr>
              <w:t>至少</w:t>
            </w:r>
            <w:r>
              <w:rPr>
                <w:rFonts w:hint="eastAsia" w:ascii="宋体" w:hAnsi="宋体" w:eastAsia="宋体" w:cs="宋体"/>
                <w:b/>
                <w:bCs/>
                <w:color w:val="auto"/>
                <w:spacing w:val="0"/>
                <w:sz w:val="24"/>
                <w:szCs w:val="24"/>
                <w:highlight w:val="none"/>
                <w:u w:val="single"/>
              </w:rPr>
              <w:t>4 张（含彩色前视图、彩色后视图、彩色左视图、彩色右视图）</w:t>
            </w:r>
            <w:r>
              <w:rPr>
                <w:rFonts w:hint="eastAsia" w:ascii="宋体" w:hAnsi="宋体" w:eastAsia="宋体" w:cs="宋体"/>
                <w:b/>
                <w:bCs/>
                <w:color w:val="auto"/>
                <w:spacing w:val="0"/>
                <w:sz w:val="24"/>
                <w:szCs w:val="24"/>
                <w:highlight w:val="none"/>
                <w:u w:val="single"/>
                <w:lang w:eastAsia="zh-CN"/>
              </w:rPr>
              <w:t>，</w:t>
            </w:r>
            <w:r>
              <w:rPr>
                <w:rFonts w:hint="eastAsia" w:ascii="宋体" w:hAnsi="宋体" w:eastAsia="宋体" w:cs="宋体"/>
                <w:b/>
                <w:bCs/>
                <w:color w:val="auto"/>
                <w:spacing w:val="0"/>
                <w:sz w:val="24"/>
                <w:szCs w:val="24"/>
                <w:highlight w:val="none"/>
                <w:u w:val="single"/>
                <w:lang w:val="en-US" w:eastAsia="zh-CN"/>
              </w:rPr>
              <w:t>要求</w:t>
            </w:r>
            <w:r>
              <w:rPr>
                <w:rFonts w:hint="eastAsia" w:ascii="宋体" w:hAnsi="宋体" w:eastAsia="宋体" w:cs="宋体"/>
                <w:b/>
                <w:bCs/>
                <w:color w:val="auto"/>
                <w:spacing w:val="0"/>
                <w:sz w:val="24"/>
                <w:szCs w:val="24"/>
                <w:highlight w:val="none"/>
                <w:u w:val="single"/>
              </w:rPr>
              <w:t>视图数量齐全，视角清晰，色彩搭配协调、与项目风格契合</w:t>
            </w:r>
            <w:r>
              <w:rPr>
                <w:rFonts w:hint="eastAsia" w:ascii="宋体" w:hAnsi="宋体" w:eastAsia="宋体" w:cs="宋体"/>
                <w:b/>
                <w:bCs/>
                <w:color w:val="auto"/>
                <w:spacing w:val="0"/>
                <w:sz w:val="24"/>
                <w:szCs w:val="24"/>
                <w:highlight w:val="none"/>
                <w:u w:val="single"/>
                <w:lang w:eastAsia="zh-CN"/>
              </w:rPr>
              <w:t>。</w:t>
            </w:r>
          </w:p>
        </w:tc>
        <w:tc>
          <w:tcPr>
            <w:tcW w:w="253" w:type="pct"/>
            <w:shd w:val="clear" w:color="auto" w:fill="auto"/>
            <w:noWrap/>
            <w:vAlign w:val="center"/>
          </w:tcPr>
          <w:p w14:paraId="259689C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2FDFEBA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35C14CE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color w:val="auto"/>
                <w:sz w:val="24"/>
                <w:szCs w:val="24"/>
                <w:highlight w:val="none"/>
              </w:rPr>
              <w:drawing>
                <wp:inline distT="0" distB="0" distL="114300" distR="114300">
                  <wp:extent cx="1423035" cy="744220"/>
                  <wp:effectExtent l="0" t="0" r="5715" b="17780"/>
                  <wp:docPr id="50" name="图片 50" descr="01ab2c0ecfb1a0305b156f239127ee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01ab2c0ecfb1a0305b156f239127ee04"/>
                          <pic:cNvPicPr>
                            <a:picLocks noChangeAspect="1"/>
                          </pic:cNvPicPr>
                        </pic:nvPicPr>
                        <pic:blipFill>
                          <a:blip r:embed="rId49"/>
                          <a:stretch>
                            <a:fillRect/>
                          </a:stretch>
                        </pic:blipFill>
                        <pic:spPr>
                          <a:xfrm>
                            <a:off x="0" y="0"/>
                            <a:ext cx="1423035" cy="744220"/>
                          </a:xfrm>
                          <a:prstGeom prst="rect">
                            <a:avLst/>
                          </a:prstGeom>
                        </pic:spPr>
                      </pic:pic>
                    </a:graphicData>
                  </a:graphic>
                </wp:inline>
              </w:drawing>
            </w:r>
          </w:p>
        </w:tc>
      </w:tr>
      <w:tr w14:paraId="4988D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80" w:hRule="atLeast"/>
        </w:trPr>
        <w:tc>
          <w:tcPr>
            <w:tcW w:w="367" w:type="pct"/>
            <w:shd w:val="clear" w:color="auto" w:fill="auto"/>
            <w:vAlign w:val="center"/>
          </w:tcPr>
          <w:p w14:paraId="5893317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34</w:t>
            </w:r>
          </w:p>
        </w:tc>
        <w:tc>
          <w:tcPr>
            <w:tcW w:w="542" w:type="pct"/>
            <w:shd w:val="clear" w:color="auto" w:fill="auto"/>
            <w:vAlign w:val="center"/>
          </w:tcPr>
          <w:p w14:paraId="366CE02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门厅造型吊顶</w:t>
            </w:r>
          </w:p>
        </w:tc>
        <w:tc>
          <w:tcPr>
            <w:tcW w:w="2240" w:type="pct"/>
            <w:shd w:val="clear" w:color="auto" w:fill="auto"/>
            <w:vAlign w:val="center"/>
          </w:tcPr>
          <w:p w14:paraId="220226A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1、轻钢龙骨、轻钢龙付骨、自攻螺丝8厘吊杆螺、帽垫片膨胀头，面封硅酸钙板；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2、面刷乳胶漆，高遮盖力，抗碱防霉，覆盖细微裂纹。净味防裂，弹性防裂抗粉化效果以及多重保护效果使墙面能够保持长久亮丽。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3、边角细腻，转角过渡自然，间隙细小且均等。</w:t>
            </w:r>
          </w:p>
        </w:tc>
        <w:tc>
          <w:tcPr>
            <w:tcW w:w="253" w:type="pct"/>
            <w:shd w:val="clear" w:color="auto" w:fill="auto"/>
            <w:noWrap/>
            <w:vAlign w:val="center"/>
          </w:tcPr>
          <w:p w14:paraId="7DD1CF1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B2E729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4.6</w:t>
            </w:r>
          </w:p>
        </w:tc>
        <w:tc>
          <w:tcPr>
            <w:tcW w:w="1261" w:type="pct"/>
            <w:shd w:val="clear" w:color="auto" w:fill="auto"/>
            <w:noWrap/>
            <w:vAlign w:val="center"/>
          </w:tcPr>
          <w:p w14:paraId="0E385E5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502920"/>
                  <wp:effectExtent l="0" t="0" r="0" b="11430"/>
                  <wp:docPr id="119" name="图片 119" descr="34 门厅造型吊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34 门厅造型吊顶"/>
                          <pic:cNvPicPr>
                            <a:picLocks noChangeAspect="1"/>
                          </pic:cNvPicPr>
                        </pic:nvPicPr>
                        <pic:blipFill>
                          <a:blip r:embed="rId50"/>
                          <a:stretch>
                            <a:fillRect/>
                          </a:stretch>
                        </pic:blipFill>
                        <pic:spPr>
                          <a:xfrm>
                            <a:off x="0" y="0"/>
                            <a:ext cx="1352550" cy="502920"/>
                          </a:xfrm>
                          <a:prstGeom prst="rect">
                            <a:avLst/>
                          </a:prstGeom>
                        </pic:spPr>
                      </pic:pic>
                    </a:graphicData>
                  </a:graphic>
                </wp:inline>
              </w:drawing>
            </w:r>
          </w:p>
        </w:tc>
      </w:tr>
      <w:tr w14:paraId="7B329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40" w:hRule="atLeast"/>
        </w:trPr>
        <w:tc>
          <w:tcPr>
            <w:tcW w:w="367" w:type="pct"/>
            <w:shd w:val="clear" w:color="auto" w:fill="auto"/>
            <w:vAlign w:val="center"/>
          </w:tcPr>
          <w:p w14:paraId="35E049A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35</w:t>
            </w:r>
          </w:p>
        </w:tc>
        <w:tc>
          <w:tcPr>
            <w:tcW w:w="542" w:type="pct"/>
            <w:shd w:val="clear" w:color="auto" w:fill="auto"/>
            <w:vAlign w:val="center"/>
          </w:tcPr>
          <w:p w14:paraId="48BB298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门厅铝方通吊顶</w:t>
            </w:r>
          </w:p>
        </w:tc>
        <w:tc>
          <w:tcPr>
            <w:tcW w:w="2240" w:type="pct"/>
            <w:shd w:val="clear" w:color="auto" w:fill="auto"/>
            <w:vAlign w:val="center"/>
          </w:tcPr>
          <w:p w14:paraId="49AE9D4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1、基材采用铝；</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2、烤漆工艺，无颗粒、气泡、渣点、颜色均匀；</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4、整体五金配件紧密拼接，封边细腻，转角过渡自然，间隙细小且均。</w:t>
            </w:r>
          </w:p>
        </w:tc>
        <w:tc>
          <w:tcPr>
            <w:tcW w:w="253" w:type="pct"/>
            <w:shd w:val="clear" w:color="auto" w:fill="auto"/>
            <w:noWrap/>
            <w:vAlign w:val="center"/>
          </w:tcPr>
          <w:p w14:paraId="58DF6CA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46CFA1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w:t>
            </w:r>
          </w:p>
        </w:tc>
        <w:tc>
          <w:tcPr>
            <w:tcW w:w="1261" w:type="pct"/>
            <w:shd w:val="clear" w:color="auto" w:fill="auto"/>
            <w:noWrap/>
            <w:vAlign w:val="center"/>
          </w:tcPr>
          <w:p w14:paraId="5BB1BF5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449580"/>
                  <wp:effectExtent l="0" t="0" r="0" b="7620"/>
                  <wp:docPr id="120" name="图片 120" descr="35门厅铝方通吊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35门厅铝方通吊顶"/>
                          <pic:cNvPicPr>
                            <a:picLocks noChangeAspect="1"/>
                          </pic:cNvPicPr>
                        </pic:nvPicPr>
                        <pic:blipFill>
                          <a:blip r:embed="rId51"/>
                          <a:stretch>
                            <a:fillRect/>
                          </a:stretch>
                        </pic:blipFill>
                        <pic:spPr>
                          <a:xfrm>
                            <a:off x="0" y="0"/>
                            <a:ext cx="1352550" cy="449580"/>
                          </a:xfrm>
                          <a:prstGeom prst="rect">
                            <a:avLst/>
                          </a:prstGeom>
                        </pic:spPr>
                      </pic:pic>
                    </a:graphicData>
                  </a:graphic>
                </wp:inline>
              </w:drawing>
            </w:r>
          </w:p>
        </w:tc>
      </w:tr>
      <w:tr w14:paraId="78FCA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20" w:hRule="atLeast"/>
        </w:trPr>
        <w:tc>
          <w:tcPr>
            <w:tcW w:w="367" w:type="pct"/>
            <w:shd w:val="clear" w:color="auto" w:fill="auto"/>
            <w:vAlign w:val="center"/>
          </w:tcPr>
          <w:p w14:paraId="3A20AF3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36</w:t>
            </w:r>
          </w:p>
        </w:tc>
        <w:tc>
          <w:tcPr>
            <w:tcW w:w="542" w:type="pct"/>
            <w:shd w:val="clear" w:color="auto" w:fill="auto"/>
            <w:vAlign w:val="center"/>
          </w:tcPr>
          <w:p w14:paraId="3BC5049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格长条灯</w:t>
            </w:r>
          </w:p>
        </w:tc>
        <w:tc>
          <w:tcPr>
            <w:tcW w:w="2240" w:type="pct"/>
            <w:shd w:val="clear" w:color="auto" w:fill="auto"/>
            <w:vAlign w:val="center"/>
          </w:tcPr>
          <w:p w14:paraId="476DFDF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1、规格：长1500*宽100*高40mm（±2cm）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2、灯体采用的铁艺框架结构，坚实稳固不易变形，高温环保烤漆工艺，色泽历史如新；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3、采用PMMA高透光率灯罩，透光效果强，灯光柔和不刺眼；</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4、五金配件紧密拼接，边角细腻，转角过渡自然，间隙细小且均等。</w:t>
            </w:r>
          </w:p>
        </w:tc>
        <w:tc>
          <w:tcPr>
            <w:tcW w:w="253" w:type="pct"/>
            <w:shd w:val="clear" w:color="auto" w:fill="auto"/>
            <w:vAlign w:val="center"/>
          </w:tcPr>
          <w:p w14:paraId="03A6A20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盏</w:t>
            </w:r>
          </w:p>
        </w:tc>
        <w:tc>
          <w:tcPr>
            <w:tcW w:w="334" w:type="pct"/>
            <w:shd w:val="clear" w:color="auto" w:fill="auto"/>
            <w:noWrap/>
            <w:vAlign w:val="center"/>
          </w:tcPr>
          <w:p w14:paraId="1B4162B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w:t>
            </w:r>
          </w:p>
        </w:tc>
        <w:tc>
          <w:tcPr>
            <w:tcW w:w="1261" w:type="pct"/>
            <w:shd w:val="clear" w:color="auto" w:fill="auto"/>
            <w:noWrap/>
            <w:vAlign w:val="center"/>
          </w:tcPr>
          <w:p w14:paraId="74F6874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85875" cy="957580"/>
                  <wp:effectExtent l="0" t="0" r="9525" b="13970"/>
                  <wp:docPr id="121" name="图片 121" descr="36 格长条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36 格长条灯"/>
                          <pic:cNvPicPr>
                            <a:picLocks noChangeAspect="1"/>
                          </pic:cNvPicPr>
                        </pic:nvPicPr>
                        <pic:blipFill>
                          <a:blip r:embed="rId52"/>
                          <a:stretch>
                            <a:fillRect/>
                          </a:stretch>
                        </pic:blipFill>
                        <pic:spPr>
                          <a:xfrm>
                            <a:off x="0" y="0"/>
                            <a:ext cx="1285875" cy="957580"/>
                          </a:xfrm>
                          <a:prstGeom prst="rect">
                            <a:avLst/>
                          </a:prstGeom>
                        </pic:spPr>
                      </pic:pic>
                    </a:graphicData>
                  </a:graphic>
                </wp:inline>
              </w:drawing>
            </w:r>
          </w:p>
        </w:tc>
      </w:tr>
      <w:tr w14:paraId="20247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20" w:hRule="atLeast"/>
        </w:trPr>
        <w:tc>
          <w:tcPr>
            <w:tcW w:w="367" w:type="pct"/>
            <w:shd w:val="clear" w:color="auto" w:fill="auto"/>
            <w:vAlign w:val="center"/>
          </w:tcPr>
          <w:p w14:paraId="7CA7D8C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37</w:t>
            </w:r>
          </w:p>
        </w:tc>
        <w:tc>
          <w:tcPr>
            <w:tcW w:w="542" w:type="pct"/>
            <w:shd w:val="clear" w:color="auto" w:fill="auto"/>
            <w:vAlign w:val="center"/>
          </w:tcPr>
          <w:p w14:paraId="2F12929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定制双开玻璃门</w:t>
            </w:r>
          </w:p>
        </w:tc>
        <w:tc>
          <w:tcPr>
            <w:tcW w:w="2240" w:type="pct"/>
            <w:shd w:val="clear" w:color="auto" w:fill="auto"/>
            <w:vAlign w:val="center"/>
          </w:tcPr>
          <w:p w14:paraId="1EE67880">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1、规格（允许误差±10mm）：宽1800*高2200mm；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2、采用≥10mm厚度钢化玻璃；</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3、不锈钢门套边框包边，稳重牢固；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4、整体五金配件紧密拼接，边角细腻，转角过渡自然，间隙细小且均等。</w:t>
            </w:r>
          </w:p>
        </w:tc>
        <w:tc>
          <w:tcPr>
            <w:tcW w:w="253" w:type="pct"/>
            <w:shd w:val="clear" w:color="auto" w:fill="auto"/>
            <w:noWrap/>
            <w:vAlign w:val="center"/>
          </w:tcPr>
          <w:p w14:paraId="7C16159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扇</w:t>
            </w:r>
          </w:p>
        </w:tc>
        <w:tc>
          <w:tcPr>
            <w:tcW w:w="334" w:type="pct"/>
            <w:shd w:val="clear" w:color="auto" w:fill="auto"/>
            <w:noWrap/>
            <w:vAlign w:val="center"/>
          </w:tcPr>
          <w:p w14:paraId="58F2632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7CE5800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900430" cy="1014730"/>
                  <wp:effectExtent l="0" t="0" r="13970" b="13970"/>
                  <wp:docPr id="122" name="图片 122" descr="37 定制双开玻璃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37 定制双开玻璃门"/>
                          <pic:cNvPicPr>
                            <a:picLocks noChangeAspect="1"/>
                          </pic:cNvPicPr>
                        </pic:nvPicPr>
                        <pic:blipFill>
                          <a:blip r:embed="rId53"/>
                          <a:stretch>
                            <a:fillRect/>
                          </a:stretch>
                        </pic:blipFill>
                        <pic:spPr>
                          <a:xfrm>
                            <a:off x="0" y="0"/>
                            <a:ext cx="900430" cy="1014730"/>
                          </a:xfrm>
                          <a:prstGeom prst="rect">
                            <a:avLst/>
                          </a:prstGeom>
                        </pic:spPr>
                      </pic:pic>
                    </a:graphicData>
                  </a:graphic>
                </wp:inline>
              </w:drawing>
            </w:r>
          </w:p>
        </w:tc>
      </w:tr>
      <w:tr w14:paraId="0796A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20" w:hRule="atLeast"/>
        </w:trPr>
        <w:tc>
          <w:tcPr>
            <w:tcW w:w="367" w:type="pct"/>
            <w:shd w:val="clear" w:color="auto" w:fill="auto"/>
            <w:vAlign w:val="center"/>
          </w:tcPr>
          <w:p w14:paraId="61BAE90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38</w:t>
            </w:r>
          </w:p>
        </w:tc>
        <w:tc>
          <w:tcPr>
            <w:tcW w:w="542" w:type="pct"/>
            <w:shd w:val="clear" w:color="auto" w:fill="auto"/>
            <w:vAlign w:val="center"/>
          </w:tcPr>
          <w:p w14:paraId="2B6B311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门禁感应系统1</w:t>
            </w:r>
          </w:p>
        </w:tc>
        <w:tc>
          <w:tcPr>
            <w:tcW w:w="2240" w:type="pct"/>
            <w:shd w:val="clear" w:color="auto" w:fill="auto"/>
            <w:vAlign w:val="center"/>
          </w:tcPr>
          <w:p w14:paraId="5EF6042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密码门禁系统,连接消防系统。</w:t>
            </w:r>
          </w:p>
        </w:tc>
        <w:tc>
          <w:tcPr>
            <w:tcW w:w="253" w:type="pct"/>
            <w:shd w:val="clear" w:color="auto" w:fill="auto"/>
            <w:noWrap/>
            <w:vAlign w:val="center"/>
          </w:tcPr>
          <w:p w14:paraId="4FAAA7F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noWrap/>
            <w:vAlign w:val="center"/>
          </w:tcPr>
          <w:p w14:paraId="1491BFD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E7A151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78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rPr>
        <w:tc>
          <w:tcPr>
            <w:tcW w:w="367" w:type="pct"/>
            <w:shd w:val="clear" w:color="auto" w:fill="auto"/>
            <w:vAlign w:val="center"/>
          </w:tcPr>
          <w:p w14:paraId="79731BE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39</w:t>
            </w:r>
          </w:p>
        </w:tc>
        <w:tc>
          <w:tcPr>
            <w:tcW w:w="542" w:type="pct"/>
            <w:shd w:val="clear" w:color="auto" w:fill="auto"/>
            <w:vAlign w:val="center"/>
          </w:tcPr>
          <w:p w14:paraId="58AF679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前台背景文化墙</w:t>
            </w:r>
          </w:p>
        </w:tc>
        <w:tc>
          <w:tcPr>
            <w:tcW w:w="2240" w:type="pct"/>
            <w:shd w:val="clear" w:color="auto" w:fill="auto"/>
            <w:vAlign w:val="center"/>
          </w:tcPr>
          <w:p w14:paraId="7A6FD2D6">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1、轻钢龙骨、轻钢龙付骨、面封硅酸钙板；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2、面刷乳胶漆，高遮盖力，抗碱防霉，覆盖细微裂纹。净味防裂，弹性防裂抗粉化效果以及多重保护效果使墙面能够保持长久亮丽。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3、边角细腻，转角过渡自然，间隙细小且均等。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4、中间部分采用PVC材质，色泽亮丽；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5、五金配件紧密拼接，边角细腻，转角过度自然，间隙细小且均等。</w:t>
            </w:r>
          </w:p>
          <w:p w14:paraId="234F9546">
            <w:pPr>
              <w:pStyle w:val="2"/>
              <w:spacing w:line="360" w:lineRule="auto"/>
              <w:ind w:firstLine="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bidi="ar"/>
              </w:rPr>
              <w:t>6、</w:t>
            </w:r>
            <w:r>
              <w:rPr>
                <w:rFonts w:hint="eastAsia" w:ascii="宋体" w:hAnsi="宋体" w:eastAsia="宋体" w:cs="宋体"/>
                <w:b/>
                <w:bCs/>
                <w:color w:val="auto"/>
                <w:sz w:val="24"/>
                <w:szCs w:val="24"/>
                <w:highlight w:val="none"/>
                <w:u w:val="single"/>
                <w:lang w:eastAsia="zh-CN"/>
              </w:rPr>
              <w:t>投标人须</w:t>
            </w:r>
            <w:r>
              <w:rPr>
                <w:rFonts w:hint="eastAsia" w:ascii="宋体" w:hAnsi="宋体" w:eastAsia="宋体" w:cs="宋体"/>
                <w:b/>
                <w:bCs/>
                <w:color w:val="auto"/>
                <w:sz w:val="24"/>
                <w:szCs w:val="24"/>
                <w:highlight w:val="none"/>
                <w:u w:val="single"/>
                <w:lang w:val="en-US" w:eastAsia="zh-CN"/>
              </w:rPr>
              <w:t>根据提供的线条图</w:t>
            </w:r>
            <w:r>
              <w:rPr>
                <w:rFonts w:hint="eastAsia" w:ascii="宋体" w:hAnsi="宋体" w:eastAsia="宋体" w:cs="宋体"/>
                <w:b/>
                <w:bCs/>
                <w:color w:val="auto"/>
                <w:sz w:val="24"/>
                <w:szCs w:val="24"/>
                <w:highlight w:val="none"/>
                <w:u w:val="single"/>
                <w:lang w:eastAsia="zh-CN"/>
              </w:rPr>
              <w:t>在投标文件技术商务部分中提供</w:t>
            </w:r>
            <w:r>
              <w:rPr>
                <w:rFonts w:hint="eastAsia" w:ascii="宋体" w:hAnsi="宋体" w:eastAsia="宋体" w:cs="宋体"/>
                <w:b/>
                <w:bCs/>
                <w:color w:val="auto"/>
                <w:sz w:val="24"/>
                <w:szCs w:val="24"/>
                <w:highlight w:val="none"/>
                <w:u w:val="single"/>
                <w:lang w:val="en-US" w:eastAsia="zh-CN"/>
              </w:rPr>
              <w:t>进行</w:t>
            </w:r>
            <w:r>
              <w:rPr>
                <w:rFonts w:hint="eastAsia" w:ascii="宋体" w:hAnsi="宋体" w:eastAsia="宋体" w:cs="宋体"/>
                <w:b/>
                <w:bCs/>
                <w:color w:val="auto"/>
                <w:spacing w:val="0"/>
                <w:sz w:val="24"/>
                <w:szCs w:val="24"/>
                <w:highlight w:val="none"/>
                <w:u w:val="single"/>
              </w:rPr>
              <w:t>深化提升</w:t>
            </w:r>
            <w:r>
              <w:rPr>
                <w:rFonts w:hint="eastAsia" w:ascii="宋体" w:hAnsi="宋体" w:eastAsia="宋体" w:cs="宋体"/>
                <w:b/>
                <w:bCs/>
                <w:color w:val="auto"/>
                <w:spacing w:val="0"/>
                <w:sz w:val="24"/>
                <w:szCs w:val="24"/>
                <w:highlight w:val="none"/>
                <w:u w:val="single"/>
                <w:lang w:eastAsia="zh-CN"/>
              </w:rPr>
              <w:t>后的</w:t>
            </w:r>
            <w:r>
              <w:rPr>
                <w:rFonts w:hint="eastAsia" w:ascii="宋体" w:hAnsi="宋体" w:eastAsia="宋体" w:cs="宋体"/>
                <w:b/>
                <w:bCs/>
                <w:color w:val="auto"/>
                <w:spacing w:val="0"/>
                <w:sz w:val="24"/>
                <w:szCs w:val="24"/>
                <w:highlight w:val="none"/>
                <w:u w:val="single"/>
              </w:rPr>
              <w:t>主题创作画面的设计</w:t>
            </w:r>
            <w:r>
              <w:rPr>
                <w:rFonts w:hint="eastAsia" w:ascii="宋体" w:hAnsi="宋体" w:eastAsia="宋体" w:cs="宋体"/>
                <w:b/>
                <w:bCs/>
                <w:color w:val="auto"/>
                <w:spacing w:val="0"/>
                <w:sz w:val="24"/>
                <w:szCs w:val="24"/>
                <w:highlight w:val="none"/>
                <w:u w:val="single"/>
                <w:lang w:val="en-US" w:eastAsia="zh-CN"/>
              </w:rPr>
              <w:t>正面</w:t>
            </w:r>
            <w:r>
              <w:rPr>
                <w:rFonts w:hint="eastAsia" w:ascii="宋体" w:hAnsi="宋体" w:eastAsia="宋体" w:cs="宋体"/>
                <w:b/>
                <w:bCs/>
                <w:color w:val="auto"/>
                <w:spacing w:val="0"/>
                <w:sz w:val="24"/>
                <w:szCs w:val="24"/>
                <w:highlight w:val="none"/>
                <w:u w:val="single"/>
              </w:rPr>
              <w:t>效果图</w:t>
            </w:r>
            <w:r>
              <w:rPr>
                <w:rFonts w:hint="eastAsia" w:ascii="宋体" w:hAnsi="宋体" w:eastAsia="宋体" w:cs="宋体"/>
                <w:b/>
                <w:bCs/>
                <w:color w:val="auto"/>
                <w:spacing w:val="0"/>
                <w:sz w:val="24"/>
                <w:szCs w:val="24"/>
                <w:highlight w:val="none"/>
                <w:u w:val="single"/>
                <w:lang w:val="en-US" w:eastAsia="zh-CN"/>
              </w:rPr>
              <w:t>1</w:t>
            </w:r>
            <w:r>
              <w:rPr>
                <w:rFonts w:hint="eastAsia" w:ascii="宋体" w:hAnsi="宋体" w:eastAsia="宋体" w:cs="宋体"/>
                <w:b/>
                <w:bCs/>
                <w:color w:val="auto"/>
                <w:spacing w:val="0"/>
                <w:sz w:val="24"/>
                <w:szCs w:val="24"/>
                <w:highlight w:val="none"/>
                <w:u w:val="single"/>
              </w:rPr>
              <w:t xml:space="preserve"> 张</w:t>
            </w:r>
            <w:r>
              <w:rPr>
                <w:rFonts w:hint="eastAsia" w:ascii="宋体" w:hAnsi="宋体" w:eastAsia="宋体" w:cs="宋体"/>
                <w:b/>
                <w:bCs/>
                <w:color w:val="auto"/>
                <w:spacing w:val="0"/>
                <w:sz w:val="24"/>
                <w:szCs w:val="24"/>
                <w:highlight w:val="none"/>
                <w:u w:val="single"/>
                <w:lang w:eastAsia="zh-CN"/>
              </w:rPr>
              <w:t>、</w:t>
            </w:r>
            <w:r>
              <w:rPr>
                <w:rFonts w:hint="eastAsia" w:ascii="宋体" w:hAnsi="宋体" w:eastAsia="宋体" w:cs="宋体"/>
                <w:b/>
                <w:bCs/>
                <w:color w:val="auto"/>
                <w:spacing w:val="0"/>
                <w:sz w:val="24"/>
                <w:szCs w:val="24"/>
                <w:highlight w:val="none"/>
                <w:u w:val="single"/>
              </w:rPr>
              <w:t>施工图</w:t>
            </w:r>
            <w:r>
              <w:rPr>
                <w:rFonts w:hint="eastAsia" w:ascii="宋体" w:hAnsi="宋体" w:eastAsia="宋体" w:cs="宋体"/>
                <w:b/>
                <w:bCs/>
                <w:color w:val="auto"/>
                <w:spacing w:val="0"/>
                <w:sz w:val="24"/>
                <w:szCs w:val="24"/>
                <w:highlight w:val="none"/>
                <w:u w:val="single"/>
                <w:lang w:val="en-US" w:eastAsia="zh-CN"/>
              </w:rPr>
              <w:t>3</w:t>
            </w:r>
            <w:r>
              <w:rPr>
                <w:rFonts w:hint="eastAsia" w:ascii="宋体" w:hAnsi="宋体" w:eastAsia="宋体" w:cs="宋体"/>
                <w:b/>
                <w:bCs/>
                <w:color w:val="auto"/>
                <w:spacing w:val="0"/>
                <w:sz w:val="24"/>
                <w:szCs w:val="24"/>
                <w:highlight w:val="none"/>
                <w:u w:val="single"/>
              </w:rPr>
              <w:t>张（含前立面图、左立面图、右立面图）</w:t>
            </w:r>
            <w:r>
              <w:rPr>
                <w:rFonts w:hint="eastAsia" w:ascii="宋体" w:hAnsi="宋体" w:eastAsia="宋体" w:cs="宋体"/>
                <w:b/>
                <w:bCs/>
                <w:color w:val="auto"/>
                <w:spacing w:val="0"/>
                <w:sz w:val="24"/>
                <w:szCs w:val="24"/>
                <w:highlight w:val="none"/>
                <w:u w:val="single"/>
                <w:lang w:eastAsia="zh-CN"/>
              </w:rPr>
              <w:t>，</w:t>
            </w:r>
            <w:r>
              <w:rPr>
                <w:rFonts w:hint="eastAsia" w:ascii="宋体" w:hAnsi="宋体" w:eastAsia="宋体" w:cs="宋体"/>
                <w:b/>
                <w:bCs/>
                <w:color w:val="auto"/>
                <w:spacing w:val="0"/>
                <w:sz w:val="24"/>
                <w:szCs w:val="24"/>
                <w:highlight w:val="none"/>
                <w:u w:val="single"/>
                <w:lang w:val="en-US" w:eastAsia="zh-CN"/>
              </w:rPr>
              <w:t>要求</w:t>
            </w:r>
            <w:r>
              <w:rPr>
                <w:rFonts w:hint="eastAsia" w:ascii="宋体" w:hAnsi="宋体" w:eastAsia="宋体" w:cs="宋体"/>
                <w:b/>
                <w:bCs/>
                <w:color w:val="auto"/>
                <w:spacing w:val="0"/>
                <w:sz w:val="24"/>
                <w:szCs w:val="24"/>
                <w:highlight w:val="none"/>
                <w:u w:val="single"/>
              </w:rPr>
              <w:t>视图数量齐全，视角清晰，色彩搭配协调、立面图规范完整，与项目风格契合</w:t>
            </w:r>
            <w:r>
              <w:rPr>
                <w:rFonts w:hint="eastAsia" w:ascii="宋体" w:hAnsi="宋体" w:eastAsia="宋体" w:cs="宋体"/>
                <w:b/>
                <w:bCs/>
                <w:color w:val="auto"/>
                <w:spacing w:val="0"/>
                <w:sz w:val="24"/>
                <w:szCs w:val="24"/>
                <w:highlight w:val="none"/>
                <w:u w:val="single"/>
                <w:lang w:eastAsia="zh-CN"/>
              </w:rPr>
              <w:t>。</w:t>
            </w:r>
          </w:p>
        </w:tc>
        <w:tc>
          <w:tcPr>
            <w:tcW w:w="253" w:type="pct"/>
            <w:shd w:val="clear" w:color="auto" w:fill="auto"/>
            <w:noWrap/>
            <w:vAlign w:val="center"/>
          </w:tcPr>
          <w:p w14:paraId="45410F0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4593CFA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22</w:t>
            </w:r>
          </w:p>
        </w:tc>
        <w:tc>
          <w:tcPr>
            <w:tcW w:w="1261" w:type="pct"/>
            <w:shd w:val="clear" w:color="auto" w:fill="auto"/>
            <w:noWrap/>
            <w:vAlign w:val="center"/>
          </w:tcPr>
          <w:p w14:paraId="651A501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4940" cy="1996440"/>
                  <wp:effectExtent l="0" t="0" r="3810" b="3810"/>
                  <wp:docPr id="52" name="图片 52" descr="227379b64777766c41419b02c9c9a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27379b64777766c41419b02c9c9a1a9"/>
                          <pic:cNvPicPr>
                            <a:picLocks noChangeAspect="1"/>
                          </pic:cNvPicPr>
                        </pic:nvPicPr>
                        <pic:blipFill>
                          <a:blip r:embed="rId54"/>
                          <a:stretch>
                            <a:fillRect/>
                          </a:stretch>
                        </pic:blipFill>
                        <pic:spPr>
                          <a:xfrm>
                            <a:off x="0" y="0"/>
                            <a:ext cx="1424940" cy="1996440"/>
                          </a:xfrm>
                          <a:prstGeom prst="rect">
                            <a:avLst/>
                          </a:prstGeom>
                        </pic:spPr>
                      </pic:pic>
                    </a:graphicData>
                  </a:graphic>
                </wp:inline>
              </w:drawing>
            </w:r>
          </w:p>
        </w:tc>
      </w:tr>
      <w:tr w14:paraId="25938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91" w:hRule="atLeast"/>
        </w:trPr>
        <w:tc>
          <w:tcPr>
            <w:tcW w:w="367" w:type="pct"/>
            <w:shd w:val="clear" w:color="auto" w:fill="auto"/>
            <w:vAlign w:val="center"/>
          </w:tcPr>
          <w:p w14:paraId="6E946BD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40</w:t>
            </w:r>
          </w:p>
        </w:tc>
        <w:tc>
          <w:tcPr>
            <w:tcW w:w="542" w:type="pct"/>
            <w:shd w:val="clear" w:color="auto" w:fill="auto"/>
            <w:vAlign w:val="center"/>
          </w:tcPr>
          <w:p w14:paraId="474D07F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定制新书展示架</w:t>
            </w:r>
          </w:p>
        </w:tc>
        <w:tc>
          <w:tcPr>
            <w:tcW w:w="2240" w:type="pct"/>
            <w:shd w:val="clear" w:color="auto" w:fill="auto"/>
            <w:vAlign w:val="center"/>
          </w:tcPr>
          <w:p w14:paraId="1A934DE2">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1、规格：长1500*宽1500*高1450mm（±2cm）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4、五金配件紧密拼接，边角细腻，转角过渡自然，间隙细小且均等。</w:t>
            </w:r>
          </w:p>
        </w:tc>
        <w:tc>
          <w:tcPr>
            <w:tcW w:w="253" w:type="pct"/>
            <w:shd w:val="clear" w:color="auto" w:fill="auto"/>
            <w:noWrap/>
            <w:vAlign w:val="center"/>
          </w:tcPr>
          <w:p w14:paraId="1266B80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1B631EF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B4B03C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280" cy="1070610"/>
                  <wp:effectExtent l="0" t="0" r="0" b="0"/>
                  <wp:docPr id="124" name="图片 124" descr="40 定制新书展示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40 定制新书展示架"/>
                          <pic:cNvPicPr>
                            <a:picLocks noChangeAspect="1"/>
                          </pic:cNvPicPr>
                        </pic:nvPicPr>
                        <pic:blipFill>
                          <a:blip r:embed="rId55"/>
                          <a:stretch>
                            <a:fillRect/>
                          </a:stretch>
                        </pic:blipFill>
                        <pic:spPr>
                          <a:xfrm>
                            <a:off x="0" y="0"/>
                            <a:ext cx="1351280" cy="1070610"/>
                          </a:xfrm>
                          <a:prstGeom prst="rect">
                            <a:avLst/>
                          </a:prstGeom>
                        </pic:spPr>
                      </pic:pic>
                    </a:graphicData>
                  </a:graphic>
                </wp:inline>
              </w:drawing>
            </w:r>
          </w:p>
        </w:tc>
      </w:tr>
      <w:tr w14:paraId="18433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20" w:hRule="atLeast"/>
        </w:trPr>
        <w:tc>
          <w:tcPr>
            <w:tcW w:w="367" w:type="pct"/>
            <w:shd w:val="clear" w:color="auto" w:fill="auto"/>
            <w:vAlign w:val="center"/>
          </w:tcPr>
          <w:p w14:paraId="54DCC05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41</w:t>
            </w:r>
          </w:p>
        </w:tc>
        <w:tc>
          <w:tcPr>
            <w:tcW w:w="542" w:type="pct"/>
            <w:shd w:val="clear" w:color="auto" w:fill="auto"/>
            <w:vAlign w:val="center"/>
          </w:tcPr>
          <w:p w14:paraId="7C47855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定制造型卡座</w:t>
            </w:r>
          </w:p>
        </w:tc>
        <w:tc>
          <w:tcPr>
            <w:tcW w:w="2240" w:type="pct"/>
            <w:shd w:val="clear" w:color="auto" w:fill="auto"/>
            <w:vAlign w:val="center"/>
          </w:tcPr>
          <w:p w14:paraId="027744EC">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1、规格：长4200*宽1000*高400（±2cm）；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4、五金配件紧密拼接，边角细腻，转角过渡自然，间隙细小且均等。</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5、内芯为低燃性高弹海绵，回弹率≥50%，甲醛释放量未检出，阻燃性能（阻燃等级-阻燃Ⅱ级）无阴燃或有焰燃烧现象；外包环保类西皮，撕裂力≥80N，摩擦色牢度≥4级。</w:t>
            </w:r>
          </w:p>
        </w:tc>
        <w:tc>
          <w:tcPr>
            <w:tcW w:w="253" w:type="pct"/>
            <w:shd w:val="clear" w:color="auto" w:fill="auto"/>
            <w:vAlign w:val="center"/>
          </w:tcPr>
          <w:p w14:paraId="68BE2C0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14FD56B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2BF6A65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761365"/>
                  <wp:effectExtent l="0" t="0" r="635" b="635"/>
                  <wp:docPr id="125" name="图片 125" descr="41 定制造型卡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41 定制造型卡座"/>
                          <pic:cNvPicPr>
                            <a:picLocks noChangeAspect="1"/>
                          </pic:cNvPicPr>
                        </pic:nvPicPr>
                        <pic:blipFill>
                          <a:blip r:embed="rId56"/>
                          <a:stretch>
                            <a:fillRect/>
                          </a:stretch>
                        </pic:blipFill>
                        <pic:spPr>
                          <a:xfrm>
                            <a:off x="0" y="0"/>
                            <a:ext cx="1351915" cy="761365"/>
                          </a:xfrm>
                          <a:prstGeom prst="rect">
                            <a:avLst/>
                          </a:prstGeom>
                        </pic:spPr>
                      </pic:pic>
                    </a:graphicData>
                  </a:graphic>
                </wp:inline>
              </w:drawing>
            </w:r>
          </w:p>
        </w:tc>
      </w:tr>
      <w:tr w14:paraId="79480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60" w:hRule="atLeast"/>
        </w:trPr>
        <w:tc>
          <w:tcPr>
            <w:tcW w:w="367" w:type="pct"/>
            <w:shd w:val="clear" w:color="auto" w:fill="auto"/>
            <w:vAlign w:val="center"/>
          </w:tcPr>
          <w:p w14:paraId="1C5850C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42</w:t>
            </w:r>
          </w:p>
        </w:tc>
        <w:tc>
          <w:tcPr>
            <w:tcW w:w="542" w:type="pct"/>
            <w:shd w:val="clear" w:color="auto" w:fill="auto"/>
            <w:vAlign w:val="center"/>
          </w:tcPr>
          <w:p w14:paraId="7746A62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圆桌</w:t>
            </w:r>
          </w:p>
        </w:tc>
        <w:tc>
          <w:tcPr>
            <w:tcW w:w="2240" w:type="pct"/>
            <w:shd w:val="clear" w:color="auto" w:fill="auto"/>
            <w:vAlign w:val="center"/>
          </w:tcPr>
          <w:p w14:paraId="3A1A076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1、规格:直径300*高610mm（±2cm）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2、采用密度板，木纹色或哑光漆饰面，质地坚实，经久耐用，不易变形；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3、实木桌脚，五金配件紧密拼接，边角细腻，转角过度自然，间隙细小且均等。</w:t>
            </w:r>
          </w:p>
        </w:tc>
        <w:tc>
          <w:tcPr>
            <w:tcW w:w="253" w:type="pct"/>
            <w:shd w:val="clear" w:color="auto" w:fill="auto"/>
            <w:noWrap/>
            <w:vAlign w:val="center"/>
          </w:tcPr>
          <w:p w14:paraId="00F198F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615D4B0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1261" w:type="pct"/>
            <w:shd w:val="clear" w:color="auto" w:fill="auto"/>
            <w:noWrap/>
            <w:vAlign w:val="center"/>
          </w:tcPr>
          <w:p w14:paraId="1BFCD3E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57275" cy="1085850"/>
                  <wp:effectExtent l="0" t="0" r="9525" b="0"/>
                  <wp:docPr id="126" name="图片 126" descr="42 圆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42 圆桌"/>
                          <pic:cNvPicPr>
                            <a:picLocks noChangeAspect="1"/>
                          </pic:cNvPicPr>
                        </pic:nvPicPr>
                        <pic:blipFill>
                          <a:blip r:embed="rId57"/>
                          <a:stretch>
                            <a:fillRect/>
                          </a:stretch>
                        </pic:blipFill>
                        <pic:spPr>
                          <a:xfrm>
                            <a:off x="0" y="0"/>
                            <a:ext cx="1057275" cy="1085850"/>
                          </a:xfrm>
                          <a:prstGeom prst="rect">
                            <a:avLst/>
                          </a:prstGeom>
                        </pic:spPr>
                      </pic:pic>
                    </a:graphicData>
                  </a:graphic>
                </wp:inline>
              </w:drawing>
            </w:r>
          </w:p>
        </w:tc>
      </w:tr>
      <w:tr w14:paraId="3D1A3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73" w:hRule="atLeast"/>
        </w:trPr>
        <w:tc>
          <w:tcPr>
            <w:tcW w:w="367" w:type="pct"/>
            <w:shd w:val="clear" w:color="auto" w:fill="auto"/>
            <w:vAlign w:val="center"/>
          </w:tcPr>
          <w:p w14:paraId="1589685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43</w:t>
            </w:r>
          </w:p>
        </w:tc>
        <w:tc>
          <w:tcPr>
            <w:tcW w:w="542" w:type="pct"/>
            <w:shd w:val="clear" w:color="auto" w:fill="auto"/>
            <w:vAlign w:val="center"/>
          </w:tcPr>
          <w:p w14:paraId="43CE560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定制阶梯地台</w:t>
            </w:r>
          </w:p>
        </w:tc>
        <w:tc>
          <w:tcPr>
            <w:tcW w:w="2240" w:type="pct"/>
            <w:shd w:val="clear" w:color="auto" w:fill="auto"/>
            <w:vAlign w:val="center"/>
          </w:tcPr>
          <w:p w14:paraId="6C24AD20">
            <w:pPr>
              <w:keepNext w:val="0"/>
              <w:keepLines w:val="0"/>
              <w:widowControl/>
              <w:numPr>
                <w:ilvl w:val="0"/>
                <w:numId w:val="5"/>
              </w:numPr>
              <w:suppressLineNumbers w:val="0"/>
              <w:spacing w:line="360" w:lineRule="auto"/>
              <w:jc w:val="left"/>
              <w:textAlignment w:val="center"/>
              <w:rPr>
                <w:rStyle w:val="11"/>
                <w:rFonts w:hint="eastAsia" w:ascii="宋体" w:hAnsi="宋体" w:eastAsia="宋体" w:cs="宋体"/>
                <w:color w:val="auto"/>
                <w:sz w:val="24"/>
                <w:szCs w:val="24"/>
                <w:highlight w:val="none"/>
                <w:lang w:val="en-US" w:eastAsia="zh-CN" w:bidi="ar"/>
              </w:rPr>
            </w:pPr>
            <w:r>
              <w:rPr>
                <w:rStyle w:val="11"/>
                <w:rFonts w:hint="eastAsia" w:ascii="宋体" w:hAnsi="宋体" w:eastAsia="宋体" w:cs="宋体"/>
                <w:color w:val="auto"/>
                <w:sz w:val="24"/>
                <w:szCs w:val="24"/>
                <w:highlight w:val="none"/>
                <w:lang w:val="en-US" w:eastAsia="zh-CN" w:bidi="ar"/>
              </w:rPr>
              <w:t>规格：总长5900mm，总宽3100mm，总高900mm；</w:t>
            </w:r>
          </w:p>
          <w:p w14:paraId="47EDC0E3">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2、阶梯总3层；</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3、1层：长5900*宽1000*高300mm（±2cm）、2层：长5900*宽1000*高600mm（±2cm）、3层：长5900*宽1000*高900mm（±2cm）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4、地台总体基础结构为钢结构框架；</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5、用基层板打底，面饰木纹地塑；</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6、</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p>
        </w:tc>
        <w:tc>
          <w:tcPr>
            <w:tcW w:w="253" w:type="pct"/>
            <w:shd w:val="clear" w:color="auto" w:fill="auto"/>
            <w:noWrap/>
            <w:vAlign w:val="center"/>
          </w:tcPr>
          <w:p w14:paraId="6DF4B4C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77885EA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18.3</w:t>
            </w:r>
          </w:p>
        </w:tc>
        <w:tc>
          <w:tcPr>
            <w:tcW w:w="1261" w:type="pct"/>
            <w:shd w:val="clear" w:color="auto" w:fill="auto"/>
            <w:noWrap/>
            <w:vAlign w:val="center"/>
          </w:tcPr>
          <w:p w14:paraId="04E8681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443230"/>
                  <wp:effectExtent l="0" t="0" r="635" b="13970"/>
                  <wp:docPr id="127" name="图片 127" descr="43 定制阶梯地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43 定制阶梯地台"/>
                          <pic:cNvPicPr>
                            <a:picLocks noChangeAspect="1"/>
                          </pic:cNvPicPr>
                        </pic:nvPicPr>
                        <pic:blipFill>
                          <a:blip r:embed="rId58"/>
                          <a:stretch>
                            <a:fillRect/>
                          </a:stretch>
                        </pic:blipFill>
                        <pic:spPr>
                          <a:xfrm>
                            <a:off x="0" y="0"/>
                            <a:ext cx="1351915" cy="443230"/>
                          </a:xfrm>
                          <a:prstGeom prst="rect">
                            <a:avLst/>
                          </a:prstGeom>
                        </pic:spPr>
                      </pic:pic>
                    </a:graphicData>
                  </a:graphic>
                </wp:inline>
              </w:drawing>
            </w:r>
          </w:p>
        </w:tc>
      </w:tr>
      <w:tr w14:paraId="64A80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20" w:hRule="atLeast"/>
        </w:trPr>
        <w:tc>
          <w:tcPr>
            <w:tcW w:w="367" w:type="pct"/>
            <w:shd w:val="clear" w:color="auto" w:fill="auto"/>
            <w:vAlign w:val="center"/>
          </w:tcPr>
          <w:p w14:paraId="19D2DE7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44</w:t>
            </w:r>
          </w:p>
        </w:tc>
        <w:tc>
          <w:tcPr>
            <w:tcW w:w="542" w:type="pct"/>
            <w:shd w:val="clear" w:color="auto" w:fill="auto"/>
            <w:vAlign w:val="center"/>
          </w:tcPr>
          <w:p w14:paraId="0EA18ED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阶梯地台地塑</w:t>
            </w:r>
          </w:p>
        </w:tc>
        <w:tc>
          <w:tcPr>
            <w:tcW w:w="2240" w:type="pct"/>
            <w:shd w:val="clear" w:color="auto" w:fill="auto"/>
            <w:vAlign w:val="center"/>
          </w:tcPr>
          <w:p w14:paraId="1FDD7EFF">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1、表面UV抗污面层，厚度≥2.0mm，使用K188e无毒安全专用环保胶水，玻纤稳定夹层；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2、外观色泽均匀，无明显色差，无裂痕、分层等缺陷；</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3、硬度（邵A值）65-75之间；</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4、回弹值≥8%，拉伸强度≥3Mpa，扯断伸长率≥130%；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5、阻燃率达到1级，摩擦系数0.55-0.75之间。</w:t>
            </w:r>
          </w:p>
        </w:tc>
        <w:tc>
          <w:tcPr>
            <w:tcW w:w="253" w:type="pct"/>
            <w:shd w:val="clear" w:color="auto" w:fill="auto"/>
            <w:vAlign w:val="center"/>
          </w:tcPr>
          <w:p w14:paraId="3C7EB0C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FE2936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24</w:t>
            </w:r>
          </w:p>
        </w:tc>
        <w:tc>
          <w:tcPr>
            <w:tcW w:w="1261" w:type="pct"/>
            <w:shd w:val="clear" w:color="auto" w:fill="auto"/>
            <w:noWrap/>
            <w:vAlign w:val="center"/>
          </w:tcPr>
          <w:p w14:paraId="24B831F8">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57D3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10" w:hRule="atLeast"/>
        </w:trPr>
        <w:tc>
          <w:tcPr>
            <w:tcW w:w="367" w:type="pct"/>
            <w:shd w:val="clear" w:color="auto" w:fill="auto"/>
            <w:vAlign w:val="center"/>
          </w:tcPr>
          <w:p w14:paraId="477365E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542" w:type="pct"/>
            <w:shd w:val="clear" w:color="auto" w:fill="auto"/>
            <w:vAlign w:val="center"/>
          </w:tcPr>
          <w:p w14:paraId="7A3BD2A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定制隔断双面书架</w:t>
            </w:r>
          </w:p>
        </w:tc>
        <w:tc>
          <w:tcPr>
            <w:tcW w:w="2240" w:type="pct"/>
            <w:shd w:val="clear" w:color="auto" w:fill="auto"/>
            <w:vAlign w:val="center"/>
          </w:tcPr>
          <w:p w14:paraId="490716B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规格：长3200*宽800*高3600mm（±2cm）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1、</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3、五金配件紧密拼接，边角细腻，转角过渡自然，间隙细小且均等。</w:t>
            </w:r>
          </w:p>
        </w:tc>
        <w:tc>
          <w:tcPr>
            <w:tcW w:w="253" w:type="pct"/>
            <w:shd w:val="clear" w:color="auto" w:fill="auto"/>
            <w:noWrap/>
            <w:vAlign w:val="center"/>
          </w:tcPr>
          <w:p w14:paraId="75F3CAB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8CF9D2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11.5</w:t>
            </w:r>
          </w:p>
        </w:tc>
        <w:tc>
          <w:tcPr>
            <w:tcW w:w="1261" w:type="pct"/>
            <w:shd w:val="clear" w:color="auto" w:fill="auto"/>
            <w:noWrap/>
            <w:vAlign w:val="center"/>
          </w:tcPr>
          <w:p w14:paraId="4599EBD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86180" cy="1266825"/>
                  <wp:effectExtent l="0" t="0" r="13970" b="9525"/>
                  <wp:docPr id="128" name="图片 128" descr="45 定制隔断双面书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45 定制隔断双面书架"/>
                          <pic:cNvPicPr>
                            <a:picLocks noChangeAspect="1"/>
                          </pic:cNvPicPr>
                        </pic:nvPicPr>
                        <pic:blipFill>
                          <a:blip r:embed="rId59"/>
                          <a:stretch>
                            <a:fillRect/>
                          </a:stretch>
                        </pic:blipFill>
                        <pic:spPr>
                          <a:xfrm>
                            <a:off x="0" y="0"/>
                            <a:ext cx="1186180" cy="1266825"/>
                          </a:xfrm>
                          <a:prstGeom prst="rect">
                            <a:avLst/>
                          </a:prstGeom>
                        </pic:spPr>
                      </pic:pic>
                    </a:graphicData>
                  </a:graphic>
                </wp:inline>
              </w:drawing>
            </w:r>
          </w:p>
        </w:tc>
      </w:tr>
      <w:tr w14:paraId="4406A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74" w:hRule="atLeast"/>
        </w:trPr>
        <w:tc>
          <w:tcPr>
            <w:tcW w:w="367" w:type="pct"/>
            <w:shd w:val="clear" w:color="auto" w:fill="auto"/>
            <w:vAlign w:val="center"/>
          </w:tcPr>
          <w:p w14:paraId="58B7150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46</w:t>
            </w:r>
          </w:p>
        </w:tc>
        <w:tc>
          <w:tcPr>
            <w:tcW w:w="542" w:type="pct"/>
            <w:shd w:val="clear" w:color="auto" w:fill="auto"/>
            <w:vAlign w:val="center"/>
          </w:tcPr>
          <w:p w14:paraId="653FC2E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定制包柱书架</w:t>
            </w:r>
          </w:p>
        </w:tc>
        <w:tc>
          <w:tcPr>
            <w:tcW w:w="2240" w:type="pct"/>
            <w:shd w:val="clear" w:color="auto" w:fill="auto"/>
            <w:vAlign w:val="center"/>
          </w:tcPr>
          <w:p w14:paraId="244102A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1、规格：长1700*宽1700*高2800mm（±2cm）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4、五金配件紧密拼接，边角细腻，转角过渡自然，间隙细小且均等。</w:t>
            </w:r>
          </w:p>
        </w:tc>
        <w:tc>
          <w:tcPr>
            <w:tcW w:w="253" w:type="pct"/>
            <w:shd w:val="clear" w:color="auto" w:fill="auto"/>
            <w:noWrap/>
            <w:vAlign w:val="center"/>
          </w:tcPr>
          <w:p w14:paraId="328544D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0D70949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96098D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904875" cy="1357630"/>
                  <wp:effectExtent l="0" t="0" r="8890" b="13970"/>
                  <wp:docPr id="129" name="图片 129" descr="46 定制包柱书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46 定制包柱书架"/>
                          <pic:cNvPicPr>
                            <a:picLocks noChangeAspect="1"/>
                          </pic:cNvPicPr>
                        </pic:nvPicPr>
                        <pic:blipFill>
                          <a:blip r:embed="rId60"/>
                          <a:stretch>
                            <a:fillRect/>
                          </a:stretch>
                        </pic:blipFill>
                        <pic:spPr>
                          <a:xfrm>
                            <a:off x="0" y="0"/>
                            <a:ext cx="904875" cy="1357630"/>
                          </a:xfrm>
                          <a:prstGeom prst="rect">
                            <a:avLst/>
                          </a:prstGeom>
                        </pic:spPr>
                      </pic:pic>
                    </a:graphicData>
                  </a:graphic>
                </wp:inline>
              </w:drawing>
            </w:r>
          </w:p>
        </w:tc>
      </w:tr>
      <w:tr w14:paraId="0ACC6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8" w:hRule="atLeast"/>
        </w:trPr>
        <w:tc>
          <w:tcPr>
            <w:tcW w:w="367" w:type="pct"/>
            <w:shd w:val="clear" w:color="auto" w:fill="auto"/>
            <w:vAlign w:val="center"/>
          </w:tcPr>
          <w:p w14:paraId="0246B99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w:t>
            </w:r>
          </w:p>
        </w:tc>
        <w:tc>
          <w:tcPr>
            <w:tcW w:w="542" w:type="pct"/>
            <w:shd w:val="clear" w:color="auto" w:fill="auto"/>
            <w:vAlign w:val="center"/>
          </w:tcPr>
          <w:p w14:paraId="58EF782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卡座书架1</w:t>
            </w:r>
          </w:p>
        </w:tc>
        <w:tc>
          <w:tcPr>
            <w:tcW w:w="2240" w:type="pct"/>
            <w:shd w:val="clear" w:color="auto" w:fill="auto"/>
            <w:vAlign w:val="center"/>
          </w:tcPr>
          <w:p w14:paraId="06CCF1D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1、规格：长2500*宽2500*高400mm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w:t>
            </w:r>
            <w:r>
              <w:rPr>
                <w:rStyle w:val="14"/>
                <w:rFonts w:hint="eastAsia" w:ascii="宋体" w:hAnsi="宋体" w:eastAsia="宋体" w:cs="宋体"/>
                <w:color w:val="auto"/>
                <w:sz w:val="24"/>
                <w:szCs w:val="24"/>
                <w:highlight w:val="none"/>
                <w:lang w:val="en-US" w:eastAsia="zh-CN" w:bidi="ar"/>
              </w:rPr>
              <w:t>多层板基材，板材厚度≥17mm，板材要求须符合GB/T 34722-2017《浸渍胶膜纸饰面胶合板和细木工板》标准，甲醛释放量符合GB/T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4、五金配件紧密拼接，边角细腻，转角过渡自然，间隙细小且均等。</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5、内芯为低燃性高弹海绵,外包环保类西皮。</w:t>
            </w:r>
          </w:p>
        </w:tc>
        <w:tc>
          <w:tcPr>
            <w:tcW w:w="253" w:type="pct"/>
            <w:shd w:val="clear" w:color="auto" w:fill="auto"/>
            <w:noWrap/>
            <w:vAlign w:val="center"/>
          </w:tcPr>
          <w:p w14:paraId="0AA5217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424D1C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F1C69B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520700"/>
                  <wp:effectExtent l="0" t="0" r="0" b="13335"/>
                  <wp:docPr id="130" name="图片 130" descr="47 卡座书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47 卡座书架"/>
                          <pic:cNvPicPr>
                            <a:picLocks noChangeAspect="1"/>
                          </pic:cNvPicPr>
                        </pic:nvPicPr>
                        <pic:blipFill>
                          <a:blip r:embed="rId61"/>
                          <a:stretch>
                            <a:fillRect/>
                          </a:stretch>
                        </pic:blipFill>
                        <pic:spPr>
                          <a:xfrm>
                            <a:off x="0" y="0"/>
                            <a:ext cx="1352550" cy="520700"/>
                          </a:xfrm>
                          <a:prstGeom prst="rect">
                            <a:avLst/>
                          </a:prstGeom>
                        </pic:spPr>
                      </pic:pic>
                    </a:graphicData>
                  </a:graphic>
                </wp:inline>
              </w:drawing>
            </w:r>
          </w:p>
        </w:tc>
      </w:tr>
      <w:tr w14:paraId="56C33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8" w:hRule="atLeast"/>
        </w:trPr>
        <w:tc>
          <w:tcPr>
            <w:tcW w:w="367" w:type="pct"/>
            <w:shd w:val="clear" w:color="auto" w:fill="auto"/>
            <w:vAlign w:val="center"/>
          </w:tcPr>
          <w:p w14:paraId="3AA3271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48</w:t>
            </w:r>
          </w:p>
        </w:tc>
        <w:tc>
          <w:tcPr>
            <w:tcW w:w="542" w:type="pct"/>
            <w:shd w:val="clear" w:color="auto" w:fill="auto"/>
            <w:vAlign w:val="center"/>
          </w:tcPr>
          <w:p w14:paraId="6EC3726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lang w:val="en-US"/>
              </w:rPr>
            </w:pPr>
            <w:r>
              <w:rPr>
                <w:rFonts w:hint="eastAsia" w:ascii="宋体" w:hAnsi="宋体" w:eastAsia="宋体" w:cs="宋体"/>
                <w:i w:val="0"/>
                <w:iCs w:val="0"/>
                <w:color w:val="auto"/>
                <w:kern w:val="0"/>
                <w:sz w:val="24"/>
                <w:szCs w:val="24"/>
                <w:u w:val="none"/>
                <w:lang w:val="en-US" w:eastAsia="zh-CN" w:bidi="ar"/>
              </w:rPr>
              <w:t>长条软包沙发</w:t>
            </w:r>
            <w:r>
              <w:rPr>
                <w:rStyle w:val="16"/>
                <w:rFonts w:hint="eastAsia" w:ascii="宋体" w:hAnsi="宋体" w:eastAsia="宋体" w:cs="宋体"/>
                <w:color w:val="auto"/>
                <w:sz w:val="24"/>
                <w:szCs w:val="24"/>
                <w:lang w:val="en-US" w:eastAsia="zh-CN" w:bidi="ar"/>
              </w:rPr>
              <w:t>1</w:t>
            </w:r>
          </w:p>
        </w:tc>
        <w:tc>
          <w:tcPr>
            <w:tcW w:w="2240" w:type="pct"/>
            <w:shd w:val="clear" w:color="auto" w:fill="auto"/>
            <w:vAlign w:val="center"/>
          </w:tcPr>
          <w:p w14:paraId="259794BF">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1、规格：长2000*宽820*高790（±2cm）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2、实木框架结构，受重力强，柔软坐垫靠背，高回弹海绵，不易变形，宽大扶手，简约款式；</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3、颜色淡雅，实木椅脚光润；</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4、坐垫靠背内芯为低燃性高弹海绵，回弹率≥50%，甲醛释放量未检出，阻燃性能（阻燃等级-阻燃Ⅱ级）无阴燃或有焰燃烧现象；外包环保类西皮，撕裂力≥80N，摩擦色牢度≥4级；；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5、五金配件紧密拼接，边角细腻，转角过渡自然，间隙细小且均等。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6、人体工厂学设计。</w:t>
            </w:r>
          </w:p>
        </w:tc>
        <w:tc>
          <w:tcPr>
            <w:tcW w:w="253" w:type="pct"/>
            <w:shd w:val="clear" w:color="auto" w:fill="auto"/>
            <w:vAlign w:val="center"/>
          </w:tcPr>
          <w:p w14:paraId="58788E9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1AF7D3C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1261" w:type="pct"/>
            <w:shd w:val="clear" w:color="auto" w:fill="auto"/>
            <w:noWrap/>
            <w:vAlign w:val="center"/>
          </w:tcPr>
          <w:p w14:paraId="46EADEB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0645" cy="749300"/>
                  <wp:effectExtent l="0" t="0" r="1905" b="12700"/>
                  <wp:docPr id="131" name="图片 131" descr="48 长条软包沙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48 长条软包沙发"/>
                          <pic:cNvPicPr>
                            <a:picLocks noChangeAspect="1"/>
                          </pic:cNvPicPr>
                        </pic:nvPicPr>
                        <pic:blipFill>
                          <a:blip r:embed="rId62"/>
                          <a:stretch>
                            <a:fillRect/>
                          </a:stretch>
                        </pic:blipFill>
                        <pic:spPr>
                          <a:xfrm>
                            <a:off x="0" y="0"/>
                            <a:ext cx="1350645" cy="749300"/>
                          </a:xfrm>
                          <a:prstGeom prst="rect">
                            <a:avLst/>
                          </a:prstGeom>
                        </pic:spPr>
                      </pic:pic>
                    </a:graphicData>
                  </a:graphic>
                </wp:inline>
              </w:drawing>
            </w:r>
          </w:p>
        </w:tc>
      </w:tr>
      <w:tr w14:paraId="04C11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60" w:hRule="atLeast"/>
        </w:trPr>
        <w:tc>
          <w:tcPr>
            <w:tcW w:w="367" w:type="pct"/>
            <w:shd w:val="clear" w:color="auto" w:fill="auto"/>
            <w:vAlign w:val="center"/>
          </w:tcPr>
          <w:p w14:paraId="03DE8E4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49</w:t>
            </w:r>
          </w:p>
        </w:tc>
        <w:tc>
          <w:tcPr>
            <w:tcW w:w="542" w:type="pct"/>
            <w:shd w:val="clear" w:color="auto" w:fill="auto"/>
            <w:vAlign w:val="center"/>
          </w:tcPr>
          <w:p w14:paraId="0E7CFE0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实木圆桌</w:t>
            </w:r>
          </w:p>
        </w:tc>
        <w:tc>
          <w:tcPr>
            <w:tcW w:w="2240" w:type="pct"/>
            <w:shd w:val="clear" w:color="auto" w:fill="auto"/>
            <w:vAlign w:val="center"/>
          </w:tcPr>
          <w:p w14:paraId="584C7416">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1、规格：直径600*高600mm（±2cm）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2、采用橡胶木实木材质；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3、纹理清晰自然，坚实稳固；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4、五金配件紧密拼接，边角细腻，转角过渡自然，间隙细小且均等。</w:t>
            </w:r>
          </w:p>
        </w:tc>
        <w:tc>
          <w:tcPr>
            <w:tcW w:w="253" w:type="pct"/>
            <w:shd w:val="clear" w:color="auto" w:fill="auto"/>
            <w:vAlign w:val="center"/>
          </w:tcPr>
          <w:p w14:paraId="3CAE69D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22C6464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w:t>
            </w:r>
          </w:p>
        </w:tc>
        <w:tc>
          <w:tcPr>
            <w:tcW w:w="1261" w:type="pct"/>
            <w:shd w:val="clear" w:color="auto" w:fill="auto"/>
            <w:noWrap/>
            <w:vAlign w:val="center"/>
          </w:tcPr>
          <w:p w14:paraId="5B8D35D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19175" cy="1038225"/>
                  <wp:effectExtent l="0" t="0" r="9525" b="9525"/>
                  <wp:docPr id="132" name="图片 132" descr="49 实木圆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49 实木圆桌"/>
                          <pic:cNvPicPr>
                            <a:picLocks noChangeAspect="1"/>
                          </pic:cNvPicPr>
                        </pic:nvPicPr>
                        <pic:blipFill>
                          <a:blip r:embed="rId63"/>
                          <a:stretch>
                            <a:fillRect/>
                          </a:stretch>
                        </pic:blipFill>
                        <pic:spPr>
                          <a:xfrm>
                            <a:off x="0" y="0"/>
                            <a:ext cx="1019175" cy="1038225"/>
                          </a:xfrm>
                          <a:prstGeom prst="rect">
                            <a:avLst/>
                          </a:prstGeom>
                        </pic:spPr>
                      </pic:pic>
                    </a:graphicData>
                  </a:graphic>
                </wp:inline>
              </w:drawing>
            </w:r>
          </w:p>
        </w:tc>
      </w:tr>
      <w:tr w14:paraId="78940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20" w:hRule="atLeast"/>
        </w:trPr>
        <w:tc>
          <w:tcPr>
            <w:tcW w:w="367" w:type="pct"/>
            <w:shd w:val="clear" w:color="auto" w:fill="auto"/>
            <w:vAlign w:val="center"/>
          </w:tcPr>
          <w:p w14:paraId="6B98850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50</w:t>
            </w:r>
          </w:p>
        </w:tc>
        <w:tc>
          <w:tcPr>
            <w:tcW w:w="542" w:type="pct"/>
            <w:shd w:val="clear" w:color="auto" w:fill="auto"/>
            <w:vAlign w:val="center"/>
          </w:tcPr>
          <w:p w14:paraId="3D67C3C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实木藤编椅1</w:t>
            </w:r>
          </w:p>
        </w:tc>
        <w:tc>
          <w:tcPr>
            <w:tcW w:w="2240" w:type="pct"/>
            <w:shd w:val="clear" w:color="auto" w:fill="auto"/>
            <w:vAlign w:val="center"/>
          </w:tcPr>
          <w:p w14:paraId="752EF536">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1、规格：长540*宽530*高810mm（±2cm）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2、座垫采用天然纤维藤编工艺、不易塌垮,腰部人体工学设计，坐感舒适；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3、椅腿采用实木材质，纹理清晰整齐，承重力强，木材经过烘干房烘干处理，杜绝防霉变形开裂。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4、表面环保水性漆油面，抗吸水，无毒、无味、自然手感强，经久耐用。</w:t>
            </w:r>
          </w:p>
        </w:tc>
        <w:tc>
          <w:tcPr>
            <w:tcW w:w="253" w:type="pct"/>
            <w:shd w:val="clear" w:color="auto" w:fill="auto"/>
            <w:vAlign w:val="center"/>
          </w:tcPr>
          <w:p w14:paraId="1710DB6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7012198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w:t>
            </w:r>
          </w:p>
        </w:tc>
        <w:tc>
          <w:tcPr>
            <w:tcW w:w="1261" w:type="pct"/>
            <w:shd w:val="clear" w:color="auto" w:fill="auto"/>
            <w:noWrap/>
            <w:vAlign w:val="center"/>
          </w:tcPr>
          <w:p w14:paraId="0761227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24280" cy="1224280"/>
                  <wp:effectExtent l="0" t="0" r="13970" b="13970"/>
                  <wp:docPr id="133" name="图片 133" descr="50  实木藤编椅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50  实木藤编椅1"/>
                          <pic:cNvPicPr>
                            <a:picLocks noChangeAspect="1"/>
                          </pic:cNvPicPr>
                        </pic:nvPicPr>
                        <pic:blipFill>
                          <a:blip r:embed="rId64"/>
                          <a:stretch>
                            <a:fillRect/>
                          </a:stretch>
                        </pic:blipFill>
                        <pic:spPr>
                          <a:xfrm>
                            <a:off x="0" y="0"/>
                            <a:ext cx="1224280" cy="1224280"/>
                          </a:xfrm>
                          <a:prstGeom prst="rect">
                            <a:avLst/>
                          </a:prstGeom>
                        </pic:spPr>
                      </pic:pic>
                    </a:graphicData>
                  </a:graphic>
                </wp:inline>
              </w:drawing>
            </w:r>
          </w:p>
        </w:tc>
      </w:tr>
      <w:tr w14:paraId="6FD99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5" w:hRule="atLeast"/>
        </w:trPr>
        <w:tc>
          <w:tcPr>
            <w:tcW w:w="367" w:type="pct"/>
            <w:shd w:val="clear" w:color="auto" w:fill="auto"/>
            <w:vAlign w:val="center"/>
          </w:tcPr>
          <w:p w14:paraId="1734F00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51</w:t>
            </w:r>
          </w:p>
        </w:tc>
        <w:tc>
          <w:tcPr>
            <w:tcW w:w="542" w:type="pct"/>
            <w:shd w:val="clear" w:color="auto" w:fill="auto"/>
            <w:vAlign w:val="center"/>
          </w:tcPr>
          <w:p w14:paraId="10DDB22C">
            <w:pPr>
              <w:keepNext w:val="0"/>
              <w:keepLines w:val="0"/>
              <w:widowControl/>
              <w:suppressLineNumbers w:val="0"/>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u w:val="none"/>
                <w:lang w:val="en-US" w:eastAsia="zh-CN" w:bidi="ar"/>
              </w:rPr>
              <w:t>标准钢制六层双面书架</w:t>
            </w:r>
          </w:p>
        </w:tc>
        <w:tc>
          <w:tcPr>
            <w:tcW w:w="2240" w:type="pct"/>
            <w:shd w:val="clear" w:color="auto" w:fill="auto"/>
            <w:vAlign w:val="center"/>
          </w:tcPr>
          <w:p w14:paraId="7E8A2B87">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1.规格：长900*宽480*高2000mm，1个六层双面书架为1组；</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2.符合标准：《钢制书架通用技术条件》GB/T13667.1-2015；</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3.款式要求：钢制部分钢制架体均采用冷轧钢板，架体为立柱式结构，方便运输和装拆，牢固不松动，方便拆装。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4.底梁：采用≥1.5mm冷轧钢板，U型结构，上下折弯加强工艺；底梁外侧安装木制底条；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5.立柱：采用≥1.5mm冷轧钢板,六翻边下冲折一体成型工艺，立柱成型尺寸42 mm×39mm，允许尺寸公差±1mm，四面封闭式结构，四角圆弧角设计。立柱正面、两侧面排孔位置各压一根筋，排孔均匀冲裁，孔中心距54mm，允许尺寸公差±1mm。（详见附图）</w:t>
            </w:r>
          </w:p>
          <w:p w14:paraId="37D2E085">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color w:val="auto"/>
                <w:sz w:val="24"/>
                <w:szCs w:val="24"/>
                <w:highlight w:val="none"/>
                <w:lang w:val="en-US" w:eastAsia="zh-CN"/>
              </w:rPr>
              <w:drawing>
                <wp:inline distT="0" distB="0" distL="114300" distR="114300">
                  <wp:extent cx="2089150" cy="1566545"/>
                  <wp:effectExtent l="0" t="0" r="6350" b="14605"/>
                  <wp:docPr id="89" name="图片 89" descr="98da987858409565a7e83d2f35b13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98da987858409565a7e83d2f35b13b98"/>
                          <pic:cNvPicPr>
                            <a:picLocks noChangeAspect="1"/>
                          </pic:cNvPicPr>
                        </pic:nvPicPr>
                        <pic:blipFill>
                          <a:blip r:embed="rId65"/>
                          <a:stretch>
                            <a:fillRect/>
                          </a:stretch>
                        </pic:blipFill>
                        <pic:spPr>
                          <a:xfrm>
                            <a:off x="0" y="0"/>
                            <a:ext cx="2089150" cy="1566545"/>
                          </a:xfrm>
                          <a:prstGeom prst="rect">
                            <a:avLst/>
                          </a:prstGeom>
                        </pic:spPr>
                      </pic:pic>
                    </a:graphicData>
                  </a:graphic>
                </wp:inline>
              </w:drawing>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6.立柱质量须满足：</w:t>
            </w:r>
            <w:r>
              <w:rPr>
                <w:rFonts w:hint="eastAsia" w:ascii="宋体" w:hAnsi="宋体" w:eastAsia="宋体" w:cs="宋体"/>
                <w:b/>
                <w:bCs/>
                <w:color w:val="auto"/>
                <w:sz w:val="24"/>
                <w:szCs w:val="24"/>
                <w:highlight w:val="none"/>
                <w:u w:val="single"/>
                <w:lang w:eastAsia="zh-CN"/>
              </w:rPr>
              <w:t>依据</w:t>
            </w:r>
            <w:r>
              <w:rPr>
                <w:rFonts w:hint="eastAsia" w:ascii="宋体" w:hAnsi="宋体" w:eastAsia="宋体" w:cs="宋体"/>
                <w:b/>
                <w:bCs/>
                <w:color w:val="auto"/>
                <w:sz w:val="24"/>
                <w:szCs w:val="24"/>
                <w:highlight w:val="none"/>
                <w:u w:val="single"/>
                <w:lang w:val="en-US" w:eastAsia="zh-CN"/>
              </w:rPr>
              <w:t>GB/T13667.1-2015、QB/T4767-2014、GB/T 10125-2021、GB/T 6461-2002、GB/T35607-2024、GB/T24195-2009、GB/T 3075-2021、HG/T2006-2022、GB/T 12754-2019进行检测，检测内容为：</w:t>
            </w:r>
            <w:r>
              <w:rPr>
                <w:rFonts w:hint="eastAsia" w:ascii="宋体" w:hAnsi="宋体" w:eastAsia="宋体" w:cs="宋体"/>
                <w:color w:val="auto"/>
                <w:kern w:val="0"/>
                <w:sz w:val="24"/>
                <w:szCs w:val="24"/>
                <w:highlight w:val="none"/>
                <w:u w:val="none"/>
                <w:lang w:bidi="ar"/>
              </w:rPr>
              <w:t>冲击强度：冲击高度≥800mm，重锤质量≥1000g，应无剥落、裂纹、皱纹；耐腐蚀：≥</w:t>
            </w:r>
            <w:r>
              <w:rPr>
                <w:rFonts w:hint="eastAsia" w:ascii="宋体" w:hAnsi="宋体" w:eastAsia="宋体" w:cs="宋体"/>
                <w:color w:val="auto"/>
                <w:kern w:val="0"/>
                <w:sz w:val="24"/>
                <w:szCs w:val="24"/>
                <w:highlight w:val="none"/>
                <w:u w:val="none"/>
                <w:lang w:val="en-US" w:eastAsia="zh-CN" w:bidi="ar"/>
              </w:rPr>
              <w:t>240</w:t>
            </w:r>
            <w:r>
              <w:rPr>
                <w:rFonts w:hint="eastAsia" w:ascii="宋体" w:hAnsi="宋体" w:eastAsia="宋体" w:cs="宋体"/>
                <w:color w:val="auto"/>
                <w:kern w:val="0"/>
                <w:sz w:val="24"/>
                <w:szCs w:val="24"/>
                <w:highlight w:val="none"/>
                <w:u w:val="none"/>
                <w:lang w:bidi="ar"/>
              </w:rPr>
              <w:t>h后，样板上划道两侧≥3mm外，无锈迹、 剥落、起皱、变色和失光等现象。乙酸盐雾试验（AASS试验）：≥</w:t>
            </w:r>
            <w:r>
              <w:rPr>
                <w:rFonts w:hint="eastAsia" w:ascii="宋体" w:hAnsi="宋体" w:eastAsia="宋体" w:cs="宋体"/>
                <w:color w:val="auto"/>
                <w:kern w:val="0"/>
                <w:sz w:val="24"/>
                <w:szCs w:val="24"/>
                <w:highlight w:val="none"/>
                <w:u w:val="none"/>
                <w:lang w:val="en-US" w:eastAsia="zh-CN" w:bidi="ar"/>
              </w:rPr>
              <w:t>240</w:t>
            </w:r>
            <w:r>
              <w:rPr>
                <w:rFonts w:hint="eastAsia" w:ascii="宋体" w:hAnsi="宋体" w:eastAsia="宋体" w:cs="宋体"/>
                <w:color w:val="auto"/>
                <w:kern w:val="0"/>
                <w:sz w:val="24"/>
                <w:szCs w:val="24"/>
                <w:highlight w:val="none"/>
                <w:u w:val="none"/>
                <w:lang w:bidi="ar"/>
              </w:rPr>
              <w:t>h(连</w:t>
            </w:r>
            <w:r>
              <w:rPr>
                <w:rFonts w:hint="eastAsia" w:ascii="宋体" w:hAnsi="宋体" w:eastAsia="宋体" w:cs="宋体"/>
                <w:color w:val="auto"/>
                <w:sz w:val="24"/>
                <w:szCs w:val="24"/>
                <w:highlight w:val="none"/>
              </w:rPr>
              <w:t>续喷雾)保护评级(RP)10级、外观评级(RA)10级；产品有害物质：甲醛释放量≤0.009mg/m3；苯、甲苯、二甲苯、总挥发性有机化合物未检出；酸性盐雾、干燥和湿润条件下的循环加速腐蚀试验：经24个循环（≥192h）的加速腐蚀试验后，性能评级为10级(无缺陷)。紫外灯加速老化试验(72h)</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无粉化</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无失光</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无变色</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疲劳试验：经</w:t>
            </w:r>
            <w:r>
              <w:rPr>
                <w:rFonts w:hint="eastAsia" w:ascii="宋体" w:hAnsi="宋体" w:eastAsia="宋体" w:cs="宋体"/>
                <w:color w:val="auto"/>
                <w:sz w:val="24"/>
                <w:szCs w:val="24"/>
                <w:highlight w:val="none"/>
                <w:lang w:eastAsia="zh-CN"/>
              </w:rPr>
              <w:t>至少</w:t>
            </w:r>
            <w:r>
              <w:rPr>
                <w:rFonts w:hint="eastAsia" w:ascii="宋体" w:hAnsi="宋体" w:eastAsia="宋体" w:cs="宋体"/>
                <w:color w:val="auto"/>
                <w:sz w:val="24"/>
                <w:szCs w:val="24"/>
                <w:highlight w:val="none"/>
              </w:rPr>
              <w:t>20万次循环后 ,样件未发生开裂；杯突试验（经</w:t>
            </w:r>
            <w:r>
              <w:rPr>
                <w:rFonts w:hint="eastAsia" w:ascii="宋体" w:hAnsi="宋体" w:eastAsia="宋体" w:cs="宋体"/>
                <w:color w:val="auto"/>
                <w:kern w:val="0"/>
                <w:sz w:val="24"/>
                <w:szCs w:val="24"/>
                <w:highlight w:val="none"/>
                <w:u w:val="none"/>
                <w:lang w:bidi="ar"/>
              </w:rPr>
              <w:t>≥</w:t>
            </w:r>
            <w:r>
              <w:rPr>
                <w:rFonts w:hint="eastAsia" w:ascii="宋体" w:hAnsi="宋体" w:eastAsia="宋体" w:cs="宋体"/>
                <w:color w:val="auto"/>
                <w:sz w:val="24"/>
                <w:szCs w:val="24"/>
                <w:highlight w:val="none"/>
              </w:rPr>
              <w:t>8m冲击高度试验后，涂层无开裂现象）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压陷深度</w:t>
            </w:r>
            <w:r>
              <w:rPr>
                <w:rFonts w:hint="eastAsia" w:ascii="宋体" w:hAnsi="宋体" w:eastAsia="宋体" w:cs="宋体"/>
                <w:color w:val="auto"/>
                <w:kern w:val="0"/>
                <w:sz w:val="24"/>
                <w:szCs w:val="24"/>
                <w:highlight w:val="none"/>
                <w:u w:val="none"/>
                <w:lang w:bidi="ar"/>
              </w:rPr>
              <w:t>≥</w:t>
            </w:r>
            <w:r>
              <w:rPr>
                <w:rFonts w:hint="eastAsia" w:ascii="宋体" w:hAnsi="宋体" w:eastAsia="宋体" w:cs="宋体"/>
                <w:color w:val="auto"/>
                <w:sz w:val="24"/>
                <w:szCs w:val="24"/>
                <w:highlight w:val="none"/>
              </w:rPr>
              <w:t>8mm，试验后涂层无开裂现象</w:t>
            </w:r>
            <w:r>
              <w:rPr>
                <w:rFonts w:hint="eastAsia" w:ascii="宋体" w:hAnsi="宋体" w:eastAsia="宋体" w:cs="宋体"/>
                <w:i w:val="0"/>
                <w:iCs w:val="0"/>
                <w:color w:val="auto"/>
                <w:kern w:val="0"/>
                <w:sz w:val="24"/>
                <w:szCs w:val="24"/>
                <w:highlight w:val="none"/>
                <w:u w:val="none"/>
                <w:lang w:val="en-US" w:eastAsia="zh-CN" w:bidi="ar"/>
              </w:rPr>
              <w:t>。</w:t>
            </w:r>
            <w:r>
              <w:rPr>
                <w:rFonts w:hint="eastAsia" w:ascii="宋体" w:hAnsi="宋体" w:eastAsia="宋体" w:cs="宋体"/>
                <w:b/>
                <w:bCs/>
                <w:color w:val="auto"/>
                <w:sz w:val="24"/>
                <w:szCs w:val="24"/>
                <w:highlight w:val="none"/>
                <w:u w:val="single"/>
                <w:lang w:eastAsia="zh-CN"/>
              </w:rPr>
              <w:t>投标人须在投标文件技术商务部分中提供所投立柱由第三方检测机构出具的带有</w:t>
            </w:r>
            <w:r>
              <w:rPr>
                <w:rFonts w:hint="eastAsia" w:ascii="宋体" w:hAnsi="宋体" w:eastAsia="宋体" w:cs="宋体"/>
                <w:b/>
                <w:bCs/>
                <w:color w:val="auto"/>
                <w:sz w:val="24"/>
                <w:szCs w:val="24"/>
                <w:highlight w:val="none"/>
                <w:u w:val="single"/>
                <w:lang w:val="en-US" w:eastAsia="zh-CN"/>
              </w:rPr>
              <w:t>CMA标识的检测报告佐证本项</w:t>
            </w:r>
            <w:r>
              <w:rPr>
                <w:rFonts w:hint="eastAsia" w:ascii="宋体" w:hAnsi="宋体" w:eastAsia="宋体" w:cs="宋体"/>
                <w:b/>
                <w:bCs/>
                <w:i w:val="0"/>
                <w:iCs w:val="0"/>
                <w:color w:val="auto"/>
                <w:kern w:val="0"/>
                <w:sz w:val="24"/>
                <w:szCs w:val="24"/>
                <w:highlight w:val="none"/>
                <w:u w:val="single"/>
                <w:lang w:val="en-US" w:eastAsia="zh-CN" w:bidi="ar"/>
              </w:rPr>
              <w:t>要求。</w:t>
            </w:r>
            <w:r>
              <w:rPr>
                <w:rFonts w:hint="eastAsia" w:ascii="宋体" w:hAnsi="宋体" w:eastAsia="宋体" w:cs="宋体"/>
                <w:b/>
                <w:bCs/>
                <w:i w:val="0"/>
                <w:iCs w:val="0"/>
                <w:color w:val="auto"/>
                <w:kern w:val="0"/>
                <w:sz w:val="24"/>
                <w:szCs w:val="24"/>
                <w:highlight w:val="none"/>
                <w:u w:val="singl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7.搁板：采用≥1.0mm冷轧钢板,搁板防惯性滑落设计，九折弯一体成形工艺，两侧形成15mm（±1mm）宽内封闭式矩形口。搁板正面压制两组圆筋，每组压筋数不少于3条，搁板内侧厚度23mm（±0.5mm），外侧面厚度27mm（±0.5mm）。（详见附图）</w:t>
            </w:r>
          </w:p>
          <w:p w14:paraId="749C4904">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b w:val="0"/>
                <w:bCs w:val="0"/>
                <w:color w:val="auto"/>
                <w:sz w:val="24"/>
                <w:szCs w:val="24"/>
                <w:highlight w:val="none"/>
              </w:rPr>
              <w:drawing>
                <wp:inline distT="0" distB="0" distL="114300" distR="114300">
                  <wp:extent cx="2381885" cy="1610995"/>
                  <wp:effectExtent l="0" t="0" r="18415" b="8255"/>
                  <wp:docPr id="1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
                          <pic:cNvPicPr>
                            <a:picLocks noChangeAspect="1"/>
                          </pic:cNvPicPr>
                        </pic:nvPicPr>
                        <pic:blipFill>
                          <a:blip r:embed="rId66">
                            <a:grayscl/>
                          </a:blip>
                          <a:stretch>
                            <a:fillRect/>
                          </a:stretch>
                        </pic:blipFill>
                        <pic:spPr>
                          <a:xfrm>
                            <a:off x="0" y="0"/>
                            <a:ext cx="2381885" cy="1610995"/>
                          </a:xfrm>
                          <a:prstGeom prst="rect">
                            <a:avLst/>
                          </a:prstGeom>
                          <a:noFill/>
                          <a:ln>
                            <a:noFill/>
                          </a:ln>
                        </pic:spPr>
                      </pic:pic>
                    </a:graphicData>
                  </a:graphic>
                </wp:inline>
              </w:drawing>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8.搁板质量须满足：</w:t>
            </w:r>
            <w:r>
              <w:rPr>
                <w:rFonts w:hint="eastAsia" w:ascii="宋体" w:hAnsi="宋体" w:eastAsia="宋体" w:cs="宋体"/>
                <w:b/>
                <w:bCs/>
                <w:color w:val="auto"/>
                <w:sz w:val="24"/>
                <w:szCs w:val="24"/>
                <w:highlight w:val="none"/>
                <w:u w:val="single"/>
                <w:lang w:eastAsia="zh-CN"/>
              </w:rPr>
              <w:t>依据</w:t>
            </w:r>
            <w:r>
              <w:rPr>
                <w:rFonts w:hint="eastAsia" w:ascii="宋体" w:hAnsi="宋体" w:eastAsia="宋体" w:cs="宋体"/>
                <w:b/>
                <w:bCs/>
                <w:color w:val="auto"/>
                <w:sz w:val="24"/>
                <w:szCs w:val="24"/>
                <w:highlight w:val="none"/>
                <w:u w:val="single"/>
                <w:lang w:val="en-US" w:eastAsia="zh-CN"/>
              </w:rPr>
              <w:t>GB/T13667.1-2015、QB/T4767-2014、GB/T 10125-2021、GB/T 6461-2002、GB/T35607-2024、GB/T24195-2009、GB/T 3075-2021、HG/T2006-2022、GB/T 12754-2019进行检测，检测项目为</w:t>
            </w:r>
            <w:r>
              <w:rPr>
                <w:rFonts w:hint="eastAsia" w:ascii="宋体" w:hAnsi="宋体" w:eastAsia="宋体" w:cs="宋体"/>
                <w:i w:val="0"/>
                <w:iCs w:val="0"/>
                <w:color w:val="auto"/>
                <w:kern w:val="0"/>
                <w:sz w:val="24"/>
                <w:szCs w:val="24"/>
                <w:highlight w:val="none"/>
                <w:u w:val="none"/>
                <w:lang w:val="en-US" w:eastAsia="zh-CN" w:bidi="ar"/>
              </w:rPr>
              <w:t>：</w:t>
            </w:r>
            <w:r>
              <w:rPr>
                <w:rFonts w:hint="eastAsia" w:ascii="宋体" w:hAnsi="宋体" w:eastAsia="宋体" w:cs="宋体"/>
                <w:color w:val="auto"/>
                <w:sz w:val="24"/>
                <w:szCs w:val="24"/>
                <w:highlight w:val="none"/>
              </w:rPr>
              <w:t>冲击强度：冲击高度 800mm，重锤质量 1000g，应无剥落、裂纹、皱纹；耐腐蚀：≥</w:t>
            </w:r>
            <w:r>
              <w:rPr>
                <w:rFonts w:hint="eastAsia" w:ascii="宋体" w:hAnsi="宋体" w:eastAsia="宋体" w:cs="宋体"/>
                <w:color w:val="auto"/>
                <w:sz w:val="24"/>
                <w:szCs w:val="24"/>
                <w:highlight w:val="none"/>
                <w:lang w:val="en-US" w:eastAsia="zh-CN"/>
              </w:rPr>
              <w:t>240</w:t>
            </w:r>
            <w:r>
              <w:rPr>
                <w:rFonts w:hint="eastAsia" w:ascii="宋体" w:hAnsi="宋体" w:eastAsia="宋体" w:cs="宋体"/>
                <w:color w:val="auto"/>
                <w:sz w:val="24"/>
                <w:szCs w:val="24"/>
                <w:highlight w:val="none"/>
              </w:rPr>
              <w:t>h后，样板上划道两侧3mm外，无锈迹、 剥落、起皱、变色和失光等现象。乙酸盐雾试验（AASS试验）：≥</w:t>
            </w:r>
            <w:r>
              <w:rPr>
                <w:rFonts w:hint="eastAsia" w:ascii="宋体" w:hAnsi="宋体" w:eastAsia="宋体" w:cs="宋体"/>
                <w:color w:val="auto"/>
                <w:sz w:val="24"/>
                <w:szCs w:val="24"/>
                <w:highlight w:val="none"/>
                <w:lang w:val="en-US" w:eastAsia="zh-CN"/>
              </w:rPr>
              <w:t>240</w:t>
            </w:r>
            <w:r>
              <w:rPr>
                <w:rFonts w:hint="eastAsia" w:ascii="宋体" w:hAnsi="宋体" w:eastAsia="宋体" w:cs="宋体"/>
                <w:color w:val="auto"/>
                <w:sz w:val="24"/>
                <w:szCs w:val="24"/>
                <w:highlight w:val="none"/>
              </w:rPr>
              <w:t>h(连续喷雾)保护评级(RP)10级、外观评级(RA)10级；产品有害物质：甲醛释放量≤0.009mg/m3；苯、甲苯、二甲苯、总挥发性有机化合物未检出；酸性盐雾、干燥和湿润条件下的循环加速腐蚀试验：经24个循环（≥192h）的加速腐蚀试验后，性能评级为10级(无缺陷)。紫外灯加速老化试验(72h)</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无粉化</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无失光</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无变色</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疲劳试验：经20万次循环后 ,样件未发生开裂；杯突试验（经8m冲击高度试验后，涂层无开裂现象）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压陷深度8mm，试验后涂层无开裂现象。</w:t>
            </w:r>
            <w:r>
              <w:rPr>
                <w:rFonts w:hint="eastAsia" w:ascii="宋体" w:hAnsi="宋体" w:eastAsia="宋体" w:cs="宋体"/>
                <w:b/>
                <w:bCs/>
                <w:color w:val="auto"/>
                <w:sz w:val="24"/>
                <w:szCs w:val="24"/>
                <w:highlight w:val="none"/>
                <w:u w:val="single"/>
                <w:lang w:eastAsia="zh-CN"/>
              </w:rPr>
              <w:t>投标人须在投标文件技术商务部分中提供所投</w:t>
            </w:r>
            <w:r>
              <w:rPr>
                <w:rFonts w:hint="eastAsia" w:ascii="宋体" w:hAnsi="宋体" w:eastAsia="宋体" w:cs="宋体"/>
                <w:b/>
                <w:bCs/>
                <w:color w:val="auto"/>
                <w:sz w:val="24"/>
                <w:szCs w:val="24"/>
                <w:highlight w:val="none"/>
                <w:u w:val="single"/>
                <w:lang w:val="en-US" w:eastAsia="zh-CN"/>
              </w:rPr>
              <w:t>搁板</w:t>
            </w:r>
            <w:r>
              <w:rPr>
                <w:rFonts w:hint="eastAsia" w:ascii="宋体" w:hAnsi="宋体" w:eastAsia="宋体" w:cs="宋体"/>
                <w:b/>
                <w:bCs/>
                <w:color w:val="auto"/>
                <w:sz w:val="24"/>
                <w:szCs w:val="24"/>
                <w:highlight w:val="none"/>
                <w:u w:val="single"/>
                <w:lang w:eastAsia="zh-CN"/>
              </w:rPr>
              <w:t>由第三方检测机构出具的带有</w:t>
            </w:r>
            <w:r>
              <w:rPr>
                <w:rFonts w:hint="eastAsia" w:ascii="宋体" w:hAnsi="宋体" w:eastAsia="宋体" w:cs="宋体"/>
                <w:b/>
                <w:bCs/>
                <w:color w:val="auto"/>
                <w:sz w:val="24"/>
                <w:szCs w:val="24"/>
                <w:highlight w:val="none"/>
                <w:u w:val="single"/>
                <w:lang w:val="en-US" w:eastAsia="zh-CN"/>
              </w:rPr>
              <w:t>CMA标识的检测报告佐证本项</w:t>
            </w:r>
            <w:r>
              <w:rPr>
                <w:rFonts w:hint="eastAsia" w:ascii="宋体" w:hAnsi="宋体" w:eastAsia="宋体" w:cs="宋体"/>
                <w:b/>
                <w:bCs/>
                <w:i w:val="0"/>
                <w:iCs w:val="0"/>
                <w:color w:val="auto"/>
                <w:kern w:val="0"/>
                <w:sz w:val="24"/>
                <w:szCs w:val="24"/>
                <w:highlight w:val="none"/>
                <w:u w:val="single"/>
                <w:lang w:val="en-US" w:eastAsia="zh-CN" w:bidi="ar"/>
              </w:rPr>
              <w:t>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9.挂板：采用≥1.0mm冷轧钢板，数控一体冲压成型，可防止搁板前后窜动，通用性互换性好；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10.挂板质量须满足：</w:t>
            </w:r>
            <w:r>
              <w:rPr>
                <w:rFonts w:hint="eastAsia" w:ascii="宋体" w:hAnsi="宋体" w:eastAsia="宋体" w:cs="宋体"/>
                <w:b/>
                <w:bCs/>
                <w:color w:val="auto"/>
                <w:sz w:val="24"/>
                <w:szCs w:val="24"/>
                <w:highlight w:val="none"/>
                <w:u w:val="single"/>
                <w:lang w:eastAsia="zh-CN"/>
              </w:rPr>
              <w:t>依据</w:t>
            </w:r>
            <w:r>
              <w:rPr>
                <w:rFonts w:hint="eastAsia" w:ascii="宋体" w:hAnsi="宋体" w:eastAsia="宋体" w:cs="宋体"/>
                <w:b/>
                <w:bCs/>
                <w:color w:val="auto"/>
                <w:sz w:val="24"/>
                <w:szCs w:val="24"/>
                <w:highlight w:val="none"/>
                <w:u w:val="single"/>
                <w:lang w:val="en-US" w:eastAsia="zh-CN"/>
              </w:rPr>
              <w:t>GB/T13667.1-2015、QB/T4767-2014、GB/T 10125-2021、GB/T 6461-2002、GB/T35607-2024、GB/T24195-2009、GB/T 3075-2021、HG/T2006-2022、GB/T 12754-2019进行检测，检测项目为</w:t>
            </w:r>
            <w:r>
              <w:rPr>
                <w:rFonts w:hint="eastAsia" w:ascii="宋体" w:hAnsi="宋体" w:eastAsia="宋体" w:cs="宋体"/>
                <w:i w:val="0"/>
                <w:iCs w:val="0"/>
                <w:color w:val="auto"/>
                <w:kern w:val="0"/>
                <w:sz w:val="24"/>
                <w:szCs w:val="24"/>
                <w:highlight w:val="none"/>
                <w:u w:val="none"/>
                <w:lang w:val="en-US" w:eastAsia="zh-CN" w:bidi="ar"/>
              </w:rPr>
              <w:t>：</w:t>
            </w:r>
            <w:r>
              <w:rPr>
                <w:rFonts w:hint="eastAsia" w:ascii="宋体" w:hAnsi="宋体" w:eastAsia="宋体" w:cs="宋体"/>
                <w:color w:val="auto"/>
                <w:sz w:val="24"/>
                <w:szCs w:val="24"/>
                <w:highlight w:val="none"/>
              </w:rPr>
              <w:t>冲击强度：冲击高度 800mm，重锤质量 1000g，应无剥落、裂纹、皱纹；耐腐蚀：≥</w:t>
            </w:r>
            <w:r>
              <w:rPr>
                <w:rFonts w:hint="eastAsia" w:ascii="宋体" w:hAnsi="宋体" w:eastAsia="宋体" w:cs="宋体"/>
                <w:color w:val="auto"/>
                <w:sz w:val="24"/>
                <w:szCs w:val="24"/>
                <w:highlight w:val="none"/>
                <w:lang w:val="en-US" w:eastAsia="zh-CN"/>
              </w:rPr>
              <w:t>24</w:t>
            </w:r>
            <w:r>
              <w:rPr>
                <w:rFonts w:hint="eastAsia" w:ascii="宋体" w:hAnsi="宋体" w:eastAsia="宋体" w:cs="宋体"/>
                <w:color w:val="auto"/>
                <w:sz w:val="24"/>
                <w:szCs w:val="24"/>
                <w:highlight w:val="none"/>
              </w:rPr>
              <w:t>0h后，样板上划道两侧3mm外，无锈迹、 剥落、起皱、变色和失光等现象。乙酸盐雾试验（AASS试验）：≥</w:t>
            </w:r>
            <w:r>
              <w:rPr>
                <w:rFonts w:hint="eastAsia" w:ascii="宋体" w:hAnsi="宋体" w:eastAsia="宋体" w:cs="宋体"/>
                <w:color w:val="auto"/>
                <w:sz w:val="24"/>
                <w:szCs w:val="24"/>
                <w:highlight w:val="none"/>
                <w:lang w:val="en-US" w:eastAsia="zh-CN"/>
              </w:rPr>
              <w:t>240</w:t>
            </w:r>
            <w:r>
              <w:rPr>
                <w:rFonts w:hint="eastAsia" w:ascii="宋体" w:hAnsi="宋体" w:eastAsia="宋体" w:cs="宋体"/>
                <w:color w:val="auto"/>
                <w:sz w:val="24"/>
                <w:szCs w:val="24"/>
                <w:highlight w:val="none"/>
              </w:rPr>
              <w:t>h(连续喷雾)保护评级(RP)10级、外观评级(RA)10级；产品有害物质：甲醛释放量≤0.009mg/m3；苯、甲苯、二甲苯、总挥发性有机化合物未检出；酸性盐雾、干燥和湿润条件下的循环加速腐蚀试验：经24个循环（≥192h）的加速腐蚀试验后，性能评级为10级(无缺陷)。紫外灯加速老化试验(72h)</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无粉化</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无失光</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无变色</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疲劳试验：经20万次循环后 ,样件未发生开裂；杯突试验（经8m冲击高度试验后，涂层无开裂现象）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压陷深度8mm，试验后涂层无开裂现象。</w:t>
            </w:r>
            <w:r>
              <w:rPr>
                <w:rFonts w:hint="eastAsia" w:ascii="宋体" w:hAnsi="宋体" w:eastAsia="宋体" w:cs="宋体"/>
                <w:b/>
                <w:bCs/>
                <w:color w:val="auto"/>
                <w:sz w:val="24"/>
                <w:szCs w:val="24"/>
                <w:highlight w:val="none"/>
                <w:u w:val="single"/>
                <w:lang w:eastAsia="zh-CN"/>
              </w:rPr>
              <w:t>投标人须在投标文件技术商务部分中提供所投</w:t>
            </w:r>
            <w:r>
              <w:rPr>
                <w:rFonts w:hint="eastAsia" w:ascii="宋体" w:hAnsi="宋体" w:eastAsia="宋体" w:cs="宋体"/>
                <w:b/>
                <w:bCs/>
                <w:color w:val="auto"/>
                <w:sz w:val="24"/>
                <w:szCs w:val="24"/>
                <w:highlight w:val="none"/>
                <w:u w:val="single"/>
                <w:lang w:val="en-US" w:eastAsia="zh-CN"/>
              </w:rPr>
              <w:t>挂板</w:t>
            </w:r>
            <w:r>
              <w:rPr>
                <w:rFonts w:hint="eastAsia" w:ascii="宋体" w:hAnsi="宋体" w:eastAsia="宋体" w:cs="宋体"/>
                <w:b/>
                <w:bCs/>
                <w:color w:val="auto"/>
                <w:sz w:val="24"/>
                <w:szCs w:val="24"/>
                <w:highlight w:val="none"/>
                <w:u w:val="single"/>
                <w:lang w:eastAsia="zh-CN"/>
              </w:rPr>
              <w:t>由第三方检测机构出具的带有</w:t>
            </w:r>
            <w:r>
              <w:rPr>
                <w:rFonts w:hint="eastAsia" w:ascii="宋体" w:hAnsi="宋体" w:eastAsia="宋体" w:cs="宋体"/>
                <w:b/>
                <w:bCs/>
                <w:color w:val="auto"/>
                <w:sz w:val="24"/>
                <w:szCs w:val="24"/>
                <w:highlight w:val="none"/>
                <w:u w:val="single"/>
                <w:lang w:val="en-US" w:eastAsia="zh-CN"/>
              </w:rPr>
              <w:t>CMA标识的检测报告佐证本项</w:t>
            </w:r>
            <w:r>
              <w:rPr>
                <w:rFonts w:hint="eastAsia" w:ascii="宋体" w:hAnsi="宋体" w:eastAsia="宋体" w:cs="宋体"/>
                <w:b/>
                <w:bCs/>
                <w:i w:val="0"/>
                <w:iCs w:val="0"/>
                <w:color w:val="auto"/>
                <w:kern w:val="0"/>
                <w:sz w:val="24"/>
                <w:szCs w:val="24"/>
                <w:highlight w:val="none"/>
                <w:u w:val="single"/>
                <w:lang w:val="en-US" w:eastAsia="zh-CN" w:bidi="ar"/>
              </w:rPr>
              <w:t>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11.顶板：采用≥1.0mm冷轧钢板，一体成型工艺，平板式结构。成型厚35mm±1mm。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12.挡棒：采用≥1.0mm冷轧钢板，与立柱或挂板上孔位机械配合，紧密相连不易松动脱落，也不易导致挂板产生不可逆转的变形，安装便捷；</w:t>
            </w:r>
          </w:p>
          <w:p w14:paraId="70CA0F4D">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color w:val="auto"/>
                <w:sz w:val="24"/>
                <w:szCs w:val="24"/>
                <w:highlight w:val="none"/>
                <w:lang w:val="en-US" w:eastAsia="zh-CN"/>
              </w:rPr>
              <w:t>13.挡</w:t>
            </w:r>
            <w:r>
              <w:rPr>
                <w:rFonts w:hint="eastAsia" w:ascii="宋体" w:hAnsi="宋体" w:eastAsia="宋体" w:cs="宋体"/>
                <w:color w:val="auto"/>
                <w:sz w:val="24"/>
                <w:szCs w:val="24"/>
                <w:highlight w:val="none"/>
              </w:rPr>
              <w:t>棒</w:t>
            </w:r>
            <w:r>
              <w:rPr>
                <w:rFonts w:hint="eastAsia" w:ascii="宋体" w:hAnsi="宋体" w:eastAsia="宋体" w:cs="宋体"/>
                <w:color w:val="auto"/>
                <w:sz w:val="24"/>
                <w:szCs w:val="24"/>
                <w:highlight w:val="none"/>
                <w:lang w:val="en-US" w:eastAsia="zh-CN"/>
              </w:rPr>
              <w:t>质量须满足</w:t>
            </w:r>
            <w:r>
              <w:rPr>
                <w:rFonts w:hint="eastAsia" w:ascii="宋体" w:hAnsi="宋体" w:eastAsia="宋体" w:cs="宋体"/>
                <w:b/>
                <w:bCs/>
                <w:color w:val="auto"/>
                <w:sz w:val="24"/>
                <w:szCs w:val="24"/>
                <w:highlight w:val="none"/>
                <w:u w:val="single"/>
                <w:lang w:val="en-US" w:eastAsia="zh-CN"/>
              </w:rPr>
              <w:t>依据GB/T10125-2021进行检测，检测项目为：</w:t>
            </w:r>
            <w:r>
              <w:rPr>
                <w:rFonts w:hint="eastAsia" w:ascii="宋体" w:hAnsi="宋体" w:eastAsia="宋体" w:cs="宋体"/>
                <w:color w:val="auto"/>
                <w:sz w:val="24"/>
                <w:szCs w:val="24"/>
                <w:highlight w:val="none"/>
              </w:rPr>
              <w:t>测试条件 PH 值 6.5~7.2，测量时间≥300h，测试后，表面无明显变化，涂膜无裂纹、皱纹及剥落现象、涂膜无脱落现象，耐腐蚀等级达到10 级</w:t>
            </w:r>
            <w:r>
              <w:rPr>
                <w:rFonts w:hint="eastAsia" w:ascii="宋体" w:hAnsi="宋体" w:eastAsia="宋体" w:cs="宋体"/>
                <w:color w:val="auto"/>
                <w:sz w:val="24"/>
                <w:szCs w:val="24"/>
                <w:highlight w:val="none"/>
                <w:lang w:eastAsia="zh-CN"/>
              </w:rPr>
              <w:t>。</w:t>
            </w:r>
            <w:r>
              <w:rPr>
                <w:rFonts w:hint="eastAsia" w:ascii="宋体" w:hAnsi="宋体" w:eastAsia="宋体" w:cs="宋体"/>
                <w:b/>
                <w:bCs/>
                <w:color w:val="auto"/>
                <w:sz w:val="24"/>
                <w:szCs w:val="24"/>
                <w:highlight w:val="none"/>
                <w:u w:val="single"/>
                <w:lang w:eastAsia="zh-CN"/>
              </w:rPr>
              <w:t>投标人须在投标文件技术商务部分中提供所投</w:t>
            </w:r>
            <w:r>
              <w:rPr>
                <w:rFonts w:hint="eastAsia" w:ascii="宋体" w:hAnsi="宋体" w:eastAsia="宋体" w:cs="宋体"/>
                <w:b/>
                <w:bCs/>
                <w:color w:val="auto"/>
                <w:sz w:val="24"/>
                <w:szCs w:val="24"/>
                <w:highlight w:val="none"/>
                <w:u w:val="single"/>
              </w:rPr>
              <w:t>档棒</w:t>
            </w:r>
            <w:r>
              <w:rPr>
                <w:rFonts w:hint="eastAsia" w:ascii="宋体" w:hAnsi="宋体" w:eastAsia="宋体" w:cs="宋体"/>
                <w:b/>
                <w:bCs/>
                <w:color w:val="auto"/>
                <w:sz w:val="24"/>
                <w:szCs w:val="24"/>
                <w:highlight w:val="none"/>
                <w:u w:val="single"/>
                <w:lang w:eastAsia="zh-CN"/>
              </w:rPr>
              <w:t>由第三方检测机构出具的带有</w:t>
            </w:r>
            <w:r>
              <w:rPr>
                <w:rFonts w:hint="eastAsia" w:ascii="宋体" w:hAnsi="宋体" w:eastAsia="宋体" w:cs="宋体"/>
                <w:b/>
                <w:bCs/>
                <w:color w:val="auto"/>
                <w:sz w:val="24"/>
                <w:szCs w:val="24"/>
                <w:highlight w:val="none"/>
                <w:u w:val="single"/>
                <w:lang w:val="en-US" w:eastAsia="zh-CN"/>
              </w:rPr>
              <w:t>CMA标识的检测报告佐证本项</w:t>
            </w:r>
            <w:r>
              <w:rPr>
                <w:rFonts w:hint="eastAsia" w:ascii="宋体" w:hAnsi="宋体" w:eastAsia="宋体" w:cs="宋体"/>
                <w:b/>
                <w:bCs/>
                <w:i w:val="0"/>
                <w:iCs w:val="0"/>
                <w:color w:val="auto"/>
                <w:kern w:val="0"/>
                <w:sz w:val="24"/>
                <w:szCs w:val="24"/>
                <w:highlight w:val="none"/>
                <w:u w:val="single"/>
                <w:lang w:val="en-US" w:eastAsia="zh-CN" w:bidi="ar"/>
              </w:rPr>
              <w:t>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14.钢板结构强度要求和稳定性试验：搁板最大挠度小于3mm，满负荷24小时卸载后，无裂缝及永久变形。搁板满负荷24小时后，最大挠度为2mm，卸载后自动恢复。卸载后搁板无裂缝、不变形。</w:t>
            </w:r>
          </w:p>
        </w:tc>
        <w:tc>
          <w:tcPr>
            <w:tcW w:w="253" w:type="pct"/>
            <w:shd w:val="clear" w:color="auto" w:fill="auto"/>
            <w:vAlign w:val="center"/>
          </w:tcPr>
          <w:p w14:paraId="3F18B91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1884741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26</w:t>
            </w:r>
          </w:p>
        </w:tc>
        <w:tc>
          <w:tcPr>
            <w:tcW w:w="1261" w:type="pct"/>
            <w:shd w:val="clear" w:color="auto" w:fill="auto"/>
            <w:noWrap/>
            <w:vAlign w:val="center"/>
          </w:tcPr>
          <w:p w14:paraId="623D378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1113790"/>
                  <wp:effectExtent l="0" t="0" r="0" b="10160"/>
                  <wp:docPr id="134" name="图片 134" descr="51 标准钢制六层双面书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51 标准钢制六层双面书架"/>
                          <pic:cNvPicPr>
                            <a:picLocks noChangeAspect="1"/>
                          </pic:cNvPicPr>
                        </pic:nvPicPr>
                        <pic:blipFill>
                          <a:blip r:embed="rId67"/>
                          <a:stretch>
                            <a:fillRect/>
                          </a:stretch>
                        </pic:blipFill>
                        <pic:spPr>
                          <a:xfrm>
                            <a:off x="0" y="0"/>
                            <a:ext cx="1352550" cy="1113790"/>
                          </a:xfrm>
                          <a:prstGeom prst="rect">
                            <a:avLst/>
                          </a:prstGeom>
                        </pic:spPr>
                      </pic:pic>
                    </a:graphicData>
                  </a:graphic>
                </wp:inline>
              </w:drawing>
            </w:r>
          </w:p>
        </w:tc>
      </w:tr>
      <w:tr w14:paraId="09938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00" w:hRule="atLeast"/>
        </w:trPr>
        <w:tc>
          <w:tcPr>
            <w:tcW w:w="367" w:type="pct"/>
            <w:shd w:val="clear" w:color="auto" w:fill="auto"/>
            <w:vAlign w:val="center"/>
          </w:tcPr>
          <w:p w14:paraId="0E024AC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52</w:t>
            </w:r>
          </w:p>
        </w:tc>
        <w:tc>
          <w:tcPr>
            <w:tcW w:w="542" w:type="pct"/>
            <w:shd w:val="clear" w:color="auto" w:fill="auto"/>
            <w:vAlign w:val="center"/>
          </w:tcPr>
          <w:p w14:paraId="7FC5AE9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木板书架包边</w:t>
            </w:r>
          </w:p>
        </w:tc>
        <w:tc>
          <w:tcPr>
            <w:tcW w:w="2240" w:type="pct"/>
            <w:shd w:val="clear" w:color="auto" w:fill="auto"/>
            <w:vAlign w:val="center"/>
          </w:tcPr>
          <w:p w14:paraId="2B6A841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1、基材：采用三聚氰胺饰面板，面板木纹纹理自然。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2、封边：不易变形及开裂，封边细腻，线条均匀，转交过度自然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3、颜色与原有书架一致。</w:t>
            </w:r>
          </w:p>
        </w:tc>
        <w:tc>
          <w:tcPr>
            <w:tcW w:w="253" w:type="pct"/>
            <w:shd w:val="clear" w:color="auto" w:fill="auto"/>
            <w:noWrap/>
            <w:vAlign w:val="center"/>
          </w:tcPr>
          <w:p w14:paraId="49237BF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21849FE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26</w:t>
            </w:r>
          </w:p>
        </w:tc>
        <w:tc>
          <w:tcPr>
            <w:tcW w:w="1261" w:type="pct"/>
            <w:shd w:val="clear" w:color="auto" w:fill="auto"/>
            <w:noWrap/>
            <w:vAlign w:val="center"/>
          </w:tcPr>
          <w:p w14:paraId="67ED016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777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40" w:hRule="atLeast"/>
        </w:trPr>
        <w:tc>
          <w:tcPr>
            <w:tcW w:w="367" w:type="pct"/>
            <w:shd w:val="clear" w:color="auto" w:fill="auto"/>
            <w:vAlign w:val="center"/>
          </w:tcPr>
          <w:p w14:paraId="00D3EA9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53</w:t>
            </w:r>
          </w:p>
        </w:tc>
        <w:tc>
          <w:tcPr>
            <w:tcW w:w="542" w:type="pct"/>
            <w:shd w:val="clear" w:color="auto" w:fill="auto"/>
            <w:vAlign w:val="center"/>
          </w:tcPr>
          <w:p w14:paraId="16E2225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玻璃门</w:t>
            </w:r>
          </w:p>
        </w:tc>
        <w:tc>
          <w:tcPr>
            <w:tcW w:w="2240" w:type="pct"/>
            <w:shd w:val="clear" w:color="auto" w:fill="auto"/>
            <w:vAlign w:val="center"/>
          </w:tcPr>
          <w:p w14:paraId="472F959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1、规格：宽1000*高2200mm（±10mm）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2、采用≥10mm厚度钢化玻璃；</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3、不锈钢门套边框包边，稳重牢固；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4、整体五金配件紧密拼接，边角细腻，转角过渡自然，间隙细小且均等。</w:t>
            </w:r>
          </w:p>
        </w:tc>
        <w:tc>
          <w:tcPr>
            <w:tcW w:w="253" w:type="pct"/>
            <w:shd w:val="clear" w:color="auto" w:fill="auto"/>
            <w:noWrap/>
            <w:vAlign w:val="center"/>
          </w:tcPr>
          <w:p w14:paraId="346FA8D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扇</w:t>
            </w:r>
          </w:p>
        </w:tc>
        <w:tc>
          <w:tcPr>
            <w:tcW w:w="334" w:type="pct"/>
            <w:shd w:val="clear" w:color="auto" w:fill="auto"/>
            <w:noWrap/>
            <w:vAlign w:val="center"/>
          </w:tcPr>
          <w:p w14:paraId="08A18E1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5D410A8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66800" cy="1304925"/>
                  <wp:effectExtent l="0" t="0" r="0" b="9525"/>
                  <wp:docPr id="135" name="图片 135" descr="53 玻璃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53 玻璃门"/>
                          <pic:cNvPicPr>
                            <a:picLocks noChangeAspect="1"/>
                          </pic:cNvPicPr>
                        </pic:nvPicPr>
                        <pic:blipFill>
                          <a:blip r:embed="rId68"/>
                          <a:stretch>
                            <a:fillRect/>
                          </a:stretch>
                        </pic:blipFill>
                        <pic:spPr>
                          <a:xfrm>
                            <a:off x="0" y="0"/>
                            <a:ext cx="1066800" cy="1304925"/>
                          </a:xfrm>
                          <a:prstGeom prst="rect">
                            <a:avLst/>
                          </a:prstGeom>
                        </pic:spPr>
                      </pic:pic>
                    </a:graphicData>
                  </a:graphic>
                </wp:inline>
              </w:drawing>
            </w:r>
          </w:p>
        </w:tc>
      </w:tr>
      <w:tr w14:paraId="62510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367" w:type="pct"/>
            <w:shd w:val="clear" w:color="auto" w:fill="auto"/>
            <w:vAlign w:val="center"/>
          </w:tcPr>
          <w:p w14:paraId="6C729E0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54</w:t>
            </w:r>
          </w:p>
        </w:tc>
        <w:tc>
          <w:tcPr>
            <w:tcW w:w="542" w:type="pct"/>
            <w:shd w:val="clear" w:color="auto" w:fill="auto"/>
            <w:vAlign w:val="center"/>
          </w:tcPr>
          <w:p w14:paraId="5F0A7F4C">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门禁感应系统2</w:t>
            </w:r>
          </w:p>
        </w:tc>
        <w:tc>
          <w:tcPr>
            <w:tcW w:w="2240" w:type="pct"/>
            <w:shd w:val="clear" w:color="auto" w:fill="auto"/>
            <w:vAlign w:val="center"/>
          </w:tcPr>
          <w:p w14:paraId="041750C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密码门禁系统,连接消防系统。</w:t>
            </w:r>
          </w:p>
        </w:tc>
        <w:tc>
          <w:tcPr>
            <w:tcW w:w="253" w:type="pct"/>
            <w:shd w:val="clear" w:color="auto" w:fill="auto"/>
            <w:noWrap/>
            <w:vAlign w:val="center"/>
          </w:tcPr>
          <w:p w14:paraId="0C97860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noWrap/>
            <w:vAlign w:val="center"/>
          </w:tcPr>
          <w:p w14:paraId="4F0A397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7C6D1FA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10CB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20" w:hRule="atLeast"/>
        </w:trPr>
        <w:tc>
          <w:tcPr>
            <w:tcW w:w="367" w:type="pct"/>
            <w:shd w:val="clear" w:color="auto" w:fill="auto"/>
            <w:vAlign w:val="center"/>
          </w:tcPr>
          <w:p w14:paraId="55BCA80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55</w:t>
            </w:r>
          </w:p>
        </w:tc>
        <w:tc>
          <w:tcPr>
            <w:tcW w:w="542" w:type="pct"/>
            <w:shd w:val="clear" w:color="auto" w:fill="auto"/>
            <w:vAlign w:val="center"/>
          </w:tcPr>
          <w:p w14:paraId="549B254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文化牌1</w:t>
            </w:r>
          </w:p>
        </w:tc>
        <w:tc>
          <w:tcPr>
            <w:tcW w:w="2240" w:type="pct"/>
            <w:shd w:val="clear" w:color="auto" w:fill="auto"/>
            <w:vAlign w:val="center"/>
          </w:tcPr>
          <w:p w14:paraId="374AC5CE">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1、采用PVC材质，色泽亮丽；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2、五金配件紧密拼接，边角细腻，转角过度自然，间隙细小且均等。</w:t>
            </w:r>
          </w:p>
        </w:tc>
        <w:tc>
          <w:tcPr>
            <w:tcW w:w="253" w:type="pct"/>
            <w:shd w:val="clear" w:color="auto" w:fill="auto"/>
            <w:noWrap/>
            <w:vAlign w:val="center"/>
          </w:tcPr>
          <w:p w14:paraId="24F85D2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78B5AD2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8FB61C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0645" cy="410845"/>
                  <wp:effectExtent l="0" t="0" r="1905" b="8255"/>
                  <wp:docPr id="136" name="图片 136" descr="55 文化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55 文化牌"/>
                          <pic:cNvPicPr>
                            <a:picLocks noChangeAspect="1"/>
                          </pic:cNvPicPr>
                        </pic:nvPicPr>
                        <pic:blipFill>
                          <a:blip r:embed="rId69"/>
                          <a:stretch>
                            <a:fillRect/>
                          </a:stretch>
                        </pic:blipFill>
                        <pic:spPr>
                          <a:xfrm>
                            <a:off x="0" y="0"/>
                            <a:ext cx="1350645" cy="410845"/>
                          </a:xfrm>
                          <a:prstGeom prst="rect">
                            <a:avLst/>
                          </a:prstGeom>
                        </pic:spPr>
                      </pic:pic>
                    </a:graphicData>
                  </a:graphic>
                </wp:inline>
              </w:drawing>
            </w:r>
          </w:p>
        </w:tc>
      </w:tr>
      <w:tr w14:paraId="6048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1" w:hRule="atLeast"/>
        </w:trPr>
        <w:tc>
          <w:tcPr>
            <w:tcW w:w="367" w:type="pct"/>
            <w:shd w:val="clear" w:color="auto" w:fill="auto"/>
            <w:vAlign w:val="center"/>
          </w:tcPr>
          <w:p w14:paraId="37AF43A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56</w:t>
            </w:r>
          </w:p>
        </w:tc>
        <w:tc>
          <w:tcPr>
            <w:tcW w:w="542" w:type="pct"/>
            <w:shd w:val="clear" w:color="auto" w:fill="auto"/>
            <w:vAlign w:val="center"/>
          </w:tcPr>
          <w:p w14:paraId="4FFB67E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拆除修补1</w:t>
            </w:r>
          </w:p>
        </w:tc>
        <w:tc>
          <w:tcPr>
            <w:tcW w:w="2240" w:type="pct"/>
            <w:shd w:val="clear" w:color="auto" w:fill="auto"/>
            <w:vAlign w:val="center"/>
          </w:tcPr>
          <w:p w14:paraId="649DE0F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原空间灯具、风扇、及其他东西拆除搬运等，将一楼资料室拆除玻璃隔断，把文件柜搬到二楼书库</w:t>
            </w:r>
          </w:p>
        </w:tc>
        <w:tc>
          <w:tcPr>
            <w:tcW w:w="253" w:type="pct"/>
            <w:shd w:val="clear" w:color="auto" w:fill="auto"/>
            <w:vAlign w:val="center"/>
          </w:tcPr>
          <w:p w14:paraId="38C8887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7799867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22CD785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4E550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1" w:hRule="atLeast"/>
        </w:trPr>
        <w:tc>
          <w:tcPr>
            <w:tcW w:w="367" w:type="pct"/>
            <w:shd w:val="clear" w:color="auto" w:fill="auto"/>
            <w:vAlign w:val="center"/>
          </w:tcPr>
          <w:p w14:paraId="74DB3B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57</w:t>
            </w:r>
          </w:p>
        </w:tc>
        <w:tc>
          <w:tcPr>
            <w:tcW w:w="542" w:type="pct"/>
            <w:shd w:val="clear" w:color="auto" w:fill="auto"/>
            <w:vAlign w:val="center"/>
          </w:tcPr>
          <w:p w14:paraId="127B400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集成服务1</w:t>
            </w:r>
          </w:p>
        </w:tc>
        <w:tc>
          <w:tcPr>
            <w:tcW w:w="2240" w:type="pct"/>
            <w:shd w:val="clear" w:color="auto" w:fill="auto"/>
            <w:vAlign w:val="center"/>
          </w:tcPr>
          <w:p w14:paraId="09D9EB2D">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清洁，设施围挡、辅材搬运及项目现场管理集成服务等</w:t>
            </w:r>
          </w:p>
        </w:tc>
        <w:tc>
          <w:tcPr>
            <w:tcW w:w="253" w:type="pct"/>
            <w:shd w:val="clear" w:color="auto" w:fill="auto"/>
            <w:vAlign w:val="center"/>
          </w:tcPr>
          <w:p w14:paraId="61DE5AA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7B39A42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72F9B89A">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3C0B2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0" w:hRule="atLeast"/>
        </w:trPr>
        <w:tc>
          <w:tcPr>
            <w:tcW w:w="5000" w:type="pct"/>
            <w:gridSpan w:val="6"/>
            <w:shd w:val="clear" w:color="auto" w:fill="auto"/>
            <w:noWrap/>
            <w:vAlign w:val="center"/>
          </w:tcPr>
          <w:p w14:paraId="42279731">
            <w:pPr>
              <w:spacing w:line="360" w:lineRule="auto"/>
              <w:jc w:val="center"/>
              <w:rPr>
                <w:rFonts w:hint="eastAsia" w:ascii="宋体" w:hAnsi="宋体" w:eastAsia="宋体" w:cs="宋体"/>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三、二楼过道空间家具类</w:t>
            </w:r>
          </w:p>
        </w:tc>
      </w:tr>
      <w:tr w14:paraId="2DA7B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740" w:hRule="atLeast"/>
        </w:trPr>
        <w:tc>
          <w:tcPr>
            <w:tcW w:w="367" w:type="pct"/>
            <w:shd w:val="clear" w:color="auto" w:fill="auto"/>
            <w:vAlign w:val="center"/>
          </w:tcPr>
          <w:p w14:paraId="3D66A6D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58</w:t>
            </w:r>
          </w:p>
        </w:tc>
        <w:tc>
          <w:tcPr>
            <w:tcW w:w="542" w:type="pct"/>
            <w:shd w:val="clear" w:color="auto" w:fill="auto"/>
            <w:vAlign w:val="center"/>
          </w:tcPr>
          <w:p w14:paraId="60CF93B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二楼过道造型吊顶</w:t>
            </w:r>
          </w:p>
        </w:tc>
        <w:tc>
          <w:tcPr>
            <w:tcW w:w="2240" w:type="pct"/>
            <w:shd w:val="clear" w:color="auto" w:fill="auto"/>
            <w:vAlign w:val="center"/>
          </w:tcPr>
          <w:p w14:paraId="322CD08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1、轻钢龙骨、轻钢龙付骨、自攻螺丝8厘吊杆螺、帽垫片膨胀头，面封硅酸钙板；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2、面刷乳胶漆，高遮盖力，抗碱防霉，覆盖细微裂纹。净味防裂，弹性防裂抗粉化效果以及多重保护效果使墙面能够保持长久亮丽。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3、边角细腻，转角过渡自然，间隙细小且均等。</w:t>
            </w:r>
          </w:p>
        </w:tc>
        <w:tc>
          <w:tcPr>
            <w:tcW w:w="253" w:type="pct"/>
            <w:shd w:val="clear" w:color="auto" w:fill="auto"/>
            <w:noWrap/>
            <w:vAlign w:val="center"/>
          </w:tcPr>
          <w:p w14:paraId="3AE0F68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081A949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25</w:t>
            </w:r>
          </w:p>
        </w:tc>
        <w:tc>
          <w:tcPr>
            <w:tcW w:w="1261" w:type="pct"/>
            <w:vMerge w:val="restart"/>
            <w:shd w:val="clear" w:color="auto" w:fill="auto"/>
            <w:noWrap/>
            <w:vAlign w:val="center"/>
          </w:tcPr>
          <w:p w14:paraId="57467EC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280" cy="730885"/>
                  <wp:effectExtent l="0" t="0" r="1270" b="12065"/>
                  <wp:docPr id="137" name="图片 137" descr="58-59二楼过道铝方通吊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58-59二楼过道铝方通吊顶"/>
                          <pic:cNvPicPr>
                            <a:picLocks noChangeAspect="1"/>
                          </pic:cNvPicPr>
                        </pic:nvPicPr>
                        <pic:blipFill>
                          <a:blip r:embed="rId70"/>
                          <a:stretch>
                            <a:fillRect/>
                          </a:stretch>
                        </pic:blipFill>
                        <pic:spPr>
                          <a:xfrm>
                            <a:off x="0" y="0"/>
                            <a:ext cx="1351280" cy="730885"/>
                          </a:xfrm>
                          <a:prstGeom prst="rect">
                            <a:avLst/>
                          </a:prstGeom>
                        </pic:spPr>
                      </pic:pic>
                    </a:graphicData>
                  </a:graphic>
                </wp:inline>
              </w:drawing>
            </w:r>
          </w:p>
        </w:tc>
      </w:tr>
      <w:tr w14:paraId="3F509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660" w:hRule="atLeast"/>
        </w:trPr>
        <w:tc>
          <w:tcPr>
            <w:tcW w:w="367" w:type="pct"/>
            <w:shd w:val="clear" w:color="auto" w:fill="auto"/>
            <w:vAlign w:val="center"/>
          </w:tcPr>
          <w:p w14:paraId="51668A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59</w:t>
            </w:r>
          </w:p>
        </w:tc>
        <w:tc>
          <w:tcPr>
            <w:tcW w:w="542" w:type="pct"/>
            <w:shd w:val="clear" w:color="auto" w:fill="auto"/>
            <w:vAlign w:val="center"/>
          </w:tcPr>
          <w:p w14:paraId="6C941C1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二楼过道铝方通吊顶</w:t>
            </w:r>
          </w:p>
        </w:tc>
        <w:tc>
          <w:tcPr>
            <w:tcW w:w="2240" w:type="pct"/>
            <w:shd w:val="clear" w:color="auto" w:fill="auto"/>
            <w:vAlign w:val="center"/>
          </w:tcPr>
          <w:p w14:paraId="7ADBA41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1、基材采用铝；</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2、烤漆工艺，无颗粒、气泡、渣点、颜色均匀；</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4、整体五金配件紧密拼接，封边细腻，转角过渡自然，间隙细小且均等。</w:t>
            </w:r>
          </w:p>
        </w:tc>
        <w:tc>
          <w:tcPr>
            <w:tcW w:w="253" w:type="pct"/>
            <w:shd w:val="clear" w:color="auto" w:fill="auto"/>
            <w:noWrap/>
            <w:vAlign w:val="center"/>
          </w:tcPr>
          <w:p w14:paraId="4F70B02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3F5CDD3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102</w:t>
            </w:r>
          </w:p>
        </w:tc>
        <w:tc>
          <w:tcPr>
            <w:tcW w:w="1261" w:type="pct"/>
            <w:vMerge w:val="continue"/>
            <w:shd w:val="clear" w:color="auto" w:fill="auto"/>
            <w:noWrap/>
            <w:vAlign w:val="center"/>
          </w:tcPr>
          <w:p w14:paraId="51F8176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65B1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00" w:hRule="atLeast"/>
        </w:trPr>
        <w:tc>
          <w:tcPr>
            <w:tcW w:w="367" w:type="pct"/>
            <w:shd w:val="clear" w:color="auto" w:fill="auto"/>
            <w:vAlign w:val="center"/>
          </w:tcPr>
          <w:p w14:paraId="12C02FA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60</w:t>
            </w:r>
          </w:p>
        </w:tc>
        <w:tc>
          <w:tcPr>
            <w:tcW w:w="542" w:type="pct"/>
            <w:shd w:val="clear" w:color="auto" w:fill="auto"/>
            <w:vAlign w:val="center"/>
          </w:tcPr>
          <w:p w14:paraId="63CFC9D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长条灯1</w:t>
            </w:r>
          </w:p>
        </w:tc>
        <w:tc>
          <w:tcPr>
            <w:tcW w:w="2240" w:type="pct"/>
            <w:shd w:val="clear" w:color="auto" w:fill="auto"/>
            <w:vAlign w:val="center"/>
          </w:tcPr>
          <w:p w14:paraId="2012373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规格：长1500*宽100*高40mm（±2cm）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1、灯体采用铁艺框架结构，坚实稳固不易变形，高温环保烤漆工艺，色泽历史如新；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2、采用PMMA高透光率灯罩，透光效果强，灯光柔和不刺眼；</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3、五金配件紧密拼接，边角细腻，转角过渡自然，间隙细小且均等。</w:t>
            </w:r>
          </w:p>
        </w:tc>
        <w:tc>
          <w:tcPr>
            <w:tcW w:w="253" w:type="pct"/>
            <w:shd w:val="clear" w:color="auto" w:fill="auto"/>
            <w:vAlign w:val="center"/>
          </w:tcPr>
          <w:p w14:paraId="239638B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盏</w:t>
            </w:r>
          </w:p>
        </w:tc>
        <w:tc>
          <w:tcPr>
            <w:tcW w:w="334" w:type="pct"/>
            <w:shd w:val="clear" w:color="auto" w:fill="auto"/>
            <w:noWrap/>
            <w:vAlign w:val="center"/>
          </w:tcPr>
          <w:p w14:paraId="5A26FA9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37</w:t>
            </w:r>
          </w:p>
        </w:tc>
        <w:tc>
          <w:tcPr>
            <w:tcW w:w="1261" w:type="pct"/>
            <w:shd w:val="clear" w:color="auto" w:fill="auto"/>
            <w:noWrap/>
            <w:vAlign w:val="center"/>
          </w:tcPr>
          <w:p w14:paraId="7FB69B2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1915" cy="1230630"/>
                  <wp:effectExtent l="0" t="0" r="635" b="7620"/>
                  <wp:docPr id="138" name="图片 138" descr="60 长条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60 长条灯"/>
                          <pic:cNvPicPr>
                            <a:picLocks noChangeAspect="1"/>
                          </pic:cNvPicPr>
                        </pic:nvPicPr>
                        <pic:blipFill>
                          <a:blip r:embed="rId71"/>
                          <a:stretch>
                            <a:fillRect/>
                          </a:stretch>
                        </pic:blipFill>
                        <pic:spPr>
                          <a:xfrm>
                            <a:off x="0" y="0"/>
                            <a:ext cx="1351915" cy="1230630"/>
                          </a:xfrm>
                          <a:prstGeom prst="rect">
                            <a:avLst/>
                          </a:prstGeom>
                        </pic:spPr>
                      </pic:pic>
                    </a:graphicData>
                  </a:graphic>
                </wp:inline>
              </w:drawing>
            </w:r>
          </w:p>
        </w:tc>
      </w:tr>
      <w:tr w14:paraId="68DAE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90" w:hRule="atLeast"/>
        </w:trPr>
        <w:tc>
          <w:tcPr>
            <w:tcW w:w="367" w:type="pct"/>
            <w:shd w:val="clear" w:color="auto" w:fill="auto"/>
            <w:vAlign w:val="center"/>
          </w:tcPr>
          <w:p w14:paraId="15C18B5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61</w:t>
            </w:r>
          </w:p>
        </w:tc>
        <w:tc>
          <w:tcPr>
            <w:tcW w:w="542" w:type="pct"/>
            <w:shd w:val="clear" w:color="auto" w:fill="auto"/>
            <w:vAlign w:val="center"/>
          </w:tcPr>
          <w:p w14:paraId="15E324C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过道文化牌</w:t>
            </w:r>
          </w:p>
        </w:tc>
        <w:tc>
          <w:tcPr>
            <w:tcW w:w="2240" w:type="pct"/>
            <w:shd w:val="clear" w:color="auto" w:fill="auto"/>
            <w:vAlign w:val="center"/>
          </w:tcPr>
          <w:p w14:paraId="70822B13">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1、采用PVC材质，色泽亮丽；</w:t>
            </w:r>
          </w:p>
          <w:p w14:paraId="02427C5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2、主题文字“最是书香能致远，腹有诗书气自华”</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3、配件紧密拼接，边角细腻，转角过度自然。</w:t>
            </w:r>
          </w:p>
        </w:tc>
        <w:tc>
          <w:tcPr>
            <w:tcW w:w="253" w:type="pct"/>
            <w:shd w:val="clear" w:color="auto" w:fill="auto"/>
            <w:noWrap/>
            <w:vAlign w:val="center"/>
          </w:tcPr>
          <w:p w14:paraId="2C2DD6B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5A4256D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4F490FA">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color w:val="auto"/>
                <w:sz w:val="24"/>
                <w:szCs w:val="24"/>
                <w:highlight w:val="none"/>
              </w:rPr>
              <w:drawing>
                <wp:inline distT="0" distB="0" distL="114300" distR="114300">
                  <wp:extent cx="1326515" cy="425450"/>
                  <wp:effectExtent l="0" t="0" r="6985" b="12700"/>
                  <wp:docPr id="1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4"/>
                          <pic:cNvPicPr>
                            <a:picLocks noChangeAspect="1"/>
                          </pic:cNvPicPr>
                        </pic:nvPicPr>
                        <pic:blipFill>
                          <a:blip r:embed="rId72"/>
                          <a:stretch>
                            <a:fillRect/>
                          </a:stretch>
                        </pic:blipFill>
                        <pic:spPr>
                          <a:xfrm>
                            <a:off x="0" y="0"/>
                            <a:ext cx="1326515" cy="425450"/>
                          </a:xfrm>
                          <a:prstGeom prst="rect">
                            <a:avLst/>
                          </a:prstGeom>
                          <a:noFill/>
                          <a:ln>
                            <a:noFill/>
                          </a:ln>
                        </pic:spPr>
                      </pic:pic>
                    </a:graphicData>
                  </a:graphic>
                </wp:inline>
              </w:drawing>
            </w:r>
          </w:p>
        </w:tc>
      </w:tr>
      <w:tr w14:paraId="7692C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0" w:hRule="atLeast"/>
        </w:trPr>
        <w:tc>
          <w:tcPr>
            <w:tcW w:w="367" w:type="pct"/>
            <w:shd w:val="clear" w:color="auto" w:fill="auto"/>
            <w:vAlign w:val="center"/>
          </w:tcPr>
          <w:p w14:paraId="5255D4B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62</w:t>
            </w:r>
          </w:p>
        </w:tc>
        <w:tc>
          <w:tcPr>
            <w:tcW w:w="542" w:type="pct"/>
            <w:shd w:val="clear" w:color="auto" w:fill="auto"/>
            <w:vAlign w:val="center"/>
          </w:tcPr>
          <w:p w14:paraId="1508F2F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楼道包管消防栓等</w:t>
            </w:r>
          </w:p>
        </w:tc>
        <w:tc>
          <w:tcPr>
            <w:tcW w:w="2240" w:type="pct"/>
            <w:shd w:val="clear" w:color="auto" w:fill="auto"/>
            <w:vAlign w:val="center"/>
          </w:tcPr>
          <w:p w14:paraId="6393744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1、采用龙骨、夹心板结构作底，面贴木饰面板；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3、整体五金配件紧密拼接，封边细腻，转角过渡自然，间隙细小且均等。</w:t>
            </w:r>
          </w:p>
        </w:tc>
        <w:tc>
          <w:tcPr>
            <w:tcW w:w="253" w:type="pct"/>
            <w:shd w:val="clear" w:color="auto" w:fill="auto"/>
            <w:vAlign w:val="center"/>
          </w:tcPr>
          <w:p w14:paraId="1967DB9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727277B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271681F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6445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60" w:hRule="atLeast"/>
        </w:trPr>
        <w:tc>
          <w:tcPr>
            <w:tcW w:w="367" w:type="pct"/>
            <w:shd w:val="clear" w:color="auto" w:fill="auto"/>
            <w:vAlign w:val="center"/>
          </w:tcPr>
          <w:p w14:paraId="5E77AB5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63</w:t>
            </w:r>
          </w:p>
        </w:tc>
        <w:tc>
          <w:tcPr>
            <w:tcW w:w="542" w:type="pct"/>
            <w:shd w:val="clear" w:color="auto" w:fill="auto"/>
            <w:vAlign w:val="center"/>
          </w:tcPr>
          <w:p w14:paraId="6B4E81EC">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电梯厅文化牌</w:t>
            </w:r>
          </w:p>
        </w:tc>
        <w:tc>
          <w:tcPr>
            <w:tcW w:w="2240" w:type="pct"/>
            <w:shd w:val="clear" w:color="auto" w:fill="auto"/>
            <w:vAlign w:val="center"/>
          </w:tcPr>
          <w:p w14:paraId="066DA5A8">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1、采用PVC材质，色泽亮丽；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2、五金配件紧密拼接，边角细腻，转角过度自然，间隙细小且均等。</w:t>
            </w:r>
          </w:p>
        </w:tc>
        <w:tc>
          <w:tcPr>
            <w:tcW w:w="253" w:type="pct"/>
            <w:shd w:val="clear" w:color="auto" w:fill="auto"/>
            <w:noWrap/>
            <w:vAlign w:val="center"/>
          </w:tcPr>
          <w:p w14:paraId="3411ED6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6569B66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96C0D8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2550" cy="802640"/>
                  <wp:effectExtent l="0" t="0" r="0" b="16510"/>
                  <wp:docPr id="140" name="图片 140" descr="63 电梯厅文化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63 电梯厅文化牌"/>
                          <pic:cNvPicPr>
                            <a:picLocks noChangeAspect="1"/>
                          </pic:cNvPicPr>
                        </pic:nvPicPr>
                        <pic:blipFill>
                          <a:blip r:embed="rId73"/>
                          <a:stretch>
                            <a:fillRect/>
                          </a:stretch>
                        </pic:blipFill>
                        <pic:spPr>
                          <a:xfrm>
                            <a:off x="0" y="0"/>
                            <a:ext cx="1352550" cy="802640"/>
                          </a:xfrm>
                          <a:prstGeom prst="rect">
                            <a:avLst/>
                          </a:prstGeom>
                        </pic:spPr>
                      </pic:pic>
                    </a:graphicData>
                  </a:graphic>
                </wp:inline>
              </w:drawing>
            </w:r>
          </w:p>
        </w:tc>
      </w:tr>
      <w:tr w14:paraId="0B8C3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60" w:hRule="atLeast"/>
        </w:trPr>
        <w:tc>
          <w:tcPr>
            <w:tcW w:w="367" w:type="pct"/>
            <w:shd w:val="clear" w:color="auto" w:fill="auto"/>
            <w:vAlign w:val="center"/>
          </w:tcPr>
          <w:p w14:paraId="1D394B9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64</w:t>
            </w:r>
          </w:p>
        </w:tc>
        <w:tc>
          <w:tcPr>
            <w:tcW w:w="542" w:type="pct"/>
            <w:shd w:val="clear" w:color="auto" w:fill="auto"/>
            <w:vAlign w:val="center"/>
          </w:tcPr>
          <w:p w14:paraId="0B6D1E1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二楼电梯口定制双开玻璃门</w:t>
            </w:r>
          </w:p>
        </w:tc>
        <w:tc>
          <w:tcPr>
            <w:tcW w:w="2240" w:type="pct"/>
            <w:shd w:val="clear" w:color="auto" w:fill="auto"/>
            <w:vAlign w:val="center"/>
          </w:tcPr>
          <w:p w14:paraId="73F7CEE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规格：宽2750*高2200mm（±10mm）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1、采用≥10mm厚度钢化玻璃；</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2、不锈钢门套边框包边，稳重牢固；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3、整体五金配件紧密拼接，边角细腻，转角过渡自然，间隙细小且均等。</w:t>
            </w:r>
          </w:p>
        </w:tc>
        <w:tc>
          <w:tcPr>
            <w:tcW w:w="253" w:type="pct"/>
            <w:shd w:val="clear" w:color="auto" w:fill="auto"/>
            <w:noWrap/>
            <w:vAlign w:val="center"/>
          </w:tcPr>
          <w:p w14:paraId="7F8C126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扇</w:t>
            </w:r>
          </w:p>
        </w:tc>
        <w:tc>
          <w:tcPr>
            <w:tcW w:w="334" w:type="pct"/>
            <w:shd w:val="clear" w:color="auto" w:fill="auto"/>
            <w:noWrap/>
            <w:vAlign w:val="center"/>
          </w:tcPr>
          <w:p w14:paraId="5CBAB68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70CC657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28725" cy="990600"/>
                  <wp:effectExtent l="0" t="0" r="9525" b="0"/>
                  <wp:docPr id="141" name="图片 141" descr="64 二楼电梯口定制双开玻璃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64 二楼电梯口定制双开玻璃门"/>
                          <pic:cNvPicPr>
                            <a:picLocks noChangeAspect="1"/>
                          </pic:cNvPicPr>
                        </pic:nvPicPr>
                        <pic:blipFill>
                          <a:blip r:embed="rId74"/>
                          <a:stretch>
                            <a:fillRect/>
                          </a:stretch>
                        </pic:blipFill>
                        <pic:spPr>
                          <a:xfrm>
                            <a:off x="0" y="0"/>
                            <a:ext cx="1228725" cy="990600"/>
                          </a:xfrm>
                          <a:prstGeom prst="rect">
                            <a:avLst/>
                          </a:prstGeom>
                        </pic:spPr>
                      </pic:pic>
                    </a:graphicData>
                  </a:graphic>
                </wp:inline>
              </w:drawing>
            </w:r>
          </w:p>
        </w:tc>
      </w:tr>
      <w:tr w14:paraId="20523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1" w:hRule="atLeast"/>
        </w:trPr>
        <w:tc>
          <w:tcPr>
            <w:tcW w:w="367" w:type="pct"/>
            <w:shd w:val="clear" w:color="auto" w:fill="auto"/>
            <w:vAlign w:val="center"/>
          </w:tcPr>
          <w:p w14:paraId="04A012E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65</w:t>
            </w:r>
          </w:p>
        </w:tc>
        <w:tc>
          <w:tcPr>
            <w:tcW w:w="542" w:type="pct"/>
            <w:shd w:val="clear" w:color="auto" w:fill="auto"/>
            <w:vAlign w:val="center"/>
          </w:tcPr>
          <w:p w14:paraId="39786E7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门禁感应系统3</w:t>
            </w:r>
          </w:p>
        </w:tc>
        <w:tc>
          <w:tcPr>
            <w:tcW w:w="2240" w:type="pct"/>
            <w:shd w:val="clear" w:color="auto" w:fill="auto"/>
            <w:vAlign w:val="center"/>
          </w:tcPr>
          <w:p w14:paraId="38BF0AB2">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密码门禁系统,连接消防系统。</w:t>
            </w:r>
          </w:p>
        </w:tc>
        <w:tc>
          <w:tcPr>
            <w:tcW w:w="253" w:type="pct"/>
            <w:shd w:val="clear" w:color="auto" w:fill="auto"/>
            <w:noWrap/>
            <w:vAlign w:val="center"/>
          </w:tcPr>
          <w:p w14:paraId="0262B2D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noWrap/>
            <w:vAlign w:val="center"/>
          </w:tcPr>
          <w:p w14:paraId="4DA789F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6BE09C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6F9A8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1" w:hRule="atLeast"/>
        </w:trPr>
        <w:tc>
          <w:tcPr>
            <w:tcW w:w="367" w:type="pct"/>
            <w:shd w:val="clear" w:color="auto" w:fill="auto"/>
            <w:vAlign w:val="center"/>
          </w:tcPr>
          <w:p w14:paraId="2423810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66</w:t>
            </w:r>
          </w:p>
        </w:tc>
        <w:tc>
          <w:tcPr>
            <w:tcW w:w="542" w:type="pct"/>
            <w:shd w:val="clear" w:color="auto" w:fill="auto"/>
            <w:vAlign w:val="center"/>
          </w:tcPr>
          <w:p w14:paraId="3D0D210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窗户防护网</w:t>
            </w:r>
          </w:p>
        </w:tc>
        <w:tc>
          <w:tcPr>
            <w:tcW w:w="2240" w:type="pct"/>
            <w:shd w:val="clear" w:color="auto" w:fill="auto"/>
            <w:vAlign w:val="center"/>
          </w:tcPr>
          <w:p w14:paraId="507D9428">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铝合金防护网</w:t>
            </w:r>
          </w:p>
        </w:tc>
        <w:tc>
          <w:tcPr>
            <w:tcW w:w="253" w:type="pct"/>
            <w:shd w:val="clear" w:color="auto" w:fill="auto"/>
            <w:vAlign w:val="center"/>
          </w:tcPr>
          <w:p w14:paraId="3C1A033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526EF37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AC3946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2DEAF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1" w:hRule="atLeast"/>
        </w:trPr>
        <w:tc>
          <w:tcPr>
            <w:tcW w:w="367" w:type="pct"/>
            <w:shd w:val="clear" w:color="auto" w:fill="auto"/>
            <w:vAlign w:val="center"/>
          </w:tcPr>
          <w:p w14:paraId="50B711D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67</w:t>
            </w:r>
          </w:p>
        </w:tc>
        <w:tc>
          <w:tcPr>
            <w:tcW w:w="542" w:type="pct"/>
            <w:shd w:val="clear" w:color="auto" w:fill="auto"/>
            <w:vAlign w:val="center"/>
          </w:tcPr>
          <w:p w14:paraId="5DD0014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楼梯铁门及楼梯铁栏</w:t>
            </w:r>
          </w:p>
        </w:tc>
        <w:tc>
          <w:tcPr>
            <w:tcW w:w="2240" w:type="pct"/>
            <w:shd w:val="clear" w:color="auto" w:fill="auto"/>
            <w:vAlign w:val="center"/>
          </w:tcPr>
          <w:p w14:paraId="3979D162">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定制铁艺栅格门及铁艺防护栏</w:t>
            </w:r>
          </w:p>
        </w:tc>
        <w:tc>
          <w:tcPr>
            <w:tcW w:w="253" w:type="pct"/>
            <w:shd w:val="clear" w:color="auto" w:fill="auto"/>
            <w:vAlign w:val="center"/>
          </w:tcPr>
          <w:p w14:paraId="4D9330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3CEB673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21D0F16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D512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1" w:hRule="atLeast"/>
        </w:trPr>
        <w:tc>
          <w:tcPr>
            <w:tcW w:w="5000" w:type="pct"/>
            <w:gridSpan w:val="6"/>
            <w:shd w:val="clear" w:color="auto" w:fill="auto"/>
            <w:noWrap/>
            <w:vAlign w:val="center"/>
          </w:tcPr>
          <w:p w14:paraId="0B8BB419">
            <w:pPr>
              <w:spacing w:line="360" w:lineRule="auto"/>
              <w:jc w:val="center"/>
              <w:rPr>
                <w:rFonts w:hint="eastAsia" w:ascii="宋体" w:hAnsi="宋体" w:eastAsia="宋体" w:cs="宋体"/>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四、二楼电子阅览室家具类设备</w:t>
            </w:r>
          </w:p>
        </w:tc>
      </w:tr>
      <w:tr w14:paraId="59B47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50" w:hRule="atLeast"/>
        </w:trPr>
        <w:tc>
          <w:tcPr>
            <w:tcW w:w="367" w:type="pct"/>
            <w:shd w:val="clear" w:color="auto" w:fill="auto"/>
            <w:vAlign w:val="center"/>
          </w:tcPr>
          <w:p w14:paraId="3ADEFB0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68</w:t>
            </w:r>
          </w:p>
        </w:tc>
        <w:tc>
          <w:tcPr>
            <w:tcW w:w="542" w:type="pct"/>
            <w:shd w:val="clear" w:color="auto" w:fill="auto"/>
            <w:vAlign w:val="center"/>
          </w:tcPr>
          <w:p w14:paraId="5193D32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电子阅读长桌1</w:t>
            </w:r>
          </w:p>
        </w:tc>
        <w:tc>
          <w:tcPr>
            <w:tcW w:w="2240" w:type="pct"/>
            <w:shd w:val="clear" w:color="auto" w:fill="auto"/>
            <w:vAlign w:val="center"/>
          </w:tcPr>
          <w:p w14:paraId="0CD514D6">
            <w:pPr>
              <w:keepNext w:val="0"/>
              <w:keepLines w:val="0"/>
              <w:widowControl/>
              <w:numPr>
                <w:ilvl w:val="0"/>
                <w:numId w:val="6"/>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规格：长2800*宽1200*高750mm（±2cm）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2、采用环保实木多层板，表面光滑有质感；</w:t>
            </w:r>
          </w:p>
          <w:p w14:paraId="1A8C3259">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环保实木多层板质量：符合GB/T39600-2021《人造板及其制品甲醛释放量分级&gt;》；GB/T9846-2015《普通胶合板》胶合强度：单个试件≤0.70MPa,合格试件数≥有效试件总数的90%。挥发性有机化合物(72h)：苯≤10ug/m3、甲苯≤20ug/m3、二甲苯≤20ug/m3、总挥发性有机化合物(TVOC)≤100ug/m3，甲醛释放量等级:ENF级:≤0.025mg/m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4、环保安全，耐磨、耐腐蚀、耐热性好，称重力强；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5、由方管长50*宽50mm壁厚0.8mm脚架，钢管表面经过除锈、磷化、静电喷塑、高温固化、高光烤漆而成。不宜脱落。五金配件紧密拼接，边角细腻，转角过度自然，间隙细小且均等。</w:t>
            </w:r>
          </w:p>
        </w:tc>
        <w:tc>
          <w:tcPr>
            <w:tcW w:w="253" w:type="pct"/>
            <w:shd w:val="clear" w:color="auto" w:fill="auto"/>
            <w:noWrap/>
            <w:vAlign w:val="center"/>
          </w:tcPr>
          <w:p w14:paraId="4E90654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2E56935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5BB861F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53185" cy="1003300"/>
                  <wp:effectExtent l="0" t="0" r="18415" b="6350"/>
                  <wp:docPr id="142" name="图片 142" descr="68-71 定制层板阅读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68-71 定制层板阅读桌"/>
                          <pic:cNvPicPr>
                            <a:picLocks noChangeAspect="1"/>
                          </pic:cNvPicPr>
                        </pic:nvPicPr>
                        <pic:blipFill>
                          <a:blip r:embed="rId75"/>
                          <a:stretch>
                            <a:fillRect/>
                          </a:stretch>
                        </pic:blipFill>
                        <pic:spPr>
                          <a:xfrm>
                            <a:off x="0" y="0"/>
                            <a:ext cx="1353185" cy="1003300"/>
                          </a:xfrm>
                          <a:prstGeom prst="rect">
                            <a:avLst/>
                          </a:prstGeom>
                        </pic:spPr>
                      </pic:pic>
                    </a:graphicData>
                  </a:graphic>
                </wp:inline>
              </w:drawing>
            </w:r>
          </w:p>
        </w:tc>
      </w:tr>
      <w:tr w14:paraId="655D8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2" w:hRule="atLeast"/>
        </w:trPr>
        <w:tc>
          <w:tcPr>
            <w:tcW w:w="367" w:type="pct"/>
            <w:shd w:val="clear" w:color="auto" w:fill="auto"/>
            <w:vAlign w:val="center"/>
          </w:tcPr>
          <w:p w14:paraId="4106172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69</w:t>
            </w:r>
          </w:p>
        </w:tc>
        <w:tc>
          <w:tcPr>
            <w:tcW w:w="542" w:type="pct"/>
            <w:shd w:val="clear" w:color="auto" w:fill="auto"/>
            <w:vAlign w:val="center"/>
          </w:tcPr>
          <w:p w14:paraId="1E04A98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电子阅读长桌2</w:t>
            </w:r>
          </w:p>
        </w:tc>
        <w:tc>
          <w:tcPr>
            <w:tcW w:w="2240" w:type="pct"/>
            <w:shd w:val="clear" w:color="auto" w:fill="auto"/>
            <w:vAlign w:val="center"/>
          </w:tcPr>
          <w:p w14:paraId="5FA78FD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规格：长3600*宽1200*高750mm（±2cm）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1、采用环保实木多层板，表面光滑有质感；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环保实木多层板质量：GB/T39600-2021《人造板及其制品甲醛释放量分级》GB/T9846-2015《普通胶合板》胶合强度：单个试件不低于0.70MPa,合格试件数等于或大于有效试件总数的90%。品质属性：挥发性有机化合物(72h)：苯≤10ug/m3、甲苯≤20ug/m3、二甲苯≤20ug/m3、总挥发性有机化合物(TVOC)≤100ug/m3，甲醛释放量等级:ENF级:≤0.025mg/m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3、环保安全，耐磨、耐腐蚀、耐热性好，称重力强；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4、由方管50*50mm壁厚0.8mm脚架，钢管表面经过除锈、磷化、静电喷塑、高温固化、高光烤漆而成。不宜脱落。五金配件紧密拼接，边角细腻，转角过度自然，间隙细小且均等。</w:t>
            </w:r>
          </w:p>
        </w:tc>
        <w:tc>
          <w:tcPr>
            <w:tcW w:w="253" w:type="pct"/>
            <w:shd w:val="clear" w:color="auto" w:fill="auto"/>
            <w:noWrap/>
            <w:vAlign w:val="center"/>
          </w:tcPr>
          <w:p w14:paraId="770D94F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4C1ADA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7704A97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1017270"/>
                  <wp:effectExtent l="0" t="0" r="0" b="11430"/>
                  <wp:docPr id="143" name="图片 143" descr="68-71 定制层板阅读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68-71 定制层板阅读桌"/>
                          <pic:cNvPicPr>
                            <a:picLocks noChangeAspect="1"/>
                          </pic:cNvPicPr>
                        </pic:nvPicPr>
                        <pic:blipFill>
                          <a:blip r:embed="rId75"/>
                          <a:stretch>
                            <a:fillRect/>
                          </a:stretch>
                        </pic:blipFill>
                        <pic:spPr>
                          <a:xfrm>
                            <a:off x="0" y="0"/>
                            <a:ext cx="1371600" cy="1017270"/>
                          </a:xfrm>
                          <a:prstGeom prst="rect">
                            <a:avLst/>
                          </a:prstGeom>
                        </pic:spPr>
                      </pic:pic>
                    </a:graphicData>
                  </a:graphic>
                </wp:inline>
              </w:drawing>
            </w:r>
          </w:p>
        </w:tc>
      </w:tr>
      <w:tr w14:paraId="7FF5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367" w:type="pct"/>
            <w:shd w:val="clear" w:color="auto" w:fill="auto"/>
            <w:vAlign w:val="center"/>
          </w:tcPr>
          <w:p w14:paraId="11FD96F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70</w:t>
            </w:r>
          </w:p>
        </w:tc>
        <w:tc>
          <w:tcPr>
            <w:tcW w:w="542" w:type="pct"/>
            <w:shd w:val="clear" w:color="auto" w:fill="auto"/>
            <w:vAlign w:val="center"/>
          </w:tcPr>
          <w:p w14:paraId="3ADFEAF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定制层板阅读桌1</w:t>
            </w:r>
          </w:p>
        </w:tc>
        <w:tc>
          <w:tcPr>
            <w:tcW w:w="2240" w:type="pct"/>
            <w:shd w:val="clear" w:color="auto" w:fill="auto"/>
            <w:vAlign w:val="center"/>
          </w:tcPr>
          <w:p w14:paraId="447034ED">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1、规格：长8900*宽600*高750mm（±2cm）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环保实木多层板，表面光滑有质感；环保实木多层板质量：符合GB/T39600-2021《人造板及其制品甲醛释放量分级》GB/T9846-2015《普通胶合板》胶合强度：单个试件不低于0.70MPa,合格试件数等于或大于有效试件总数的90%。挥发性有机化合物(72h)：苯≤10ug/m3、甲苯≤20ug/m3、二甲苯≤20ug/m3、总挥发性有机化合物(TVOC)≤100ug/m3，甲醛释放量等级:ENF级:≤0.025mg/m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3、环保安全，耐磨、耐腐蚀、耐热性好，称重力强；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4、由方管长50*宽50mm壁厚0.8mm脚架，钢管表面经过除锈、磷化、静电喷塑、高温固化、高光烤漆而成。不宜脱落。五金配件紧密拼接，边角细腻，转角过度自然，间隙细小且均等。</w:t>
            </w:r>
          </w:p>
        </w:tc>
        <w:tc>
          <w:tcPr>
            <w:tcW w:w="253" w:type="pct"/>
            <w:shd w:val="clear" w:color="auto" w:fill="auto"/>
            <w:noWrap/>
            <w:vAlign w:val="center"/>
          </w:tcPr>
          <w:p w14:paraId="0188AF2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688FDE5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9004EE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1017270"/>
                  <wp:effectExtent l="0" t="0" r="0" b="11430"/>
                  <wp:docPr id="144" name="图片 144" descr="68-71 定制层板阅读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68-71 定制层板阅读桌"/>
                          <pic:cNvPicPr>
                            <a:picLocks noChangeAspect="1"/>
                          </pic:cNvPicPr>
                        </pic:nvPicPr>
                        <pic:blipFill>
                          <a:blip r:embed="rId75"/>
                          <a:stretch>
                            <a:fillRect/>
                          </a:stretch>
                        </pic:blipFill>
                        <pic:spPr>
                          <a:xfrm>
                            <a:off x="0" y="0"/>
                            <a:ext cx="1371600" cy="1017270"/>
                          </a:xfrm>
                          <a:prstGeom prst="rect">
                            <a:avLst/>
                          </a:prstGeom>
                        </pic:spPr>
                      </pic:pic>
                    </a:graphicData>
                  </a:graphic>
                </wp:inline>
              </w:drawing>
            </w:r>
          </w:p>
        </w:tc>
      </w:tr>
      <w:tr w14:paraId="2221E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80" w:hRule="atLeast"/>
        </w:trPr>
        <w:tc>
          <w:tcPr>
            <w:tcW w:w="367" w:type="pct"/>
            <w:shd w:val="clear" w:color="auto" w:fill="auto"/>
            <w:vAlign w:val="center"/>
          </w:tcPr>
          <w:p w14:paraId="36305D4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71</w:t>
            </w:r>
          </w:p>
        </w:tc>
        <w:tc>
          <w:tcPr>
            <w:tcW w:w="542" w:type="pct"/>
            <w:shd w:val="clear" w:color="auto" w:fill="auto"/>
            <w:vAlign w:val="center"/>
          </w:tcPr>
          <w:p w14:paraId="7043899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定制层板阅读桌2</w:t>
            </w:r>
          </w:p>
        </w:tc>
        <w:tc>
          <w:tcPr>
            <w:tcW w:w="2240" w:type="pct"/>
            <w:shd w:val="clear" w:color="auto" w:fill="auto"/>
            <w:vAlign w:val="center"/>
          </w:tcPr>
          <w:p w14:paraId="27361ED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1、规格：长8200*宽600*高750mm（±2cm）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2、采用环保实木多层板，表面光滑有质感；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环保实木多层板质量：符合GB/T39600-2021《人造板及其制品甲醛释放量分级》、GB/T9846-2015《普通胶合板》胶合强度：单个试件不低于0.70MPa,合格试件数等于或大于有效试件总数的90%。挥发性有机化合物(72h)：苯≤10ug/m3、甲苯≤20ug/m3、二甲苯≤20ug/m3、总挥发性有机化合物(TVOC)≤100ug/m3，甲醛释放量等级:ENF级:≤0.025mg/m3。</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4、环保安全，耐磨、耐腐蚀、耐热性好，称重力强；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5、由方管50*50mm壁厚0.8mm脚架，钢管表面经过除锈、磷化、静电喷塑、高温固化、高光烤漆而成。不宜脱落。五金配件紧密拼接，边角细腻，转角过度自然，间隙细小且均等。</w:t>
            </w:r>
          </w:p>
        </w:tc>
        <w:tc>
          <w:tcPr>
            <w:tcW w:w="253" w:type="pct"/>
            <w:shd w:val="clear" w:color="auto" w:fill="auto"/>
            <w:noWrap/>
            <w:vAlign w:val="center"/>
          </w:tcPr>
          <w:p w14:paraId="182748C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4D925B5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6A54E5B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1017270"/>
                  <wp:effectExtent l="0" t="0" r="0" b="11430"/>
                  <wp:docPr id="145" name="图片 145" descr="68-71 定制层板阅读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68-71 定制层板阅读桌"/>
                          <pic:cNvPicPr>
                            <a:picLocks noChangeAspect="1"/>
                          </pic:cNvPicPr>
                        </pic:nvPicPr>
                        <pic:blipFill>
                          <a:blip r:embed="rId75"/>
                          <a:stretch>
                            <a:fillRect/>
                          </a:stretch>
                        </pic:blipFill>
                        <pic:spPr>
                          <a:xfrm>
                            <a:off x="0" y="0"/>
                            <a:ext cx="1371600" cy="1017270"/>
                          </a:xfrm>
                          <a:prstGeom prst="rect">
                            <a:avLst/>
                          </a:prstGeom>
                        </pic:spPr>
                      </pic:pic>
                    </a:graphicData>
                  </a:graphic>
                </wp:inline>
              </w:drawing>
            </w:r>
          </w:p>
        </w:tc>
      </w:tr>
      <w:tr w14:paraId="39225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80" w:hRule="atLeast"/>
        </w:trPr>
        <w:tc>
          <w:tcPr>
            <w:tcW w:w="367" w:type="pct"/>
            <w:shd w:val="clear" w:color="auto" w:fill="auto"/>
            <w:vAlign w:val="center"/>
          </w:tcPr>
          <w:p w14:paraId="4184198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72</w:t>
            </w:r>
          </w:p>
        </w:tc>
        <w:tc>
          <w:tcPr>
            <w:tcW w:w="542" w:type="pct"/>
            <w:shd w:val="clear" w:color="auto" w:fill="auto"/>
            <w:vAlign w:val="center"/>
          </w:tcPr>
          <w:p w14:paraId="5A5179E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阅读椅子</w:t>
            </w:r>
          </w:p>
        </w:tc>
        <w:tc>
          <w:tcPr>
            <w:tcW w:w="2240" w:type="pct"/>
            <w:shd w:val="clear" w:color="auto" w:fill="auto"/>
            <w:vAlign w:val="center"/>
          </w:tcPr>
          <w:p w14:paraId="5286066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1、规格：长445*宽500*高760mm（±2cm）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2、木质椅，现代风格，简约设计；</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3、纹理清晰自然，坚实稳固，不易变形；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4、柔软坐垫，高回弹海绵，不易变形，宽大扶手，简约款式，腰部人体工学设计，坐感舒适；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5、椅腿采用实木材质，纹理清晰整齐，承重力强，木材经过烘干房烘干处理，杜绝防霉变形开裂。</w:t>
            </w:r>
          </w:p>
        </w:tc>
        <w:tc>
          <w:tcPr>
            <w:tcW w:w="253" w:type="pct"/>
            <w:shd w:val="clear" w:color="auto" w:fill="auto"/>
            <w:vAlign w:val="center"/>
          </w:tcPr>
          <w:p w14:paraId="680D0B4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5143855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74</w:t>
            </w:r>
          </w:p>
        </w:tc>
        <w:tc>
          <w:tcPr>
            <w:tcW w:w="1261" w:type="pct"/>
            <w:shd w:val="clear" w:color="auto" w:fill="auto"/>
            <w:noWrap/>
            <w:vAlign w:val="center"/>
          </w:tcPr>
          <w:p w14:paraId="6A98A2F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90625" cy="1190625"/>
                  <wp:effectExtent l="0" t="0" r="9525" b="9525"/>
                  <wp:docPr id="146" name="图片 146" descr="72 阅读椅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72 阅读椅子"/>
                          <pic:cNvPicPr>
                            <a:picLocks noChangeAspect="1"/>
                          </pic:cNvPicPr>
                        </pic:nvPicPr>
                        <pic:blipFill>
                          <a:blip r:embed="rId76"/>
                          <a:stretch>
                            <a:fillRect/>
                          </a:stretch>
                        </pic:blipFill>
                        <pic:spPr>
                          <a:xfrm>
                            <a:off x="0" y="0"/>
                            <a:ext cx="1190625" cy="1190625"/>
                          </a:xfrm>
                          <a:prstGeom prst="rect">
                            <a:avLst/>
                          </a:prstGeom>
                        </pic:spPr>
                      </pic:pic>
                    </a:graphicData>
                  </a:graphic>
                </wp:inline>
              </w:drawing>
            </w:r>
          </w:p>
        </w:tc>
      </w:tr>
      <w:tr w14:paraId="5232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0" w:hRule="atLeast"/>
        </w:trPr>
        <w:tc>
          <w:tcPr>
            <w:tcW w:w="367" w:type="pct"/>
            <w:shd w:val="clear" w:color="auto" w:fill="auto"/>
            <w:vAlign w:val="center"/>
          </w:tcPr>
          <w:p w14:paraId="125DD4A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73</w:t>
            </w:r>
          </w:p>
        </w:tc>
        <w:tc>
          <w:tcPr>
            <w:tcW w:w="542" w:type="pct"/>
            <w:shd w:val="clear" w:color="auto" w:fill="auto"/>
            <w:vAlign w:val="center"/>
          </w:tcPr>
          <w:p w14:paraId="06058C4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双开木门</w:t>
            </w:r>
          </w:p>
        </w:tc>
        <w:tc>
          <w:tcPr>
            <w:tcW w:w="2240" w:type="pct"/>
            <w:shd w:val="clear" w:color="auto" w:fill="auto"/>
            <w:vAlign w:val="center"/>
          </w:tcPr>
          <w:p w14:paraId="23B4D45E">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1、规格：长1200*宽2400mm；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2、复合实木板；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4、整体五金配件紧密拼接，封边细腻，转角过渡自然，间隙细小且均等。</w:t>
            </w:r>
          </w:p>
        </w:tc>
        <w:tc>
          <w:tcPr>
            <w:tcW w:w="253" w:type="pct"/>
            <w:shd w:val="clear" w:color="auto" w:fill="auto"/>
            <w:noWrap/>
            <w:vAlign w:val="center"/>
          </w:tcPr>
          <w:p w14:paraId="58F2597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扇</w:t>
            </w:r>
          </w:p>
        </w:tc>
        <w:tc>
          <w:tcPr>
            <w:tcW w:w="334" w:type="pct"/>
            <w:shd w:val="clear" w:color="auto" w:fill="auto"/>
            <w:noWrap/>
            <w:vAlign w:val="center"/>
          </w:tcPr>
          <w:p w14:paraId="53B6EE9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600D0CA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762000" cy="1228725"/>
                  <wp:effectExtent l="0" t="0" r="0" b="9525"/>
                  <wp:docPr id="147" name="图片 147" descr="73 双开木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73 双开木门"/>
                          <pic:cNvPicPr>
                            <a:picLocks noChangeAspect="1"/>
                          </pic:cNvPicPr>
                        </pic:nvPicPr>
                        <pic:blipFill>
                          <a:blip r:embed="rId77"/>
                          <a:stretch>
                            <a:fillRect/>
                          </a:stretch>
                        </pic:blipFill>
                        <pic:spPr>
                          <a:xfrm>
                            <a:off x="0" y="0"/>
                            <a:ext cx="762000" cy="1228725"/>
                          </a:xfrm>
                          <a:prstGeom prst="rect">
                            <a:avLst/>
                          </a:prstGeom>
                        </pic:spPr>
                      </pic:pic>
                    </a:graphicData>
                  </a:graphic>
                </wp:inline>
              </w:drawing>
            </w:r>
          </w:p>
        </w:tc>
      </w:tr>
      <w:tr w14:paraId="0627D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40" w:hRule="atLeast"/>
        </w:trPr>
        <w:tc>
          <w:tcPr>
            <w:tcW w:w="367" w:type="pct"/>
            <w:shd w:val="clear" w:color="auto" w:fill="auto"/>
            <w:vAlign w:val="center"/>
          </w:tcPr>
          <w:p w14:paraId="140E185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74</w:t>
            </w:r>
          </w:p>
        </w:tc>
        <w:tc>
          <w:tcPr>
            <w:tcW w:w="542" w:type="pct"/>
            <w:shd w:val="clear" w:color="auto" w:fill="auto"/>
            <w:vAlign w:val="center"/>
          </w:tcPr>
          <w:p w14:paraId="66E1B76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布艺窗帘1</w:t>
            </w:r>
          </w:p>
        </w:tc>
        <w:tc>
          <w:tcPr>
            <w:tcW w:w="2240" w:type="pct"/>
            <w:shd w:val="clear" w:color="auto" w:fill="auto"/>
            <w:vAlign w:val="center"/>
          </w:tcPr>
          <w:p w14:paraId="4911D85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1、规格：高度2400cm（±2cm）；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2、窗帘是由棉麻布制作；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3、表面细致，垂坠由质感，具有遮阳隔热和调节室内光线的功能；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4、包含罗马杆或轨道。</w:t>
            </w:r>
          </w:p>
        </w:tc>
        <w:tc>
          <w:tcPr>
            <w:tcW w:w="253" w:type="pct"/>
            <w:shd w:val="clear" w:color="auto" w:fill="auto"/>
            <w:noWrap/>
            <w:vAlign w:val="center"/>
          </w:tcPr>
          <w:p w14:paraId="2EFB635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4D88E36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38</w:t>
            </w:r>
          </w:p>
        </w:tc>
        <w:tc>
          <w:tcPr>
            <w:tcW w:w="1261" w:type="pct"/>
            <w:shd w:val="clear" w:color="auto" w:fill="auto"/>
            <w:noWrap/>
            <w:vAlign w:val="center"/>
          </w:tcPr>
          <w:p w14:paraId="23A4492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815340"/>
                  <wp:effectExtent l="0" t="0" r="635" b="3810"/>
                  <wp:docPr id="148" name="图片 148" descr="74 布艺窗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74 布艺窗帘"/>
                          <pic:cNvPicPr>
                            <a:picLocks noChangeAspect="1"/>
                          </pic:cNvPicPr>
                        </pic:nvPicPr>
                        <pic:blipFill>
                          <a:blip r:embed="rId78"/>
                          <a:stretch>
                            <a:fillRect/>
                          </a:stretch>
                        </pic:blipFill>
                        <pic:spPr>
                          <a:xfrm>
                            <a:off x="0" y="0"/>
                            <a:ext cx="1370965" cy="815340"/>
                          </a:xfrm>
                          <a:prstGeom prst="rect">
                            <a:avLst/>
                          </a:prstGeom>
                        </pic:spPr>
                      </pic:pic>
                    </a:graphicData>
                  </a:graphic>
                </wp:inline>
              </w:drawing>
            </w:r>
          </w:p>
        </w:tc>
      </w:tr>
      <w:tr w14:paraId="7DD15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367" w:type="pct"/>
            <w:shd w:val="clear" w:color="auto" w:fill="auto"/>
            <w:vAlign w:val="center"/>
          </w:tcPr>
          <w:p w14:paraId="081A5E3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75</w:t>
            </w:r>
          </w:p>
        </w:tc>
        <w:tc>
          <w:tcPr>
            <w:tcW w:w="542" w:type="pct"/>
            <w:shd w:val="clear" w:color="auto" w:fill="auto"/>
            <w:vAlign w:val="center"/>
          </w:tcPr>
          <w:p w14:paraId="54D8955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文化牌2</w:t>
            </w:r>
          </w:p>
        </w:tc>
        <w:tc>
          <w:tcPr>
            <w:tcW w:w="2240" w:type="pct"/>
            <w:shd w:val="clear" w:color="auto" w:fill="auto"/>
            <w:vAlign w:val="center"/>
          </w:tcPr>
          <w:p w14:paraId="11956076">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1、采用PVC材质，色泽亮丽；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2、五金配件紧密拼接，边角细腻，转角过度自然，间隙细小且均等。</w:t>
            </w:r>
          </w:p>
        </w:tc>
        <w:tc>
          <w:tcPr>
            <w:tcW w:w="253" w:type="pct"/>
            <w:shd w:val="clear" w:color="auto" w:fill="auto"/>
            <w:noWrap/>
            <w:vAlign w:val="center"/>
          </w:tcPr>
          <w:p w14:paraId="0F52058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0972BEF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1451A97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402590"/>
                  <wp:effectExtent l="0" t="0" r="635" b="16510"/>
                  <wp:docPr id="149" name="图片 149" descr="75 文化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75 文化牌"/>
                          <pic:cNvPicPr>
                            <a:picLocks noChangeAspect="1"/>
                          </pic:cNvPicPr>
                        </pic:nvPicPr>
                        <pic:blipFill>
                          <a:blip r:embed="rId79"/>
                          <a:stretch>
                            <a:fillRect/>
                          </a:stretch>
                        </pic:blipFill>
                        <pic:spPr>
                          <a:xfrm>
                            <a:off x="0" y="0"/>
                            <a:ext cx="1370965" cy="402590"/>
                          </a:xfrm>
                          <a:prstGeom prst="rect">
                            <a:avLst/>
                          </a:prstGeom>
                        </pic:spPr>
                      </pic:pic>
                    </a:graphicData>
                  </a:graphic>
                </wp:inline>
              </w:drawing>
            </w:r>
          </w:p>
        </w:tc>
      </w:tr>
      <w:tr w14:paraId="017C4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60" w:hRule="atLeast"/>
        </w:trPr>
        <w:tc>
          <w:tcPr>
            <w:tcW w:w="367" w:type="pct"/>
            <w:shd w:val="clear" w:color="auto" w:fill="auto"/>
            <w:vAlign w:val="center"/>
          </w:tcPr>
          <w:p w14:paraId="453BE39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76</w:t>
            </w:r>
          </w:p>
        </w:tc>
        <w:tc>
          <w:tcPr>
            <w:tcW w:w="542" w:type="pct"/>
            <w:shd w:val="clear" w:color="auto" w:fill="auto"/>
            <w:vAlign w:val="center"/>
          </w:tcPr>
          <w:p w14:paraId="5D098B6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静电地板</w:t>
            </w:r>
          </w:p>
        </w:tc>
        <w:tc>
          <w:tcPr>
            <w:tcW w:w="2240" w:type="pct"/>
            <w:shd w:val="clear" w:color="auto" w:fill="auto"/>
            <w:vAlign w:val="center"/>
          </w:tcPr>
          <w:p w14:paraId="766AB7C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电子阅览室专用静电地板。</w:t>
            </w:r>
          </w:p>
        </w:tc>
        <w:tc>
          <w:tcPr>
            <w:tcW w:w="253" w:type="pct"/>
            <w:shd w:val="clear" w:color="auto" w:fill="auto"/>
            <w:noWrap/>
            <w:vAlign w:val="center"/>
          </w:tcPr>
          <w:p w14:paraId="4ED3225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219C3DB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151</w:t>
            </w:r>
          </w:p>
        </w:tc>
        <w:tc>
          <w:tcPr>
            <w:tcW w:w="1261" w:type="pct"/>
            <w:shd w:val="clear" w:color="auto" w:fill="auto"/>
            <w:noWrap/>
            <w:vAlign w:val="center"/>
          </w:tcPr>
          <w:p w14:paraId="03C8960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71880" cy="1071880"/>
                  <wp:effectExtent l="0" t="0" r="13970" b="13970"/>
                  <wp:docPr id="150" name="图片 150" descr="76 静电地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76 静电地板"/>
                          <pic:cNvPicPr>
                            <a:picLocks noChangeAspect="1"/>
                          </pic:cNvPicPr>
                        </pic:nvPicPr>
                        <pic:blipFill>
                          <a:blip r:embed="rId80"/>
                          <a:stretch>
                            <a:fillRect/>
                          </a:stretch>
                        </pic:blipFill>
                        <pic:spPr>
                          <a:xfrm>
                            <a:off x="0" y="0"/>
                            <a:ext cx="1071880" cy="1071880"/>
                          </a:xfrm>
                          <a:prstGeom prst="rect">
                            <a:avLst/>
                          </a:prstGeom>
                        </pic:spPr>
                      </pic:pic>
                    </a:graphicData>
                  </a:graphic>
                </wp:inline>
              </w:drawing>
            </w:r>
          </w:p>
        </w:tc>
      </w:tr>
      <w:tr w14:paraId="53C6D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60" w:hRule="atLeast"/>
        </w:trPr>
        <w:tc>
          <w:tcPr>
            <w:tcW w:w="367" w:type="pct"/>
            <w:shd w:val="clear" w:color="auto" w:fill="auto"/>
            <w:vAlign w:val="center"/>
          </w:tcPr>
          <w:p w14:paraId="5AA620D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77</w:t>
            </w:r>
          </w:p>
        </w:tc>
        <w:tc>
          <w:tcPr>
            <w:tcW w:w="542" w:type="pct"/>
            <w:shd w:val="clear" w:color="auto" w:fill="auto"/>
            <w:vAlign w:val="center"/>
          </w:tcPr>
          <w:p w14:paraId="0D968F8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造型吊顶1</w:t>
            </w:r>
          </w:p>
        </w:tc>
        <w:tc>
          <w:tcPr>
            <w:tcW w:w="2240" w:type="pct"/>
            <w:shd w:val="clear" w:color="auto" w:fill="auto"/>
            <w:vAlign w:val="center"/>
          </w:tcPr>
          <w:p w14:paraId="456058E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1、轻钢龙骨、轻钢龙付骨、自攻螺丝8厘吊杆螺、帽垫片膨胀头，面封硅酸钙板；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2、面刷乳胶漆，高遮盖力，抗碱防霉，覆盖细微裂纹。净味防裂，弹性防裂抗粉化效果以及多重保护效果使墙面能够保持长久亮丽。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3、边角细腻，转角过渡自然，间隙细小且均等。</w:t>
            </w:r>
          </w:p>
        </w:tc>
        <w:tc>
          <w:tcPr>
            <w:tcW w:w="253" w:type="pct"/>
            <w:shd w:val="clear" w:color="auto" w:fill="auto"/>
            <w:noWrap/>
            <w:vAlign w:val="center"/>
          </w:tcPr>
          <w:p w14:paraId="400012F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366434E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38</w:t>
            </w:r>
          </w:p>
        </w:tc>
        <w:tc>
          <w:tcPr>
            <w:tcW w:w="1261" w:type="pct"/>
            <w:shd w:val="clear" w:color="auto" w:fill="auto"/>
            <w:noWrap/>
            <w:vAlign w:val="center"/>
          </w:tcPr>
          <w:p w14:paraId="4D66426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400685"/>
                  <wp:effectExtent l="0" t="0" r="0" b="18415"/>
                  <wp:docPr id="151" name="图片 151" descr="78 铝方通吊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78 铝方通吊顶"/>
                          <pic:cNvPicPr>
                            <a:picLocks noChangeAspect="1"/>
                          </pic:cNvPicPr>
                        </pic:nvPicPr>
                        <pic:blipFill>
                          <a:blip r:embed="rId81"/>
                          <a:stretch>
                            <a:fillRect/>
                          </a:stretch>
                        </pic:blipFill>
                        <pic:spPr>
                          <a:xfrm>
                            <a:off x="0" y="0"/>
                            <a:ext cx="1371600" cy="400685"/>
                          </a:xfrm>
                          <a:prstGeom prst="rect">
                            <a:avLst/>
                          </a:prstGeom>
                        </pic:spPr>
                      </pic:pic>
                    </a:graphicData>
                  </a:graphic>
                </wp:inline>
              </w:drawing>
            </w:r>
          </w:p>
        </w:tc>
      </w:tr>
      <w:tr w14:paraId="236E9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90" w:hRule="atLeast"/>
        </w:trPr>
        <w:tc>
          <w:tcPr>
            <w:tcW w:w="367" w:type="pct"/>
            <w:shd w:val="clear" w:color="auto" w:fill="auto"/>
            <w:vAlign w:val="center"/>
          </w:tcPr>
          <w:p w14:paraId="3919DAA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78</w:t>
            </w:r>
          </w:p>
        </w:tc>
        <w:tc>
          <w:tcPr>
            <w:tcW w:w="542" w:type="pct"/>
            <w:shd w:val="clear" w:color="auto" w:fill="auto"/>
            <w:vAlign w:val="center"/>
          </w:tcPr>
          <w:p w14:paraId="075F402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铝方通吊顶</w:t>
            </w:r>
          </w:p>
        </w:tc>
        <w:tc>
          <w:tcPr>
            <w:tcW w:w="2240" w:type="pct"/>
            <w:shd w:val="clear" w:color="auto" w:fill="auto"/>
            <w:vAlign w:val="center"/>
          </w:tcPr>
          <w:p w14:paraId="3743E79E">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1、基材采用铝；</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2、烤漆工艺，无颗粒、气泡、渣点、颜色均匀；</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4、整体五金配件紧密拼接，封边细腻，转角过渡自然，间隙细小且均</w:t>
            </w:r>
            <w:r>
              <w:rPr>
                <w:rFonts w:hint="eastAsia" w:ascii="宋体" w:hAnsi="宋体" w:eastAsia="宋体" w:cs="宋体"/>
                <w:color w:val="auto"/>
                <w:sz w:val="24"/>
                <w:szCs w:val="24"/>
                <w:highlight w:val="none"/>
                <w:lang w:eastAsia="zh-CN"/>
              </w:rPr>
              <w:t>等</w:t>
            </w:r>
            <w:r>
              <w:rPr>
                <w:rFonts w:hint="eastAsia" w:ascii="宋体" w:hAnsi="宋体" w:eastAsia="宋体" w:cs="宋体"/>
                <w:i w:val="0"/>
                <w:iCs w:val="0"/>
                <w:color w:val="auto"/>
                <w:kern w:val="0"/>
                <w:sz w:val="24"/>
                <w:szCs w:val="24"/>
                <w:highlight w:val="none"/>
                <w:u w:val="none"/>
                <w:lang w:val="en-US" w:eastAsia="zh-CN" w:bidi="ar"/>
              </w:rPr>
              <w:t>。</w:t>
            </w:r>
          </w:p>
        </w:tc>
        <w:tc>
          <w:tcPr>
            <w:tcW w:w="253" w:type="pct"/>
            <w:shd w:val="clear" w:color="auto" w:fill="auto"/>
            <w:noWrap/>
            <w:vAlign w:val="center"/>
          </w:tcPr>
          <w:p w14:paraId="07D8336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F22A74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114</w:t>
            </w:r>
          </w:p>
        </w:tc>
        <w:tc>
          <w:tcPr>
            <w:tcW w:w="1261" w:type="pct"/>
            <w:shd w:val="clear" w:color="auto" w:fill="auto"/>
            <w:noWrap/>
            <w:vAlign w:val="center"/>
          </w:tcPr>
          <w:p w14:paraId="5C3B408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A8B8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00" w:hRule="atLeast"/>
        </w:trPr>
        <w:tc>
          <w:tcPr>
            <w:tcW w:w="367" w:type="pct"/>
            <w:shd w:val="clear" w:color="auto" w:fill="auto"/>
            <w:vAlign w:val="center"/>
          </w:tcPr>
          <w:p w14:paraId="33B3146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79</w:t>
            </w:r>
          </w:p>
        </w:tc>
        <w:tc>
          <w:tcPr>
            <w:tcW w:w="542" w:type="pct"/>
            <w:shd w:val="clear" w:color="auto" w:fill="auto"/>
            <w:vAlign w:val="center"/>
          </w:tcPr>
          <w:p w14:paraId="119A7D6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长条灯2</w:t>
            </w:r>
          </w:p>
        </w:tc>
        <w:tc>
          <w:tcPr>
            <w:tcW w:w="2240" w:type="pct"/>
            <w:shd w:val="clear" w:color="auto" w:fill="auto"/>
            <w:vAlign w:val="center"/>
          </w:tcPr>
          <w:p w14:paraId="0FB5156D">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1、规格：长2000*宽100*高40mm（±2cm）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2、灯体采用的铁艺框架结构，坚实稳固不易变形，高温环保烤漆工艺，色泽历史如新；</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3、采用PMMA高透光率灯罩，透光效果强，灯光柔和不刺眼；</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4、五金配件紧密拼接，边角细腻，转角过渡自然，间隙细小且均等。</w:t>
            </w:r>
          </w:p>
        </w:tc>
        <w:tc>
          <w:tcPr>
            <w:tcW w:w="253" w:type="pct"/>
            <w:shd w:val="clear" w:color="auto" w:fill="auto"/>
            <w:vAlign w:val="center"/>
          </w:tcPr>
          <w:p w14:paraId="3CD4319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盏</w:t>
            </w:r>
          </w:p>
        </w:tc>
        <w:tc>
          <w:tcPr>
            <w:tcW w:w="334" w:type="pct"/>
            <w:shd w:val="clear" w:color="auto" w:fill="auto"/>
            <w:noWrap/>
            <w:vAlign w:val="center"/>
          </w:tcPr>
          <w:p w14:paraId="482944F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24</w:t>
            </w:r>
          </w:p>
        </w:tc>
        <w:tc>
          <w:tcPr>
            <w:tcW w:w="1261" w:type="pct"/>
            <w:shd w:val="clear" w:color="auto" w:fill="auto"/>
            <w:noWrap/>
            <w:vAlign w:val="center"/>
          </w:tcPr>
          <w:p w14:paraId="4EC7764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57300" cy="1162050"/>
                  <wp:effectExtent l="0" t="0" r="0" b="0"/>
                  <wp:docPr id="152" name="图片 152" descr="79 长条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79 长条灯"/>
                          <pic:cNvPicPr>
                            <a:picLocks noChangeAspect="1"/>
                          </pic:cNvPicPr>
                        </pic:nvPicPr>
                        <pic:blipFill>
                          <a:blip r:embed="rId82"/>
                          <a:stretch>
                            <a:fillRect/>
                          </a:stretch>
                        </pic:blipFill>
                        <pic:spPr>
                          <a:xfrm>
                            <a:off x="0" y="0"/>
                            <a:ext cx="1257300" cy="1162050"/>
                          </a:xfrm>
                          <a:prstGeom prst="rect">
                            <a:avLst/>
                          </a:prstGeom>
                        </pic:spPr>
                      </pic:pic>
                    </a:graphicData>
                  </a:graphic>
                </wp:inline>
              </w:drawing>
            </w:r>
          </w:p>
        </w:tc>
      </w:tr>
      <w:tr w14:paraId="0D3D0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00" w:hRule="atLeast"/>
        </w:trPr>
        <w:tc>
          <w:tcPr>
            <w:tcW w:w="367" w:type="pct"/>
            <w:shd w:val="clear" w:color="auto" w:fill="auto"/>
            <w:vAlign w:val="center"/>
          </w:tcPr>
          <w:p w14:paraId="293F0D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80</w:t>
            </w:r>
          </w:p>
        </w:tc>
        <w:tc>
          <w:tcPr>
            <w:tcW w:w="542" w:type="pct"/>
            <w:shd w:val="clear" w:color="auto" w:fill="auto"/>
            <w:vAlign w:val="center"/>
          </w:tcPr>
          <w:p w14:paraId="27CB79C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筒灯1</w:t>
            </w:r>
          </w:p>
        </w:tc>
        <w:tc>
          <w:tcPr>
            <w:tcW w:w="2240" w:type="pct"/>
            <w:shd w:val="clear" w:color="auto" w:fill="auto"/>
            <w:vAlign w:val="center"/>
          </w:tcPr>
          <w:p w14:paraId="37716682">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1、规格：半径52mm；</w:t>
            </w:r>
          </w:p>
          <w:p w14:paraId="4BA8A37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2、加厚铝材散热器，散热快保护灯具，使用寿命更持久，镶嵌在天花板上，使用寿命长；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3、LED芯片，使光线更加柔和；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4、高透光面罩，防雾防眩光，高效透光，光线柔和；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5、光源为LED光源。</w:t>
            </w:r>
          </w:p>
        </w:tc>
        <w:tc>
          <w:tcPr>
            <w:tcW w:w="253" w:type="pct"/>
            <w:shd w:val="clear" w:color="auto" w:fill="auto"/>
            <w:vAlign w:val="center"/>
          </w:tcPr>
          <w:p w14:paraId="0F9C2C0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415750B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36</w:t>
            </w:r>
          </w:p>
        </w:tc>
        <w:tc>
          <w:tcPr>
            <w:tcW w:w="1261" w:type="pct"/>
            <w:shd w:val="clear" w:color="auto" w:fill="auto"/>
            <w:vAlign w:val="center"/>
          </w:tcPr>
          <w:p w14:paraId="39C9965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71575" cy="895350"/>
                  <wp:effectExtent l="0" t="0" r="9525" b="0"/>
                  <wp:docPr id="153" name="图片 153" descr="80 筒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80 筒灯"/>
                          <pic:cNvPicPr>
                            <a:picLocks noChangeAspect="1"/>
                          </pic:cNvPicPr>
                        </pic:nvPicPr>
                        <pic:blipFill>
                          <a:blip r:embed="rId83"/>
                          <a:stretch>
                            <a:fillRect/>
                          </a:stretch>
                        </pic:blipFill>
                        <pic:spPr>
                          <a:xfrm>
                            <a:off x="0" y="0"/>
                            <a:ext cx="1171575" cy="895350"/>
                          </a:xfrm>
                          <a:prstGeom prst="rect">
                            <a:avLst/>
                          </a:prstGeom>
                        </pic:spPr>
                      </pic:pic>
                    </a:graphicData>
                  </a:graphic>
                </wp:inline>
              </w:drawing>
            </w:r>
          </w:p>
        </w:tc>
      </w:tr>
      <w:tr w14:paraId="1C080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50" w:hRule="atLeast"/>
        </w:trPr>
        <w:tc>
          <w:tcPr>
            <w:tcW w:w="367" w:type="pct"/>
            <w:shd w:val="clear" w:color="auto" w:fill="auto"/>
            <w:vAlign w:val="center"/>
          </w:tcPr>
          <w:p w14:paraId="1866D7D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81</w:t>
            </w:r>
          </w:p>
        </w:tc>
        <w:tc>
          <w:tcPr>
            <w:tcW w:w="542" w:type="pct"/>
            <w:shd w:val="clear" w:color="auto" w:fill="auto"/>
            <w:vAlign w:val="center"/>
          </w:tcPr>
          <w:p w14:paraId="4C223E2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嵌入式线性灯</w:t>
            </w:r>
          </w:p>
        </w:tc>
        <w:tc>
          <w:tcPr>
            <w:tcW w:w="2240" w:type="pct"/>
            <w:shd w:val="clear" w:color="auto" w:fill="auto"/>
            <w:vAlign w:val="center"/>
          </w:tcPr>
          <w:p w14:paraId="1F334C5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1、规格：长49000*宽20*高20(开孔16mm)（±2cm）；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2、硅胶灯体，可随意弯曲，镶嵌在天花板或墙体上；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3、LED光源，防雾防眩光，高效透光，光线柔和，11.52W/M；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4、含配套变压器。</w:t>
            </w:r>
          </w:p>
        </w:tc>
        <w:tc>
          <w:tcPr>
            <w:tcW w:w="253" w:type="pct"/>
            <w:shd w:val="clear" w:color="auto" w:fill="auto"/>
            <w:vAlign w:val="center"/>
          </w:tcPr>
          <w:p w14:paraId="0662147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m</w:t>
            </w:r>
          </w:p>
        </w:tc>
        <w:tc>
          <w:tcPr>
            <w:tcW w:w="334" w:type="pct"/>
            <w:shd w:val="clear" w:color="auto" w:fill="auto"/>
            <w:noWrap/>
            <w:vAlign w:val="center"/>
          </w:tcPr>
          <w:p w14:paraId="6F23753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49</w:t>
            </w:r>
          </w:p>
        </w:tc>
        <w:tc>
          <w:tcPr>
            <w:tcW w:w="1261" w:type="pct"/>
            <w:shd w:val="clear" w:color="auto" w:fill="auto"/>
            <w:noWrap/>
            <w:vAlign w:val="center"/>
          </w:tcPr>
          <w:p w14:paraId="0BD7523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914400" cy="866775"/>
                  <wp:effectExtent l="0" t="0" r="0" b="9525"/>
                  <wp:docPr id="154" name="图片 154" descr="81 嵌入式线性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81 嵌入式线性灯"/>
                          <pic:cNvPicPr>
                            <a:picLocks noChangeAspect="1"/>
                          </pic:cNvPicPr>
                        </pic:nvPicPr>
                        <pic:blipFill>
                          <a:blip r:embed="rId84"/>
                          <a:stretch>
                            <a:fillRect/>
                          </a:stretch>
                        </pic:blipFill>
                        <pic:spPr>
                          <a:xfrm>
                            <a:off x="0" y="0"/>
                            <a:ext cx="914400" cy="866775"/>
                          </a:xfrm>
                          <a:prstGeom prst="rect">
                            <a:avLst/>
                          </a:prstGeom>
                        </pic:spPr>
                      </pic:pic>
                    </a:graphicData>
                  </a:graphic>
                </wp:inline>
              </w:drawing>
            </w:r>
          </w:p>
        </w:tc>
      </w:tr>
      <w:tr w14:paraId="4880C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00" w:hRule="atLeast"/>
        </w:trPr>
        <w:tc>
          <w:tcPr>
            <w:tcW w:w="367" w:type="pct"/>
            <w:shd w:val="clear" w:color="auto" w:fill="auto"/>
            <w:vAlign w:val="center"/>
          </w:tcPr>
          <w:p w14:paraId="76F672A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82</w:t>
            </w:r>
          </w:p>
        </w:tc>
        <w:tc>
          <w:tcPr>
            <w:tcW w:w="542" w:type="pct"/>
            <w:shd w:val="clear" w:color="auto" w:fill="auto"/>
            <w:vAlign w:val="center"/>
          </w:tcPr>
          <w:p w14:paraId="4F12656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强电辅材1</w:t>
            </w:r>
          </w:p>
        </w:tc>
        <w:tc>
          <w:tcPr>
            <w:tcW w:w="2240" w:type="pct"/>
            <w:shd w:val="clear" w:color="auto" w:fill="auto"/>
            <w:vAlign w:val="center"/>
          </w:tcPr>
          <w:p w14:paraId="5CC23F4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1、全空间灯具、开关插座等布线及辅材费用；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2、所有电子设备点位强电插座布线及辅材费用；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3、含布线服务。</w:t>
            </w:r>
          </w:p>
        </w:tc>
        <w:tc>
          <w:tcPr>
            <w:tcW w:w="253" w:type="pct"/>
            <w:shd w:val="clear" w:color="auto" w:fill="auto"/>
            <w:vAlign w:val="center"/>
          </w:tcPr>
          <w:p w14:paraId="013AAD7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79DB52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151</w:t>
            </w:r>
          </w:p>
        </w:tc>
        <w:tc>
          <w:tcPr>
            <w:tcW w:w="1261" w:type="pct"/>
            <w:shd w:val="clear" w:color="auto" w:fill="auto"/>
            <w:noWrap/>
            <w:vAlign w:val="center"/>
          </w:tcPr>
          <w:p w14:paraId="7D88C22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4EA7A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60" w:hRule="atLeast"/>
        </w:trPr>
        <w:tc>
          <w:tcPr>
            <w:tcW w:w="367" w:type="pct"/>
            <w:shd w:val="clear" w:color="auto" w:fill="auto"/>
            <w:vAlign w:val="center"/>
          </w:tcPr>
          <w:p w14:paraId="17540C0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83</w:t>
            </w:r>
          </w:p>
        </w:tc>
        <w:tc>
          <w:tcPr>
            <w:tcW w:w="542" w:type="pct"/>
            <w:shd w:val="clear" w:color="auto" w:fill="auto"/>
            <w:vAlign w:val="center"/>
          </w:tcPr>
          <w:p w14:paraId="4888DA2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弱电辅材1</w:t>
            </w:r>
          </w:p>
        </w:tc>
        <w:tc>
          <w:tcPr>
            <w:tcW w:w="2240" w:type="pct"/>
            <w:shd w:val="clear" w:color="auto" w:fill="auto"/>
            <w:vAlign w:val="center"/>
          </w:tcPr>
          <w:p w14:paraId="5AD3210E">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1、全空间网络设备等布线及辅材费用；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2、所有电子设备点位弱电网络口布线及辅材费用；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3、含布线服务。</w:t>
            </w:r>
          </w:p>
        </w:tc>
        <w:tc>
          <w:tcPr>
            <w:tcW w:w="253" w:type="pct"/>
            <w:shd w:val="clear" w:color="auto" w:fill="auto"/>
            <w:vAlign w:val="center"/>
          </w:tcPr>
          <w:p w14:paraId="6B42DE2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756E093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151</w:t>
            </w:r>
          </w:p>
        </w:tc>
        <w:tc>
          <w:tcPr>
            <w:tcW w:w="1261" w:type="pct"/>
            <w:shd w:val="clear" w:color="auto" w:fill="auto"/>
            <w:noWrap/>
            <w:vAlign w:val="center"/>
          </w:tcPr>
          <w:p w14:paraId="211726B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4B9C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0" w:hRule="atLeast"/>
        </w:trPr>
        <w:tc>
          <w:tcPr>
            <w:tcW w:w="367" w:type="pct"/>
            <w:shd w:val="clear" w:color="auto" w:fill="auto"/>
            <w:vAlign w:val="center"/>
          </w:tcPr>
          <w:p w14:paraId="04A9AA8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84</w:t>
            </w:r>
          </w:p>
        </w:tc>
        <w:tc>
          <w:tcPr>
            <w:tcW w:w="542" w:type="pct"/>
            <w:shd w:val="clear" w:color="auto" w:fill="auto"/>
            <w:vAlign w:val="center"/>
          </w:tcPr>
          <w:p w14:paraId="47B77EA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水泥漆1</w:t>
            </w:r>
          </w:p>
        </w:tc>
        <w:tc>
          <w:tcPr>
            <w:tcW w:w="2240" w:type="pct"/>
            <w:shd w:val="clear" w:color="auto" w:fill="auto"/>
            <w:vAlign w:val="center"/>
          </w:tcPr>
          <w:p w14:paraId="2B0BCC8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1、含室内全空间顶面及墙面乳胶漆，高遮盖力，抗碱防霉，覆盖细微裂纹；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2、净味防裂，弹性防裂抗粉化效果以及多重保护效果使墙面能够保持长久；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3、含人工及腻子材料扒底。</w:t>
            </w:r>
          </w:p>
        </w:tc>
        <w:tc>
          <w:tcPr>
            <w:tcW w:w="253" w:type="pct"/>
            <w:shd w:val="clear" w:color="auto" w:fill="auto"/>
            <w:vAlign w:val="center"/>
          </w:tcPr>
          <w:p w14:paraId="371B6CA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2899454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300</w:t>
            </w:r>
          </w:p>
        </w:tc>
        <w:tc>
          <w:tcPr>
            <w:tcW w:w="1261" w:type="pct"/>
            <w:shd w:val="clear" w:color="auto" w:fill="auto"/>
            <w:noWrap/>
            <w:vAlign w:val="center"/>
          </w:tcPr>
          <w:p w14:paraId="66513BD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32FB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0" w:hRule="atLeast"/>
        </w:trPr>
        <w:tc>
          <w:tcPr>
            <w:tcW w:w="367" w:type="pct"/>
            <w:shd w:val="clear" w:color="auto" w:fill="auto"/>
            <w:vAlign w:val="center"/>
          </w:tcPr>
          <w:p w14:paraId="409E55C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85</w:t>
            </w:r>
          </w:p>
        </w:tc>
        <w:tc>
          <w:tcPr>
            <w:tcW w:w="542" w:type="pct"/>
            <w:shd w:val="clear" w:color="auto" w:fill="auto"/>
            <w:vAlign w:val="center"/>
          </w:tcPr>
          <w:p w14:paraId="5BF7E0A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拆除修补2</w:t>
            </w:r>
          </w:p>
        </w:tc>
        <w:tc>
          <w:tcPr>
            <w:tcW w:w="2240" w:type="pct"/>
            <w:shd w:val="clear" w:color="auto" w:fill="auto"/>
            <w:vAlign w:val="center"/>
          </w:tcPr>
          <w:p w14:paraId="3827A0E9">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原空间灯具、风扇、及其他东西拆除搬运等</w:t>
            </w:r>
          </w:p>
        </w:tc>
        <w:tc>
          <w:tcPr>
            <w:tcW w:w="253" w:type="pct"/>
            <w:shd w:val="clear" w:color="auto" w:fill="auto"/>
            <w:vAlign w:val="center"/>
          </w:tcPr>
          <w:p w14:paraId="4674C3B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1EDC2A7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455C049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51095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367" w:type="pct"/>
            <w:shd w:val="clear" w:color="auto" w:fill="auto"/>
            <w:vAlign w:val="center"/>
          </w:tcPr>
          <w:p w14:paraId="19140B3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86</w:t>
            </w:r>
          </w:p>
        </w:tc>
        <w:tc>
          <w:tcPr>
            <w:tcW w:w="542" w:type="pct"/>
            <w:shd w:val="clear" w:color="auto" w:fill="auto"/>
            <w:vAlign w:val="center"/>
          </w:tcPr>
          <w:p w14:paraId="360119D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集成服务2</w:t>
            </w:r>
          </w:p>
        </w:tc>
        <w:tc>
          <w:tcPr>
            <w:tcW w:w="2240" w:type="pct"/>
            <w:shd w:val="clear" w:color="auto" w:fill="auto"/>
            <w:vAlign w:val="center"/>
          </w:tcPr>
          <w:p w14:paraId="693E889E">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清洁，设施围挡、辅材搬运及项目现场管理集成服务等</w:t>
            </w:r>
          </w:p>
        </w:tc>
        <w:tc>
          <w:tcPr>
            <w:tcW w:w="253" w:type="pct"/>
            <w:shd w:val="clear" w:color="auto" w:fill="auto"/>
            <w:vAlign w:val="center"/>
          </w:tcPr>
          <w:p w14:paraId="0148CEB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0430A42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593BB82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440AE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1" w:hRule="atLeast"/>
        </w:trPr>
        <w:tc>
          <w:tcPr>
            <w:tcW w:w="5000" w:type="pct"/>
            <w:gridSpan w:val="6"/>
            <w:shd w:val="clear" w:color="auto" w:fill="auto"/>
            <w:noWrap/>
            <w:vAlign w:val="center"/>
          </w:tcPr>
          <w:p w14:paraId="5BD5D5DA">
            <w:pPr>
              <w:spacing w:line="360" w:lineRule="auto"/>
              <w:jc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五、二楼大阅读课阅览室家具类设备</w:t>
            </w:r>
          </w:p>
        </w:tc>
      </w:tr>
      <w:tr w14:paraId="44637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0" w:hRule="atLeast"/>
        </w:trPr>
        <w:tc>
          <w:tcPr>
            <w:tcW w:w="367" w:type="pct"/>
            <w:shd w:val="clear" w:color="auto" w:fill="auto"/>
            <w:vAlign w:val="center"/>
          </w:tcPr>
          <w:p w14:paraId="301DF73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87</w:t>
            </w:r>
          </w:p>
        </w:tc>
        <w:tc>
          <w:tcPr>
            <w:tcW w:w="542" w:type="pct"/>
            <w:shd w:val="clear" w:color="auto" w:fill="auto"/>
            <w:vAlign w:val="center"/>
          </w:tcPr>
          <w:p w14:paraId="6560502C">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定制弧形阶梯地台</w:t>
            </w:r>
          </w:p>
        </w:tc>
        <w:tc>
          <w:tcPr>
            <w:tcW w:w="2240" w:type="pct"/>
            <w:shd w:val="clear" w:color="auto" w:fill="auto"/>
            <w:vAlign w:val="center"/>
          </w:tcPr>
          <w:p w14:paraId="13CB2B4F">
            <w:pPr>
              <w:keepNext w:val="0"/>
              <w:keepLines w:val="0"/>
              <w:widowControl/>
              <w:numPr>
                <w:ilvl w:val="0"/>
                <w:numId w:val="7"/>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规格：总长19000mm，总宽5500mm，总高450mm；</w:t>
            </w:r>
          </w:p>
          <w:p w14:paraId="3C4B58D3">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2、阶梯总3层，每层高150mm；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3、地台总体基础结构为钢结构框架；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4、用基层板打底，面饰木纹地塑；</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5、内部结构结实牢固，局部镂空内嵌书柜。</w:t>
            </w:r>
          </w:p>
        </w:tc>
        <w:tc>
          <w:tcPr>
            <w:tcW w:w="253" w:type="pct"/>
            <w:shd w:val="clear" w:color="auto" w:fill="auto"/>
            <w:noWrap/>
            <w:vAlign w:val="center"/>
          </w:tcPr>
          <w:p w14:paraId="5BE724D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4204F92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85</w:t>
            </w:r>
          </w:p>
        </w:tc>
        <w:tc>
          <w:tcPr>
            <w:tcW w:w="1261" w:type="pct"/>
            <w:shd w:val="clear" w:color="auto" w:fill="auto"/>
            <w:noWrap/>
            <w:vAlign w:val="center"/>
          </w:tcPr>
          <w:p w14:paraId="4487077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234950"/>
                  <wp:effectExtent l="0" t="0" r="635" b="12700"/>
                  <wp:docPr id="155" name="图片 155" descr="87 定制弧形阶梯地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87 定制弧形阶梯地台"/>
                          <pic:cNvPicPr>
                            <a:picLocks noChangeAspect="1"/>
                          </pic:cNvPicPr>
                        </pic:nvPicPr>
                        <pic:blipFill>
                          <a:blip r:embed="rId85"/>
                          <a:stretch>
                            <a:fillRect/>
                          </a:stretch>
                        </pic:blipFill>
                        <pic:spPr>
                          <a:xfrm>
                            <a:off x="0" y="0"/>
                            <a:ext cx="1370965" cy="234950"/>
                          </a:xfrm>
                          <a:prstGeom prst="rect">
                            <a:avLst/>
                          </a:prstGeom>
                        </pic:spPr>
                      </pic:pic>
                    </a:graphicData>
                  </a:graphic>
                </wp:inline>
              </w:drawing>
            </w:r>
          </w:p>
        </w:tc>
      </w:tr>
      <w:tr w14:paraId="68B5F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4" w:hRule="atLeast"/>
        </w:trPr>
        <w:tc>
          <w:tcPr>
            <w:tcW w:w="367" w:type="pct"/>
            <w:shd w:val="clear" w:color="auto" w:fill="auto"/>
            <w:vAlign w:val="center"/>
          </w:tcPr>
          <w:p w14:paraId="5EB39F9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88</w:t>
            </w:r>
          </w:p>
        </w:tc>
        <w:tc>
          <w:tcPr>
            <w:tcW w:w="542" w:type="pct"/>
            <w:shd w:val="clear" w:color="auto" w:fill="auto"/>
            <w:vAlign w:val="center"/>
          </w:tcPr>
          <w:p w14:paraId="68253E6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弧形阶梯地台地塑</w:t>
            </w:r>
          </w:p>
        </w:tc>
        <w:tc>
          <w:tcPr>
            <w:tcW w:w="2240" w:type="pct"/>
            <w:shd w:val="clear" w:color="auto" w:fill="auto"/>
            <w:vAlign w:val="center"/>
          </w:tcPr>
          <w:p w14:paraId="02388E2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1、表面UV抗污面层，厚度2.0mm，使用K188e无毒安全专用环保胶水，玻纤稳定夹层；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2、外观色泽均匀，无明显色差，无裂痕、分层等缺陷；</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3、硬度（邵A值）65-75之间；</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4、回弹值≥8%，拉伸强度≥3Mpa，扯断伸长率≥130%；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5、阻燃率达到1级，摩擦系数0.55-0.75之间。</w:t>
            </w:r>
          </w:p>
        </w:tc>
        <w:tc>
          <w:tcPr>
            <w:tcW w:w="253" w:type="pct"/>
            <w:shd w:val="clear" w:color="auto" w:fill="auto"/>
            <w:vAlign w:val="center"/>
          </w:tcPr>
          <w:p w14:paraId="5A0E018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5B4D31E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35</w:t>
            </w:r>
          </w:p>
        </w:tc>
        <w:tc>
          <w:tcPr>
            <w:tcW w:w="1261" w:type="pct"/>
            <w:shd w:val="clear" w:color="auto" w:fill="auto"/>
            <w:noWrap/>
            <w:vAlign w:val="center"/>
          </w:tcPr>
          <w:p w14:paraId="1DEB9B2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794E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80" w:hRule="atLeast"/>
        </w:trPr>
        <w:tc>
          <w:tcPr>
            <w:tcW w:w="367" w:type="pct"/>
            <w:shd w:val="clear" w:color="auto" w:fill="auto"/>
            <w:vAlign w:val="center"/>
          </w:tcPr>
          <w:p w14:paraId="16DF0BC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89</w:t>
            </w:r>
          </w:p>
        </w:tc>
        <w:tc>
          <w:tcPr>
            <w:tcW w:w="542" w:type="pct"/>
            <w:shd w:val="clear" w:color="auto" w:fill="auto"/>
            <w:vAlign w:val="center"/>
          </w:tcPr>
          <w:p w14:paraId="3F48187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lang w:val="en-US"/>
              </w:rPr>
            </w:pPr>
            <w:r>
              <w:rPr>
                <w:rFonts w:hint="eastAsia" w:ascii="宋体" w:hAnsi="宋体" w:eastAsia="宋体" w:cs="宋体"/>
                <w:i w:val="0"/>
                <w:iCs w:val="0"/>
                <w:color w:val="auto"/>
                <w:kern w:val="0"/>
                <w:sz w:val="24"/>
                <w:szCs w:val="24"/>
                <w:u w:val="none"/>
                <w:lang w:val="en-US" w:eastAsia="zh-CN" w:bidi="ar"/>
              </w:rPr>
              <w:t>长条软包沙发2</w:t>
            </w:r>
          </w:p>
        </w:tc>
        <w:tc>
          <w:tcPr>
            <w:tcW w:w="2240" w:type="pct"/>
            <w:shd w:val="clear" w:color="auto" w:fill="auto"/>
            <w:vAlign w:val="center"/>
          </w:tcPr>
          <w:p w14:paraId="24DCD4BC">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1、规格：长2000*宽820*高790（±2cm）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2、实木框架结构，受重力强，柔软坐垫靠背，高回弹海绵，不易变形，宽大扶手，简约款式，简单大方；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3、颜色淡雅，实木椅脚光润；</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4、采用皮革饰面；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5、五金配件紧密拼接，边角细腻，转角过渡自然，间隙细小且均等。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6、人体工厂学设计。</w:t>
            </w:r>
          </w:p>
        </w:tc>
        <w:tc>
          <w:tcPr>
            <w:tcW w:w="253" w:type="pct"/>
            <w:shd w:val="clear" w:color="auto" w:fill="auto"/>
            <w:vAlign w:val="center"/>
          </w:tcPr>
          <w:p w14:paraId="156D229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noWrap/>
            <w:vAlign w:val="center"/>
          </w:tcPr>
          <w:p w14:paraId="30EC351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08D9F97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762000"/>
                  <wp:effectExtent l="0" t="0" r="635" b="0"/>
                  <wp:docPr id="156" name="图片 156" descr="89 长条软包沙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89 长条软包沙发"/>
                          <pic:cNvPicPr>
                            <a:picLocks noChangeAspect="1"/>
                          </pic:cNvPicPr>
                        </pic:nvPicPr>
                        <pic:blipFill>
                          <a:blip r:embed="rId86"/>
                          <a:stretch>
                            <a:fillRect/>
                          </a:stretch>
                        </pic:blipFill>
                        <pic:spPr>
                          <a:xfrm>
                            <a:off x="0" y="0"/>
                            <a:ext cx="1370965" cy="762000"/>
                          </a:xfrm>
                          <a:prstGeom prst="rect">
                            <a:avLst/>
                          </a:prstGeom>
                        </pic:spPr>
                      </pic:pic>
                    </a:graphicData>
                  </a:graphic>
                </wp:inline>
              </w:drawing>
            </w:r>
          </w:p>
        </w:tc>
      </w:tr>
      <w:tr w14:paraId="303F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40" w:hRule="atLeast"/>
        </w:trPr>
        <w:tc>
          <w:tcPr>
            <w:tcW w:w="367" w:type="pct"/>
            <w:shd w:val="clear" w:color="auto" w:fill="auto"/>
            <w:vAlign w:val="center"/>
          </w:tcPr>
          <w:p w14:paraId="473FD85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90</w:t>
            </w:r>
          </w:p>
        </w:tc>
        <w:tc>
          <w:tcPr>
            <w:tcW w:w="542" w:type="pct"/>
            <w:shd w:val="clear" w:color="auto" w:fill="auto"/>
            <w:vAlign w:val="center"/>
          </w:tcPr>
          <w:p w14:paraId="39B8C3A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隔断花架2</w:t>
            </w:r>
          </w:p>
        </w:tc>
        <w:tc>
          <w:tcPr>
            <w:tcW w:w="2240" w:type="pct"/>
            <w:shd w:val="clear" w:color="auto" w:fill="auto"/>
            <w:vAlign w:val="center"/>
          </w:tcPr>
          <w:p w14:paraId="3C790CA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1、规格：长1400*宽250*高900mm（±2cm）；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2、防腐木材质，耐腐蚀，防虫性强，木质紧密均匀，密度高不易变形。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3、水性清漆饰面。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4、适合户外等多种场所。</w:t>
            </w:r>
          </w:p>
        </w:tc>
        <w:tc>
          <w:tcPr>
            <w:tcW w:w="253" w:type="pct"/>
            <w:shd w:val="clear" w:color="auto" w:fill="auto"/>
            <w:noWrap/>
            <w:vAlign w:val="center"/>
          </w:tcPr>
          <w:p w14:paraId="5DFF3F2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1577AE7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5AE1316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923290"/>
                  <wp:effectExtent l="0" t="0" r="635" b="10160"/>
                  <wp:docPr id="157" name="图片 157" descr="90隔断花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90隔断花架2"/>
                          <pic:cNvPicPr>
                            <a:picLocks noChangeAspect="1"/>
                          </pic:cNvPicPr>
                        </pic:nvPicPr>
                        <pic:blipFill>
                          <a:blip r:embed="rId87"/>
                          <a:stretch>
                            <a:fillRect/>
                          </a:stretch>
                        </pic:blipFill>
                        <pic:spPr>
                          <a:xfrm>
                            <a:off x="0" y="0"/>
                            <a:ext cx="1370965" cy="923290"/>
                          </a:xfrm>
                          <a:prstGeom prst="rect">
                            <a:avLst/>
                          </a:prstGeom>
                        </pic:spPr>
                      </pic:pic>
                    </a:graphicData>
                  </a:graphic>
                </wp:inline>
              </w:drawing>
            </w:r>
          </w:p>
        </w:tc>
      </w:tr>
      <w:tr w14:paraId="62504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0" w:hRule="atLeast"/>
        </w:trPr>
        <w:tc>
          <w:tcPr>
            <w:tcW w:w="367" w:type="pct"/>
            <w:shd w:val="clear" w:color="auto" w:fill="auto"/>
            <w:vAlign w:val="center"/>
          </w:tcPr>
          <w:p w14:paraId="5162676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91</w:t>
            </w:r>
          </w:p>
        </w:tc>
        <w:tc>
          <w:tcPr>
            <w:tcW w:w="542" w:type="pct"/>
            <w:shd w:val="clear" w:color="auto" w:fill="auto"/>
            <w:vAlign w:val="center"/>
          </w:tcPr>
          <w:p w14:paraId="5017E2F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卡座书架2</w:t>
            </w:r>
          </w:p>
        </w:tc>
        <w:tc>
          <w:tcPr>
            <w:tcW w:w="2240" w:type="pct"/>
            <w:shd w:val="clear" w:color="auto" w:fill="auto"/>
            <w:vAlign w:val="center"/>
          </w:tcPr>
          <w:p w14:paraId="5616DEC6">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Style w:val="11"/>
                <w:rFonts w:hint="eastAsia" w:ascii="宋体" w:hAnsi="宋体" w:eastAsia="宋体" w:cs="宋体"/>
                <w:color w:val="auto"/>
                <w:sz w:val="24"/>
                <w:szCs w:val="24"/>
                <w:highlight w:val="none"/>
                <w:lang w:val="en-US" w:eastAsia="zh-CN" w:bidi="ar"/>
              </w:rPr>
              <w:t>1、规格：长5900*宽700*高750mm</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2、</w:t>
            </w:r>
            <w:r>
              <w:rPr>
                <w:rStyle w:val="14"/>
                <w:rFonts w:hint="eastAsia" w:ascii="宋体" w:hAnsi="宋体" w:eastAsia="宋体" w:cs="宋体"/>
                <w:color w:val="auto"/>
                <w:sz w:val="24"/>
                <w:szCs w:val="24"/>
                <w:highlight w:val="none"/>
                <w:lang w:val="en-US" w:eastAsia="zh-CN" w:bidi="ar"/>
              </w:rPr>
              <w:t>多层板基材，板材厚度≥17mm，板材要求须符合GB/T 34722-2025《浸渍胶膜纸饰面胶合板和细木工板》标准，甲醛释放量符合GB/T 39600-2021《人造板及其制品甲醛释放量分级》中ENF级标准；</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3、纹理清晰自然，坚实稳固；</w:t>
            </w:r>
            <w:r>
              <w:rPr>
                <w:rStyle w:val="11"/>
                <w:rFonts w:hint="eastAsia" w:ascii="宋体" w:hAnsi="宋体" w:eastAsia="宋体" w:cs="宋体"/>
                <w:color w:val="auto"/>
                <w:sz w:val="24"/>
                <w:szCs w:val="24"/>
                <w:highlight w:val="none"/>
                <w:lang w:val="en-US" w:eastAsia="zh-CN" w:bidi="ar"/>
              </w:rPr>
              <w:br w:type="textWrapping"/>
            </w:r>
            <w:r>
              <w:rPr>
                <w:rStyle w:val="11"/>
                <w:rFonts w:hint="eastAsia" w:ascii="宋体" w:hAnsi="宋体" w:eastAsia="宋体" w:cs="宋体"/>
                <w:color w:val="auto"/>
                <w:sz w:val="24"/>
                <w:szCs w:val="24"/>
                <w:highlight w:val="none"/>
                <w:lang w:val="en-US" w:eastAsia="zh-CN" w:bidi="ar"/>
              </w:rPr>
              <w:t>5、五金配件紧密拼接，边角细腻，转角过渡自然，间隙细小且均等。</w:t>
            </w:r>
          </w:p>
        </w:tc>
        <w:tc>
          <w:tcPr>
            <w:tcW w:w="253" w:type="pct"/>
            <w:shd w:val="clear" w:color="auto" w:fill="auto"/>
            <w:noWrap/>
            <w:vAlign w:val="center"/>
          </w:tcPr>
          <w:p w14:paraId="23B075D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6BF90D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05E2150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746760"/>
                  <wp:effectExtent l="0" t="0" r="635" b="15240"/>
                  <wp:docPr id="158" name="图片 158" descr="91 卡座书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91 卡座书架"/>
                          <pic:cNvPicPr>
                            <a:picLocks noChangeAspect="1"/>
                          </pic:cNvPicPr>
                        </pic:nvPicPr>
                        <pic:blipFill>
                          <a:blip r:embed="rId88"/>
                          <a:stretch>
                            <a:fillRect/>
                          </a:stretch>
                        </pic:blipFill>
                        <pic:spPr>
                          <a:xfrm>
                            <a:off x="0" y="0"/>
                            <a:ext cx="1370965" cy="746760"/>
                          </a:xfrm>
                          <a:prstGeom prst="rect">
                            <a:avLst/>
                          </a:prstGeom>
                        </pic:spPr>
                      </pic:pic>
                    </a:graphicData>
                  </a:graphic>
                </wp:inline>
              </w:drawing>
            </w:r>
          </w:p>
        </w:tc>
      </w:tr>
      <w:tr w14:paraId="5E67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70" w:hRule="atLeast"/>
        </w:trPr>
        <w:tc>
          <w:tcPr>
            <w:tcW w:w="367" w:type="pct"/>
            <w:shd w:val="clear" w:color="auto" w:fill="auto"/>
            <w:vAlign w:val="center"/>
          </w:tcPr>
          <w:p w14:paraId="2F000D1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92</w:t>
            </w:r>
          </w:p>
        </w:tc>
        <w:tc>
          <w:tcPr>
            <w:tcW w:w="542" w:type="pct"/>
            <w:shd w:val="clear" w:color="auto" w:fill="auto"/>
            <w:vAlign w:val="center"/>
          </w:tcPr>
          <w:p w14:paraId="4FD2435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文化牌3</w:t>
            </w:r>
          </w:p>
        </w:tc>
        <w:tc>
          <w:tcPr>
            <w:tcW w:w="2240" w:type="pct"/>
            <w:shd w:val="clear" w:color="auto" w:fill="auto"/>
            <w:vAlign w:val="center"/>
          </w:tcPr>
          <w:p w14:paraId="30E3BB68">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1、采用PVC材质，色泽亮丽；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2、五金配件紧密拼接，边角细腻，转角过度自然，间隙细小且均等。</w:t>
            </w:r>
          </w:p>
        </w:tc>
        <w:tc>
          <w:tcPr>
            <w:tcW w:w="253" w:type="pct"/>
            <w:shd w:val="clear" w:color="auto" w:fill="auto"/>
            <w:noWrap/>
            <w:vAlign w:val="center"/>
          </w:tcPr>
          <w:p w14:paraId="13B4081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628A227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76103E7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330" cy="520700"/>
                  <wp:effectExtent l="0" t="0" r="1270" b="12700"/>
                  <wp:docPr id="159" name="图片 159" descr="92 文化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92 文化牌"/>
                          <pic:cNvPicPr>
                            <a:picLocks noChangeAspect="1"/>
                          </pic:cNvPicPr>
                        </pic:nvPicPr>
                        <pic:blipFill>
                          <a:blip r:embed="rId89"/>
                          <a:stretch>
                            <a:fillRect/>
                          </a:stretch>
                        </pic:blipFill>
                        <pic:spPr>
                          <a:xfrm>
                            <a:off x="0" y="0"/>
                            <a:ext cx="1370330" cy="520700"/>
                          </a:xfrm>
                          <a:prstGeom prst="rect">
                            <a:avLst/>
                          </a:prstGeom>
                        </pic:spPr>
                      </pic:pic>
                    </a:graphicData>
                  </a:graphic>
                </wp:inline>
              </w:drawing>
            </w:r>
          </w:p>
        </w:tc>
      </w:tr>
      <w:tr w14:paraId="4F57F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00" w:hRule="atLeast"/>
        </w:trPr>
        <w:tc>
          <w:tcPr>
            <w:tcW w:w="367" w:type="pct"/>
            <w:shd w:val="clear" w:color="auto" w:fill="auto"/>
            <w:vAlign w:val="center"/>
          </w:tcPr>
          <w:p w14:paraId="6105EAC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93</w:t>
            </w:r>
          </w:p>
        </w:tc>
        <w:tc>
          <w:tcPr>
            <w:tcW w:w="542" w:type="pct"/>
            <w:shd w:val="clear" w:color="auto" w:fill="auto"/>
            <w:vAlign w:val="center"/>
          </w:tcPr>
          <w:p w14:paraId="059E874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更换双开木门</w:t>
            </w:r>
          </w:p>
        </w:tc>
        <w:tc>
          <w:tcPr>
            <w:tcW w:w="2240" w:type="pct"/>
            <w:shd w:val="clear" w:color="auto" w:fill="auto"/>
            <w:vAlign w:val="center"/>
          </w:tcPr>
          <w:p w14:paraId="73462965">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1、规格：长1200*宽2400mm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2、复合实木板；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3、木纹纹理自然，颜色线条拼合细密；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4、整体五金配件紧密拼接，封边细腻，转角过渡自然，间隙细小且均等。</w:t>
            </w:r>
          </w:p>
        </w:tc>
        <w:tc>
          <w:tcPr>
            <w:tcW w:w="253" w:type="pct"/>
            <w:shd w:val="clear" w:color="auto" w:fill="auto"/>
            <w:noWrap/>
            <w:vAlign w:val="center"/>
          </w:tcPr>
          <w:p w14:paraId="52A5AC9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扇</w:t>
            </w:r>
          </w:p>
        </w:tc>
        <w:tc>
          <w:tcPr>
            <w:tcW w:w="334" w:type="pct"/>
            <w:shd w:val="clear" w:color="auto" w:fill="auto"/>
            <w:noWrap/>
            <w:vAlign w:val="center"/>
          </w:tcPr>
          <w:p w14:paraId="1E9248E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noWrap/>
            <w:vAlign w:val="center"/>
          </w:tcPr>
          <w:p w14:paraId="4E636EC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586105" cy="942975"/>
                  <wp:effectExtent l="0" t="0" r="4445" b="9525"/>
                  <wp:docPr id="160" name="图片 160" descr="93 更换双开木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93 更换双开木门"/>
                          <pic:cNvPicPr>
                            <a:picLocks noChangeAspect="1"/>
                          </pic:cNvPicPr>
                        </pic:nvPicPr>
                        <pic:blipFill>
                          <a:blip r:embed="rId90"/>
                          <a:stretch>
                            <a:fillRect/>
                          </a:stretch>
                        </pic:blipFill>
                        <pic:spPr>
                          <a:xfrm>
                            <a:off x="0" y="0"/>
                            <a:ext cx="586105" cy="942975"/>
                          </a:xfrm>
                          <a:prstGeom prst="rect">
                            <a:avLst/>
                          </a:prstGeom>
                        </pic:spPr>
                      </pic:pic>
                    </a:graphicData>
                  </a:graphic>
                </wp:inline>
              </w:drawing>
            </w:r>
          </w:p>
        </w:tc>
      </w:tr>
      <w:tr w14:paraId="3D996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20" w:hRule="atLeast"/>
        </w:trPr>
        <w:tc>
          <w:tcPr>
            <w:tcW w:w="367" w:type="pct"/>
            <w:shd w:val="clear" w:color="auto" w:fill="auto"/>
            <w:vAlign w:val="center"/>
          </w:tcPr>
          <w:p w14:paraId="72DD679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94</w:t>
            </w:r>
          </w:p>
        </w:tc>
        <w:tc>
          <w:tcPr>
            <w:tcW w:w="542" w:type="pct"/>
            <w:shd w:val="clear" w:color="auto" w:fill="auto"/>
            <w:vAlign w:val="center"/>
          </w:tcPr>
          <w:p w14:paraId="2C38432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布艺窗帘2</w:t>
            </w:r>
          </w:p>
        </w:tc>
        <w:tc>
          <w:tcPr>
            <w:tcW w:w="2240" w:type="pct"/>
            <w:shd w:val="clear" w:color="auto" w:fill="auto"/>
            <w:vAlign w:val="center"/>
          </w:tcPr>
          <w:p w14:paraId="7119D7C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1、规格：高度2400（±2cm）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2、窗帘是由棉麻布制作；</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3、表面细致，垂坠由质感，具有遮阳隔热和调节室内光线的功能；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4、包含罗马杆或轨道。</w:t>
            </w:r>
          </w:p>
        </w:tc>
        <w:tc>
          <w:tcPr>
            <w:tcW w:w="253" w:type="pct"/>
            <w:shd w:val="clear" w:color="auto" w:fill="auto"/>
            <w:noWrap/>
            <w:vAlign w:val="center"/>
          </w:tcPr>
          <w:p w14:paraId="07335FA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4798E24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78</w:t>
            </w:r>
          </w:p>
        </w:tc>
        <w:tc>
          <w:tcPr>
            <w:tcW w:w="1261" w:type="pct"/>
            <w:shd w:val="clear" w:color="auto" w:fill="auto"/>
            <w:noWrap/>
            <w:vAlign w:val="center"/>
          </w:tcPr>
          <w:p w14:paraId="410C3F3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812800"/>
                  <wp:effectExtent l="0" t="0" r="0" b="6350"/>
                  <wp:docPr id="161" name="图片 161" descr="94 布艺窗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94 布艺窗帘"/>
                          <pic:cNvPicPr>
                            <a:picLocks noChangeAspect="1"/>
                          </pic:cNvPicPr>
                        </pic:nvPicPr>
                        <pic:blipFill>
                          <a:blip r:embed="rId91"/>
                          <a:stretch>
                            <a:fillRect/>
                          </a:stretch>
                        </pic:blipFill>
                        <pic:spPr>
                          <a:xfrm>
                            <a:off x="0" y="0"/>
                            <a:ext cx="1371600" cy="812800"/>
                          </a:xfrm>
                          <a:prstGeom prst="rect">
                            <a:avLst/>
                          </a:prstGeom>
                        </pic:spPr>
                      </pic:pic>
                    </a:graphicData>
                  </a:graphic>
                </wp:inline>
              </w:drawing>
            </w:r>
          </w:p>
        </w:tc>
      </w:tr>
      <w:tr w14:paraId="2B975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20" w:hRule="atLeast"/>
        </w:trPr>
        <w:tc>
          <w:tcPr>
            <w:tcW w:w="367" w:type="pct"/>
            <w:shd w:val="clear" w:color="auto" w:fill="auto"/>
            <w:vAlign w:val="center"/>
          </w:tcPr>
          <w:p w14:paraId="781833D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95</w:t>
            </w:r>
          </w:p>
        </w:tc>
        <w:tc>
          <w:tcPr>
            <w:tcW w:w="542" w:type="pct"/>
            <w:shd w:val="clear" w:color="auto" w:fill="auto"/>
            <w:vAlign w:val="center"/>
          </w:tcPr>
          <w:p w14:paraId="035399D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造型吊顶2</w:t>
            </w:r>
          </w:p>
        </w:tc>
        <w:tc>
          <w:tcPr>
            <w:tcW w:w="2240" w:type="pct"/>
            <w:shd w:val="clear" w:color="auto" w:fill="auto"/>
            <w:vAlign w:val="center"/>
          </w:tcPr>
          <w:p w14:paraId="2E38AB7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1、轻钢龙骨、轻钢龙付骨、自攻螺丝8厘吊杆螺、帽垫片膨胀头，面封硅酸钙板；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2、面刷乳胶漆，高遮盖力，抗碱防霉，覆盖细微裂纹。净味防裂，弹性防裂抗粉化效果以及多重保护效果使墙面能够保持长久亮丽。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3、边角细腻，转角过渡自然，间隙细小且均等。</w:t>
            </w:r>
          </w:p>
        </w:tc>
        <w:tc>
          <w:tcPr>
            <w:tcW w:w="253" w:type="pct"/>
            <w:shd w:val="clear" w:color="auto" w:fill="auto"/>
            <w:noWrap/>
            <w:vAlign w:val="center"/>
          </w:tcPr>
          <w:p w14:paraId="30F3483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105611A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150</w:t>
            </w:r>
          </w:p>
        </w:tc>
        <w:tc>
          <w:tcPr>
            <w:tcW w:w="1261" w:type="pct"/>
            <w:shd w:val="clear" w:color="auto" w:fill="auto"/>
            <w:noWrap/>
            <w:vAlign w:val="center"/>
          </w:tcPr>
          <w:p w14:paraId="728D1EE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0965" cy="379095"/>
                  <wp:effectExtent l="0" t="0" r="635" b="1905"/>
                  <wp:docPr id="162" name="图片 162" descr="95 造型吊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95 造型吊顶"/>
                          <pic:cNvPicPr>
                            <a:picLocks noChangeAspect="1"/>
                          </pic:cNvPicPr>
                        </pic:nvPicPr>
                        <pic:blipFill>
                          <a:blip r:embed="rId92"/>
                          <a:stretch>
                            <a:fillRect/>
                          </a:stretch>
                        </pic:blipFill>
                        <pic:spPr>
                          <a:xfrm>
                            <a:off x="0" y="0"/>
                            <a:ext cx="1370965" cy="379095"/>
                          </a:xfrm>
                          <a:prstGeom prst="rect">
                            <a:avLst/>
                          </a:prstGeom>
                        </pic:spPr>
                      </pic:pic>
                    </a:graphicData>
                  </a:graphic>
                </wp:inline>
              </w:drawing>
            </w:r>
          </w:p>
        </w:tc>
      </w:tr>
      <w:tr w14:paraId="2FC36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60" w:hRule="atLeast"/>
        </w:trPr>
        <w:tc>
          <w:tcPr>
            <w:tcW w:w="367" w:type="pct"/>
            <w:shd w:val="clear" w:color="auto" w:fill="auto"/>
            <w:vAlign w:val="center"/>
          </w:tcPr>
          <w:p w14:paraId="5C2E3FD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96</w:t>
            </w:r>
          </w:p>
        </w:tc>
        <w:tc>
          <w:tcPr>
            <w:tcW w:w="542" w:type="pct"/>
            <w:shd w:val="clear" w:color="auto" w:fill="auto"/>
            <w:vAlign w:val="center"/>
          </w:tcPr>
          <w:p w14:paraId="76C8815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吊顶木饰面</w:t>
            </w:r>
          </w:p>
        </w:tc>
        <w:tc>
          <w:tcPr>
            <w:tcW w:w="2240" w:type="pct"/>
            <w:shd w:val="clear" w:color="auto" w:fill="auto"/>
            <w:vAlign w:val="center"/>
          </w:tcPr>
          <w:p w14:paraId="450D930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1、木饰面板装饰，木纹清晰自然；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2、边角细腻，转角过渡自然，间隙细小且均等。</w:t>
            </w:r>
          </w:p>
        </w:tc>
        <w:tc>
          <w:tcPr>
            <w:tcW w:w="253" w:type="pct"/>
            <w:shd w:val="clear" w:color="auto" w:fill="auto"/>
            <w:vAlign w:val="center"/>
          </w:tcPr>
          <w:p w14:paraId="7871940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6C52B6D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90</w:t>
            </w:r>
          </w:p>
        </w:tc>
        <w:tc>
          <w:tcPr>
            <w:tcW w:w="1261" w:type="pct"/>
            <w:shd w:val="clear" w:color="auto" w:fill="auto"/>
            <w:noWrap/>
            <w:vAlign w:val="center"/>
          </w:tcPr>
          <w:p w14:paraId="3CF88BD0">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2235" cy="335280"/>
                  <wp:effectExtent l="0" t="0" r="18415" b="7620"/>
                  <wp:docPr id="163" name="图片 163" descr="96 吊顶木饰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96 吊顶木饰面"/>
                          <pic:cNvPicPr>
                            <a:picLocks noChangeAspect="1"/>
                          </pic:cNvPicPr>
                        </pic:nvPicPr>
                        <pic:blipFill>
                          <a:blip r:embed="rId93"/>
                          <a:stretch>
                            <a:fillRect/>
                          </a:stretch>
                        </pic:blipFill>
                        <pic:spPr>
                          <a:xfrm>
                            <a:off x="0" y="0"/>
                            <a:ext cx="1372235" cy="335280"/>
                          </a:xfrm>
                          <a:prstGeom prst="rect">
                            <a:avLst/>
                          </a:prstGeom>
                        </pic:spPr>
                      </pic:pic>
                    </a:graphicData>
                  </a:graphic>
                </wp:inline>
              </w:drawing>
            </w:r>
          </w:p>
        </w:tc>
      </w:tr>
      <w:tr w14:paraId="26DEA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20" w:hRule="atLeast"/>
        </w:trPr>
        <w:tc>
          <w:tcPr>
            <w:tcW w:w="367" w:type="pct"/>
            <w:shd w:val="clear" w:color="auto" w:fill="auto"/>
            <w:vAlign w:val="center"/>
          </w:tcPr>
          <w:p w14:paraId="17D3A60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97</w:t>
            </w:r>
          </w:p>
        </w:tc>
        <w:tc>
          <w:tcPr>
            <w:tcW w:w="542" w:type="pct"/>
            <w:shd w:val="clear" w:color="auto" w:fill="auto"/>
            <w:vAlign w:val="center"/>
          </w:tcPr>
          <w:p w14:paraId="7AB4EE7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圆形灯膜1</w:t>
            </w:r>
          </w:p>
        </w:tc>
        <w:tc>
          <w:tcPr>
            <w:tcW w:w="2240" w:type="pct"/>
            <w:shd w:val="clear" w:color="auto" w:fill="auto"/>
            <w:vAlign w:val="center"/>
          </w:tcPr>
          <w:p w14:paraId="69BE296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1、规格：直径3000mm（±2cm）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2、采用UV软膜，防火阻燃，抗菌处理；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3、环保耐磨，易打理，手感细腻；</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4、内嵌LED灯带，灯光柔和不刺眼，搭配龙骨，安装稳固，不易变形。</w:t>
            </w:r>
          </w:p>
        </w:tc>
        <w:tc>
          <w:tcPr>
            <w:tcW w:w="253" w:type="pct"/>
            <w:shd w:val="clear" w:color="auto" w:fill="auto"/>
            <w:vAlign w:val="center"/>
          </w:tcPr>
          <w:p w14:paraId="2A4F696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345B0E6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09A3B58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95375" cy="866775"/>
                  <wp:effectExtent l="0" t="0" r="9525" b="9525"/>
                  <wp:docPr id="164" name="图片 164" descr="97-98 圆形灯膜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97-98 圆形灯膜1"/>
                          <pic:cNvPicPr>
                            <a:picLocks noChangeAspect="1"/>
                          </pic:cNvPicPr>
                        </pic:nvPicPr>
                        <pic:blipFill>
                          <a:blip r:embed="rId94"/>
                          <a:stretch>
                            <a:fillRect/>
                          </a:stretch>
                        </pic:blipFill>
                        <pic:spPr>
                          <a:xfrm>
                            <a:off x="0" y="0"/>
                            <a:ext cx="1095375" cy="866775"/>
                          </a:xfrm>
                          <a:prstGeom prst="rect">
                            <a:avLst/>
                          </a:prstGeom>
                        </pic:spPr>
                      </pic:pic>
                    </a:graphicData>
                  </a:graphic>
                </wp:inline>
              </w:drawing>
            </w:r>
          </w:p>
        </w:tc>
      </w:tr>
      <w:tr w14:paraId="0C8FF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80" w:hRule="atLeast"/>
        </w:trPr>
        <w:tc>
          <w:tcPr>
            <w:tcW w:w="367" w:type="pct"/>
            <w:shd w:val="clear" w:color="auto" w:fill="auto"/>
            <w:vAlign w:val="center"/>
          </w:tcPr>
          <w:p w14:paraId="052ED25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98</w:t>
            </w:r>
          </w:p>
        </w:tc>
        <w:tc>
          <w:tcPr>
            <w:tcW w:w="542" w:type="pct"/>
            <w:shd w:val="clear" w:color="auto" w:fill="auto"/>
            <w:vAlign w:val="center"/>
          </w:tcPr>
          <w:p w14:paraId="152ADE0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圆形灯膜2</w:t>
            </w:r>
          </w:p>
        </w:tc>
        <w:tc>
          <w:tcPr>
            <w:tcW w:w="2240" w:type="pct"/>
            <w:shd w:val="clear" w:color="auto" w:fill="auto"/>
            <w:vAlign w:val="center"/>
          </w:tcPr>
          <w:p w14:paraId="1025354F">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1、规格：直径2000mm（±2cm）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2、采用UV软膜，防火阻燃，抗菌处理；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3、环保耐磨，易打理，手感细腻；</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4、内嵌LED灯带，灯光柔和不刺眼，搭配龙骨，安装稳固，不易变形。</w:t>
            </w:r>
          </w:p>
        </w:tc>
        <w:tc>
          <w:tcPr>
            <w:tcW w:w="253" w:type="pct"/>
            <w:shd w:val="clear" w:color="auto" w:fill="auto"/>
            <w:vAlign w:val="center"/>
          </w:tcPr>
          <w:p w14:paraId="5C2DEC2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c>
          <w:tcPr>
            <w:tcW w:w="334" w:type="pct"/>
            <w:shd w:val="clear" w:color="auto" w:fill="auto"/>
            <w:noWrap/>
            <w:vAlign w:val="center"/>
          </w:tcPr>
          <w:p w14:paraId="2778EFC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noWrap/>
            <w:vAlign w:val="center"/>
          </w:tcPr>
          <w:p w14:paraId="4276A22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95375" cy="866775"/>
                  <wp:effectExtent l="0" t="0" r="9525" b="9525"/>
                  <wp:docPr id="167" name="图片 167" descr="97-98 圆形灯膜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97-98 圆形灯膜1"/>
                          <pic:cNvPicPr>
                            <a:picLocks noChangeAspect="1"/>
                          </pic:cNvPicPr>
                        </pic:nvPicPr>
                        <pic:blipFill>
                          <a:blip r:embed="rId94"/>
                          <a:stretch>
                            <a:fillRect/>
                          </a:stretch>
                        </pic:blipFill>
                        <pic:spPr>
                          <a:xfrm>
                            <a:off x="0" y="0"/>
                            <a:ext cx="1095375" cy="866775"/>
                          </a:xfrm>
                          <a:prstGeom prst="rect">
                            <a:avLst/>
                          </a:prstGeom>
                        </pic:spPr>
                      </pic:pic>
                    </a:graphicData>
                  </a:graphic>
                </wp:inline>
              </w:drawing>
            </w:r>
          </w:p>
        </w:tc>
      </w:tr>
      <w:tr w14:paraId="11B67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40" w:hRule="atLeast"/>
        </w:trPr>
        <w:tc>
          <w:tcPr>
            <w:tcW w:w="367" w:type="pct"/>
            <w:shd w:val="clear" w:color="auto" w:fill="auto"/>
            <w:vAlign w:val="center"/>
          </w:tcPr>
          <w:p w14:paraId="5EDECBA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99</w:t>
            </w:r>
          </w:p>
        </w:tc>
        <w:tc>
          <w:tcPr>
            <w:tcW w:w="542" w:type="pct"/>
            <w:shd w:val="clear" w:color="auto" w:fill="auto"/>
            <w:vAlign w:val="center"/>
          </w:tcPr>
          <w:p w14:paraId="66B6AA2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筒灯2</w:t>
            </w:r>
          </w:p>
        </w:tc>
        <w:tc>
          <w:tcPr>
            <w:tcW w:w="2240" w:type="pct"/>
            <w:shd w:val="clear" w:color="auto" w:fill="auto"/>
            <w:vAlign w:val="center"/>
          </w:tcPr>
          <w:p w14:paraId="51253EA4">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1、规格：半径52mm；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2、加厚铝材散热器，散热快保护灯具，使用寿命更持久，镶嵌在天花板上，使用寿命长；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3、LED芯片，使光线更加柔和；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4、高透光面罩，防雾防眩光，高效透光，光线柔和；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5、光源为LED光源。</w:t>
            </w:r>
          </w:p>
        </w:tc>
        <w:tc>
          <w:tcPr>
            <w:tcW w:w="253" w:type="pct"/>
            <w:shd w:val="clear" w:color="auto" w:fill="auto"/>
            <w:vAlign w:val="center"/>
          </w:tcPr>
          <w:p w14:paraId="13CAFA1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6F0DCCB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70</w:t>
            </w:r>
          </w:p>
        </w:tc>
        <w:tc>
          <w:tcPr>
            <w:tcW w:w="1261" w:type="pct"/>
            <w:shd w:val="clear" w:color="auto" w:fill="auto"/>
            <w:vAlign w:val="center"/>
          </w:tcPr>
          <w:p w14:paraId="2990631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90650" cy="1062990"/>
                  <wp:effectExtent l="0" t="0" r="0" b="3810"/>
                  <wp:docPr id="168" name="图片 168" descr="99筒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99筒灯"/>
                          <pic:cNvPicPr>
                            <a:picLocks noChangeAspect="1"/>
                          </pic:cNvPicPr>
                        </pic:nvPicPr>
                        <pic:blipFill>
                          <a:blip r:embed="rId95"/>
                          <a:stretch>
                            <a:fillRect/>
                          </a:stretch>
                        </pic:blipFill>
                        <pic:spPr>
                          <a:xfrm>
                            <a:off x="0" y="0"/>
                            <a:ext cx="1390650" cy="1062990"/>
                          </a:xfrm>
                          <a:prstGeom prst="rect">
                            <a:avLst/>
                          </a:prstGeom>
                        </pic:spPr>
                      </pic:pic>
                    </a:graphicData>
                  </a:graphic>
                </wp:inline>
              </w:drawing>
            </w:r>
          </w:p>
        </w:tc>
      </w:tr>
      <w:tr w14:paraId="67D88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4" w:hRule="atLeast"/>
        </w:trPr>
        <w:tc>
          <w:tcPr>
            <w:tcW w:w="367" w:type="pct"/>
            <w:shd w:val="clear" w:color="auto" w:fill="auto"/>
            <w:vAlign w:val="center"/>
          </w:tcPr>
          <w:p w14:paraId="19B7330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100</w:t>
            </w:r>
          </w:p>
        </w:tc>
        <w:tc>
          <w:tcPr>
            <w:tcW w:w="542" w:type="pct"/>
            <w:shd w:val="clear" w:color="auto" w:fill="auto"/>
            <w:vAlign w:val="center"/>
          </w:tcPr>
          <w:p w14:paraId="6EB4E439">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LED灯带</w:t>
            </w:r>
          </w:p>
        </w:tc>
        <w:tc>
          <w:tcPr>
            <w:tcW w:w="2240" w:type="pct"/>
            <w:shd w:val="clear" w:color="auto" w:fill="auto"/>
            <w:vAlign w:val="center"/>
          </w:tcPr>
          <w:p w14:paraId="204A684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1、20*20mm(开孔16mm)；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2、硅胶灯体，可随意弯曲，镶嵌在天花板或墙体上；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3、LED光源，防雾防眩光，高效透光，光线柔和，11.52W/M；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4、含配套变压器。</w:t>
            </w:r>
          </w:p>
        </w:tc>
        <w:tc>
          <w:tcPr>
            <w:tcW w:w="253" w:type="pct"/>
            <w:shd w:val="clear" w:color="auto" w:fill="auto"/>
            <w:vAlign w:val="center"/>
          </w:tcPr>
          <w:p w14:paraId="2A27BB3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m</w:t>
            </w:r>
          </w:p>
        </w:tc>
        <w:tc>
          <w:tcPr>
            <w:tcW w:w="334" w:type="pct"/>
            <w:shd w:val="clear" w:color="auto" w:fill="auto"/>
            <w:noWrap/>
            <w:vAlign w:val="center"/>
          </w:tcPr>
          <w:p w14:paraId="4E8AC12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50</w:t>
            </w:r>
          </w:p>
        </w:tc>
        <w:tc>
          <w:tcPr>
            <w:tcW w:w="1261" w:type="pct"/>
            <w:shd w:val="clear" w:color="auto" w:fill="auto"/>
            <w:noWrap/>
            <w:vAlign w:val="center"/>
          </w:tcPr>
          <w:p w14:paraId="0E1B9B0F">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23975" cy="1310005"/>
                  <wp:effectExtent l="0" t="0" r="9525" b="4445"/>
                  <wp:docPr id="169" name="图片 169" descr="100 LED灯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100 LED灯带"/>
                          <pic:cNvPicPr>
                            <a:picLocks noChangeAspect="1"/>
                          </pic:cNvPicPr>
                        </pic:nvPicPr>
                        <pic:blipFill>
                          <a:blip r:embed="rId96"/>
                          <a:stretch>
                            <a:fillRect/>
                          </a:stretch>
                        </pic:blipFill>
                        <pic:spPr>
                          <a:xfrm>
                            <a:off x="0" y="0"/>
                            <a:ext cx="1323975" cy="1310005"/>
                          </a:xfrm>
                          <a:prstGeom prst="rect">
                            <a:avLst/>
                          </a:prstGeom>
                        </pic:spPr>
                      </pic:pic>
                    </a:graphicData>
                  </a:graphic>
                </wp:inline>
              </w:drawing>
            </w:r>
          </w:p>
        </w:tc>
      </w:tr>
      <w:tr w14:paraId="746CF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0" w:hRule="atLeast"/>
        </w:trPr>
        <w:tc>
          <w:tcPr>
            <w:tcW w:w="367" w:type="pct"/>
            <w:shd w:val="clear" w:color="auto" w:fill="auto"/>
            <w:vAlign w:val="center"/>
          </w:tcPr>
          <w:p w14:paraId="3608FEE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101</w:t>
            </w:r>
          </w:p>
        </w:tc>
        <w:tc>
          <w:tcPr>
            <w:tcW w:w="542" w:type="pct"/>
            <w:shd w:val="clear" w:color="auto" w:fill="auto"/>
            <w:vAlign w:val="center"/>
          </w:tcPr>
          <w:p w14:paraId="415ECA9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lang w:val="en-US"/>
              </w:rPr>
            </w:pPr>
            <w:r>
              <w:rPr>
                <w:rFonts w:hint="eastAsia" w:ascii="宋体" w:hAnsi="宋体" w:eastAsia="宋体" w:cs="宋体"/>
                <w:i w:val="0"/>
                <w:iCs w:val="0"/>
                <w:color w:val="auto"/>
                <w:kern w:val="0"/>
                <w:sz w:val="24"/>
                <w:szCs w:val="24"/>
                <w:highlight w:val="none"/>
                <w:u w:val="none"/>
                <w:lang w:val="en-US" w:eastAsia="zh-CN" w:bidi="ar"/>
              </w:rPr>
              <w:t>强电辅材2</w:t>
            </w:r>
          </w:p>
        </w:tc>
        <w:tc>
          <w:tcPr>
            <w:tcW w:w="2240" w:type="pct"/>
            <w:shd w:val="clear" w:color="auto" w:fill="auto"/>
            <w:vAlign w:val="center"/>
          </w:tcPr>
          <w:p w14:paraId="491EC096">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1、全空间灯具、开关插座等布线及辅材费用；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2、所有电子设备点位强电插座布线及辅材费用；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3、含布线服务。</w:t>
            </w:r>
          </w:p>
        </w:tc>
        <w:tc>
          <w:tcPr>
            <w:tcW w:w="253" w:type="pct"/>
            <w:shd w:val="clear" w:color="auto" w:fill="auto"/>
            <w:vAlign w:val="center"/>
          </w:tcPr>
          <w:p w14:paraId="171CD56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5D14D46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150</w:t>
            </w:r>
          </w:p>
        </w:tc>
        <w:tc>
          <w:tcPr>
            <w:tcW w:w="1261" w:type="pct"/>
            <w:shd w:val="clear" w:color="auto" w:fill="auto"/>
            <w:noWrap/>
            <w:vAlign w:val="center"/>
          </w:tcPr>
          <w:p w14:paraId="113AD696">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20554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0" w:hRule="atLeast"/>
        </w:trPr>
        <w:tc>
          <w:tcPr>
            <w:tcW w:w="367" w:type="pct"/>
            <w:shd w:val="clear" w:color="auto" w:fill="auto"/>
            <w:vAlign w:val="center"/>
          </w:tcPr>
          <w:p w14:paraId="3209F2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102</w:t>
            </w:r>
          </w:p>
        </w:tc>
        <w:tc>
          <w:tcPr>
            <w:tcW w:w="542" w:type="pct"/>
            <w:shd w:val="clear" w:color="auto" w:fill="auto"/>
            <w:vAlign w:val="center"/>
          </w:tcPr>
          <w:p w14:paraId="093457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lang w:val="en-US"/>
              </w:rPr>
            </w:pPr>
            <w:r>
              <w:rPr>
                <w:rFonts w:hint="eastAsia" w:ascii="宋体" w:hAnsi="宋体" w:eastAsia="宋体" w:cs="宋体"/>
                <w:i w:val="0"/>
                <w:iCs w:val="0"/>
                <w:color w:val="auto"/>
                <w:kern w:val="0"/>
                <w:sz w:val="24"/>
                <w:szCs w:val="24"/>
                <w:highlight w:val="none"/>
                <w:u w:val="none"/>
                <w:lang w:val="en-US" w:eastAsia="zh-CN" w:bidi="ar"/>
              </w:rPr>
              <w:t>弱电辅材2</w:t>
            </w:r>
          </w:p>
        </w:tc>
        <w:tc>
          <w:tcPr>
            <w:tcW w:w="2240" w:type="pct"/>
            <w:shd w:val="clear" w:color="auto" w:fill="auto"/>
            <w:vAlign w:val="center"/>
          </w:tcPr>
          <w:p w14:paraId="42767FF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1、全空间网络设备等布线及辅材费用；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2、所有电子设备点位弱电网络口布线及辅材费用。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3、含布线服务。</w:t>
            </w:r>
          </w:p>
        </w:tc>
        <w:tc>
          <w:tcPr>
            <w:tcW w:w="253" w:type="pct"/>
            <w:shd w:val="clear" w:color="auto" w:fill="auto"/>
            <w:vAlign w:val="center"/>
          </w:tcPr>
          <w:p w14:paraId="45A6EE5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7A5D8E1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150</w:t>
            </w:r>
          </w:p>
        </w:tc>
        <w:tc>
          <w:tcPr>
            <w:tcW w:w="1261" w:type="pct"/>
            <w:shd w:val="clear" w:color="auto" w:fill="auto"/>
            <w:noWrap/>
            <w:vAlign w:val="center"/>
          </w:tcPr>
          <w:p w14:paraId="2B0C13C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1469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0" w:hRule="atLeast"/>
        </w:trPr>
        <w:tc>
          <w:tcPr>
            <w:tcW w:w="367" w:type="pct"/>
            <w:shd w:val="clear" w:color="auto" w:fill="auto"/>
            <w:vAlign w:val="center"/>
          </w:tcPr>
          <w:p w14:paraId="3F07C1C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103</w:t>
            </w:r>
          </w:p>
        </w:tc>
        <w:tc>
          <w:tcPr>
            <w:tcW w:w="542" w:type="pct"/>
            <w:shd w:val="clear" w:color="auto" w:fill="auto"/>
            <w:vAlign w:val="center"/>
          </w:tcPr>
          <w:p w14:paraId="330A97C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水泥漆</w:t>
            </w:r>
          </w:p>
        </w:tc>
        <w:tc>
          <w:tcPr>
            <w:tcW w:w="2240" w:type="pct"/>
            <w:shd w:val="clear" w:color="auto" w:fill="auto"/>
            <w:vAlign w:val="center"/>
          </w:tcPr>
          <w:p w14:paraId="21DE651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1、含室内全空间顶面及墙面乳胶漆，高遮盖力，抗碱防霉，覆盖细微裂纹；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2、净味防裂，弹性防裂抗粉化效果以及多重保护效果使墙面能够保持长久亮丽；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3、含人工及腻子材料扒底。</w:t>
            </w:r>
          </w:p>
        </w:tc>
        <w:tc>
          <w:tcPr>
            <w:tcW w:w="253" w:type="pct"/>
            <w:shd w:val="clear" w:color="auto" w:fill="auto"/>
            <w:vAlign w:val="center"/>
          </w:tcPr>
          <w:p w14:paraId="20AEE15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w:t>
            </w:r>
          </w:p>
        </w:tc>
        <w:tc>
          <w:tcPr>
            <w:tcW w:w="334" w:type="pct"/>
            <w:shd w:val="clear" w:color="auto" w:fill="auto"/>
            <w:noWrap/>
            <w:vAlign w:val="center"/>
          </w:tcPr>
          <w:p w14:paraId="63F2A6C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300</w:t>
            </w:r>
          </w:p>
        </w:tc>
        <w:tc>
          <w:tcPr>
            <w:tcW w:w="1261" w:type="pct"/>
            <w:shd w:val="clear" w:color="auto" w:fill="auto"/>
            <w:noWrap/>
            <w:vAlign w:val="center"/>
          </w:tcPr>
          <w:p w14:paraId="69EB209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269CC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80" w:hRule="atLeast"/>
        </w:trPr>
        <w:tc>
          <w:tcPr>
            <w:tcW w:w="367" w:type="pct"/>
            <w:shd w:val="clear" w:color="auto" w:fill="auto"/>
            <w:vAlign w:val="center"/>
          </w:tcPr>
          <w:p w14:paraId="6B66827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104</w:t>
            </w:r>
          </w:p>
        </w:tc>
        <w:tc>
          <w:tcPr>
            <w:tcW w:w="542" w:type="pct"/>
            <w:shd w:val="clear" w:color="auto" w:fill="auto"/>
            <w:vAlign w:val="center"/>
          </w:tcPr>
          <w:p w14:paraId="66819FF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拆除修补3</w:t>
            </w:r>
          </w:p>
        </w:tc>
        <w:tc>
          <w:tcPr>
            <w:tcW w:w="2240" w:type="pct"/>
            <w:shd w:val="clear" w:color="auto" w:fill="auto"/>
            <w:vAlign w:val="center"/>
          </w:tcPr>
          <w:p w14:paraId="42E510A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原空间灯具、风扇、及其他东西拆除搬运等</w:t>
            </w:r>
          </w:p>
        </w:tc>
        <w:tc>
          <w:tcPr>
            <w:tcW w:w="253" w:type="pct"/>
            <w:shd w:val="clear" w:color="auto" w:fill="auto"/>
            <w:vAlign w:val="center"/>
          </w:tcPr>
          <w:p w14:paraId="7AB07C0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2C4C240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26DD5A9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0DA6E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0" w:hRule="atLeast"/>
        </w:trPr>
        <w:tc>
          <w:tcPr>
            <w:tcW w:w="367" w:type="pct"/>
            <w:shd w:val="clear" w:color="auto" w:fill="auto"/>
            <w:vAlign w:val="center"/>
          </w:tcPr>
          <w:p w14:paraId="3B4D601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105</w:t>
            </w:r>
          </w:p>
        </w:tc>
        <w:tc>
          <w:tcPr>
            <w:tcW w:w="542" w:type="pct"/>
            <w:shd w:val="clear" w:color="auto" w:fill="auto"/>
            <w:vAlign w:val="center"/>
          </w:tcPr>
          <w:p w14:paraId="43E7A3C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集成服务3</w:t>
            </w:r>
          </w:p>
        </w:tc>
        <w:tc>
          <w:tcPr>
            <w:tcW w:w="2240" w:type="pct"/>
            <w:shd w:val="clear" w:color="auto" w:fill="auto"/>
            <w:vAlign w:val="center"/>
          </w:tcPr>
          <w:p w14:paraId="2086507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清洁，设施围挡、辅材搬运及项目现场管理集成服务等</w:t>
            </w:r>
          </w:p>
        </w:tc>
        <w:tc>
          <w:tcPr>
            <w:tcW w:w="253" w:type="pct"/>
            <w:shd w:val="clear" w:color="auto" w:fill="auto"/>
            <w:vAlign w:val="center"/>
          </w:tcPr>
          <w:p w14:paraId="7AB1D4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项</w:t>
            </w:r>
          </w:p>
        </w:tc>
        <w:tc>
          <w:tcPr>
            <w:tcW w:w="334" w:type="pct"/>
            <w:shd w:val="clear" w:color="auto" w:fill="auto"/>
            <w:noWrap/>
            <w:vAlign w:val="center"/>
          </w:tcPr>
          <w:p w14:paraId="31B74D0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noWrap/>
            <w:vAlign w:val="center"/>
          </w:tcPr>
          <w:p w14:paraId="5EA53BF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r>
      <w:tr w14:paraId="18524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5000" w:type="pct"/>
            <w:gridSpan w:val="6"/>
            <w:shd w:val="clear" w:color="auto" w:fill="auto"/>
            <w:noWrap/>
            <w:vAlign w:val="center"/>
          </w:tcPr>
          <w:p w14:paraId="32AF50DB">
            <w:pPr>
              <w:spacing w:line="360" w:lineRule="auto"/>
              <w:jc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6、教工沙龙发展中心设备部分</w:t>
            </w:r>
          </w:p>
        </w:tc>
      </w:tr>
      <w:tr w14:paraId="7C02C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60" w:hRule="atLeast"/>
        </w:trPr>
        <w:tc>
          <w:tcPr>
            <w:tcW w:w="367" w:type="pct"/>
            <w:shd w:val="clear" w:color="auto" w:fill="auto"/>
            <w:vAlign w:val="center"/>
          </w:tcPr>
          <w:p w14:paraId="30D6FCA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106</w:t>
            </w:r>
          </w:p>
        </w:tc>
        <w:tc>
          <w:tcPr>
            <w:tcW w:w="542" w:type="pct"/>
            <w:shd w:val="clear" w:color="auto" w:fill="auto"/>
            <w:vAlign w:val="center"/>
          </w:tcPr>
          <w:p w14:paraId="6295EDA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圆凳1</w:t>
            </w:r>
          </w:p>
        </w:tc>
        <w:tc>
          <w:tcPr>
            <w:tcW w:w="2240" w:type="pct"/>
            <w:shd w:val="clear" w:color="auto" w:fill="auto"/>
            <w:vAlign w:val="center"/>
          </w:tcPr>
          <w:p w14:paraId="427285E5">
            <w:pPr>
              <w:keepNext w:val="0"/>
              <w:keepLines w:val="0"/>
              <w:widowControl/>
              <w:numPr>
                <w:ilvl w:val="0"/>
                <w:numId w:val="8"/>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规格：直径350*高450mm（±2cm）；</w:t>
            </w:r>
          </w:p>
          <w:p w14:paraId="391D0CC6">
            <w:pPr>
              <w:keepNext w:val="0"/>
              <w:keepLines w:val="0"/>
              <w:widowControl/>
              <w:numPr>
                <w:ilvl w:val="0"/>
                <w:numId w:val="8"/>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架子：金属架子；</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3、座包：布艺座包。</w:t>
            </w:r>
          </w:p>
        </w:tc>
        <w:tc>
          <w:tcPr>
            <w:tcW w:w="253" w:type="pct"/>
            <w:shd w:val="clear" w:color="auto" w:fill="auto"/>
            <w:vAlign w:val="center"/>
          </w:tcPr>
          <w:p w14:paraId="4BE62DA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3DDE63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1261" w:type="pct"/>
            <w:shd w:val="clear" w:color="auto" w:fill="auto"/>
            <w:vAlign w:val="center"/>
          </w:tcPr>
          <w:p w14:paraId="14A0648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948055" cy="948055"/>
                  <wp:effectExtent l="0" t="0" r="4445" b="4445"/>
                  <wp:docPr id="171" name="图片 171" descr="106 圆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106 圆凳"/>
                          <pic:cNvPicPr>
                            <a:picLocks noChangeAspect="1"/>
                          </pic:cNvPicPr>
                        </pic:nvPicPr>
                        <pic:blipFill>
                          <a:blip r:embed="rId97"/>
                          <a:stretch>
                            <a:fillRect/>
                          </a:stretch>
                        </pic:blipFill>
                        <pic:spPr>
                          <a:xfrm>
                            <a:off x="0" y="0"/>
                            <a:ext cx="948055" cy="948055"/>
                          </a:xfrm>
                          <a:prstGeom prst="rect">
                            <a:avLst/>
                          </a:prstGeom>
                        </pic:spPr>
                      </pic:pic>
                    </a:graphicData>
                  </a:graphic>
                </wp:inline>
              </w:drawing>
            </w:r>
          </w:p>
        </w:tc>
      </w:tr>
      <w:tr w14:paraId="7442D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20" w:hRule="atLeast"/>
        </w:trPr>
        <w:tc>
          <w:tcPr>
            <w:tcW w:w="367" w:type="pct"/>
            <w:shd w:val="clear" w:color="auto" w:fill="auto"/>
            <w:vAlign w:val="center"/>
          </w:tcPr>
          <w:p w14:paraId="0AF8B4A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107</w:t>
            </w:r>
          </w:p>
        </w:tc>
        <w:tc>
          <w:tcPr>
            <w:tcW w:w="542" w:type="pct"/>
            <w:shd w:val="clear" w:color="auto" w:fill="auto"/>
            <w:vAlign w:val="center"/>
          </w:tcPr>
          <w:p w14:paraId="5BF17EF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转角沙发</w:t>
            </w:r>
          </w:p>
        </w:tc>
        <w:tc>
          <w:tcPr>
            <w:tcW w:w="2240" w:type="pct"/>
            <w:shd w:val="clear" w:color="auto" w:fill="auto"/>
            <w:vAlign w:val="center"/>
          </w:tcPr>
          <w:p w14:paraId="134C223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1、规格：长2600*宽1450*高750mm（±2cm）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沙发：面料采用西皮或科技布饰面。内框架：实木框架配多层夹板装订。海绵：靠背为35密度高回弹切割新棉，坐垫为35密度高密度回弹切割海绵。承重弹力结构：靠背订装多条回力橡筋，坐垫标准间距蛇形拉簧+平衡橡筋。配至少3个抱枕。</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3、茶几：规格长1200*宽600*高420mm，面板：12MM厚岩板面，架子：喷涂钢架。</w:t>
            </w:r>
          </w:p>
        </w:tc>
        <w:tc>
          <w:tcPr>
            <w:tcW w:w="253" w:type="pct"/>
            <w:shd w:val="clear" w:color="auto" w:fill="auto"/>
            <w:vAlign w:val="center"/>
          </w:tcPr>
          <w:p w14:paraId="43BAE89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5F4E7C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7B6440E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90015" cy="565150"/>
                  <wp:effectExtent l="0" t="0" r="635" b="6350"/>
                  <wp:docPr id="172" name="图片 172" descr="107 转角沙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107 转角沙发"/>
                          <pic:cNvPicPr>
                            <a:picLocks noChangeAspect="1"/>
                          </pic:cNvPicPr>
                        </pic:nvPicPr>
                        <pic:blipFill>
                          <a:blip r:embed="rId98"/>
                          <a:stretch>
                            <a:fillRect/>
                          </a:stretch>
                        </pic:blipFill>
                        <pic:spPr>
                          <a:xfrm>
                            <a:off x="0" y="0"/>
                            <a:ext cx="1390015" cy="565150"/>
                          </a:xfrm>
                          <a:prstGeom prst="rect">
                            <a:avLst/>
                          </a:prstGeom>
                        </pic:spPr>
                      </pic:pic>
                    </a:graphicData>
                  </a:graphic>
                </wp:inline>
              </w:drawing>
            </w:r>
          </w:p>
        </w:tc>
      </w:tr>
      <w:tr w14:paraId="04106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60" w:hRule="atLeast"/>
        </w:trPr>
        <w:tc>
          <w:tcPr>
            <w:tcW w:w="367" w:type="pct"/>
            <w:shd w:val="clear" w:color="auto" w:fill="auto"/>
            <w:vAlign w:val="center"/>
          </w:tcPr>
          <w:p w14:paraId="14814D5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108</w:t>
            </w:r>
          </w:p>
        </w:tc>
        <w:tc>
          <w:tcPr>
            <w:tcW w:w="542" w:type="pct"/>
            <w:shd w:val="clear" w:color="auto" w:fill="auto"/>
            <w:vAlign w:val="center"/>
          </w:tcPr>
          <w:p w14:paraId="3B01B7C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半书架隔断</w:t>
            </w:r>
          </w:p>
        </w:tc>
        <w:tc>
          <w:tcPr>
            <w:tcW w:w="2240" w:type="pct"/>
            <w:shd w:val="clear" w:color="auto" w:fill="auto"/>
            <w:vAlign w:val="center"/>
          </w:tcPr>
          <w:p w14:paraId="4742F376">
            <w:pPr>
              <w:keepNext w:val="0"/>
              <w:keepLines w:val="0"/>
              <w:widowControl/>
              <w:numPr>
                <w:ilvl w:val="0"/>
                <w:numId w:val="9"/>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半书架隔断规格：长1000*宽300*高1050mm（±20mm）</w:t>
            </w:r>
          </w:p>
          <w:p w14:paraId="76AF941E">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2、架子：黑砂喷涂钢架。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3、板材：E1级环保中纤板内材(原木色)。</w:t>
            </w:r>
          </w:p>
        </w:tc>
        <w:tc>
          <w:tcPr>
            <w:tcW w:w="253" w:type="pct"/>
            <w:shd w:val="clear" w:color="auto" w:fill="auto"/>
            <w:vAlign w:val="center"/>
          </w:tcPr>
          <w:p w14:paraId="3DCD962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64E1E87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vAlign w:val="center"/>
          </w:tcPr>
          <w:p w14:paraId="36C6BD24">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90650" cy="884555"/>
                  <wp:effectExtent l="0" t="0" r="0" b="10795"/>
                  <wp:docPr id="173" name="图片 173" descr="108半书架隔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108半书架隔断"/>
                          <pic:cNvPicPr>
                            <a:picLocks noChangeAspect="1"/>
                          </pic:cNvPicPr>
                        </pic:nvPicPr>
                        <pic:blipFill>
                          <a:blip r:embed="rId99"/>
                          <a:stretch>
                            <a:fillRect/>
                          </a:stretch>
                        </pic:blipFill>
                        <pic:spPr>
                          <a:xfrm>
                            <a:off x="0" y="0"/>
                            <a:ext cx="1390650" cy="884555"/>
                          </a:xfrm>
                          <a:prstGeom prst="rect">
                            <a:avLst/>
                          </a:prstGeom>
                        </pic:spPr>
                      </pic:pic>
                    </a:graphicData>
                  </a:graphic>
                </wp:inline>
              </w:drawing>
            </w:r>
          </w:p>
        </w:tc>
      </w:tr>
      <w:tr w14:paraId="473A9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13" w:hRule="atLeast"/>
        </w:trPr>
        <w:tc>
          <w:tcPr>
            <w:tcW w:w="367" w:type="pct"/>
            <w:shd w:val="clear" w:color="auto" w:fill="auto"/>
            <w:vAlign w:val="center"/>
          </w:tcPr>
          <w:p w14:paraId="4D7A751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109</w:t>
            </w:r>
          </w:p>
        </w:tc>
        <w:tc>
          <w:tcPr>
            <w:tcW w:w="542" w:type="pct"/>
            <w:shd w:val="clear" w:color="auto" w:fill="auto"/>
            <w:vAlign w:val="center"/>
          </w:tcPr>
          <w:p w14:paraId="571CDF2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阅读桌椅</w:t>
            </w:r>
          </w:p>
        </w:tc>
        <w:tc>
          <w:tcPr>
            <w:tcW w:w="2240" w:type="pct"/>
            <w:shd w:val="clear" w:color="auto" w:fill="auto"/>
            <w:vAlign w:val="center"/>
          </w:tcPr>
          <w:p w14:paraId="68DC23AF">
            <w:pPr>
              <w:keepNext w:val="0"/>
              <w:keepLines w:val="0"/>
              <w:widowControl/>
              <w:numPr>
                <w:ilvl w:val="0"/>
                <w:numId w:val="10"/>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规格：桌直径800*高740mm（±20mm），椅长480*宽500*高820mm（±20mm）</w:t>
            </w:r>
          </w:p>
          <w:p w14:paraId="2CEBC485">
            <w:pPr>
              <w:keepNext w:val="0"/>
              <w:keepLines w:val="0"/>
              <w:widowControl/>
              <w:numPr>
                <w:ilvl w:val="0"/>
                <w:numId w:val="0"/>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2、配置：1桌4椅。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3、桌子：面板：直径800mm桌面。架子：实木脚。</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4、椅子：</w:t>
            </w:r>
          </w:p>
          <w:p w14:paraId="16CB20C6">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靠背：原生料PP材质，模具一体成型，贴合靠背，坐感舒适，座包采用PU皮革座包+高密度高回弹海棉。脚架：原木色实木，椅子设计简易的风格，搭配实木脚架。</w:t>
            </w:r>
          </w:p>
        </w:tc>
        <w:tc>
          <w:tcPr>
            <w:tcW w:w="253" w:type="pct"/>
            <w:shd w:val="clear" w:color="auto" w:fill="auto"/>
            <w:vAlign w:val="center"/>
          </w:tcPr>
          <w:p w14:paraId="3FA0512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7ECF7E2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vAlign w:val="center"/>
          </w:tcPr>
          <w:p w14:paraId="18DC372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90650" cy="841375"/>
                  <wp:effectExtent l="0" t="0" r="0" b="15875"/>
                  <wp:docPr id="174" name="图片 174" descr="109阅读桌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109阅读桌椅"/>
                          <pic:cNvPicPr>
                            <a:picLocks noChangeAspect="1"/>
                          </pic:cNvPicPr>
                        </pic:nvPicPr>
                        <pic:blipFill>
                          <a:blip r:embed="rId100"/>
                          <a:stretch>
                            <a:fillRect/>
                          </a:stretch>
                        </pic:blipFill>
                        <pic:spPr>
                          <a:xfrm>
                            <a:off x="0" y="0"/>
                            <a:ext cx="1390650" cy="841375"/>
                          </a:xfrm>
                          <a:prstGeom prst="rect">
                            <a:avLst/>
                          </a:prstGeom>
                        </pic:spPr>
                      </pic:pic>
                    </a:graphicData>
                  </a:graphic>
                </wp:inline>
              </w:drawing>
            </w:r>
          </w:p>
        </w:tc>
      </w:tr>
      <w:tr w14:paraId="4AE27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0" w:hRule="atLeast"/>
        </w:trPr>
        <w:tc>
          <w:tcPr>
            <w:tcW w:w="367" w:type="pct"/>
            <w:shd w:val="clear" w:color="auto" w:fill="auto"/>
            <w:vAlign w:val="center"/>
          </w:tcPr>
          <w:p w14:paraId="232C411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110</w:t>
            </w:r>
          </w:p>
        </w:tc>
        <w:tc>
          <w:tcPr>
            <w:tcW w:w="542" w:type="pct"/>
            <w:shd w:val="clear" w:color="auto" w:fill="auto"/>
            <w:vAlign w:val="center"/>
          </w:tcPr>
          <w:p w14:paraId="0C409E7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阅读椅</w:t>
            </w:r>
          </w:p>
        </w:tc>
        <w:tc>
          <w:tcPr>
            <w:tcW w:w="2240" w:type="pct"/>
            <w:shd w:val="clear" w:color="auto" w:fill="auto"/>
            <w:vAlign w:val="center"/>
          </w:tcPr>
          <w:p w14:paraId="7AB98947">
            <w:pPr>
              <w:keepNext w:val="0"/>
              <w:keepLines w:val="0"/>
              <w:widowControl/>
              <w:numPr>
                <w:ilvl w:val="0"/>
                <w:numId w:val="11"/>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规格：长555*宽515*高885mm（±20mm）；</w:t>
            </w:r>
          </w:p>
          <w:p w14:paraId="58BBC33F">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2、椅座：全新pp塑料注塑一次成型；</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3、椅架：圆形钢管，表面静电喷涂。</w:t>
            </w:r>
          </w:p>
        </w:tc>
        <w:tc>
          <w:tcPr>
            <w:tcW w:w="253" w:type="pct"/>
            <w:shd w:val="clear" w:color="auto" w:fill="auto"/>
            <w:vAlign w:val="center"/>
          </w:tcPr>
          <w:p w14:paraId="16426BD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把</w:t>
            </w:r>
          </w:p>
        </w:tc>
        <w:tc>
          <w:tcPr>
            <w:tcW w:w="334" w:type="pct"/>
            <w:shd w:val="clear" w:color="auto" w:fill="auto"/>
            <w:vAlign w:val="center"/>
          </w:tcPr>
          <w:p w14:paraId="00AC870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16</w:t>
            </w:r>
          </w:p>
        </w:tc>
        <w:tc>
          <w:tcPr>
            <w:tcW w:w="1261" w:type="pct"/>
            <w:shd w:val="clear" w:color="auto" w:fill="auto"/>
            <w:vAlign w:val="center"/>
          </w:tcPr>
          <w:p w14:paraId="33884AD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762000" cy="885825"/>
                  <wp:effectExtent l="0" t="0" r="0" b="9525"/>
                  <wp:docPr id="175" name="图片 175" descr="110 阅读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110 阅读椅"/>
                          <pic:cNvPicPr>
                            <a:picLocks noChangeAspect="1"/>
                          </pic:cNvPicPr>
                        </pic:nvPicPr>
                        <pic:blipFill>
                          <a:blip r:embed="rId101"/>
                          <a:stretch>
                            <a:fillRect/>
                          </a:stretch>
                        </pic:blipFill>
                        <pic:spPr>
                          <a:xfrm>
                            <a:off x="0" y="0"/>
                            <a:ext cx="762000" cy="885825"/>
                          </a:xfrm>
                          <a:prstGeom prst="rect">
                            <a:avLst/>
                          </a:prstGeom>
                        </pic:spPr>
                      </pic:pic>
                    </a:graphicData>
                  </a:graphic>
                </wp:inline>
              </w:drawing>
            </w:r>
          </w:p>
        </w:tc>
      </w:tr>
      <w:tr w14:paraId="7F75C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80" w:hRule="atLeast"/>
        </w:trPr>
        <w:tc>
          <w:tcPr>
            <w:tcW w:w="367" w:type="pct"/>
            <w:shd w:val="clear" w:color="auto" w:fill="auto"/>
            <w:vAlign w:val="center"/>
          </w:tcPr>
          <w:p w14:paraId="13E4F4B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111</w:t>
            </w:r>
          </w:p>
        </w:tc>
        <w:tc>
          <w:tcPr>
            <w:tcW w:w="542" w:type="pct"/>
            <w:shd w:val="clear" w:color="auto" w:fill="auto"/>
            <w:vAlign w:val="center"/>
          </w:tcPr>
          <w:p w14:paraId="1032BC9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会议长桌</w:t>
            </w:r>
          </w:p>
        </w:tc>
        <w:tc>
          <w:tcPr>
            <w:tcW w:w="2240" w:type="pct"/>
            <w:shd w:val="clear" w:color="auto" w:fill="auto"/>
            <w:vAlign w:val="center"/>
          </w:tcPr>
          <w:p w14:paraId="7E70D9E0">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1、规格：长7000*宽1500*高750mm（±20mm）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2、桌面采用免漆面三聚氰胺板制作，板材环保无污染，自然木色，木纹纹理清晰自然；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3、桌面边框至少加厚到50mm，四角PVC机器封边，圆润光滑，防止意外碰撞；</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4、厚实桌脚设计，多脚支撑更稳固。</w:t>
            </w:r>
          </w:p>
        </w:tc>
        <w:tc>
          <w:tcPr>
            <w:tcW w:w="253" w:type="pct"/>
            <w:shd w:val="clear" w:color="auto" w:fill="auto"/>
            <w:vAlign w:val="center"/>
          </w:tcPr>
          <w:p w14:paraId="16A7D34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5B3FC5B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109A2F88">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91285" cy="728980"/>
                  <wp:effectExtent l="0" t="0" r="18415" b="13970"/>
                  <wp:docPr id="176" name="图片 176" descr="111会议长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111会议长桌"/>
                          <pic:cNvPicPr>
                            <a:picLocks noChangeAspect="1"/>
                          </pic:cNvPicPr>
                        </pic:nvPicPr>
                        <pic:blipFill>
                          <a:blip r:embed="rId102"/>
                          <a:stretch>
                            <a:fillRect/>
                          </a:stretch>
                        </pic:blipFill>
                        <pic:spPr>
                          <a:xfrm>
                            <a:off x="0" y="0"/>
                            <a:ext cx="1391285" cy="728980"/>
                          </a:xfrm>
                          <a:prstGeom prst="rect">
                            <a:avLst/>
                          </a:prstGeom>
                        </pic:spPr>
                      </pic:pic>
                    </a:graphicData>
                  </a:graphic>
                </wp:inline>
              </w:drawing>
            </w:r>
          </w:p>
        </w:tc>
      </w:tr>
      <w:tr w14:paraId="4E35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80" w:hRule="atLeast"/>
        </w:trPr>
        <w:tc>
          <w:tcPr>
            <w:tcW w:w="367" w:type="pct"/>
            <w:shd w:val="clear" w:color="auto" w:fill="auto"/>
            <w:vAlign w:val="center"/>
          </w:tcPr>
          <w:p w14:paraId="5C1C35C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112</w:t>
            </w:r>
          </w:p>
        </w:tc>
        <w:tc>
          <w:tcPr>
            <w:tcW w:w="542" w:type="pct"/>
            <w:shd w:val="clear" w:color="auto" w:fill="auto"/>
            <w:vAlign w:val="center"/>
          </w:tcPr>
          <w:p w14:paraId="27A281A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会议椅1</w:t>
            </w:r>
          </w:p>
        </w:tc>
        <w:tc>
          <w:tcPr>
            <w:tcW w:w="2240" w:type="pct"/>
            <w:shd w:val="clear" w:color="auto" w:fill="auto"/>
            <w:vAlign w:val="center"/>
          </w:tcPr>
          <w:p w14:paraId="481E0A25">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1、规格：长595*宽550*高1070mm（±20mm）</w:t>
            </w:r>
          </w:p>
          <w:p w14:paraId="6534EE6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2、材质：环保纳帕皮；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3、海绵：高回弹PU发泡海棉软硬适中；</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4、基材：橡胶木框架，至少可承受250kg压力，经过耐酸碱、防虫、防腐特殊理。</w:t>
            </w:r>
          </w:p>
        </w:tc>
        <w:tc>
          <w:tcPr>
            <w:tcW w:w="253" w:type="pct"/>
            <w:shd w:val="clear" w:color="auto" w:fill="auto"/>
            <w:vAlign w:val="center"/>
          </w:tcPr>
          <w:p w14:paraId="3508F42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把</w:t>
            </w:r>
          </w:p>
        </w:tc>
        <w:tc>
          <w:tcPr>
            <w:tcW w:w="334" w:type="pct"/>
            <w:shd w:val="clear" w:color="auto" w:fill="auto"/>
            <w:vAlign w:val="center"/>
          </w:tcPr>
          <w:p w14:paraId="1D5AA64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17</w:t>
            </w:r>
          </w:p>
        </w:tc>
        <w:tc>
          <w:tcPr>
            <w:tcW w:w="1261" w:type="pct"/>
            <w:shd w:val="clear" w:color="auto" w:fill="auto"/>
            <w:vAlign w:val="center"/>
          </w:tcPr>
          <w:p w14:paraId="0843DDE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681355" cy="904875"/>
                  <wp:effectExtent l="0" t="0" r="4445" b="9525"/>
                  <wp:docPr id="177" name="图片 177" descr="112 会议椅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112 会议椅1"/>
                          <pic:cNvPicPr>
                            <a:picLocks noChangeAspect="1"/>
                          </pic:cNvPicPr>
                        </pic:nvPicPr>
                        <pic:blipFill>
                          <a:blip r:embed="rId103"/>
                          <a:stretch>
                            <a:fillRect/>
                          </a:stretch>
                        </pic:blipFill>
                        <pic:spPr>
                          <a:xfrm>
                            <a:off x="0" y="0"/>
                            <a:ext cx="681355" cy="904875"/>
                          </a:xfrm>
                          <a:prstGeom prst="rect">
                            <a:avLst/>
                          </a:prstGeom>
                        </pic:spPr>
                      </pic:pic>
                    </a:graphicData>
                  </a:graphic>
                </wp:inline>
              </w:drawing>
            </w:r>
          </w:p>
        </w:tc>
      </w:tr>
      <w:tr w14:paraId="75308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26" w:hRule="atLeast"/>
        </w:trPr>
        <w:tc>
          <w:tcPr>
            <w:tcW w:w="367" w:type="pct"/>
            <w:shd w:val="clear" w:color="auto" w:fill="auto"/>
            <w:vAlign w:val="center"/>
          </w:tcPr>
          <w:p w14:paraId="19B90B0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113</w:t>
            </w:r>
          </w:p>
        </w:tc>
        <w:tc>
          <w:tcPr>
            <w:tcW w:w="542" w:type="pct"/>
            <w:shd w:val="clear" w:color="auto" w:fill="auto"/>
            <w:vAlign w:val="center"/>
          </w:tcPr>
          <w:p w14:paraId="4005FAE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会议条桌</w:t>
            </w:r>
          </w:p>
        </w:tc>
        <w:tc>
          <w:tcPr>
            <w:tcW w:w="2240" w:type="pct"/>
            <w:shd w:val="clear" w:color="auto" w:fill="auto"/>
            <w:vAlign w:val="center"/>
          </w:tcPr>
          <w:p w14:paraId="0D2EFC3B">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1、规格：长1200*宽600*高750mm（±20mm）</w:t>
            </w:r>
          </w:p>
          <w:p w14:paraId="0CBE0D80">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2、桌面为25mm厚多层实木板，木材经脱水、脱胶、防腐、防虫化学处理，无裂纹，缺口、虫洞，面板木纹纹理自然，颜色线条拼合细密，遇到潮湿或湿度较高情况不鼓起，不变形。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3、胶粘剂采用原胶，性能可靠持久。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4、表面采用高级环保耐磨漆，油漆采用五底三面工艺，光亮平整，无颗粒、汽泡、渣点、颜色均匀，持久耐磨。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5、五金件：采用五金配件，经防锈处理。</w:t>
            </w:r>
          </w:p>
        </w:tc>
        <w:tc>
          <w:tcPr>
            <w:tcW w:w="253" w:type="pct"/>
            <w:shd w:val="clear" w:color="auto" w:fill="auto"/>
            <w:vAlign w:val="center"/>
          </w:tcPr>
          <w:p w14:paraId="28C3D5D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7BD43B4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w:t>
            </w:r>
          </w:p>
        </w:tc>
        <w:tc>
          <w:tcPr>
            <w:tcW w:w="1261" w:type="pct"/>
            <w:shd w:val="clear" w:color="auto" w:fill="auto"/>
            <w:vAlign w:val="center"/>
          </w:tcPr>
          <w:p w14:paraId="1F15D4C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10335" cy="941705"/>
                  <wp:effectExtent l="0" t="0" r="18415" b="10795"/>
                  <wp:docPr id="178" name="图片 178" descr="113 会议条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113 会议条桌"/>
                          <pic:cNvPicPr>
                            <a:picLocks noChangeAspect="1"/>
                          </pic:cNvPicPr>
                        </pic:nvPicPr>
                        <pic:blipFill>
                          <a:blip r:embed="rId104"/>
                          <a:stretch>
                            <a:fillRect/>
                          </a:stretch>
                        </pic:blipFill>
                        <pic:spPr>
                          <a:xfrm>
                            <a:off x="0" y="0"/>
                            <a:ext cx="1410335" cy="941705"/>
                          </a:xfrm>
                          <a:prstGeom prst="rect">
                            <a:avLst/>
                          </a:prstGeom>
                        </pic:spPr>
                      </pic:pic>
                    </a:graphicData>
                  </a:graphic>
                </wp:inline>
              </w:drawing>
            </w:r>
          </w:p>
        </w:tc>
      </w:tr>
      <w:tr w14:paraId="7BD13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20" w:hRule="atLeast"/>
        </w:trPr>
        <w:tc>
          <w:tcPr>
            <w:tcW w:w="367" w:type="pct"/>
            <w:shd w:val="clear" w:color="auto" w:fill="auto"/>
            <w:vAlign w:val="center"/>
          </w:tcPr>
          <w:p w14:paraId="2F59A7A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114</w:t>
            </w:r>
          </w:p>
        </w:tc>
        <w:tc>
          <w:tcPr>
            <w:tcW w:w="542" w:type="pct"/>
            <w:shd w:val="clear" w:color="auto" w:fill="auto"/>
            <w:vAlign w:val="center"/>
          </w:tcPr>
          <w:p w14:paraId="66AC6A5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会议椅2</w:t>
            </w:r>
          </w:p>
        </w:tc>
        <w:tc>
          <w:tcPr>
            <w:tcW w:w="2240" w:type="pct"/>
            <w:shd w:val="clear" w:color="auto" w:fill="auto"/>
            <w:vAlign w:val="center"/>
          </w:tcPr>
          <w:p w14:paraId="7CAA7400">
            <w:pPr>
              <w:keepNext w:val="0"/>
              <w:keepLines w:val="0"/>
              <w:widowControl/>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1、规格：长500*宽460*高910mm（±20mm）</w:t>
            </w:r>
          </w:p>
          <w:p w14:paraId="7A13005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2、材质：环保纳帕皮；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3、海绵：高回弹PU发泡海棉软硬适中；</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4、基材：橡胶木框架，至少可承受250kg压力，经过耐酸碱、防虫、防腐特殊理。</w:t>
            </w:r>
          </w:p>
        </w:tc>
        <w:tc>
          <w:tcPr>
            <w:tcW w:w="253" w:type="pct"/>
            <w:shd w:val="clear" w:color="auto" w:fill="auto"/>
            <w:vAlign w:val="center"/>
          </w:tcPr>
          <w:p w14:paraId="2DAC6D3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把</w:t>
            </w:r>
          </w:p>
        </w:tc>
        <w:tc>
          <w:tcPr>
            <w:tcW w:w="334" w:type="pct"/>
            <w:shd w:val="clear" w:color="auto" w:fill="auto"/>
            <w:vAlign w:val="center"/>
          </w:tcPr>
          <w:p w14:paraId="3A5B603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40</w:t>
            </w:r>
          </w:p>
        </w:tc>
        <w:tc>
          <w:tcPr>
            <w:tcW w:w="1261" w:type="pct"/>
            <w:shd w:val="clear" w:color="auto" w:fill="auto"/>
            <w:vAlign w:val="center"/>
          </w:tcPr>
          <w:p w14:paraId="7BE8A24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828675" cy="1114425"/>
                  <wp:effectExtent l="0" t="0" r="9525" b="9525"/>
                  <wp:docPr id="179" name="图片 179" descr="114 会议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114 会议椅2"/>
                          <pic:cNvPicPr>
                            <a:picLocks noChangeAspect="1"/>
                          </pic:cNvPicPr>
                        </pic:nvPicPr>
                        <pic:blipFill>
                          <a:blip r:embed="rId105"/>
                          <a:stretch>
                            <a:fillRect/>
                          </a:stretch>
                        </pic:blipFill>
                        <pic:spPr>
                          <a:xfrm>
                            <a:off x="0" y="0"/>
                            <a:ext cx="828675" cy="1114425"/>
                          </a:xfrm>
                          <a:prstGeom prst="rect">
                            <a:avLst/>
                          </a:prstGeom>
                        </pic:spPr>
                      </pic:pic>
                    </a:graphicData>
                  </a:graphic>
                </wp:inline>
              </w:drawing>
            </w:r>
          </w:p>
        </w:tc>
      </w:tr>
      <w:tr w14:paraId="17EE2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00" w:hRule="atLeast"/>
        </w:trPr>
        <w:tc>
          <w:tcPr>
            <w:tcW w:w="367" w:type="pct"/>
            <w:shd w:val="clear" w:color="auto" w:fill="auto"/>
            <w:vAlign w:val="center"/>
          </w:tcPr>
          <w:p w14:paraId="4F3451D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115</w:t>
            </w:r>
          </w:p>
        </w:tc>
        <w:tc>
          <w:tcPr>
            <w:tcW w:w="542" w:type="pct"/>
            <w:shd w:val="clear" w:color="auto" w:fill="auto"/>
            <w:vAlign w:val="center"/>
          </w:tcPr>
          <w:p w14:paraId="385E26A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造型沙发</w:t>
            </w:r>
          </w:p>
        </w:tc>
        <w:tc>
          <w:tcPr>
            <w:tcW w:w="2240" w:type="pct"/>
            <w:shd w:val="clear" w:color="auto" w:fill="auto"/>
            <w:vAlign w:val="center"/>
          </w:tcPr>
          <w:p w14:paraId="423E9828">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1、规格：长3600*宽2200*高700mm（±20mm）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2、面料采用细纹/荔枝纹西皮饰面；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3、内框架：实木框架配多层夹板装订；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4、海绵：靠背为35mm密度高回弹切割新棉；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5、坐垫为35mm高密度回弹切割海绵;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6、承重弹力结构：靠背订装多条回力橡筋，坐垫标准间距蛇形拉簧+平衡橡筋。</w:t>
            </w:r>
          </w:p>
        </w:tc>
        <w:tc>
          <w:tcPr>
            <w:tcW w:w="253" w:type="pct"/>
            <w:shd w:val="clear" w:color="auto" w:fill="auto"/>
            <w:vAlign w:val="center"/>
          </w:tcPr>
          <w:p w14:paraId="19966F6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6C28614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75EC3D7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7480" cy="643890"/>
                  <wp:effectExtent l="0" t="0" r="1270" b="3810"/>
                  <wp:docPr id="180" name="图片 180" descr="115 造型沙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115 造型沙发"/>
                          <pic:cNvPicPr>
                            <a:picLocks noChangeAspect="1"/>
                          </pic:cNvPicPr>
                        </pic:nvPicPr>
                        <pic:blipFill>
                          <a:blip r:embed="rId106"/>
                          <a:stretch>
                            <a:fillRect/>
                          </a:stretch>
                        </pic:blipFill>
                        <pic:spPr>
                          <a:xfrm>
                            <a:off x="0" y="0"/>
                            <a:ext cx="1427480" cy="643890"/>
                          </a:xfrm>
                          <a:prstGeom prst="rect">
                            <a:avLst/>
                          </a:prstGeom>
                        </pic:spPr>
                      </pic:pic>
                    </a:graphicData>
                  </a:graphic>
                </wp:inline>
              </w:drawing>
            </w:r>
          </w:p>
        </w:tc>
      </w:tr>
      <w:tr w14:paraId="07813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80" w:hRule="atLeast"/>
        </w:trPr>
        <w:tc>
          <w:tcPr>
            <w:tcW w:w="367" w:type="pct"/>
            <w:shd w:val="clear" w:color="auto" w:fill="auto"/>
            <w:vAlign w:val="center"/>
          </w:tcPr>
          <w:p w14:paraId="6C1619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116</w:t>
            </w:r>
          </w:p>
        </w:tc>
        <w:tc>
          <w:tcPr>
            <w:tcW w:w="542" w:type="pct"/>
            <w:shd w:val="clear" w:color="auto" w:fill="auto"/>
            <w:vAlign w:val="center"/>
          </w:tcPr>
          <w:p w14:paraId="4D0B869E">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书香区桌椅</w:t>
            </w:r>
          </w:p>
        </w:tc>
        <w:tc>
          <w:tcPr>
            <w:tcW w:w="2240" w:type="pct"/>
            <w:shd w:val="clear" w:color="auto" w:fill="auto"/>
            <w:vAlign w:val="center"/>
          </w:tcPr>
          <w:p w14:paraId="615BFEEB">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1、规格：Φ900*高750mm（±20mm）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2、配置：圆形桌子1张，凳子4个；</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3、桌子：桌面采用免漆面刨花板制作，PVC封边；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4、桌架采用圆形钢管制作，整体拆装结构，喷涂工艺；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5、椅子面料：PU皮或布艺，铁质椅脚。</w:t>
            </w:r>
          </w:p>
        </w:tc>
        <w:tc>
          <w:tcPr>
            <w:tcW w:w="253" w:type="pct"/>
            <w:shd w:val="clear" w:color="auto" w:fill="auto"/>
            <w:vAlign w:val="center"/>
          </w:tcPr>
          <w:p w14:paraId="0DA8B5B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180FF9A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B6245B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8750" cy="875030"/>
                  <wp:effectExtent l="0" t="0" r="0" b="1270"/>
                  <wp:docPr id="181" name="图片 181" descr="116 书香区桌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116 书香区桌椅"/>
                          <pic:cNvPicPr>
                            <a:picLocks noChangeAspect="1"/>
                          </pic:cNvPicPr>
                        </pic:nvPicPr>
                        <pic:blipFill>
                          <a:blip r:embed="rId107"/>
                          <a:stretch>
                            <a:fillRect/>
                          </a:stretch>
                        </pic:blipFill>
                        <pic:spPr>
                          <a:xfrm>
                            <a:off x="0" y="0"/>
                            <a:ext cx="1428750" cy="875030"/>
                          </a:xfrm>
                          <a:prstGeom prst="rect">
                            <a:avLst/>
                          </a:prstGeom>
                        </pic:spPr>
                      </pic:pic>
                    </a:graphicData>
                  </a:graphic>
                </wp:inline>
              </w:drawing>
            </w:r>
          </w:p>
        </w:tc>
      </w:tr>
      <w:tr w14:paraId="53406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00" w:hRule="atLeast"/>
        </w:trPr>
        <w:tc>
          <w:tcPr>
            <w:tcW w:w="367" w:type="pct"/>
            <w:shd w:val="clear" w:color="auto" w:fill="auto"/>
            <w:vAlign w:val="center"/>
          </w:tcPr>
          <w:p w14:paraId="7857043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117</w:t>
            </w:r>
          </w:p>
        </w:tc>
        <w:tc>
          <w:tcPr>
            <w:tcW w:w="542" w:type="pct"/>
            <w:shd w:val="clear" w:color="auto" w:fill="auto"/>
            <w:vAlign w:val="center"/>
          </w:tcPr>
          <w:p w14:paraId="420DA8A0">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铁艺多人休闲椅</w:t>
            </w:r>
          </w:p>
        </w:tc>
        <w:tc>
          <w:tcPr>
            <w:tcW w:w="2240" w:type="pct"/>
            <w:shd w:val="clear" w:color="auto" w:fill="auto"/>
            <w:vAlign w:val="center"/>
          </w:tcPr>
          <w:p w14:paraId="51C9EFF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1、规格：长2300*宽680*高760mm（±20mm），四人位；</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2、扶手，脚：采用1.2MM冷轧钢板冷压成型，表面打磨抛光,除油除锈后静电喷粉/喷油处理。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3、座板：采用1.2MM冷轧钢板，除油除锈后静电喷粉/喷油处理。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4、横梁:冷轧钢板折压焊接成三角形，厚度1.5MM，除油除锈后静电喷粉处理。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5、座垫：采用高密度聚氨基甲酸酯（PU)(内忖多层木板）每个座板宽：500MM。</w:t>
            </w:r>
          </w:p>
        </w:tc>
        <w:tc>
          <w:tcPr>
            <w:tcW w:w="253" w:type="pct"/>
            <w:shd w:val="clear" w:color="auto" w:fill="auto"/>
            <w:vAlign w:val="center"/>
          </w:tcPr>
          <w:p w14:paraId="28DAA50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3861B0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1261" w:type="pct"/>
            <w:shd w:val="clear" w:color="auto" w:fill="auto"/>
            <w:vAlign w:val="center"/>
          </w:tcPr>
          <w:p w14:paraId="5DC6D78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43305" cy="1343025"/>
                  <wp:effectExtent l="0" t="0" r="4445" b="9525"/>
                  <wp:docPr id="182" name="图片 182" descr="117 铁艺多人休闲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117 铁艺多人休闲椅"/>
                          <pic:cNvPicPr>
                            <a:picLocks noChangeAspect="1"/>
                          </pic:cNvPicPr>
                        </pic:nvPicPr>
                        <pic:blipFill>
                          <a:blip r:embed="rId108"/>
                          <a:stretch>
                            <a:fillRect/>
                          </a:stretch>
                        </pic:blipFill>
                        <pic:spPr>
                          <a:xfrm>
                            <a:off x="0" y="0"/>
                            <a:ext cx="1043305" cy="1343025"/>
                          </a:xfrm>
                          <a:prstGeom prst="rect">
                            <a:avLst/>
                          </a:prstGeom>
                        </pic:spPr>
                      </pic:pic>
                    </a:graphicData>
                  </a:graphic>
                </wp:inline>
              </w:drawing>
            </w:r>
          </w:p>
        </w:tc>
      </w:tr>
      <w:tr w14:paraId="19C3E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00" w:hRule="atLeast"/>
        </w:trPr>
        <w:tc>
          <w:tcPr>
            <w:tcW w:w="367" w:type="pct"/>
            <w:shd w:val="clear" w:color="auto" w:fill="auto"/>
            <w:vAlign w:val="center"/>
          </w:tcPr>
          <w:p w14:paraId="5C03110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118</w:t>
            </w:r>
          </w:p>
        </w:tc>
        <w:tc>
          <w:tcPr>
            <w:tcW w:w="542" w:type="pct"/>
            <w:shd w:val="clear" w:color="auto" w:fill="auto"/>
            <w:vAlign w:val="center"/>
          </w:tcPr>
          <w:p w14:paraId="5D4744B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沙发（茶室）</w:t>
            </w:r>
          </w:p>
        </w:tc>
        <w:tc>
          <w:tcPr>
            <w:tcW w:w="2240" w:type="pct"/>
            <w:shd w:val="clear" w:color="auto" w:fill="auto"/>
            <w:vAlign w:val="center"/>
          </w:tcPr>
          <w:p w14:paraId="75DF3398">
            <w:pPr>
              <w:keepNext w:val="0"/>
              <w:keepLines w:val="0"/>
              <w:widowControl/>
              <w:numPr>
                <w:ilvl w:val="0"/>
                <w:numId w:val="12"/>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规格：长2100*宽820*高790mm（±20mm）；</w:t>
            </w:r>
          </w:p>
          <w:p w14:paraId="7184E38F">
            <w:pPr>
              <w:keepNext w:val="0"/>
              <w:keepLines w:val="0"/>
              <w:widowControl/>
              <w:numPr>
                <w:ilvl w:val="0"/>
                <w:numId w:val="12"/>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实木边框，面料采用西皮或科技布饰面。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3、内框架：实木框架配多层夹板装订。</w:t>
            </w:r>
          </w:p>
          <w:p w14:paraId="171FCAAD">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4、海绵：靠背为35密度高回弹切割新棉，坐垫为35密度高密度回弹切割海绵。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5、承重弹力结构：靠背订装多条回力橡筋，坐垫标准间距蛇形拉簧+平衡橡筋。</w:t>
            </w:r>
          </w:p>
        </w:tc>
        <w:tc>
          <w:tcPr>
            <w:tcW w:w="253" w:type="pct"/>
            <w:shd w:val="clear" w:color="auto" w:fill="auto"/>
            <w:vAlign w:val="center"/>
          </w:tcPr>
          <w:p w14:paraId="13687D7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655B5F7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D31E121">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8750" cy="791210"/>
                  <wp:effectExtent l="0" t="0" r="0" b="8890"/>
                  <wp:docPr id="183" name="图片 183" descr="118 沙发（茶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118 沙发（茶室）"/>
                          <pic:cNvPicPr>
                            <a:picLocks noChangeAspect="1"/>
                          </pic:cNvPicPr>
                        </pic:nvPicPr>
                        <pic:blipFill>
                          <a:blip r:embed="rId109"/>
                          <a:stretch>
                            <a:fillRect/>
                          </a:stretch>
                        </pic:blipFill>
                        <pic:spPr>
                          <a:xfrm>
                            <a:off x="0" y="0"/>
                            <a:ext cx="1428750" cy="791210"/>
                          </a:xfrm>
                          <a:prstGeom prst="rect">
                            <a:avLst/>
                          </a:prstGeom>
                        </pic:spPr>
                      </pic:pic>
                    </a:graphicData>
                  </a:graphic>
                </wp:inline>
              </w:drawing>
            </w:r>
          </w:p>
        </w:tc>
      </w:tr>
      <w:tr w14:paraId="1C783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6" w:hRule="atLeast"/>
        </w:trPr>
        <w:tc>
          <w:tcPr>
            <w:tcW w:w="367" w:type="pct"/>
            <w:shd w:val="clear" w:color="auto" w:fill="auto"/>
            <w:vAlign w:val="center"/>
          </w:tcPr>
          <w:p w14:paraId="5F89775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119</w:t>
            </w:r>
          </w:p>
        </w:tc>
        <w:tc>
          <w:tcPr>
            <w:tcW w:w="542" w:type="pct"/>
            <w:shd w:val="clear" w:color="auto" w:fill="auto"/>
            <w:vAlign w:val="center"/>
          </w:tcPr>
          <w:p w14:paraId="4E20D43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休闲桌</w:t>
            </w:r>
          </w:p>
        </w:tc>
        <w:tc>
          <w:tcPr>
            <w:tcW w:w="2240" w:type="pct"/>
            <w:shd w:val="clear" w:color="auto" w:fill="auto"/>
            <w:vAlign w:val="center"/>
          </w:tcPr>
          <w:p w14:paraId="5BCD10F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1、规格：长1800*宽750*高750mm；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2、基材采用橡胶木实木，桌面板厚≥25mm，桌脚V型结构，规格≥60*60mm，木材采用经脱水、脱胶、防腐、防虫化学处理，含水率≤13%，无裂纹，缺口、虫洞，面板木纹纹理自然。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3、胶黏剂：采用白乳胶，符合HJ2541-2016《环境标志产品技术要求胶粘剂》要求，性能持久。                                                                                                                                        4、油漆：采用水性环保油漆，光亮平整，无颗粒、汽泡、渣点、颜色均匀，持久耐磨。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5、五金配件：采用五金配件，经防锈处理，抗拉强度、屈服强度良好。</w:t>
            </w:r>
          </w:p>
        </w:tc>
        <w:tc>
          <w:tcPr>
            <w:tcW w:w="253" w:type="pct"/>
            <w:shd w:val="clear" w:color="auto" w:fill="auto"/>
            <w:vAlign w:val="center"/>
          </w:tcPr>
          <w:p w14:paraId="7B02C82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7D0A2C9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552FCA9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7480" cy="923925"/>
                  <wp:effectExtent l="0" t="0" r="1270" b="9525"/>
                  <wp:docPr id="184" name="图片 184" descr="119 休闲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119 休闲桌"/>
                          <pic:cNvPicPr>
                            <a:picLocks noChangeAspect="1"/>
                          </pic:cNvPicPr>
                        </pic:nvPicPr>
                        <pic:blipFill>
                          <a:blip r:embed="rId110"/>
                          <a:stretch>
                            <a:fillRect/>
                          </a:stretch>
                        </pic:blipFill>
                        <pic:spPr>
                          <a:xfrm>
                            <a:off x="0" y="0"/>
                            <a:ext cx="1427480" cy="923925"/>
                          </a:xfrm>
                          <a:prstGeom prst="rect">
                            <a:avLst/>
                          </a:prstGeom>
                        </pic:spPr>
                      </pic:pic>
                    </a:graphicData>
                  </a:graphic>
                </wp:inline>
              </w:drawing>
            </w:r>
          </w:p>
        </w:tc>
      </w:tr>
      <w:tr w14:paraId="1201A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80" w:hRule="atLeast"/>
        </w:trPr>
        <w:tc>
          <w:tcPr>
            <w:tcW w:w="367" w:type="pct"/>
            <w:shd w:val="clear" w:color="auto" w:fill="auto"/>
            <w:vAlign w:val="center"/>
          </w:tcPr>
          <w:p w14:paraId="4E1AFAB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120</w:t>
            </w:r>
          </w:p>
        </w:tc>
        <w:tc>
          <w:tcPr>
            <w:tcW w:w="542" w:type="pct"/>
            <w:shd w:val="clear" w:color="auto" w:fill="auto"/>
            <w:vAlign w:val="center"/>
          </w:tcPr>
          <w:p w14:paraId="36EFA81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休闲椅</w:t>
            </w:r>
          </w:p>
        </w:tc>
        <w:tc>
          <w:tcPr>
            <w:tcW w:w="2240" w:type="pct"/>
            <w:shd w:val="clear" w:color="auto" w:fill="auto"/>
            <w:vAlign w:val="center"/>
          </w:tcPr>
          <w:p w14:paraId="1DE9B62A">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1、规格：长550*宽470*高750mm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2、基材采用橡胶木实木，靠背采用圆弧形设计，四个椅脚延长与扶手连接，靠背宽≥80mm，木材采用经脱水、脱胶、防腐、防虫化学处理，含水率≤13%，无裂纹，缺口、虫洞，面板木纹纹理自然。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3、坐垫：亚麻布软包饰面。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4、胶黏剂：采用白乳胶，符合HJ2541-2016《环境标志产品技术要求胶粘剂》要求，性能持久可靠。                                                                                                                                       5、油漆：采用水性环保油漆，光亮平整，无颗粒、汽泡、渣点、颜色均匀，持久耐磨。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6、五金配件：采用五金配件，经防锈处理，抗拉强度、屈服强度良好。</w:t>
            </w:r>
          </w:p>
        </w:tc>
        <w:tc>
          <w:tcPr>
            <w:tcW w:w="253" w:type="pct"/>
            <w:shd w:val="clear" w:color="auto" w:fill="auto"/>
            <w:vAlign w:val="center"/>
          </w:tcPr>
          <w:p w14:paraId="61ACF03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3E7989F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1261" w:type="pct"/>
            <w:shd w:val="clear" w:color="auto" w:fill="auto"/>
            <w:vAlign w:val="center"/>
          </w:tcPr>
          <w:p w14:paraId="7270D60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95375" cy="1381125"/>
                  <wp:effectExtent l="0" t="0" r="9525" b="9525"/>
                  <wp:docPr id="185" name="图片 185" descr="120休闲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120休闲椅"/>
                          <pic:cNvPicPr>
                            <a:picLocks noChangeAspect="1"/>
                          </pic:cNvPicPr>
                        </pic:nvPicPr>
                        <pic:blipFill>
                          <a:blip r:embed="rId111"/>
                          <a:stretch>
                            <a:fillRect/>
                          </a:stretch>
                        </pic:blipFill>
                        <pic:spPr>
                          <a:xfrm>
                            <a:off x="0" y="0"/>
                            <a:ext cx="1095375" cy="1381125"/>
                          </a:xfrm>
                          <a:prstGeom prst="rect">
                            <a:avLst/>
                          </a:prstGeom>
                        </pic:spPr>
                      </pic:pic>
                    </a:graphicData>
                  </a:graphic>
                </wp:inline>
              </w:drawing>
            </w:r>
          </w:p>
        </w:tc>
      </w:tr>
      <w:tr w14:paraId="07CE0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28" w:hRule="atLeast"/>
        </w:trPr>
        <w:tc>
          <w:tcPr>
            <w:tcW w:w="367" w:type="pct"/>
            <w:shd w:val="clear" w:color="auto" w:fill="auto"/>
            <w:vAlign w:val="center"/>
          </w:tcPr>
          <w:p w14:paraId="2F0B269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121</w:t>
            </w:r>
          </w:p>
        </w:tc>
        <w:tc>
          <w:tcPr>
            <w:tcW w:w="542" w:type="pct"/>
            <w:shd w:val="clear" w:color="auto" w:fill="auto"/>
            <w:vAlign w:val="center"/>
          </w:tcPr>
          <w:p w14:paraId="227B07B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置物架</w:t>
            </w:r>
          </w:p>
        </w:tc>
        <w:tc>
          <w:tcPr>
            <w:tcW w:w="2240" w:type="pct"/>
            <w:shd w:val="clear" w:color="auto" w:fill="auto"/>
            <w:vAlign w:val="center"/>
          </w:tcPr>
          <w:p w14:paraId="227E9273">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1、规格：长800*宽400*高680mm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2、基材采用橡胶木实木，主体板材厚度≥25mm，木材采用经脱水、脱胶、防腐、防虫化学处理，含水率≤13%，无裂纹，缺口、虫洞，面板木纹纹理自然。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3、柜体左边最下面为抽屉，上面两层，柜体右边采用木门，里面一层，用来放置大件物体。</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4、胶黏剂：采用白乳胶，符合HJ2541-2016《环境标志产品技术要求胶粘剂》要求，性能持久可靠。                                                                                                                                        5、油漆：采用水性环保油漆，光亮平整，无颗粒、汽泡、渣点、颜色均匀，持久耐磨。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6、五金配件：采用五金配件，经防锈处理，抗拉强度、屈服强度良好。</w:t>
            </w:r>
          </w:p>
        </w:tc>
        <w:tc>
          <w:tcPr>
            <w:tcW w:w="253" w:type="pct"/>
            <w:shd w:val="clear" w:color="auto" w:fill="auto"/>
            <w:vAlign w:val="center"/>
          </w:tcPr>
          <w:p w14:paraId="7714E93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552503B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3D3E3603">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23975" cy="1381125"/>
                  <wp:effectExtent l="0" t="0" r="9525" b="9525"/>
                  <wp:docPr id="186" name="图片 186" descr="121 置物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121 置物架"/>
                          <pic:cNvPicPr>
                            <a:picLocks noChangeAspect="1"/>
                          </pic:cNvPicPr>
                        </pic:nvPicPr>
                        <pic:blipFill>
                          <a:blip r:embed="rId112"/>
                          <a:stretch>
                            <a:fillRect/>
                          </a:stretch>
                        </pic:blipFill>
                        <pic:spPr>
                          <a:xfrm>
                            <a:off x="0" y="0"/>
                            <a:ext cx="1323975" cy="1381125"/>
                          </a:xfrm>
                          <a:prstGeom prst="rect">
                            <a:avLst/>
                          </a:prstGeom>
                        </pic:spPr>
                      </pic:pic>
                    </a:graphicData>
                  </a:graphic>
                </wp:inline>
              </w:drawing>
            </w:r>
          </w:p>
        </w:tc>
      </w:tr>
      <w:tr w14:paraId="134A7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80" w:hRule="atLeast"/>
        </w:trPr>
        <w:tc>
          <w:tcPr>
            <w:tcW w:w="367" w:type="pct"/>
            <w:shd w:val="clear" w:color="auto" w:fill="auto"/>
            <w:vAlign w:val="center"/>
          </w:tcPr>
          <w:p w14:paraId="43863DF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122</w:t>
            </w:r>
          </w:p>
        </w:tc>
        <w:tc>
          <w:tcPr>
            <w:tcW w:w="542" w:type="pct"/>
            <w:shd w:val="clear" w:color="auto" w:fill="auto"/>
            <w:vAlign w:val="center"/>
          </w:tcPr>
          <w:p w14:paraId="110E160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两人位桌椅</w:t>
            </w:r>
          </w:p>
        </w:tc>
        <w:tc>
          <w:tcPr>
            <w:tcW w:w="2240" w:type="pct"/>
            <w:shd w:val="clear" w:color="auto" w:fill="auto"/>
            <w:vAlign w:val="center"/>
          </w:tcPr>
          <w:p w14:paraId="270B8EF5">
            <w:pPr>
              <w:keepNext w:val="0"/>
              <w:keepLines w:val="0"/>
              <w:widowControl/>
              <w:numPr>
                <w:ilvl w:val="0"/>
                <w:numId w:val="13"/>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规格：桌：直径700*高580mm（±20mm），椅：长750*宽800*高750mm（±20mm）</w:t>
            </w:r>
          </w:p>
          <w:p w14:paraId="0D4EC6E4">
            <w:pPr>
              <w:keepNext w:val="0"/>
              <w:keepLines w:val="0"/>
              <w:widowControl/>
              <w:numPr>
                <w:ilvl w:val="0"/>
                <w:numId w:val="13"/>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椅子2张：实木椅脚+公仔绵抱枕+西皮+弯板内架+高密度海绵。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3、桌子1张：3CM厚高密度板贴木皮+实木脚。</w:t>
            </w:r>
          </w:p>
        </w:tc>
        <w:tc>
          <w:tcPr>
            <w:tcW w:w="253" w:type="pct"/>
            <w:shd w:val="clear" w:color="auto" w:fill="auto"/>
            <w:vAlign w:val="center"/>
          </w:tcPr>
          <w:p w14:paraId="69B0FE8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334" w:type="pct"/>
            <w:shd w:val="clear" w:color="auto" w:fill="auto"/>
            <w:vAlign w:val="center"/>
          </w:tcPr>
          <w:p w14:paraId="04554F0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5627EF2C">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276350" cy="814705"/>
                  <wp:effectExtent l="0" t="0" r="0" b="4445"/>
                  <wp:docPr id="187" name="图片 187" descr="122两人位桌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122两人位桌椅"/>
                          <pic:cNvPicPr>
                            <a:picLocks noChangeAspect="1"/>
                          </pic:cNvPicPr>
                        </pic:nvPicPr>
                        <pic:blipFill>
                          <a:blip r:embed="rId113"/>
                          <a:stretch>
                            <a:fillRect/>
                          </a:stretch>
                        </pic:blipFill>
                        <pic:spPr>
                          <a:xfrm>
                            <a:off x="0" y="0"/>
                            <a:ext cx="1276350" cy="814705"/>
                          </a:xfrm>
                          <a:prstGeom prst="rect">
                            <a:avLst/>
                          </a:prstGeom>
                        </pic:spPr>
                      </pic:pic>
                    </a:graphicData>
                  </a:graphic>
                </wp:inline>
              </w:drawing>
            </w:r>
          </w:p>
        </w:tc>
      </w:tr>
      <w:tr w14:paraId="00436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30" w:hRule="atLeast"/>
        </w:trPr>
        <w:tc>
          <w:tcPr>
            <w:tcW w:w="367" w:type="pct"/>
            <w:shd w:val="clear" w:color="auto" w:fill="auto"/>
            <w:vAlign w:val="center"/>
          </w:tcPr>
          <w:p w14:paraId="3AEAD45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123</w:t>
            </w:r>
          </w:p>
        </w:tc>
        <w:tc>
          <w:tcPr>
            <w:tcW w:w="542" w:type="pct"/>
            <w:shd w:val="clear" w:color="auto" w:fill="auto"/>
            <w:vAlign w:val="center"/>
          </w:tcPr>
          <w:p w14:paraId="28E5738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圆凳2</w:t>
            </w:r>
          </w:p>
        </w:tc>
        <w:tc>
          <w:tcPr>
            <w:tcW w:w="2240" w:type="pct"/>
            <w:shd w:val="clear" w:color="auto" w:fill="auto"/>
            <w:vAlign w:val="center"/>
          </w:tcPr>
          <w:p w14:paraId="0BA956D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规格：直径500*高490mm（±20mm）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实木框架+西皮饰面+高密度海绵</w:t>
            </w:r>
          </w:p>
        </w:tc>
        <w:tc>
          <w:tcPr>
            <w:tcW w:w="253" w:type="pct"/>
            <w:shd w:val="clear" w:color="auto" w:fill="auto"/>
            <w:vAlign w:val="center"/>
          </w:tcPr>
          <w:p w14:paraId="361D49F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c>
          <w:tcPr>
            <w:tcW w:w="334" w:type="pct"/>
            <w:shd w:val="clear" w:color="auto" w:fill="auto"/>
            <w:vAlign w:val="center"/>
          </w:tcPr>
          <w:p w14:paraId="25C3DFD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1261" w:type="pct"/>
            <w:shd w:val="clear" w:color="auto" w:fill="auto"/>
            <w:vAlign w:val="center"/>
          </w:tcPr>
          <w:p w14:paraId="056DDD97">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638175" cy="552450"/>
                  <wp:effectExtent l="0" t="0" r="9525" b="0"/>
                  <wp:docPr id="188" name="图片 188" descr="123圆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123圆凳"/>
                          <pic:cNvPicPr>
                            <a:picLocks noChangeAspect="1"/>
                          </pic:cNvPicPr>
                        </pic:nvPicPr>
                        <pic:blipFill>
                          <a:blip r:embed="rId114"/>
                          <a:stretch>
                            <a:fillRect/>
                          </a:stretch>
                        </pic:blipFill>
                        <pic:spPr>
                          <a:xfrm>
                            <a:off x="0" y="0"/>
                            <a:ext cx="638175" cy="552450"/>
                          </a:xfrm>
                          <a:prstGeom prst="rect">
                            <a:avLst/>
                          </a:prstGeom>
                        </pic:spPr>
                      </pic:pic>
                    </a:graphicData>
                  </a:graphic>
                </wp:inline>
              </w:drawing>
            </w:r>
          </w:p>
        </w:tc>
      </w:tr>
      <w:tr w14:paraId="1C2DC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367" w:type="pct"/>
            <w:shd w:val="clear" w:color="auto" w:fill="auto"/>
            <w:vAlign w:val="center"/>
          </w:tcPr>
          <w:p w14:paraId="07A5102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124</w:t>
            </w:r>
          </w:p>
        </w:tc>
        <w:tc>
          <w:tcPr>
            <w:tcW w:w="542" w:type="pct"/>
            <w:shd w:val="clear" w:color="auto" w:fill="auto"/>
            <w:vAlign w:val="center"/>
          </w:tcPr>
          <w:p w14:paraId="3CD1332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母婴室婴儿床</w:t>
            </w:r>
          </w:p>
        </w:tc>
        <w:tc>
          <w:tcPr>
            <w:tcW w:w="2240" w:type="pct"/>
            <w:shd w:val="clear" w:color="auto" w:fill="auto"/>
            <w:vAlign w:val="center"/>
          </w:tcPr>
          <w:p w14:paraId="7C02CCC1">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规格：长1000*宽600*高870mm（±20mm）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实木，环保水性漆，杉木床板，配床垫。</w:t>
            </w:r>
          </w:p>
        </w:tc>
        <w:tc>
          <w:tcPr>
            <w:tcW w:w="253" w:type="pct"/>
            <w:shd w:val="clear" w:color="auto" w:fill="auto"/>
            <w:vAlign w:val="center"/>
          </w:tcPr>
          <w:p w14:paraId="34A857A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6560E8B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EA9D7BD">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43305" cy="748030"/>
                  <wp:effectExtent l="0" t="0" r="4445" b="13970"/>
                  <wp:docPr id="189" name="图片 189" descr="124母婴室婴儿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124母婴室婴儿床"/>
                          <pic:cNvPicPr>
                            <a:picLocks noChangeAspect="1"/>
                          </pic:cNvPicPr>
                        </pic:nvPicPr>
                        <pic:blipFill>
                          <a:blip r:embed="rId115"/>
                          <a:stretch>
                            <a:fillRect/>
                          </a:stretch>
                        </pic:blipFill>
                        <pic:spPr>
                          <a:xfrm>
                            <a:off x="0" y="0"/>
                            <a:ext cx="1043305" cy="748030"/>
                          </a:xfrm>
                          <a:prstGeom prst="rect">
                            <a:avLst/>
                          </a:prstGeom>
                        </pic:spPr>
                      </pic:pic>
                    </a:graphicData>
                  </a:graphic>
                </wp:inline>
              </w:drawing>
            </w:r>
          </w:p>
        </w:tc>
      </w:tr>
      <w:tr w14:paraId="157C6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20" w:hRule="atLeast"/>
        </w:trPr>
        <w:tc>
          <w:tcPr>
            <w:tcW w:w="367" w:type="pct"/>
            <w:shd w:val="clear" w:color="auto" w:fill="auto"/>
            <w:vAlign w:val="center"/>
          </w:tcPr>
          <w:p w14:paraId="0F802FC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125</w:t>
            </w:r>
          </w:p>
        </w:tc>
        <w:tc>
          <w:tcPr>
            <w:tcW w:w="542" w:type="pct"/>
            <w:shd w:val="clear" w:color="auto" w:fill="auto"/>
            <w:vAlign w:val="center"/>
          </w:tcPr>
          <w:p w14:paraId="7EC5326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母婴室休闲椅</w:t>
            </w:r>
          </w:p>
        </w:tc>
        <w:tc>
          <w:tcPr>
            <w:tcW w:w="2240" w:type="pct"/>
            <w:shd w:val="clear" w:color="auto" w:fill="auto"/>
            <w:vAlign w:val="center"/>
          </w:tcPr>
          <w:p w14:paraId="15BCAC66">
            <w:pPr>
              <w:keepNext w:val="0"/>
              <w:keepLines w:val="0"/>
              <w:widowControl/>
              <w:numPr>
                <w:ilvl w:val="0"/>
                <w:numId w:val="14"/>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规格：长900*宽820*高790mm（±20mm）；</w:t>
            </w:r>
          </w:p>
          <w:p w14:paraId="76F34D0F">
            <w:pPr>
              <w:keepNext w:val="0"/>
              <w:keepLines w:val="0"/>
              <w:widowControl/>
              <w:numPr>
                <w:ilvl w:val="0"/>
                <w:numId w:val="14"/>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面料采用科技布饰面。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 xml:space="preserve">3、内框架：实木框架配多层夹板装订。海绵：靠背为35mm密度高回弹切割新棉; </w:t>
            </w:r>
          </w:p>
          <w:p w14:paraId="08F9AA9C">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4、坐垫为35mm密度高密度回弹切割海绵。</w:t>
            </w:r>
          </w:p>
        </w:tc>
        <w:tc>
          <w:tcPr>
            <w:tcW w:w="253" w:type="pct"/>
            <w:shd w:val="clear" w:color="auto" w:fill="auto"/>
            <w:vAlign w:val="center"/>
          </w:tcPr>
          <w:p w14:paraId="0E40D72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36A77E2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630E56F2">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066800" cy="876300"/>
                  <wp:effectExtent l="0" t="0" r="0" b="0"/>
                  <wp:docPr id="190" name="图片 190" descr="125母婴室休闲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125母婴室休闲椅"/>
                          <pic:cNvPicPr>
                            <a:picLocks noChangeAspect="1"/>
                          </pic:cNvPicPr>
                        </pic:nvPicPr>
                        <pic:blipFill>
                          <a:blip r:embed="rId116"/>
                          <a:stretch>
                            <a:fillRect/>
                          </a:stretch>
                        </pic:blipFill>
                        <pic:spPr>
                          <a:xfrm>
                            <a:off x="0" y="0"/>
                            <a:ext cx="1066800" cy="876300"/>
                          </a:xfrm>
                          <a:prstGeom prst="rect">
                            <a:avLst/>
                          </a:prstGeom>
                        </pic:spPr>
                      </pic:pic>
                    </a:graphicData>
                  </a:graphic>
                </wp:inline>
              </w:drawing>
            </w:r>
          </w:p>
        </w:tc>
      </w:tr>
      <w:tr w14:paraId="03F0B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39" w:hRule="atLeast"/>
        </w:trPr>
        <w:tc>
          <w:tcPr>
            <w:tcW w:w="367" w:type="pct"/>
            <w:shd w:val="clear" w:color="auto" w:fill="auto"/>
            <w:vAlign w:val="center"/>
          </w:tcPr>
          <w:p w14:paraId="115D427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126</w:t>
            </w:r>
          </w:p>
        </w:tc>
        <w:tc>
          <w:tcPr>
            <w:tcW w:w="542" w:type="pct"/>
            <w:shd w:val="clear" w:color="auto" w:fill="auto"/>
            <w:vAlign w:val="center"/>
          </w:tcPr>
          <w:p w14:paraId="28AEFF3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母婴室双人沙发</w:t>
            </w:r>
          </w:p>
        </w:tc>
        <w:tc>
          <w:tcPr>
            <w:tcW w:w="2240" w:type="pct"/>
            <w:shd w:val="clear" w:color="auto" w:fill="auto"/>
            <w:vAlign w:val="center"/>
          </w:tcPr>
          <w:p w14:paraId="29A9833B">
            <w:pPr>
              <w:keepNext w:val="0"/>
              <w:keepLines w:val="0"/>
              <w:widowControl/>
              <w:numPr>
                <w:ilvl w:val="0"/>
                <w:numId w:val="15"/>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规格：长1800*宽820*高790mm（±20mm）；</w:t>
            </w:r>
          </w:p>
          <w:p w14:paraId="2270AD90">
            <w:pPr>
              <w:keepNext w:val="0"/>
              <w:keepLines w:val="0"/>
              <w:widowControl/>
              <w:numPr>
                <w:ilvl w:val="0"/>
                <w:numId w:val="15"/>
              </w:numPr>
              <w:suppressLineNumbers w:val="0"/>
              <w:spacing w:line="360" w:lineRule="auto"/>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面料采用科技布饰面。</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3、内框架：实木框架配多层夹板装订。海绵：靠背为35mm密度高回弹切割新棉；</w:t>
            </w:r>
          </w:p>
          <w:p w14:paraId="348FCC3B">
            <w:pPr>
              <w:keepNext w:val="0"/>
              <w:keepLines w:val="0"/>
              <w:widowControl/>
              <w:numPr>
                <w:ilvl w:val="-1"/>
                <w:numId w:val="0"/>
              </w:numPr>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4、坐垫为35mm密度高密度回弹切割海绵。</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5、承重弹力结构：靠背订装多条回力橡筋，坐垫标准间距蛇形拉簧+平衡橡筋。配三个抱枕。</w:t>
            </w:r>
          </w:p>
        </w:tc>
        <w:tc>
          <w:tcPr>
            <w:tcW w:w="253" w:type="pct"/>
            <w:shd w:val="clear" w:color="auto" w:fill="auto"/>
            <w:vAlign w:val="center"/>
          </w:tcPr>
          <w:p w14:paraId="09FA105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1DF72B7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7E0C2DA5">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8115" cy="792480"/>
                  <wp:effectExtent l="0" t="0" r="635" b="7620"/>
                  <wp:docPr id="191" name="图片 191" descr="126 母婴室双人沙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126 母婴室双人沙发"/>
                          <pic:cNvPicPr>
                            <a:picLocks noChangeAspect="1"/>
                          </pic:cNvPicPr>
                        </pic:nvPicPr>
                        <pic:blipFill>
                          <a:blip r:embed="rId117"/>
                          <a:stretch>
                            <a:fillRect/>
                          </a:stretch>
                        </pic:blipFill>
                        <pic:spPr>
                          <a:xfrm>
                            <a:off x="0" y="0"/>
                            <a:ext cx="1428115" cy="792480"/>
                          </a:xfrm>
                          <a:prstGeom prst="rect">
                            <a:avLst/>
                          </a:prstGeom>
                        </pic:spPr>
                      </pic:pic>
                    </a:graphicData>
                  </a:graphic>
                </wp:inline>
              </w:drawing>
            </w:r>
          </w:p>
        </w:tc>
      </w:tr>
      <w:tr w14:paraId="6D340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52" w:hRule="atLeast"/>
        </w:trPr>
        <w:tc>
          <w:tcPr>
            <w:tcW w:w="367" w:type="pct"/>
            <w:shd w:val="clear" w:color="auto" w:fill="auto"/>
            <w:vAlign w:val="center"/>
          </w:tcPr>
          <w:p w14:paraId="0CDA1B9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127</w:t>
            </w:r>
          </w:p>
        </w:tc>
        <w:tc>
          <w:tcPr>
            <w:tcW w:w="542" w:type="pct"/>
            <w:shd w:val="clear" w:color="auto" w:fill="auto"/>
            <w:vAlign w:val="center"/>
          </w:tcPr>
          <w:p w14:paraId="5A37775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u w:val="none"/>
                <w:lang w:val="en-US" w:eastAsia="zh-CN" w:bidi="ar"/>
              </w:rPr>
              <w:t>母婴室婴儿尿布台</w:t>
            </w:r>
          </w:p>
        </w:tc>
        <w:tc>
          <w:tcPr>
            <w:tcW w:w="2240" w:type="pct"/>
            <w:shd w:val="clear" w:color="auto" w:fill="auto"/>
            <w:vAlign w:val="center"/>
          </w:tcPr>
          <w:p w14:paraId="1D551CF7">
            <w:pPr>
              <w:keepNext w:val="0"/>
              <w:keepLines w:val="0"/>
              <w:widowControl/>
              <w:suppressLineNumbers w:val="0"/>
              <w:spacing w:line="360" w:lineRule="auto"/>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规格：长1200*宽600*高750mm（±20mm）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采用E1级高密度中纤板制作。</w:t>
            </w:r>
          </w:p>
        </w:tc>
        <w:tc>
          <w:tcPr>
            <w:tcW w:w="253" w:type="pct"/>
            <w:shd w:val="clear" w:color="auto" w:fill="auto"/>
            <w:vAlign w:val="center"/>
          </w:tcPr>
          <w:p w14:paraId="4BF2528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c>
          <w:tcPr>
            <w:tcW w:w="334" w:type="pct"/>
            <w:shd w:val="clear" w:color="auto" w:fill="auto"/>
            <w:vAlign w:val="center"/>
          </w:tcPr>
          <w:p w14:paraId="15D3AD6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1261" w:type="pct"/>
            <w:shd w:val="clear" w:color="auto" w:fill="auto"/>
            <w:vAlign w:val="center"/>
          </w:tcPr>
          <w:p w14:paraId="4D56FEA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809625" cy="876300"/>
                  <wp:effectExtent l="0" t="0" r="9525" b="0"/>
                  <wp:docPr id="192" name="图片 192" descr="127 母婴室婴儿尿布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127 母婴室婴儿尿布台"/>
                          <pic:cNvPicPr>
                            <a:picLocks noChangeAspect="1"/>
                          </pic:cNvPicPr>
                        </pic:nvPicPr>
                        <pic:blipFill>
                          <a:blip r:embed="rId118"/>
                          <a:stretch>
                            <a:fillRect/>
                          </a:stretch>
                        </pic:blipFill>
                        <pic:spPr>
                          <a:xfrm>
                            <a:off x="0" y="0"/>
                            <a:ext cx="809625" cy="876300"/>
                          </a:xfrm>
                          <a:prstGeom prst="rect">
                            <a:avLst/>
                          </a:prstGeom>
                        </pic:spPr>
                      </pic:pic>
                    </a:graphicData>
                  </a:graphic>
                </wp:inline>
              </w:drawing>
            </w:r>
          </w:p>
        </w:tc>
      </w:tr>
      <w:tr w14:paraId="3AF25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30" w:hRule="atLeast"/>
        </w:trPr>
        <w:tc>
          <w:tcPr>
            <w:tcW w:w="5000" w:type="pct"/>
            <w:gridSpan w:val="6"/>
            <w:shd w:val="clear" w:color="auto" w:fill="auto"/>
            <w:vAlign w:val="center"/>
          </w:tcPr>
          <w:p w14:paraId="15F5441A">
            <w:pPr>
              <w:keepNext w:val="0"/>
              <w:keepLines w:val="0"/>
              <w:widowControl/>
              <w:suppressLineNumbers w:val="0"/>
              <w:spacing w:line="360" w:lineRule="auto"/>
              <w:jc w:val="left"/>
              <w:textAlignment w:val="auto"/>
              <w:rPr>
                <w:rFonts w:hint="eastAsia" w:ascii="宋体" w:hAnsi="宋体" w:eastAsia="宋体" w:cs="宋体"/>
                <w:b w:val="0"/>
                <w:bCs/>
                <w:color w:val="auto"/>
                <w:sz w:val="24"/>
                <w:szCs w:val="24"/>
                <w:highlight w:val="none"/>
                <w:lang w:eastAsia="zh-CN"/>
              </w:rPr>
            </w:pPr>
            <w:r>
              <w:rPr>
                <w:rFonts w:hint="eastAsia" w:ascii="宋体" w:hAnsi="宋体" w:eastAsia="宋体" w:cs="宋体"/>
                <w:b w:val="0"/>
                <w:bCs/>
                <w:color w:val="auto"/>
                <w:sz w:val="24"/>
                <w:szCs w:val="24"/>
                <w:highlight w:val="none"/>
                <w:lang w:eastAsia="zh-CN"/>
              </w:rPr>
              <w:t>注：</w:t>
            </w:r>
          </w:p>
          <w:p w14:paraId="66729CCB">
            <w:pPr>
              <w:keepNext w:val="0"/>
              <w:keepLines w:val="0"/>
              <w:widowControl/>
              <w:numPr>
                <w:ilvl w:val="0"/>
                <w:numId w:val="0"/>
              </w:numPr>
              <w:suppressLineNumbers w:val="0"/>
              <w:spacing w:line="360" w:lineRule="auto"/>
              <w:jc w:val="left"/>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kern w:val="2"/>
                <w:sz w:val="24"/>
                <w:szCs w:val="24"/>
                <w:highlight w:val="none"/>
                <w:lang w:val="en-US" w:eastAsia="zh-CN" w:bidi="ar-SA"/>
              </w:rPr>
              <w:t>1、</w:t>
            </w:r>
            <w:r>
              <w:rPr>
                <w:rFonts w:hint="eastAsia" w:ascii="宋体" w:hAnsi="宋体" w:eastAsia="宋体" w:cs="宋体"/>
                <w:b w:val="0"/>
                <w:bCs/>
                <w:color w:val="auto"/>
                <w:sz w:val="24"/>
                <w:szCs w:val="24"/>
                <w:highlight w:val="none"/>
              </w:rPr>
              <w:t>本章中所有产品规格、尺寸参数值为固定值的（指未标注范围值或偏离值），均允许误差±</w:t>
            </w:r>
            <w:r>
              <w:rPr>
                <w:rFonts w:hint="eastAsia" w:ascii="宋体" w:hAnsi="宋体" w:eastAsia="宋体" w:cs="宋体"/>
                <w:b w:val="0"/>
                <w:bCs/>
                <w:color w:val="auto"/>
                <w:sz w:val="24"/>
                <w:szCs w:val="24"/>
                <w:highlight w:val="none"/>
                <w:lang w:val="en-US" w:eastAsia="zh-CN"/>
              </w:rPr>
              <w:t>3</w:t>
            </w:r>
            <w:r>
              <w:rPr>
                <w:rFonts w:hint="eastAsia" w:ascii="宋体" w:hAnsi="宋体" w:eastAsia="宋体" w:cs="宋体"/>
                <w:b w:val="0"/>
                <w:bCs/>
                <w:color w:val="auto"/>
                <w:sz w:val="24"/>
                <w:szCs w:val="24"/>
                <w:highlight w:val="none"/>
              </w:rPr>
              <w:t>%。</w:t>
            </w:r>
          </w:p>
          <w:p w14:paraId="7B5F6636">
            <w:pPr>
              <w:pStyle w:val="2"/>
              <w:numPr>
                <w:ilvl w:val="-1"/>
                <w:numId w:val="0"/>
              </w:numPr>
              <w:ind w:firstLine="0" w:firstLineChars="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2、参考图片与文字不一致的以文字表述为准。</w:t>
            </w:r>
          </w:p>
          <w:p w14:paraId="357885BD">
            <w:pPr>
              <w:spacing w:line="360" w:lineRule="auto"/>
              <w:rPr>
                <w:rFonts w:hint="eastAsia" w:ascii="宋体" w:hAnsi="宋体" w:eastAsia="宋体" w:cs="宋体"/>
                <w:bCs/>
                <w:color w:val="auto"/>
                <w:kern w:val="2"/>
                <w:sz w:val="24"/>
                <w:szCs w:val="24"/>
                <w:highlight w:val="none"/>
                <w:lang w:val="en-US" w:eastAsia="zh-CN"/>
              </w:rPr>
            </w:pPr>
            <w:r>
              <w:rPr>
                <w:rFonts w:hint="eastAsia" w:ascii="宋体" w:hAnsi="宋体" w:eastAsia="宋体" w:cs="宋体"/>
                <w:bCs/>
                <w:color w:val="auto"/>
                <w:kern w:val="2"/>
                <w:sz w:val="24"/>
                <w:szCs w:val="24"/>
                <w:highlight w:val="none"/>
                <w:lang w:val="en-US" w:eastAsia="zh-CN"/>
              </w:rPr>
              <w:t>3、关于现场演示的规定：</w:t>
            </w:r>
          </w:p>
          <w:p w14:paraId="45DD5873">
            <w:pPr>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现场演示：投标人应在开标当天自行携带演示所需的软硬件设备至开标地点对招标文件采购清单中标注“▲”的参数进行现场视频演示，演示内容以视频播放的方式进行演示。关于招标文件中要求提供演示的要求：投标人须根据招标文件要求自行拍摄视频（视频中可配有语音讲解）佐证对应的技术要求，投标人提供的视频应是以视频软件制作的动态连续性播放视频，不接受静态或半动态形式的图片、照片和PPT等无法以视频播放软件进行播放的文件，每家投标人播放视频演示的时间建议不超过30分钟。投标人应提前检查视频确保能正常播放，未提供视频演示或视频不能正常播放或视频无法佐证招标文件技术要求的，评标委员会将认定投标人对该技术要求的响应为负偏离。开标当日，投标人应自行携带视频演示所需的软硬件设备（包括但不限于带有视频播放软件的笔记本电脑）进行视频播放，且每家投标人只能授权一名人员进入指定现场进行视频播放【演示人员须在演示开始前提供演示人员身份证原件和投标人单位出具的授权书；若演示人员为投标代表或法定代表人的无需提供授权书，但须提供演示人员的身份证原件。未按前述要求提供授权书或身份证原件的，视为放弃视频演示）。投标人现场播放的视频文件将作为投标文件的组成部分留存。保证项目评审合理有序开展，投标人应做好充分的演示准备工作，投标人不得以设备问题、自身技术能力问题等原因拖延演示时间，若投标人非客观原因拖延时间，评委会将做出不利于投标人的判断。投标人需自行准备演示所需的所有软硬件，演示场所仅提供电源。</w:t>
            </w:r>
          </w:p>
        </w:tc>
      </w:tr>
    </w:tbl>
    <w:p w14:paraId="6D75C6D7">
      <w:pPr>
        <w:pStyle w:val="8"/>
        <w:jc w:val="both"/>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lang w:val="en-US" w:eastAsia="zh-CN"/>
        </w:rPr>
        <w:t>2、整体空间效果设计</w:t>
      </w:r>
    </w:p>
    <w:p w14:paraId="47BDD013">
      <w:pPr>
        <w:pStyle w:val="8"/>
        <w:spacing w:line="360" w:lineRule="auto"/>
        <w:ind w:firstLine="482"/>
        <w:jc w:val="both"/>
        <w:rPr>
          <w:rFonts w:hint="eastAsia" w:ascii="宋体" w:hAnsi="宋体" w:eastAsia="宋体" w:cs="宋体"/>
          <w:b w:val="0"/>
          <w:color w:val="auto"/>
          <w:sz w:val="24"/>
          <w:szCs w:val="24"/>
          <w:highlight w:val="none"/>
          <w:lang w:val="en-US" w:eastAsia="zh-CN"/>
        </w:rPr>
      </w:pPr>
      <w:r>
        <w:rPr>
          <w:rFonts w:hint="eastAsia" w:ascii="宋体" w:hAnsi="宋体" w:eastAsia="宋体" w:cs="宋体"/>
          <w:b w:val="0"/>
          <w:color w:val="auto"/>
          <w:sz w:val="24"/>
          <w:szCs w:val="24"/>
          <w:highlight w:val="none"/>
          <w:lang w:val="en-US" w:eastAsia="zh-CN"/>
        </w:rPr>
        <w:t>投标人根据本</w:t>
      </w:r>
      <w:r>
        <w:rPr>
          <w:rFonts w:ascii="宋体" w:hAnsi="宋体" w:eastAsia="宋体" w:cs="宋体"/>
          <w:color w:val="auto"/>
          <w:kern w:val="0"/>
          <w:sz w:val="24"/>
          <w:szCs w:val="24"/>
          <w:lang w:val="en-US" w:eastAsia="zh-CN" w:bidi="ar"/>
        </w:rPr>
        <w:t>招标文件提供的</w:t>
      </w:r>
      <w:r>
        <w:rPr>
          <w:rFonts w:hint="eastAsia" w:ascii="宋体" w:hAnsi="宋体" w:eastAsia="宋体" w:cs="宋体"/>
          <w:color w:val="auto"/>
          <w:kern w:val="0"/>
          <w:sz w:val="24"/>
          <w:szCs w:val="24"/>
          <w:lang w:val="en-US" w:eastAsia="zh-CN" w:bidi="ar"/>
        </w:rPr>
        <w:t>大厅</w:t>
      </w:r>
      <w:r>
        <w:rPr>
          <w:rFonts w:ascii="宋体" w:hAnsi="宋体" w:eastAsia="宋体" w:cs="宋体"/>
          <w:color w:val="auto"/>
          <w:kern w:val="0"/>
          <w:sz w:val="24"/>
          <w:szCs w:val="24"/>
          <w:lang w:val="en-US" w:eastAsia="zh-CN" w:bidi="ar"/>
        </w:rPr>
        <w:t>平面图（详见</w:t>
      </w:r>
      <w:r>
        <w:rPr>
          <w:rFonts w:hint="eastAsia" w:ascii="宋体" w:hAnsi="宋体" w:eastAsia="宋体" w:cs="宋体"/>
          <w:color w:val="auto"/>
          <w:kern w:val="0"/>
          <w:sz w:val="24"/>
          <w:szCs w:val="24"/>
          <w:lang w:val="en-US" w:eastAsia="zh-CN" w:bidi="ar"/>
        </w:rPr>
        <w:t>图1</w:t>
      </w:r>
      <w:r>
        <w:rPr>
          <w:rFonts w:ascii="宋体" w:hAnsi="宋体" w:eastAsia="宋体" w:cs="宋体"/>
          <w:color w:val="auto"/>
          <w:kern w:val="0"/>
          <w:sz w:val="24"/>
          <w:szCs w:val="24"/>
          <w:lang w:val="en-US" w:eastAsia="zh-CN" w:bidi="ar"/>
        </w:rPr>
        <w:t>）进行空间整体效果</w:t>
      </w:r>
      <w:r>
        <w:rPr>
          <w:rFonts w:hint="eastAsia" w:ascii="宋体" w:hAnsi="宋体" w:eastAsia="宋体" w:cs="宋体"/>
          <w:color w:val="auto"/>
          <w:kern w:val="0"/>
          <w:sz w:val="24"/>
          <w:szCs w:val="24"/>
          <w:lang w:val="en-US" w:eastAsia="zh-CN" w:bidi="ar"/>
        </w:rPr>
        <w:t>设计</w:t>
      </w:r>
      <w:r>
        <w:rPr>
          <w:rFonts w:ascii="宋体" w:hAnsi="宋体" w:eastAsia="宋体" w:cs="宋体"/>
          <w:color w:val="auto"/>
          <w:kern w:val="0"/>
          <w:sz w:val="24"/>
          <w:szCs w:val="24"/>
          <w:lang w:val="en-US" w:eastAsia="zh-CN" w:bidi="ar"/>
        </w:rPr>
        <w:t>，</w:t>
      </w:r>
      <w:r>
        <w:rPr>
          <w:rFonts w:hint="eastAsia" w:ascii="宋体" w:hAnsi="宋体" w:eastAsia="宋体" w:cs="宋体"/>
          <w:color w:val="auto"/>
          <w:kern w:val="0"/>
          <w:sz w:val="24"/>
          <w:szCs w:val="24"/>
          <w:lang w:val="en-US" w:eastAsia="zh-CN" w:bidi="ar"/>
        </w:rPr>
        <w:t>并在投标文件技术商务部分中提供</w:t>
      </w:r>
      <w:r>
        <w:rPr>
          <w:rFonts w:hint="eastAsia" w:ascii="宋体" w:hAnsi="宋体" w:eastAsia="宋体" w:cs="宋体"/>
          <w:color w:val="auto"/>
          <w:spacing w:val="0"/>
          <w:sz w:val="24"/>
          <w:szCs w:val="24"/>
          <w:lang w:val="en-US" w:eastAsia="zh-CN" w:bidi="ar"/>
        </w:rPr>
        <w:t>以下11个产品的</w:t>
      </w:r>
      <w:r>
        <w:rPr>
          <w:rFonts w:ascii="宋体" w:hAnsi="宋体" w:eastAsia="宋体" w:cs="宋体"/>
          <w:color w:val="auto"/>
          <w:spacing w:val="0"/>
          <w:sz w:val="24"/>
          <w:szCs w:val="24"/>
          <w:lang w:eastAsia="zh-CN" w:bidi="ar"/>
        </w:rPr>
        <w:t>整体设计效果图4 张（前、后、左、右四个角度各 1 张）、鸟瞰图 1 张（需标明</w:t>
      </w:r>
      <w:r>
        <w:rPr>
          <w:rFonts w:hint="eastAsia" w:ascii="宋体" w:hAnsi="宋体" w:eastAsia="宋体" w:cs="宋体"/>
          <w:color w:val="auto"/>
          <w:spacing w:val="0"/>
          <w:sz w:val="24"/>
          <w:szCs w:val="24"/>
          <w:lang w:eastAsia="zh-CN" w:bidi="ar"/>
        </w:rPr>
        <w:t>以下</w:t>
      </w:r>
      <w:r>
        <w:rPr>
          <w:rFonts w:hint="eastAsia" w:ascii="宋体" w:hAnsi="宋体" w:eastAsia="宋体" w:cs="宋体"/>
          <w:color w:val="auto"/>
          <w:spacing w:val="0"/>
          <w:sz w:val="24"/>
          <w:szCs w:val="24"/>
          <w:lang w:val="en-US" w:eastAsia="zh-CN" w:bidi="ar"/>
        </w:rPr>
        <w:t>11个产品</w:t>
      </w:r>
      <w:r>
        <w:rPr>
          <w:rFonts w:ascii="宋体" w:hAnsi="宋体" w:eastAsia="宋体" w:cs="宋体"/>
          <w:color w:val="auto"/>
          <w:spacing w:val="0"/>
          <w:sz w:val="24"/>
          <w:szCs w:val="24"/>
          <w:lang w:eastAsia="zh-CN" w:bidi="ar"/>
        </w:rPr>
        <w:t>的位置）】</w:t>
      </w:r>
      <w:r>
        <w:rPr>
          <w:rFonts w:hint="eastAsia" w:ascii="宋体" w:hAnsi="宋体" w:eastAsia="宋体" w:cs="宋体"/>
          <w:color w:val="auto"/>
          <w:kern w:val="0"/>
          <w:sz w:val="24"/>
          <w:szCs w:val="24"/>
          <w:lang w:val="en-US" w:eastAsia="zh-CN" w:bidi="ar"/>
        </w:rPr>
        <w:t>。11个产品为①序号3</w:t>
      </w:r>
      <w:r>
        <w:rPr>
          <w:rFonts w:hint="eastAsia" w:ascii="宋体" w:hAnsi="宋体" w:eastAsia="宋体" w:cs="宋体"/>
          <w:color w:val="auto"/>
          <w:kern w:val="0"/>
          <w:sz w:val="24"/>
          <w:szCs w:val="24"/>
          <w:highlight w:val="none"/>
          <w:lang w:val="en-US" w:eastAsia="zh-CN" w:bidi="ar"/>
        </w:rPr>
        <w:t>9：</w:t>
      </w:r>
      <w:r>
        <w:rPr>
          <w:rFonts w:hint="eastAsia" w:ascii="宋体" w:hAnsi="宋体" w:eastAsia="宋体" w:cs="宋体"/>
          <w:color w:val="auto"/>
          <w:sz w:val="24"/>
          <w:szCs w:val="24"/>
          <w:highlight w:val="none"/>
          <w:lang w:val="en-US" w:eastAsia="zh-CN" w:bidi="ar"/>
        </w:rPr>
        <w:t>前台背景文化墙</w:t>
      </w:r>
      <w:r>
        <w:rPr>
          <w:rFonts w:ascii="宋体" w:hAnsi="宋体" w:eastAsia="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②序号40：</w:t>
      </w:r>
      <w:r>
        <w:rPr>
          <w:rFonts w:hint="eastAsia" w:ascii="宋体" w:hAnsi="宋体" w:eastAsia="宋体" w:cs="宋体"/>
          <w:color w:val="auto"/>
          <w:sz w:val="24"/>
          <w:szCs w:val="24"/>
          <w:highlight w:val="none"/>
          <w:lang w:val="en-US" w:eastAsia="zh-CN" w:bidi="ar"/>
        </w:rPr>
        <w:t>定制新书展示架</w:t>
      </w:r>
      <w:r>
        <w:rPr>
          <w:rFonts w:ascii="宋体" w:hAnsi="宋体" w:eastAsia="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③序号41：</w:t>
      </w:r>
      <w:r>
        <w:rPr>
          <w:rFonts w:hint="eastAsia" w:ascii="宋体" w:hAnsi="宋体" w:eastAsia="宋体" w:cs="宋体"/>
          <w:color w:val="auto"/>
          <w:sz w:val="24"/>
          <w:szCs w:val="24"/>
          <w:highlight w:val="none"/>
          <w:lang w:val="en-US" w:eastAsia="zh-CN"/>
        </w:rPr>
        <w:t>定制造型卡座、④序号42：圆桌、⑤序号43：定制阶梯地台、⑥序号45：定制隔断双面书架、⑦</w:t>
      </w:r>
      <w:r>
        <w:rPr>
          <w:rFonts w:hint="eastAsia" w:ascii="宋体" w:hAnsi="宋体" w:eastAsia="宋体" w:cs="宋体"/>
          <w:color w:val="auto"/>
          <w:kern w:val="0"/>
          <w:sz w:val="24"/>
          <w:szCs w:val="24"/>
          <w:highlight w:val="none"/>
          <w:lang w:val="en-US" w:eastAsia="zh-CN" w:bidi="ar"/>
        </w:rPr>
        <w:t>序号</w:t>
      </w:r>
      <w:r>
        <w:rPr>
          <w:rFonts w:hint="eastAsia" w:ascii="宋体" w:hAnsi="宋体" w:eastAsia="宋体" w:cs="宋体"/>
          <w:color w:val="auto"/>
          <w:sz w:val="24"/>
          <w:szCs w:val="24"/>
          <w:highlight w:val="none"/>
          <w:lang w:val="en-US" w:eastAsia="zh-CN"/>
        </w:rPr>
        <w:t>46：定制包柱书架、⑧</w:t>
      </w:r>
      <w:r>
        <w:rPr>
          <w:rFonts w:hint="eastAsia" w:ascii="宋体" w:hAnsi="宋体" w:eastAsia="宋体" w:cs="宋体"/>
          <w:color w:val="auto"/>
          <w:kern w:val="0"/>
          <w:sz w:val="24"/>
          <w:szCs w:val="24"/>
          <w:highlight w:val="none"/>
          <w:lang w:val="en-US" w:eastAsia="zh-CN" w:bidi="ar"/>
        </w:rPr>
        <w:t>序号</w:t>
      </w:r>
      <w:r>
        <w:rPr>
          <w:rFonts w:hint="eastAsia" w:ascii="宋体" w:hAnsi="宋体" w:eastAsia="宋体" w:cs="宋体"/>
          <w:color w:val="auto"/>
          <w:sz w:val="24"/>
          <w:szCs w:val="24"/>
          <w:highlight w:val="none"/>
          <w:lang w:val="en-US" w:eastAsia="zh-CN"/>
        </w:rPr>
        <w:t>47：卡座书架、⑨</w:t>
      </w:r>
      <w:r>
        <w:rPr>
          <w:rFonts w:hint="eastAsia" w:ascii="宋体" w:hAnsi="宋体" w:eastAsia="宋体" w:cs="宋体"/>
          <w:color w:val="auto"/>
          <w:kern w:val="0"/>
          <w:sz w:val="24"/>
          <w:szCs w:val="24"/>
          <w:highlight w:val="none"/>
          <w:lang w:val="en-US" w:eastAsia="zh-CN" w:bidi="ar"/>
        </w:rPr>
        <w:t>序号</w:t>
      </w:r>
      <w:r>
        <w:rPr>
          <w:rFonts w:hint="eastAsia" w:ascii="宋体" w:hAnsi="宋体" w:eastAsia="宋体" w:cs="宋体"/>
          <w:color w:val="auto"/>
          <w:sz w:val="24"/>
          <w:szCs w:val="24"/>
          <w:highlight w:val="none"/>
          <w:lang w:val="en-US" w:eastAsia="zh-CN"/>
        </w:rPr>
        <w:t>48：长条软包沙发、⑩</w:t>
      </w:r>
      <w:r>
        <w:rPr>
          <w:rFonts w:hint="eastAsia" w:ascii="宋体" w:hAnsi="宋体" w:eastAsia="宋体" w:cs="宋体"/>
          <w:color w:val="auto"/>
          <w:kern w:val="0"/>
          <w:sz w:val="24"/>
          <w:szCs w:val="24"/>
          <w:highlight w:val="none"/>
          <w:lang w:val="en-US" w:eastAsia="zh-CN" w:bidi="ar"/>
        </w:rPr>
        <w:t>序号</w:t>
      </w:r>
      <w:r>
        <w:rPr>
          <w:rFonts w:hint="eastAsia" w:ascii="宋体" w:hAnsi="宋体" w:eastAsia="宋体" w:cs="宋体"/>
          <w:color w:val="auto"/>
          <w:sz w:val="24"/>
          <w:szCs w:val="24"/>
          <w:highlight w:val="none"/>
          <w:lang w:val="en-US" w:eastAsia="zh-CN"/>
        </w:rPr>
        <w:t>49：实木圆桌、</w:t>
      </w:r>
      <w:r>
        <w:rPr>
          <w:rFonts w:hint="eastAsia" w:ascii="微软雅黑" w:hAnsi="微软雅黑" w:eastAsia="微软雅黑" w:cs="微软雅黑"/>
          <w:color w:val="auto"/>
          <w:sz w:val="24"/>
          <w:szCs w:val="24"/>
          <w:highlight w:val="none"/>
          <w:lang w:val="en-US" w:eastAsia="zh-CN"/>
        </w:rPr>
        <w:t>⑪</w:t>
      </w:r>
      <w:r>
        <w:rPr>
          <w:rFonts w:hint="eastAsia" w:ascii="宋体" w:hAnsi="宋体" w:eastAsia="宋体" w:cs="宋体"/>
          <w:color w:val="auto"/>
          <w:sz w:val="24"/>
          <w:szCs w:val="24"/>
          <w:highlight w:val="none"/>
          <w:lang w:val="en-US" w:eastAsia="zh-CN"/>
        </w:rPr>
        <w:t>序号50：实木藤编椅1</w:t>
      </w:r>
      <w:r>
        <w:rPr>
          <w:rFonts w:ascii="宋体" w:hAnsi="宋体" w:eastAsia="宋体" w:cs="宋体"/>
          <w:color w:val="auto"/>
          <w:kern w:val="0"/>
          <w:sz w:val="24"/>
          <w:szCs w:val="24"/>
          <w:highlight w:val="none"/>
          <w:lang w:val="en-US" w:eastAsia="zh-CN" w:bidi="ar"/>
        </w:rPr>
        <w:t>的组合</w:t>
      </w:r>
      <w:r>
        <w:rPr>
          <w:rFonts w:hint="eastAsia" w:ascii="宋体" w:hAnsi="宋体" w:eastAsia="宋体" w:cs="宋体"/>
          <w:color w:val="auto"/>
          <w:kern w:val="0"/>
          <w:sz w:val="24"/>
          <w:szCs w:val="24"/>
          <w:highlight w:val="none"/>
          <w:lang w:val="en-US" w:eastAsia="zh-CN" w:bidi="ar"/>
        </w:rPr>
        <w:t>展示</w:t>
      </w:r>
      <w:r>
        <w:rPr>
          <w:rFonts w:hint="eastAsia" w:ascii="宋体" w:hAnsi="宋体" w:eastAsia="宋体" w:cs="宋体"/>
          <w:color w:val="auto"/>
          <w:spacing w:val="0"/>
          <w:sz w:val="24"/>
          <w:szCs w:val="24"/>
          <w:lang w:eastAsia="zh-CN" w:bidi="ar"/>
        </w:rPr>
        <w:t>。</w:t>
      </w:r>
    </w:p>
    <w:p w14:paraId="3BD45299">
      <w:pPr>
        <w:pStyle w:val="8"/>
        <w:jc w:val="center"/>
        <w:rPr>
          <w:rFonts w:hint="default" w:ascii="宋体" w:hAnsi="宋体" w:eastAsia="宋体" w:cs="宋体"/>
          <w:b/>
          <w:color w:val="auto"/>
          <w:sz w:val="24"/>
          <w:szCs w:val="24"/>
          <w:lang w:val="en-US" w:eastAsia="zh-CN"/>
        </w:rPr>
      </w:pPr>
      <w:r>
        <w:rPr>
          <w:color w:val="auto"/>
        </w:rPr>
        <w:drawing>
          <wp:inline distT="0" distB="0" distL="114300" distR="114300">
            <wp:extent cx="5352415" cy="8286115"/>
            <wp:effectExtent l="0" t="0" r="635" b="63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119"/>
                    <a:stretch>
                      <a:fillRect/>
                    </a:stretch>
                  </pic:blipFill>
                  <pic:spPr>
                    <a:xfrm>
                      <a:off x="0" y="0"/>
                      <a:ext cx="5352415" cy="8286115"/>
                    </a:xfrm>
                    <a:prstGeom prst="rect">
                      <a:avLst/>
                    </a:prstGeom>
                    <a:noFill/>
                    <a:ln>
                      <a:noFill/>
                    </a:ln>
                  </pic:spPr>
                </pic:pic>
              </a:graphicData>
            </a:graphic>
          </wp:inline>
        </w:drawing>
      </w:r>
    </w:p>
    <w:p w14:paraId="22AC7FA0">
      <w:pPr>
        <w:pStyle w:val="8"/>
        <w:jc w:val="both"/>
        <w:rPr>
          <w:rFonts w:hint="default" w:ascii="宋体" w:hAnsi="宋体" w:eastAsia="宋体" w:cs="宋体"/>
          <w:b/>
          <w:color w:val="auto"/>
          <w:sz w:val="24"/>
          <w:szCs w:val="24"/>
          <w:lang w:val="en-US" w:eastAsia="zh-CN"/>
        </w:rPr>
      </w:pPr>
    </w:p>
    <w:p w14:paraId="69DAD599">
      <w:pPr>
        <w:pStyle w:val="8"/>
        <w:jc w:val="center"/>
        <w:rPr>
          <w:rFonts w:hint="default" w:ascii="宋体" w:hAnsi="宋体" w:eastAsia="宋体" w:cs="宋体"/>
          <w:b/>
          <w:color w:val="auto"/>
          <w:sz w:val="24"/>
          <w:szCs w:val="24"/>
          <w:lang w:val="en-US" w:eastAsia="zh-CN"/>
        </w:rPr>
      </w:pPr>
      <w:r>
        <w:rPr>
          <w:rFonts w:hint="eastAsia" w:ascii="宋体" w:hAnsi="宋体" w:eastAsia="宋体" w:cs="宋体"/>
          <w:color w:val="auto"/>
          <w:kern w:val="0"/>
          <w:sz w:val="24"/>
          <w:szCs w:val="24"/>
          <w:lang w:val="en-US" w:eastAsia="zh-CN" w:bidi="ar"/>
        </w:rPr>
        <w:t>图1</w:t>
      </w:r>
    </w:p>
    <w:p w14:paraId="75C0DACF">
      <w:pPr>
        <w:pStyle w:val="8"/>
        <w:jc w:val="both"/>
        <w:rPr>
          <w:rFonts w:hint="default" w:ascii="宋体" w:hAnsi="宋体" w:eastAsia="宋体" w:cs="宋体"/>
          <w:b/>
          <w:color w:val="auto"/>
          <w:sz w:val="24"/>
          <w:szCs w:val="24"/>
          <w:lang w:val="en-US" w:eastAsia="zh-CN"/>
        </w:rPr>
      </w:pPr>
    </w:p>
    <w:p w14:paraId="245EB9F4">
      <w:pPr>
        <w:pStyle w:val="8"/>
        <w:jc w:val="both"/>
        <w:rPr>
          <w:rFonts w:hint="eastAsia" w:ascii="宋体" w:hAnsi="宋体" w:eastAsia="宋体" w:cs="宋体"/>
          <w:b/>
          <w:color w:val="auto"/>
          <w:sz w:val="24"/>
          <w:szCs w:val="24"/>
          <w:lang w:val="en-US" w:eastAsia="zh-CN"/>
        </w:rPr>
      </w:pPr>
    </w:p>
    <w:p w14:paraId="33468520">
      <w:pPr>
        <w:pStyle w:val="8"/>
        <w:jc w:val="both"/>
        <w:rPr>
          <w:rFonts w:hint="eastAsia" w:ascii="宋体" w:hAnsi="宋体" w:eastAsia="宋体" w:cs="宋体"/>
          <w:color w:val="auto"/>
          <w:sz w:val="24"/>
          <w:szCs w:val="24"/>
        </w:rPr>
      </w:pPr>
      <w:bookmarkStart w:id="0" w:name="_GoBack"/>
      <w:bookmarkEnd w:id="0"/>
      <w:r>
        <w:rPr>
          <w:rFonts w:hint="eastAsia" w:ascii="宋体" w:hAnsi="宋体" w:eastAsia="宋体" w:cs="宋体"/>
          <w:b/>
          <w:color w:val="auto"/>
          <w:sz w:val="24"/>
          <w:szCs w:val="24"/>
          <w:lang w:val="en-US" w:eastAsia="zh-CN"/>
        </w:rPr>
        <w:t>3、</w:t>
      </w:r>
      <w:r>
        <w:rPr>
          <w:rFonts w:hint="eastAsia" w:ascii="宋体" w:hAnsi="宋体" w:eastAsia="宋体" w:cs="宋体"/>
          <w:b/>
          <w:color w:val="auto"/>
          <w:sz w:val="24"/>
          <w:szCs w:val="24"/>
        </w:rPr>
        <w:t>样品技术要求</w:t>
      </w:r>
    </w:p>
    <w:p w14:paraId="4A4B7BF7">
      <w:pPr>
        <w:pStyle w:val="8"/>
        <w:spacing w:line="360" w:lineRule="auto"/>
        <w:ind w:firstLine="482"/>
        <w:jc w:val="both"/>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highlight w:val="none"/>
        </w:rPr>
        <w:t>因需要对样品进行主观判断以确认是否满足采购需求，</w:t>
      </w:r>
      <w:r>
        <w:rPr>
          <w:rFonts w:hint="eastAsia" w:ascii="宋体" w:hAnsi="宋体" w:eastAsia="宋体" w:cs="宋体"/>
          <w:color w:val="auto"/>
          <w:sz w:val="24"/>
          <w:szCs w:val="24"/>
          <w:lang w:eastAsia="zh-CN"/>
        </w:rPr>
        <w:t>投标人须按</w:t>
      </w:r>
      <w:r>
        <w:rPr>
          <w:rFonts w:hint="eastAsia" w:ascii="宋体" w:hAnsi="宋体" w:eastAsia="宋体" w:cs="宋体"/>
          <w:color w:val="auto"/>
          <w:sz w:val="24"/>
          <w:szCs w:val="24"/>
          <w:lang w:val="en-US" w:eastAsia="zh-CN"/>
        </w:rPr>
        <w:t>以下要求</w:t>
      </w:r>
      <w:r>
        <w:rPr>
          <w:rFonts w:hint="eastAsia" w:ascii="宋体" w:hAnsi="宋体" w:eastAsia="宋体" w:cs="宋体"/>
          <w:color w:val="auto"/>
          <w:sz w:val="24"/>
          <w:szCs w:val="24"/>
          <w:lang w:eastAsia="zh-CN"/>
        </w:rPr>
        <w:t>提供样品：</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8"/>
        <w:gridCol w:w="1365"/>
        <w:gridCol w:w="1394"/>
        <w:gridCol w:w="1157"/>
        <w:gridCol w:w="5190"/>
      </w:tblGrid>
      <w:tr w14:paraId="6A29F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5" w:hRule="atLeast"/>
          <w:jc w:val="center"/>
        </w:trPr>
        <w:tc>
          <w:tcPr>
            <w:tcW w:w="748" w:type="dxa"/>
            <w:vAlign w:val="center"/>
          </w:tcPr>
          <w:p w14:paraId="454EB1B6">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序号</w:t>
            </w:r>
          </w:p>
        </w:tc>
        <w:tc>
          <w:tcPr>
            <w:tcW w:w="1365" w:type="dxa"/>
            <w:vAlign w:val="center"/>
          </w:tcPr>
          <w:p w14:paraId="278A5FEB">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名称</w:t>
            </w:r>
          </w:p>
        </w:tc>
        <w:tc>
          <w:tcPr>
            <w:tcW w:w="1394" w:type="dxa"/>
            <w:vAlign w:val="center"/>
          </w:tcPr>
          <w:p w14:paraId="480D829A">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规格</w:t>
            </w:r>
          </w:p>
        </w:tc>
        <w:tc>
          <w:tcPr>
            <w:tcW w:w="1157" w:type="dxa"/>
            <w:vAlign w:val="center"/>
          </w:tcPr>
          <w:p w14:paraId="7D1901F0">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数量</w:t>
            </w:r>
          </w:p>
        </w:tc>
        <w:tc>
          <w:tcPr>
            <w:tcW w:w="5190" w:type="dxa"/>
            <w:vAlign w:val="center"/>
          </w:tcPr>
          <w:p w14:paraId="453F205F">
            <w:pPr>
              <w:pStyle w:val="15"/>
              <w:bidi w:val="0"/>
              <w:spacing w:line="360" w:lineRule="auto"/>
              <w:jc w:val="center"/>
              <w:rPr>
                <w:rFonts w:hint="eastAsia" w:eastAsia="宋体" w:cs="宋体"/>
                <w:color w:val="auto"/>
                <w:kern w:val="0"/>
                <w:sz w:val="24"/>
                <w:szCs w:val="24"/>
                <w:lang w:val="en-US" w:eastAsia="zh-CN"/>
              </w:rPr>
            </w:pPr>
            <w:r>
              <w:rPr>
                <w:rFonts w:hint="eastAsia" w:eastAsia="宋体" w:cs="宋体"/>
                <w:color w:val="auto"/>
                <w:kern w:val="0"/>
                <w:sz w:val="24"/>
                <w:szCs w:val="24"/>
                <w:lang w:val="en-US" w:eastAsia="zh-CN"/>
              </w:rPr>
              <w:t>样品制作要求和标准</w:t>
            </w:r>
          </w:p>
          <w:p w14:paraId="1A222181">
            <w:pPr>
              <w:pStyle w:val="15"/>
              <w:bidi w:val="0"/>
              <w:spacing w:line="360" w:lineRule="auto"/>
              <w:jc w:val="center"/>
              <w:rPr>
                <w:rFonts w:hint="eastAsia" w:eastAsia="宋体" w:cs="宋体"/>
                <w:color w:val="auto"/>
                <w:kern w:val="0"/>
                <w:sz w:val="24"/>
                <w:szCs w:val="24"/>
                <w:lang w:val="en-US" w:eastAsia="zh-CN"/>
              </w:rPr>
            </w:pPr>
            <w:r>
              <w:rPr>
                <w:rFonts w:hint="eastAsia" w:eastAsia="宋体" w:cs="宋体"/>
                <w:color w:val="auto"/>
                <w:kern w:val="0"/>
                <w:sz w:val="24"/>
                <w:szCs w:val="24"/>
                <w:lang w:val="en-US" w:eastAsia="zh-CN"/>
              </w:rPr>
              <w:t>（参考图片与文件表述不一致的以文字表述为准）</w:t>
            </w:r>
          </w:p>
        </w:tc>
      </w:tr>
      <w:tr w14:paraId="740FC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97" w:hRule="atLeast"/>
          <w:jc w:val="center"/>
        </w:trPr>
        <w:tc>
          <w:tcPr>
            <w:tcW w:w="748" w:type="dxa"/>
            <w:vAlign w:val="center"/>
          </w:tcPr>
          <w:p w14:paraId="1E4C807A">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w:t>
            </w:r>
          </w:p>
        </w:tc>
        <w:tc>
          <w:tcPr>
            <w:tcW w:w="1365" w:type="dxa"/>
            <w:vAlign w:val="center"/>
          </w:tcPr>
          <w:p w14:paraId="00632C97">
            <w:pPr>
              <w:pStyle w:val="15"/>
              <w:bidi w:val="0"/>
              <w:spacing w:line="360" w:lineRule="auto"/>
              <w:jc w:val="center"/>
              <w:rPr>
                <w:rFonts w:hint="default" w:ascii="宋体" w:hAnsi="宋体" w:eastAsia="宋体" w:cs="宋体"/>
                <w:color w:val="auto"/>
                <w:kern w:val="0"/>
                <w:sz w:val="24"/>
                <w:szCs w:val="24"/>
                <w:lang w:val="en-US" w:eastAsia="zh-CN"/>
              </w:rPr>
            </w:pPr>
            <w:r>
              <w:rPr>
                <w:rFonts w:hint="eastAsia" w:eastAsia="宋体" w:cs="宋体"/>
                <w:color w:val="auto"/>
                <w:kern w:val="0"/>
                <w:sz w:val="24"/>
                <w:szCs w:val="24"/>
                <w:lang w:val="en-US" w:eastAsia="zh-CN"/>
              </w:rPr>
              <w:t>序号61：过道文化牌</w:t>
            </w:r>
          </w:p>
        </w:tc>
        <w:tc>
          <w:tcPr>
            <w:tcW w:w="1394" w:type="dxa"/>
            <w:vAlign w:val="center"/>
          </w:tcPr>
          <w:p w14:paraId="1496895F">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长</w:t>
            </w:r>
            <w:r>
              <w:rPr>
                <w:rFonts w:hint="eastAsia" w:eastAsia="宋体" w:cs="宋体"/>
                <w:color w:val="auto"/>
                <w:kern w:val="0"/>
                <w:sz w:val="24"/>
                <w:szCs w:val="24"/>
                <w:lang w:val="en-US" w:eastAsia="zh-CN"/>
              </w:rPr>
              <w:t>1500</w:t>
            </w:r>
            <w:r>
              <w:rPr>
                <w:rFonts w:hint="eastAsia" w:ascii="宋体" w:hAnsi="宋体" w:eastAsia="宋体" w:cs="宋体"/>
                <w:color w:val="auto"/>
                <w:kern w:val="0"/>
                <w:sz w:val="24"/>
                <w:szCs w:val="24"/>
                <w:lang w:val="en-US" w:eastAsia="zh-CN"/>
              </w:rPr>
              <w:t>mm*宽</w:t>
            </w:r>
            <w:r>
              <w:rPr>
                <w:rFonts w:hint="eastAsia" w:eastAsia="宋体" w:cs="宋体"/>
                <w:color w:val="auto"/>
                <w:kern w:val="0"/>
                <w:sz w:val="24"/>
                <w:szCs w:val="24"/>
                <w:lang w:val="en-US" w:eastAsia="zh-CN"/>
              </w:rPr>
              <w:t>500</w:t>
            </w:r>
            <w:r>
              <w:rPr>
                <w:rFonts w:hint="eastAsia" w:ascii="宋体" w:hAnsi="宋体" w:eastAsia="宋体" w:cs="宋体"/>
                <w:color w:val="auto"/>
                <w:kern w:val="0"/>
                <w:sz w:val="24"/>
                <w:szCs w:val="24"/>
                <w:lang w:val="en-US" w:eastAsia="zh-CN"/>
              </w:rPr>
              <w:t>mm</w:t>
            </w:r>
          </w:p>
        </w:tc>
        <w:tc>
          <w:tcPr>
            <w:tcW w:w="1157" w:type="dxa"/>
            <w:vAlign w:val="center"/>
          </w:tcPr>
          <w:p w14:paraId="7B1E6A2C">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1块</w:t>
            </w:r>
          </w:p>
        </w:tc>
        <w:tc>
          <w:tcPr>
            <w:tcW w:w="5190" w:type="dxa"/>
            <w:vAlign w:val="center"/>
          </w:tcPr>
          <w:p w14:paraId="3D98DAF2">
            <w:pPr>
              <w:pStyle w:val="2"/>
              <w:spacing w:line="360" w:lineRule="auto"/>
              <w:ind w:firstLine="0" w:firstLineChars="0"/>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1、采用PVC材质，色泽亮丽；</w:t>
            </w:r>
          </w:p>
          <w:p w14:paraId="35E72B2E">
            <w:pPr>
              <w:pStyle w:val="2"/>
              <w:spacing w:line="360" w:lineRule="auto"/>
              <w:ind w:firstLine="0" w:firstLineChars="0"/>
              <w:rPr>
                <w:rFonts w:hint="eastAsia" w:ascii="宋体" w:hAnsi="宋体" w:eastAsia="宋体" w:cs="宋体"/>
                <w:color w:val="auto"/>
                <w:spacing w:val="-2"/>
                <w:sz w:val="24"/>
                <w:szCs w:val="24"/>
                <w:lang w:eastAsia="zh-CN"/>
              </w:rPr>
            </w:pPr>
            <w:r>
              <w:rPr>
                <w:rFonts w:hint="eastAsia" w:ascii="宋体" w:hAnsi="宋体" w:eastAsia="宋体" w:cs="宋体"/>
                <w:color w:val="auto"/>
                <w:kern w:val="0"/>
                <w:sz w:val="24"/>
                <w:szCs w:val="24"/>
                <w:lang w:val="en-US" w:eastAsia="zh-CN"/>
              </w:rPr>
              <w:t>2、主题文字“最是书香能致远，腹有诗书气自华”</w:t>
            </w:r>
            <w:r>
              <w:rPr>
                <w:rFonts w:hint="eastAsia" w:ascii="宋体" w:hAnsi="宋体" w:eastAsia="宋体" w:cs="宋体"/>
                <w:color w:val="auto"/>
                <w:kern w:val="0"/>
                <w:sz w:val="24"/>
                <w:szCs w:val="24"/>
                <w:lang w:val="en-US" w:eastAsia="zh-CN"/>
              </w:rPr>
              <w:br w:type="textWrapping"/>
            </w:r>
            <w:r>
              <w:rPr>
                <w:rFonts w:hint="eastAsia" w:ascii="宋体" w:hAnsi="宋体" w:eastAsia="宋体" w:cs="宋体"/>
                <w:color w:val="auto"/>
                <w:kern w:val="0"/>
                <w:sz w:val="24"/>
                <w:szCs w:val="24"/>
                <w:lang w:val="en-US" w:eastAsia="zh-CN"/>
              </w:rPr>
              <w:t>3、配件紧密拼接，边角细腻，转角过度自然。</w:t>
            </w:r>
            <w:r>
              <w:rPr>
                <w:rFonts w:ascii="宋体" w:hAnsi="宋体" w:eastAsia="宋体" w:cs="宋体"/>
                <w:color w:val="auto"/>
                <w:spacing w:val="-2"/>
                <w:sz w:val="24"/>
                <w:szCs w:val="24"/>
              </w:rPr>
              <w:t>需固定排列造型，字体不限</w:t>
            </w:r>
            <w:r>
              <w:rPr>
                <w:rFonts w:hint="eastAsia" w:ascii="宋体" w:hAnsi="宋体" w:cs="宋体"/>
                <w:color w:val="auto"/>
                <w:spacing w:val="-2"/>
                <w:sz w:val="24"/>
                <w:szCs w:val="24"/>
                <w:lang w:eastAsia="zh-CN"/>
              </w:rPr>
              <w:t>。</w:t>
            </w:r>
          </w:p>
          <w:p w14:paraId="4A1359E5">
            <w:pPr>
              <w:pStyle w:val="2"/>
              <w:spacing w:line="360" w:lineRule="auto"/>
              <w:ind w:firstLine="0" w:firstLineChars="0"/>
              <w:rPr>
                <w:rFonts w:hint="default"/>
                <w:color w:val="auto"/>
                <w:lang w:val="en-US" w:eastAsia="zh-CN"/>
              </w:rPr>
            </w:pPr>
            <w:r>
              <w:rPr>
                <w:color w:val="auto"/>
              </w:rPr>
              <w:drawing>
                <wp:inline distT="0" distB="0" distL="114300" distR="114300">
                  <wp:extent cx="3155950" cy="1011555"/>
                  <wp:effectExtent l="0" t="0" r="6350" b="17145"/>
                  <wp:docPr id="1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
                          <pic:cNvPicPr>
                            <a:picLocks noChangeAspect="1"/>
                          </pic:cNvPicPr>
                        </pic:nvPicPr>
                        <pic:blipFill>
                          <a:blip r:embed="rId72"/>
                          <a:stretch>
                            <a:fillRect/>
                          </a:stretch>
                        </pic:blipFill>
                        <pic:spPr>
                          <a:xfrm>
                            <a:off x="0" y="0"/>
                            <a:ext cx="3155950" cy="1011555"/>
                          </a:xfrm>
                          <a:prstGeom prst="rect">
                            <a:avLst/>
                          </a:prstGeom>
                          <a:noFill/>
                          <a:ln>
                            <a:noFill/>
                          </a:ln>
                        </pic:spPr>
                      </pic:pic>
                    </a:graphicData>
                  </a:graphic>
                </wp:inline>
              </w:drawing>
            </w:r>
          </w:p>
        </w:tc>
      </w:tr>
      <w:tr w14:paraId="596D8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48" w:type="dxa"/>
            <w:vAlign w:val="center"/>
          </w:tcPr>
          <w:p w14:paraId="40337AE9">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eastAsia="宋体" w:cs="宋体"/>
                <w:color w:val="auto"/>
                <w:kern w:val="0"/>
                <w:sz w:val="24"/>
                <w:szCs w:val="24"/>
                <w:lang w:val="en-US" w:eastAsia="zh-CN"/>
              </w:rPr>
              <w:t>2</w:t>
            </w:r>
          </w:p>
        </w:tc>
        <w:tc>
          <w:tcPr>
            <w:tcW w:w="1365" w:type="dxa"/>
            <w:vAlign w:val="center"/>
          </w:tcPr>
          <w:p w14:paraId="4ABD504C">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eastAsia="宋体" w:cs="宋体"/>
                <w:color w:val="auto"/>
                <w:kern w:val="0"/>
                <w:sz w:val="24"/>
                <w:szCs w:val="24"/>
                <w:lang w:val="en-US" w:eastAsia="zh-CN"/>
              </w:rPr>
              <w:t>序号51：</w:t>
            </w:r>
            <w:r>
              <w:rPr>
                <w:rFonts w:hint="eastAsia" w:ascii="宋体" w:hAnsi="宋体" w:eastAsia="宋体" w:cs="宋体"/>
                <w:color w:val="auto"/>
                <w:kern w:val="0"/>
                <w:sz w:val="24"/>
                <w:szCs w:val="24"/>
                <w:lang w:val="en-US" w:eastAsia="zh-CN"/>
              </w:rPr>
              <w:t>标准钢制六层双面书架</w:t>
            </w:r>
            <w:r>
              <w:rPr>
                <w:rFonts w:hint="eastAsia" w:eastAsia="宋体" w:cs="宋体"/>
                <w:color w:val="auto"/>
                <w:kern w:val="0"/>
                <w:sz w:val="24"/>
                <w:szCs w:val="24"/>
                <w:lang w:val="en-US" w:eastAsia="zh-CN"/>
              </w:rPr>
              <w:t>中的</w:t>
            </w:r>
            <w:r>
              <w:rPr>
                <w:rFonts w:hint="eastAsia" w:ascii="宋体" w:hAnsi="宋体" w:eastAsia="宋体" w:cs="宋体"/>
                <w:color w:val="auto"/>
                <w:kern w:val="0"/>
                <w:sz w:val="24"/>
                <w:szCs w:val="24"/>
                <w:lang w:val="en-US" w:eastAsia="zh-CN"/>
              </w:rPr>
              <w:t>立柱</w:t>
            </w:r>
          </w:p>
        </w:tc>
        <w:tc>
          <w:tcPr>
            <w:tcW w:w="1394" w:type="dxa"/>
            <w:vAlign w:val="center"/>
          </w:tcPr>
          <w:p w14:paraId="0FEB92CB">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长1100mm（±10mm）</w:t>
            </w:r>
          </w:p>
        </w:tc>
        <w:tc>
          <w:tcPr>
            <w:tcW w:w="1157" w:type="dxa"/>
            <w:vAlign w:val="center"/>
          </w:tcPr>
          <w:p w14:paraId="1F13D9A3">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1根</w:t>
            </w:r>
          </w:p>
        </w:tc>
        <w:tc>
          <w:tcPr>
            <w:tcW w:w="5190" w:type="dxa"/>
            <w:vAlign w:val="center"/>
          </w:tcPr>
          <w:p w14:paraId="63675C9E">
            <w:pPr>
              <w:pStyle w:val="15"/>
              <w:bidi w:val="0"/>
              <w:spacing w:line="360" w:lineRule="auto"/>
              <w:jc w:val="left"/>
              <w:rPr>
                <w:rFonts w:hint="eastAsia"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立柱：采用≥1.5mm冷轧钢板,六翻边下冲折一体成型工艺，立柱成型尺寸42 mm×39mm，允许尺寸公差±1mm，四面封闭式结构，四角圆弧角设计。立柱正面、两侧面排孔位置各压一根筋，排孔均匀冲裁，孔中心距54mm，允许尺寸公差±1mm，使层板和间距可按需求调整。</w:t>
            </w:r>
            <w:r>
              <w:rPr>
                <w:rFonts w:hint="eastAsia" w:eastAsia="宋体" w:cs="宋体"/>
                <w:color w:val="auto"/>
                <w:sz w:val="24"/>
                <w:szCs w:val="24"/>
                <w:highlight w:val="none"/>
                <w:lang w:val="en-US" w:eastAsia="zh-CN"/>
              </w:rPr>
              <w:t>详见附图：</w:t>
            </w:r>
          </w:p>
          <w:p w14:paraId="5359AD1E">
            <w:pPr>
              <w:pStyle w:val="15"/>
              <w:bidi w:val="0"/>
              <w:spacing w:line="360" w:lineRule="auto"/>
              <w:jc w:val="center"/>
              <w:rPr>
                <w:rFonts w:hint="default" w:eastAsia="宋体" w:cs="宋体"/>
                <w:color w:val="auto"/>
                <w:sz w:val="24"/>
                <w:szCs w:val="24"/>
                <w:highlight w:val="none"/>
                <w:lang w:val="en-US" w:eastAsia="zh-CN"/>
              </w:rPr>
            </w:pPr>
            <w:r>
              <w:rPr>
                <w:rFonts w:hint="default" w:eastAsia="宋体" w:cs="宋体"/>
                <w:color w:val="auto"/>
                <w:sz w:val="24"/>
                <w:szCs w:val="24"/>
                <w:highlight w:val="none"/>
                <w:lang w:val="en-US" w:eastAsia="zh-CN"/>
              </w:rPr>
              <w:drawing>
                <wp:inline distT="0" distB="0" distL="114300" distR="114300">
                  <wp:extent cx="3121025" cy="2340610"/>
                  <wp:effectExtent l="0" t="0" r="3175" b="2540"/>
                  <wp:docPr id="53" name="图片 53" descr="98da987858409565a7e83d2f35b13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8da987858409565a7e83d2f35b13b98"/>
                          <pic:cNvPicPr>
                            <a:picLocks noChangeAspect="1"/>
                          </pic:cNvPicPr>
                        </pic:nvPicPr>
                        <pic:blipFill>
                          <a:blip r:embed="rId65"/>
                          <a:stretch>
                            <a:fillRect/>
                          </a:stretch>
                        </pic:blipFill>
                        <pic:spPr>
                          <a:xfrm>
                            <a:off x="0" y="0"/>
                            <a:ext cx="3121025" cy="2340610"/>
                          </a:xfrm>
                          <a:prstGeom prst="rect">
                            <a:avLst/>
                          </a:prstGeom>
                        </pic:spPr>
                      </pic:pic>
                    </a:graphicData>
                  </a:graphic>
                </wp:inline>
              </w:drawing>
            </w:r>
          </w:p>
        </w:tc>
      </w:tr>
      <w:tr w14:paraId="05BAA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1" w:hRule="atLeast"/>
          <w:jc w:val="center"/>
        </w:trPr>
        <w:tc>
          <w:tcPr>
            <w:tcW w:w="748" w:type="dxa"/>
            <w:vAlign w:val="center"/>
          </w:tcPr>
          <w:p w14:paraId="0989CA8C">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eastAsia="宋体" w:cs="宋体"/>
                <w:color w:val="auto"/>
                <w:kern w:val="0"/>
                <w:sz w:val="24"/>
                <w:szCs w:val="24"/>
                <w:lang w:val="en-US" w:eastAsia="zh-CN"/>
              </w:rPr>
              <w:t>3</w:t>
            </w:r>
          </w:p>
        </w:tc>
        <w:tc>
          <w:tcPr>
            <w:tcW w:w="1365" w:type="dxa"/>
            <w:vAlign w:val="center"/>
          </w:tcPr>
          <w:p w14:paraId="54B98A9F">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eastAsia="宋体" w:cs="宋体"/>
                <w:color w:val="auto"/>
                <w:kern w:val="0"/>
                <w:sz w:val="24"/>
                <w:szCs w:val="24"/>
                <w:lang w:val="en-US" w:eastAsia="zh-CN"/>
              </w:rPr>
              <w:t>序号51：</w:t>
            </w:r>
            <w:r>
              <w:rPr>
                <w:rFonts w:hint="eastAsia" w:ascii="宋体" w:hAnsi="宋体" w:eastAsia="宋体" w:cs="宋体"/>
                <w:color w:val="auto"/>
                <w:kern w:val="0"/>
                <w:sz w:val="24"/>
                <w:szCs w:val="24"/>
                <w:lang w:val="en-US" w:eastAsia="zh-CN"/>
              </w:rPr>
              <w:t>标准钢制六层双面书架</w:t>
            </w:r>
            <w:r>
              <w:rPr>
                <w:rFonts w:hint="eastAsia" w:eastAsia="宋体" w:cs="宋体"/>
                <w:color w:val="auto"/>
                <w:kern w:val="0"/>
                <w:sz w:val="24"/>
                <w:szCs w:val="24"/>
                <w:lang w:val="en-US" w:eastAsia="zh-CN"/>
              </w:rPr>
              <w:t>中的</w:t>
            </w:r>
            <w:r>
              <w:rPr>
                <w:rFonts w:hint="eastAsia" w:ascii="宋体" w:hAnsi="宋体" w:eastAsia="宋体" w:cs="宋体"/>
                <w:color w:val="auto"/>
                <w:kern w:val="0"/>
                <w:sz w:val="24"/>
                <w:szCs w:val="24"/>
                <w:lang w:val="en-US" w:eastAsia="zh-CN"/>
              </w:rPr>
              <w:t>搁板</w:t>
            </w:r>
          </w:p>
        </w:tc>
        <w:tc>
          <w:tcPr>
            <w:tcW w:w="1394" w:type="dxa"/>
            <w:vAlign w:val="center"/>
          </w:tcPr>
          <w:p w14:paraId="4972F755">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sz w:val="24"/>
                <w:szCs w:val="24"/>
                <w:highlight w:val="none"/>
                <w:lang w:val="en-US" w:eastAsia="zh-CN"/>
              </w:rPr>
              <w:t>长850mm*宽200mm（±5mm）</w:t>
            </w:r>
          </w:p>
        </w:tc>
        <w:tc>
          <w:tcPr>
            <w:tcW w:w="1157" w:type="dxa"/>
            <w:vAlign w:val="center"/>
          </w:tcPr>
          <w:p w14:paraId="72A3B96B">
            <w:pPr>
              <w:pStyle w:val="15"/>
              <w:bidi w:val="0"/>
              <w:spacing w:line="360" w:lineRule="auto"/>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1块</w:t>
            </w:r>
          </w:p>
        </w:tc>
        <w:tc>
          <w:tcPr>
            <w:tcW w:w="5190" w:type="dxa"/>
            <w:vAlign w:val="center"/>
          </w:tcPr>
          <w:p w14:paraId="7E7C854E">
            <w:pPr>
              <w:pStyle w:val="15"/>
              <w:bidi w:val="0"/>
              <w:spacing w:line="360" w:lineRule="auto"/>
              <w:jc w:val="lef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搁板：采用≥1.0mm冷轧钢板,搁板防惯性滑落设计，九折弯一体成形工艺，两侧形成15mm（±1mm）宽内封闭式矩形口。搁板正面压制两组圆筋，每组压筋数</w:t>
            </w:r>
            <w:r>
              <w:rPr>
                <w:rFonts w:hint="eastAsia" w:eastAsia="宋体" w:cs="宋体"/>
                <w:color w:val="auto"/>
                <w:sz w:val="24"/>
                <w:highlight w:val="none"/>
                <w:lang w:val="en-US" w:eastAsia="zh-CN"/>
              </w:rPr>
              <w:t>不少于</w:t>
            </w:r>
            <w:r>
              <w:rPr>
                <w:rFonts w:hint="eastAsia" w:ascii="宋体" w:hAnsi="宋体" w:eastAsia="宋体" w:cs="宋体"/>
                <w:color w:val="auto"/>
                <w:sz w:val="24"/>
                <w:highlight w:val="none"/>
                <w:lang w:val="en-US" w:eastAsia="zh-CN"/>
              </w:rPr>
              <w:t>3条。搁板内侧厚度23mm（±0.5mm），外侧面厚度27mm（±0.5mm）。详见附图：</w:t>
            </w:r>
          </w:p>
          <w:p w14:paraId="463EE7C0">
            <w:pPr>
              <w:pStyle w:val="15"/>
              <w:bidi w:val="0"/>
              <w:spacing w:line="360" w:lineRule="auto"/>
              <w:jc w:val="left"/>
              <w:rPr>
                <w:rFonts w:hint="default" w:ascii="宋体" w:hAnsi="宋体" w:eastAsia="宋体" w:cs="宋体"/>
                <w:color w:val="auto"/>
                <w:sz w:val="24"/>
                <w:highlight w:val="none"/>
                <w:lang w:val="en-US" w:eastAsia="zh-CN"/>
              </w:rPr>
            </w:pPr>
            <w:r>
              <w:rPr>
                <w:rFonts w:hint="eastAsia" w:ascii="宋体" w:hAnsi="宋体" w:eastAsia="宋体" w:cs="宋体"/>
                <w:b w:val="0"/>
                <w:bCs w:val="0"/>
                <w:color w:val="auto"/>
                <w:sz w:val="21"/>
                <w:szCs w:val="21"/>
              </w:rPr>
              <w:drawing>
                <wp:inline distT="0" distB="0" distL="114300" distR="114300">
                  <wp:extent cx="2628265" cy="1776730"/>
                  <wp:effectExtent l="0" t="0" r="635" b="13970"/>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pic:cNvPicPr>
                            <a:picLocks noChangeAspect="1"/>
                          </pic:cNvPicPr>
                        </pic:nvPicPr>
                        <pic:blipFill>
                          <a:blip r:embed="rId66">
                            <a:grayscl/>
                          </a:blip>
                          <a:stretch>
                            <a:fillRect/>
                          </a:stretch>
                        </pic:blipFill>
                        <pic:spPr>
                          <a:xfrm>
                            <a:off x="0" y="0"/>
                            <a:ext cx="2628265" cy="1776730"/>
                          </a:xfrm>
                          <a:prstGeom prst="rect">
                            <a:avLst/>
                          </a:prstGeom>
                          <a:noFill/>
                          <a:ln>
                            <a:noFill/>
                          </a:ln>
                        </pic:spPr>
                      </pic:pic>
                    </a:graphicData>
                  </a:graphic>
                </wp:inline>
              </w:drawing>
            </w:r>
          </w:p>
        </w:tc>
      </w:tr>
    </w:tbl>
    <w:p w14:paraId="7A659D9C">
      <w:pPr>
        <w:widowControl/>
        <w:numPr>
          <w:ilvl w:val="-1"/>
          <w:numId w:val="0"/>
        </w:numPr>
        <w:spacing w:line="360" w:lineRule="auto"/>
        <w:ind w:firstLine="0" w:firstLineChars="0"/>
        <w:jc w:val="left"/>
        <w:rPr>
          <w:rFonts w:hint="eastAsia" w:ascii="宋体" w:hAnsi="宋体" w:eastAsia="宋体" w:cs="宋体"/>
          <w:color w:val="auto"/>
          <w:sz w:val="24"/>
          <w:lang w:eastAsia="zh-CN"/>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2</w:t>
      </w:r>
      <w:r>
        <w:rPr>
          <w:rFonts w:hint="eastAsia" w:ascii="宋体" w:hAnsi="宋体" w:eastAsia="宋体" w:cs="宋体"/>
          <w:color w:val="auto"/>
          <w:sz w:val="24"/>
          <w:lang w:eastAsia="zh-CN"/>
        </w:rPr>
        <w:t>）</w:t>
      </w:r>
      <w:r>
        <w:rPr>
          <w:rFonts w:hint="eastAsia" w:ascii="宋体" w:hAnsi="宋体" w:eastAsia="宋体" w:cs="宋体"/>
          <w:color w:val="auto"/>
          <w:sz w:val="24"/>
        </w:rPr>
        <w:t>所有样品规格、尺寸为固定值的（指未标注范围值或偏离值），均允许误</w:t>
      </w:r>
      <w:r>
        <w:rPr>
          <w:rFonts w:hint="eastAsia" w:ascii="宋体" w:hAnsi="宋体" w:eastAsia="宋体" w:cs="宋体"/>
          <w:color w:val="auto"/>
          <w:sz w:val="24"/>
          <w:highlight w:val="none"/>
        </w:rPr>
        <w:t>差±</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eastAsia="zh-CN"/>
        </w:rPr>
        <w:t>。</w:t>
      </w:r>
    </w:p>
    <w:p w14:paraId="578517BD">
      <w:pPr>
        <w:widowControl/>
        <w:numPr>
          <w:ilvl w:val="-1"/>
          <w:numId w:val="0"/>
        </w:numPr>
        <w:spacing w:line="360" w:lineRule="auto"/>
        <w:ind w:firstLine="0" w:firstLineChars="0"/>
        <w:jc w:val="left"/>
        <w:rPr>
          <w:rFonts w:hint="eastAsia" w:ascii="宋体" w:hAnsi="宋体" w:eastAsia="宋体" w:cs="宋体"/>
          <w:color w:val="auto"/>
          <w:sz w:val="24"/>
          <w:szCs w:val="24"/>
        </w:rPr>
      </w:pPr>
      <w:r>
        <w:rPr>
          <w:rFonts w:hint="eastAsia" w:ascii="宋体" w:hAnsi="宋体" w:eastAsia="宋体" w:cs="宋体"/>
          <w:color w:val="auto"/>
          <w:sz w:val="24"/>
        </w:rPr>
        <w:t>（</w:t>
      </w:r>
      <w:r>
        <w:rPr>
          <w:rFonts w:hint="eastAsia" w:ascii="宋体" w:hAnsi="宋体" w:eastAsia="宋体" w:cs="宋体"/>
          <w:color w:val="auto"/>
          <w:sz w:val="24"/>
          <w:lang w:val="en-US" w:eastAsia="zh-CN"/>
        </w:rPr>
        <w:t>3</w:t>
      </w:r>
      <w:r>
        <w:rPr>
          <w:rFonts w:hint="eastAsia" w:ascii="宋体" w:hAnsi="宋体" w:eastAsia="宋体" w:cs="宋体"/>
          <w:color w:val="auto"/>
          <w:sz w:val="24"/>
        </w:rPr>
        <w:t>）样品的评审方法以及评审标准：所有样品均由评标委员会在评标现场进行评审，具体评审标准为①未按上述样品内容和数量提供的，视为无效投标；②样品内容和数量均符合招标文件要求的，按</w:t>
      </w:r>
      <w:r>
        <w:rPr>
          <w:rFonts w:hint="eastAsia" w:eastAsia="宋体" w:cs="宋体"/>
          <w:color w:val="auto"/>
          <w:kern w:val="0"/>
          <w:sz w:val="24"/>
          <w:szCs w:val="24"/>
          <w:lang w:val="en-US" w:eastAsia="zh-CN"/>
        </w:rPr>
        <w:t>样品制作要求和标准进行评审</w:t>
      </w:r>
      <w:r>
        <w:rPr>
          <w:rFonts w:hint="eastAsia" w:ascii="宋体" w:hAnsi="宋体" w:eastAsia="宋体" w:cs="宋体"/>
          <w:color w:val="auto"/>
          <w:sz w:val="24"/>
        </w:rPr>
        <w:t xml:space="preserve">。③评标委员会在评标现场可对样品进行破坏性检验以确定样品是否满足招标文件要求。 </w:t>
      </w:r>
    </w:p>
    <w:p w14:paraId="38BFDAE8">
      <w:pPr>
        <w:widowControl/>
        <w:numPr>
          <w:ilvl w:val="-1"/>
          <w:numId w:val="0"/>
        </w:numPr>
        <w:spacing w:line="360" w:lineRule="auto"/>
        <w:ind w:firstLine="0" w:firstLineChars="0"/>
        <w:jc w:val="left"/>
        <w:rPr>
          <w:rFonts w:hint="eastAsia" w:ascii="宋体" w:hAnsi="宋体" w:eastAsia="宋体" w:cs="宋体"/>
          <w:color w:val="auto"/>
          <w:sz w:val="24"/>
          <w:szCs w:val="24"/>
        </w:rPr>
      </w:pPr>
      <w:r>
        <w:rPr>
          <w:rFonts w:hint="eastAsia" w:ascii="宋体" w:hAnsi="宋体" w:eastAsia="宋体" w:cs="宋体"/>
          <w:color w:val="auto"/>
          <w:sz w:val="24"/>
        </w:rPr>
        <w:t>（</w:t>
      </w:r>
      <w:r>
        <w:rPr>
          <w:rFonts w:hint="eastAsia" w:ascii="宋体" w:hAnsi="宋体" w:eastAsia="宋体" w:cs="宋体"/>
          <w:color w:val="auto"/>
          <w:sz w:val="24"/>
          <w:lang w:val="en-US" w:eastAsia="zh-CN"/>
        </w:rPr>
        <w:t>4</w:t>
      </w:r>
      <w:r>
        <w:rPr>
          <w:rFonts w:hint="eastAsia" w:ascii="宋体" w:hAnsi="宋体" w:eastAsia="宋体" w:cs="宋体"/>
          <w:color w:val="auto"/>
          <w:sz w:val="24"/>
        </w:rPr>
        <w:t>）是否随样品递交检测报告：投标人在递交样品时无需递交检测报告。若招标文件第</w:t>
      </w:r>
      <w:r>
        <w:rPr>
          <w:rFonts w:hint="eastAsia" w:ascii="宋体" w:hAnsi="宋体" w:eastAsia="宋体" w:cs="宋体"/>
          <w:color w:val="auto"/>
          <w:sz w:val="24"/>
          <w:lang w:eastAsia="zh-CN"/>
        </w:rPr>
        <w:t>五</w:t>
      </w:r>
      <w:r>
        <w:rPr>
          <w:rFonts w:hint="eastAsia" w:ascii="宋体" w:hAnsi="宋体" w:eastAsia="宋体" w:cs="宋体"/>
          <w:color w:val="auto"/>
          <w:sz w:val="24"/>
        </w:rPr>
        <w:t xml:space="preserve">章有关于检测报告的评标项目，则投标人需在投标文件中提供相应的检测报告。 </w:t>
      </w:r>
    </w:p>
    <w:p w14:paraId="3FCFE2BC">
      <w:pPr>
        <w:widowControl/>
        <w:numPr>
          <w:ilvl w:val="-1"/>
          <w:numId w:val="0"/>
        </w:numPr>
        <w:spacing w:line="360" w:lineRule="auto"/>
        <w:ind w:firstLine="0" w:firstLineChars="0"/>
        <w:jc w:val="left"/>
        <w:rPr>
          <w:rFonts w:hint="eastAsia" w:ascii="宋体" w:hAnsi="宋体" w:eastAsia="宋体" w:cs="宋体"/>
          <w:color w:val="auto"/>
          <w:sz w:val="24"/>
          <w:szCs w:val="24"/>
        </w:rPr>
      </w:pPr>
      <w:r>
        <w:rPr>
          <w:rFonts w:hint="eastAsia" w:ascii="宋体" w:hAnsi="宋体" w:eastAsia="宋体" w:cs="宋体"/>
          <w:color w:val="auto"/>
          <w:sz w:val="24"/>
        </w:rPr>
        <w:t>（</w:t>
      </w:r>
      <w:r>
        <w:rPr>
          <w:rFonts w:hint="eastAsia" w:ascii="宋体" w:hAnsi="宋体" w:eastAsia="宋体" w:cs="宋体"/>
          <w:color w:val="auto"/>
          <w:sz w:val="24"/>
          <w:lang w:val="en-US" w:eastAsia="zh-CN"/>
        </w:rPr>
        <w:t>5</w:t>
      </w:r>
      <w:r>
        <w:rPr>
          <w:rFonts w:hint="eastAsia" w:ascii="宋体" w:hAnsi="宋体" w:eastAsia="宋体" w:cs="宋体"/>
          <w:color w:val="auto"/>
          <w:sz w:val="24"/>
        </w:rPr>
        <w:t xml:space="preserve">）样品递交时间：所有样品须于投标截止时间前一工作日17:00前送到开标地点并完成签收手续。样品按顺序摆放整齐，不得出现投标人名称，由采购人或招标代理机构负责签收和编号。超过样品递交时间送达的样品或样品出现投标人名称将不予受理。 </w:t>
      </w:r>
    </w:p>
    <w:p w14:paraId="2545F4D0">
      <w:pPr>
        <w:widowControl/>
        <w:numPr>
          <w:ilvl w:val="-1"/>
          <w:numId w:val="0"/>
        </w:numPr>
        <w:spacing w:line="360" w:lineRule="auto"/>
        <w:ind w:firstLine="0" w:firstLineChars="0"/>
        <w:jc w:val="left"/>
        <w:rPr>
          <w:rFonts w:hint="eastAsia" w:ascii="宋体" w:hAnsi="宋体" w:eastAsia="宋体" w:cs="宋体"/>
          <w:color w:val="auto"/>
          <w:sz w:val="24"/>
          <w:szCs w:val="24"/>
        </w:rPr>
      </w:pPr>
      <w:r>
        <w:rPr>
          <w:rFonts w:hint="eastAsia" w:ascii="宋体" w:hAnsi="宋体" w:eastAsia="宋体" w:cs="宋体"/>
          <w:color w:val="auto"/>
          <w:sz w:val="24"/>
        </w:rPr>
        <w:t>（</w:t>
      </w:r>
      <w:r>
        <w:rPr>
          <w:rFonts w:hint="eastAsia" w:ascii="宋体" w:hAnsi="宋体" w:eastAsia="宋体" w:cs="宋体"/>
          <w:color w:val="auto"/>
          <w:sz w:val="24"/>
          <w:lang w:val="en-US" w:eastAsia="zh-CN"/>
        </w:rPr>
        <w:t>6</w:t>
      </w:r>
      <w:r>
        <w:rPr>
          <w:rFonts w:hint="eastAsia" w:ascii="宋体" w:hAnsi="宋体" w:eastAsia="宋体" w:cs="宋体"/>
          <w:color w:val="auto"/>
          <w:sz w:val="24"/>
        </w:rPr>
        <w:t xml:space="preserve">）样品退还安排：中标人样品须交由采购人封存保留作为验收样本。未中标人的样品须于评标结束后自行处理，招标代理机构不安排对样品退还手续的签收工作。未按时处理所造成的损失由投标人自行负责。 </w:t>
      </w:r>
    </w:p>
    <w:p w14:paraId="27F8745E">
      <w:pPr>
        <w:pStyle w:val="8"/>
        <w:spacing w:line="360" w:lineRule="auto"/>
        <w:jc w:val="both"/>
        <w:outlineLvl w:val="2"/>
        <w:rPr>
          <w:rFonts w:hint="eastAsia" w:ascii="宋体" w:hAnsi="宋体" w:eastAsia="宋体" w:cs="宋体"/>
          <w:b/>
          <w:color w:val="auto"/>
          <w:sz w:val="28"/>
        </w:rPr>
      </w:pPr>
      <w:r>
        <w:rPr>
          <w:rFonts w:hint="eastAsia" w:ascii="宋体" w:hAnsi="宋体" w:eastAsia="宋体" w:cs="宋体"/>
          <w:color w:val="auto"/>
          <w:sz w:val="24"/>
        </w:rPr>
        <w:t>（</w:t>
      </w:r>
      <w:r>
        <w:rPr>
          <w:rFonts w:hint="eastAsia" w:ascii="宋体" w:hAnsi="宋体" w:eastAsia="宋体" w:cs="宋体"/>
          <w:color w:val="auto"/>
          <w:sz w:val="24"/>
          <w:lang w:val="en-US" w:eastAsia="zh-CN"/>
        </w:rPr>
        <w:t>7</w:t>
      </w:r>
      <w:r>
        <w:rPr>
          <w:rFonts w:hint="eastAsia" w:ascii="宋体" w:hAnsi="宋体" w:eastAsia="宋体" w:cs="宋体"/>
          <w:color w:val="auto"/>
          <w:sz w:val="24"/>
        </w:rPr>
        <w:t>）投标样品将作为履约验收的参考。</w:t>
      </w:r>
    </w:p>
    <w:p w14:paraId="082CE7B6"/>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仿宋">
    <w:panose1 w:val="02010609060101010101"/>
    <w:charset w:val="86"/>
    <w:family w:val="auto"/>
    <w:pitch w:val="default"/>
    <w:sig w:usb0="800002BF" w:usb1="38CF7CFA" w:usb2="00000016" w:usb3="00000000" w:csb0="00040001" w:csb1="00000000"/>
  </w:font>
  <w:font w:name="Segoe UI Emoji">
    <w:altName w:val="Segoe UI"/>
    <w:panose1 w:val="020B0502040204020203"/>
    <w:charset w:val="00"/>
    <w:family w:val="auto"/>
    <w:pitch w:val="default"/>
    <w:sig w:usb0="00000000" w:usb1="00000000" w:usb2="00000000" w:usb3="00000000" w:csb0="00000001" w:csb1="00000000"/>
  </w:font>
  <w:font w:name="微软雅黑">
    <w:panose1 w:val="020B0503020204020204"/>
    <w:charset w:val="86"/>
    <w:family w:val="auto"/>
    <w:pitch w:val="default"/>
    <w:sig w:usb0="80000287" w:usb1="280F3C52" w:usb2="00000016" w:usb3="00000000" w:csb0="0004001F" w:csb1="00000000"/>
  </w:font>
  <w:font w:name="Segoe UI">
    <w:panose1 w:val="020B0502040204020203"/>
    <w:charset w:val="00"/>
    <w:family w:val="auto"/>
    <w:pitch w:val="default"/>
    <w:sig w:usb0="E10022FF" w:usb1="C000E47F" w:usb2="00000029" w:usb3="00000000" w:csb0="200001DF" w:csb1="20000000"/>
  </w:font>
  <w:font w:name="MS PGothic">
    <w:panose1 w:val="020B0600070205080204"/>
    <w:charset w:val="80"/>
    <w:family w:val="auto"/>
    <w:pitch w:val="default"/>
    <w:sig w:usb0="E00002FF" w:usb1="6AC7FDFB" w:usb2="00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F93E05"/>
    <w:multiLevelType w:val="singleLevel"/>
    <w:tmpl w:val="84F93E05"/>
    <w:lvl w:ilvl="0" w:tentative="0">
      <w:start w:val="1"/>
      <w:numFmt w:val="decimal"/>
      <w:suff w:val="nothing"/>
      <w:lvlText w:val="%1、"/>
      <w:lvlJc w:val="left"/>
    </w:lvl>
  </w:abstractNum>
  <w:abstractNum w:abstractNumId="1">
    <w:nsid w:val="9D8503DD"/>
    <w:multiLevelType w:val="singleLevel"/>
    <w:tmpl w:val="9D8503DD"/>
    <w:lvl w:ilvl="0" w:tentative="0">
      <w:start w:val="1"/>
      <w:numFmt w:val="decimal"/>
      <w:suff w:val="nothing"/>
      <w:lvlText w:val="%1、"/>
      <w:lvlJc w:val="left"/>
    </w:lvl>
  </w:abstractNum>
  <w:abstractNum w:abstractNumId="2">
    <w:nsid w:val="F5B1713C"/>
    <w:multiLevelType w:val="singleLevel"/>
    <w:tmpl w:val="F5B1713C"/>
    <w:lvl w:ilvl="0" w:tentative="0">
      <w:start w:val="2"/>
      <w:numFmt w:val="decimal"/>
      <w:suff w:val="nothing"/>
      <w:lvlText w:val="%1、"/>
      <w:lvlJc w:val="left"/>
    </w:lvl>
  </w:abstractNum>
  <w:abstractNum w:abstractNumId="3">
    <w:nsid w:val="10677C3F"/>
    <w:multiLevelType w:val="singleLevel"/>
    <w:tmpl w:val="10677C3F"/>
    <w:lvl w:ilvl="0" w:tentative="0">
      <w:start w:val="1"/>
      <w:numFmt w:val="decimal"/>
      <w:suff w:val="nothing"/>
      <w:lvlText w:val="%1、"/>
      <w:lvlJc w:val="left"/>
    </w:lvl>
  </w:abstractNum>
  <w:abstractNum w:abstractNumId="4">
    <w:nsid w:val="14F9CAA1"/>
    <w:multiLevelType w:val="singleLevel"/>
    <w:tmpl w:val="14F9CAA1"/>
    <w:lvl w:ilvl="0" w:tentative="0">
      <w:start w:val="1"/>
      <w:numFmt w:val="decimal"/>
      <w:suff w:val="nothing"/>
      <w:lvlText w:val="%1、"/>
      <w:lvlJc w:val="left"/>
    </w:lvl>
  </w:abstractNum>
  <w:abstractNum w:abstractNumId="5">
    <w:nsid w:val="1FF64D5B"/>
    <w:multiLevelType w:val="singleLevel"/>
    <w:tmpl w:val="1FF64D5B"/>
    <w:lvl w:ilvl="0" w:tentative="0">
      <w:start w:val="1"/>
      <w:numFmt w:val="decimal"/>
      <w:suff w:val="nothing"/>
      <w:lvlText w:val="%1、"/>
      <w:lvlJc w:val="left"/>
    </w:lvl>
  </w:abstractNum>
  <w:abstractNum w:abstractNumId="6">
    <w:nsid w:val="2ACA2601"/>
    <w:multiLevelType w:val="singleLevel"/>
    <w:tmpl w:val="2ACA2601"/>
    <w:lvl w:ilvl="0" w:tentative="0">
      <w:start w:val="1"/>
      <w:numFmt w:val="decimal"/>
      <w:suff w:val="nothing"/>
      <w:lvlText w:val="%1、"/>
      <w:lvlJc w:val="left"/>
    </w:lvl>
  </w:abstractNum>
  <w:abstractNum w:abstractNumId="7">
    <w:nsid w:val="36F4A8BA"/>
    <w:multiLevelType w:val="singleLevel"/>
    <w:tmpl w:val="36F4A8BA"/>
    <w:lvl w:ilvl="0" w:tentative="0">
      <w:start w:val="1"/>
      <w:numFmt w:val="decimal"/>
      <w:lvlText w:val="%1."/>
      <w:lvlJc w:val="left"/>
      <w:pPr>
        <w:tabs>
          <w:tab w:val="left" w:pos="312"/>
        </w:tabs>
      </w:pPr>
    </w:lvl>
  </w:abstractNum>
  <w:abstractNum w:abstractNumId="8">
    <w:nsid w:val="4664AC74"/>
    <w:multiLevelType w:val="singleLevel"/>
    <w:tmpl w:val="4664AC74"/>
    <w:lvl w:ilvl="0" w:tentative="0">
      <w:start w:val="1"/>
      <w:numFmt w:val="decimal"/>
      <w:suff w:val="nothing"/>
      <w:lvlText w:val="%1、"/>
      <w:lvlJc w:val="left"/>
    </w:lvl>
  </w:abstractNum>
  <w:abstractNum w:abstractNumId="9">
    <w:nsid w:val="4A5C537A"/>
    <w:multiLevelType w:val="singleLevel"/>
    <w:tmpl w:val="4A5C537A"/>
    <w:lvl w:ilvl="0" w:tentative="0">
      <w:start w:val="1"/>
      <w:numFmt w:val="decimal"/>
      <w:suff w:val="nothing"/>
      <w:lvlText w:val="%1、"/>
      <w:lvlJc w:val="left"/>
    </w:lvl>
  </w:abstractNum>
  <w:abstractNum w:abstractNumId="10">
    <w:nsid w:val="5245D580"/>
    <w:multiLevelType w:val="singleLevel"/>
    <w:tmpl w:val="5245D580"/>
    <w:lvl w:ilvl="0" w:tentative="0">
      <w:start w:val="1"/>
      <w:numFmt w:val="chineseCounting"/>
      <w:suff w:val="nothing"/>
      <w:lvlText w:val="（%1）"/>
      <w:lvlJc w:val="left"/>
      <w:rPr>
        <w:rFonts w:hint="eastAsia"/>
      </w:rPr>
    </w:lvl>
  </w:abstractNum>
  <w:abstractNum w:abstractNumId="11">
    <w:nsid w:val="58C08C93"/>
    <w:multiLevelType w:val="singleLevel"/>
    <w:tmpl w:val="58C08C93"/>
    <w:lvl w:ilvl="0" w:tentative="0">
      <w:start w:val="1"/>
      <w:numFmt w:val="decimal"/>
      <w:suff w:val="nothing"/>
      <w:lvlText w:val="%1、"/>
      <w:lvlJc w:val="left"/>
    </w:lvl>
  </w:abstractNum>
  <w:abstractNum w:abstractNumId="12">
    <w:nsid w:val="5AAAF79E"/>
    <w:multiLevelType w:val="singleLevel"/>
    <w:tmpl w:val="5AAAF79E"/>
    <w:lvl w:ilvl="0" w:tentative="0">
      <w:start w:val="1"/>
      <w:numFmt w:val="decimal"/>
      <w:suff w:val="nothing"/>
      <w:lvlText w:val="%1、"/>
      <w:lvlJc w:val="left"/>
    </w:lvl>
  </w:abstractNum>
  <w:abstractNum w:abstractNumId="13">
    <w:nsid w:val="68007101"/>
    <w:multiLevelType w:val="singleLevel"/>
    <w:tmpl w:val="68007101"/>
    <w:lvl w:ilvl="0" w:tentative="0">
      <w:start w:val="1"/>
      <w:numFmt w:val="decimal"/>
      <w:suff w:val="nothing"/>
      <w:lvlText w:val="%1、"/>
      <w:lvlJc w:val="left"/>
    </w:lvl>
  </w:abstractNum>
  <w:abstractNum w:abstractNumId="14">
    <w:nsid w:val="7EF66F23"/>
    <w:multiLevelType w:val="singleLevel"/>
    <w:tmpl w:val="7EF66F23"/>
    <w:lvl w:ilvl="0" w:tentative="0">
      <w:start w:val="1"/>
      <w:numFmt w:val="decimal"/>
      <w:suff w:val="nothing"/>
      <w:lvlText w:val="%1、"/>
      <w:lvlJc w:val="left"/>
    </w:lvl>
  </w:abstractNum>
  <w:num w:numId="1">
    <w:abstractNumId w:val="2"/>
  </w:num>
  <w:num w:numId="2">
    <w:abstractNumId w:val="10"/>
  </w:num>
  <w:num w:numId="3">
    <w:abstractNumId w:val="7"/>
  </w:num>
  <w:num w:numId="4">
    <w:abstractNumId w:val="14"/>
  </w:num>
  <w:num w:numId="5">
    <w:abstractNumId w:val="1"/>
  </w:num>
  <w:num w:numId="6">
    <w:abstractNumId w:val="3"/>
  </w:num>
  <w:num w:numId="7">
    <w:abstractNumId w:val="0"/>
  </w:num>
  <w:num w:numId="8">
    <w:abstractNumId w:val="5"/>
  </w:num>
  <w:num w:numId="9">
    <w:abstractNumId w:val="12"/>
  </w:num>
  <w:num w:numId="10">
    <w:abstractNumId w:val="13"/>
  </w:num>
  <w:num w:numId="11">
    <w:abstractNumId w:val="9"/>
  </w:num>
  <w:num w:numId="12">
    <w:abstractNumId w:val="6"/>
  </w:num>
  <w:num w:numId="13">
    <w:abstractNumId w:val="11"/>
  </w:num>
  <w:num w:numId="14">
    <w:abstractNumId w:val="4"/>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25419A5"/>
    <w:rsid w:val="225419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Body Text First Indent"/>
    <w:basedOn w:val="3"/>
    <w:next w:val="1"/>
    <w:qFormat/>
    <w:uiPriority w:val="0"/>
    <w:pPr>
      <w:ind w:firstLine="420" w:firstLineChars="100"/>
    </w:pPr>
    <w:rPr>
      <w:rFonts w:ascii="Calibri" w:hAnsi="Calibri" w:eastAsia="宋体" w:cs="Times New Roman"/>
      <w:kern w:val="0"/>
      <w:sz w:val="20"/>
      <w:szCs w:val="20"/>
    </w:rPr>
  </w:style>
  <w:style w:type="paragraph" w:styleId="3">
    <w:name w:val="Body Text"/>
    <w:basedOn w:val="1"/>
    <w:next w:val="1"/>
    <w:qFormat/>
    <w:uiPriority w:val="0"/>
    <w:pPr>
      <w:spacing w:after="120"/>
    </w:p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7">
    <w:name w:val="Strong"/>
    <w:basedOn w:val="6"/>
    <w:qFormat/>
    <w:uiPriority w:val="0"/>
    <w:rPr>
      <w:b/>
    </w:rPr>
  </w:style>
  <w:style w:type="paragraph" w:customStyle="1" w:styleId="8">
    <w:name w:val="null3"/>
    <w:hidden/>
    <w:qFormat/>
    <w:uiPriority w:val="0"/>
    <w:rPr>
      <w:rFonts w:hint="eastAsia" w:asciiTheme="minorHAnsi" w:hAnsiTheme="minorHAnsi" w:eastAsiaTheme="minorEastAsia" w:cstheme="minorBidi"/>
      <w:lang w:val="en-US" w:eastAsia="zh-Hans"/>
    </w:rPr>
  </w:style>
  <w:style w:type="character" w:customStyle="1" w:styleId="9">
    <w:name w:val="font61"/>
    <w:basedOn w:val="6"/>
    <w:qFormat/>
    <w:uiPriority w:val="0"/>
    <w:rPr>
      <w:rFonts w:hint="eastAsia" w:ascii="宋体" w:hAnsi="宋体" w:eastAsia="宋体" w:cs="宋体"/>
      <w:color w:val="000000"/>
      <w:sz w:val="24"/>
      <w:szCs w:val="24"/>
      <w:u w:val="none"/>
    </w:rPr>
  </w:style>
  <w:style w:type="character" w:customStyle="1" w:styleId="10">
    <w:name w:val="font111"/>
    <w:basedOn w:val="6"/>
    <w:qFormat/>
    <w:uiPriority w:val="0"/>
    <w:rPr>
      <w:rFonts w:hint="eastAsia" w:ascii="宋体" w:hAnsi="宋体" w:eastAsia="宋体" w:cs="宋体"/>
      <w:color w:val="FF0000"/>
      <w:sz w:val="24"/>
      <w:szCs w:val="24"/>
      <w:u w:val="none"/>
    </w:rPr>
  </w:style>
  <w:style w:type="character" w:customStyle="1" w:styleId="11">
    <w:name w:val="font12"/>
    <w:basedOn w:val="6"/>
    <w:qFormat/>
    <w:uiPriority w:val="0"/>
    <w:rPr>
      <w:rFonts w:hint="eastAsia" w:ascii="宋体" w:hAnsi="宋体" w:eastAsia="宋体" w:cs="宋体"/>
      <w:color w:val="000000"/>
      <w:sz w:val="22"/>
      <w:szCs w:val="22"/>
      <w:u w:val="none"/>
    </w:rPr>
  </w:style>
  <w:style w:type="character" w:customStyle="1" w:styleId="12">
    <w:name w:val="font122"/>
    <w:basedOn w:val="6"/>
    <w:qFormat/>
    <w:uiPriority w:val="0"/>
    <w:rPr>
      <w:rFonts w:ascii="Calibri" w:hAnsi="Calibri" w:cs="Calibri"/>
      <w:color w:val="000000"/>
      <w:sz w:val="22"/>
      <w:szCs w:val="22"/>
      <w:u w:val="none"/>
    </w:rPr>
  </w:style>
  <w:style w:type="character" w:customStyle="1" w:styleId="13">
    <w:name w:val="font131"/>
    <w:basedOn w:val="6"/>
    <w:qFormat/>
    <w:uiPriority w:val="0"/>
    <w:rPr>
      <w:rFonts w:ascii="等线" w:hAnsi="等线" w:eastAsia="等线" w:cs="等线"/>
      <w:color w:val="000000"/>
      <w:sz w:val="22"/>
      <w:szCs w:val="22"/>
      <w:u w:val="none"/>
    </w:rPr>
  </w:style>
  <w:style w:type="character" w:customStyle="1" w:styleId="14">
    <w:name w:val="font141"/>
    <w:basedOn w:val="6"/>
    <w:qFormat/>
    <w:uiPriority w:val="0"/>
    <w:rPr>
      <w:rFonts w:hint="eastAsia" w:ascii="宋体" w:hAnsi="宋体" w:eastAsia="宋体" w:cs="宋体"/>
      <w:color w:val="FF0000"/>
      <w:sz w:val="22"/>
      <w:szCs w:val="22"/>
      <w:u w:val="none"/>
    </w:rPr>
  </w:style>
  <w:style w:type="paragraph" w:customStyle="1" w:styleId="15">
    <w:name w:val="表"/>
    <w:basedOn w:val="1"/>
    <w:qFormat/>
    <w:uiPriority w:val="0"/>
    <w:pPr>
      <w:widowControl/>
      <w:spacing w:line="240" w:lineRule="auto"/>
      <w:ind w:firstLine="0" w:firstLineChars="0"/>
      <w:jc w:val="center"/>
      <w:textAlignment w:val="center"/>
    </w:pPr>
    <w:rPr>
      <w:rFonts w:hint="eastAsia" w:ascii="宋体" w:hAnsi="宋体" w:eastAsia="仿宋" w:cs="宋体"/>
      <w:color w:val="000000"/>
      <w:kern w:val="0"/>
      <w:sz w:val="21"/>
      <w:lang w:bidi="ar"/>
    </w:rPr>
  </w:style>
  <w:style w:type="character" w:customStyle="1" w:styleId="16">
    <w:name w:val="font11"/>
    <w:basedOn w:val="6"/>
    <w:uiPriority w:val="0"/>
    <w:rPr>
      <w:rFonts w:hint="default" w:ascii="Helvetica" w:hAnsi="Helvetica" w:eastAsia="Helvetica" w:cs="Helvetica"/>
      <w:color w:val="0A82E5"/>
      <w:sz w:val="24"/>
      <w:szCs w:val="24"/>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jpe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1" Type="http://schemas.openxmlformats.org/officeDocument/2006/relationships/fontTable" Target="fontTable.xml"/><Relationship Id="rId120" Type="http://schemas.openxmlformats.org/officeDocument/2006/relationships/numbering" Target="numbering.xml"/><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84</Pages>
  <Words>0</Words>
  <Characters>0</Characters>
  <Lines>0</Lines>
  <Paragraphs>0</Paragraphs>
  <TotalTime>6</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2026-07-09T13:25:00Z</dcterms:created>
  <dc:creator>.</dc:creator>
  <cp:lastModifiedBy>.</cp:lastModifiedBy>
  <dcterms:modified xsi:type="dcterms:W3CDTF">2026-07-09T13:41:37Z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7CE37255179F480AB18F488297F6ED82_11</vt:lpwstr>
  </property>
  <property fmtid="{D5CDD505-2E9C-101B-9397-08002B2CF9AE}" pid="4" name="KSOTemplateDocerSaveRecord">
    <vt:lpwstr>eyJoZGlkIjoiZDFmOTk3M2NjZjJjZTc4YTViYjIyYjI2ZTFhY2YyY2MiLCJ1c2VySWQiOiI0ODE1NzIxMTkifQ==</vt:lpwstr>
  </property>
</Properties>
</file>