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FCCE02">
      <w:pPr>
        <w:pStyle w:val="17"/>
        <w:autoSpaceDE w:val="0"/>
        <w:autoSpaceDN w:val="0"/>
        <w:adjustRightInd w:val="0"/>
        <w:snapToGrid w:val="0"/>
        <w:spacing w:line="360" w:lineRule="auto"/>
        <w:jc w:val="center"/>
        <w:outlineLvl w:val="9"/>
        <w:rPr>
          <w:rFonts w:hint="eastAsia" w:hAnsi="宋体" w:cs="宋体"/>
          <w:b/>
          <w:bCs/>
          <w:kern w:val="0"/>
          <w:sz w:val="44"/>
          <w:szCs w:val="44"/>
          <w:lang w:val="en-US" w:eastAsia="zh-CN" w:bidi="ar-SA"/>
        </w:rPr>
      </w:pPr>
    </w:p>
    <w:p w14:paraId="0AA91F09">
      <w:pPr>
        <w:pStyle w:val="17"/>
        <w:autoSpaceDE w:val="0"/>
        <w:autoSpaceDN w:val="0"/>
        <w:adjustRightInd w:val="0"/>
        <w:snapToGrid w:val="0"/>
        <w:spacing w:line="360" w:lineRule="auto"/>
        <w:jc w:val="center"/>
        <w:outlineLvl w:val="9"/>
        <w:rPr>
          <w:rFonts w:hint="eastAsia" w:hAnsi="宋体" w:cs="宋体"/>
          <w:b/>
          <w:bCs/>
          <w:kern w:val="0"/>
          <w:sz w:val="44"/>
          <w:szCs w:val="44"/>
          <w:lang w:val="en-US" w:eastAsia="zh-CN" w:bidi="ar-SA"/>
        </w:rPr>
      </w:pPr>
      <w:r>
        <w:rPr>
          <w:rFonts w:hint="eastAsia" w:hAnsi="宋体" w:cs="宋体"/>
          <w:b/>
          <w:bCs/>
          <w:kern w:val="0"/>
          <w:sz w:val="44"/>
          <w:szCs w:val="44"/>
          <w:lang w:val="en-US" w:eastAsia="zh-CN" w:bidi="ar-SA"/>
        </w:rPr>
        <w:t>云南省玉溪监狱2026年至2027年罪犯配餐中心</w:t>
      </w:r>
    </w:p>
    <w:p w14:paraId="43BFA1A8">
      <w:pPr>
        <w:pStyle w:val="17"/>
        <w:autoSpaceDE w:val="0"/>
        <w:autoSpaceDN w:val="0"/>
        <w:adjustRightInd w:val="0"/>
        <w:snapToGrid w:val="0"/>
        <w:spacing w:line="360" w:lineRule="auto"/>
        <w:jc w:val="center"/>
        <w:outlineLvl w:val="9"/>
        <w:rPr>
          <w:rFonts w:hint="eastAsia"/>
          <w:sz w:val="18"/>
          <w:szCs w:val="21"/>
          <w:lang w:val="en-US" w:eastAsia="zh-CN"/>
        </w:rPr>
      </w:pPr>
      <w:r>
        <w:rPr>
          <w:rFonts w:hint="eastAsia" w:hAnsi="宋体" w:cs="宋体"/>
          <w:b/>
          <w:bCs/>
          <w:kern w:val="0"/>
          <w:sz w:val="44"/>
          <w:szCs w:val="44"/>
          <w:lang w:val="en-US" w:eastAsia="zh-CN" w:bidi="ar-SA"/>
        </w:rPr>
        <w:t>生活物资一标段(猪肉类；鸡肉类、冻品（鱼虾）类)采购项目</w:t>
      </w:r>
    </w:p>
    <w:p w14:paraId="0704D7B0">
      <w:pPr>
        <w:rPr>
          <w:rFonts w:hint="eastAsia"/>
        </w:rPr>
      </w:pPr>
    </w:p>
    <w:p w14:paraId="2D526F5D">
      <w:pPr>
        <w:rPr>
          <w:rFonts w:hint="eastAsia"/>
        </w:rPr>
      </w:pPr>
    </w:p>
    <w:p w14:paraId="323FE025">
      <w:pPr>
        <w:pStyle w:val="17"/>
        <w:autoSpaceDE w:val="0"/>
        <w:autoSpaceDN w:val="0"/>
        <w:adjustRightInd w:val="0"/>
        <w:spacing w:line="360" w:lineRule="auto"/>
        <w:jc w:val="center"/>
        <w:outlineLvl w:val="9"/>
        <w:rPr>
          <w:rFonts w:hint="eastAsia" w:hAnsi="宋体"/>
          <w:b/>
          <w:bCs/>
          <w:kern w:val="0"/>
          <w:sz w:val="84"/>
          <w:szCs w:val="84"/>
        </w:rPr>
      </w:pPr>
      <w:r>
        <w:rPr>
          <w:rFonts w:hint="eastAsia" w:hAnsi="宋体"/>
          <w:b/>
          <w:bCs/>
          <w:kern w:val="0"/>
          <w:sz w:val="84"/>
          <w:szCs w:val="84"/>
        </w:rPr>
        <w:t>招 标 文 件</w:t>
      </w:r>
    </w:p>
    <w:p w14:paraId="6FC36372">
      <w:pPr>
        <w:rPr>
          <w:rFonts w:hint="eastAsia" w:hAnsi="宋体"/>
          <w:b/>
          <w:bCs/>
          <w:kern w:val="0"/>
          <w:sz w:val="84"/>
          <w:szCs w:val="84"/>
        </w:rPr>
      </w:pPr>
    </w:p>
    <w:p w14:paraId="635CF3AE">
      <w:pPr>
        <w:pStyle w:val="17"/>
        <w:autoSpaceDE w:val="0"/>
        <w:autoSpaceDN w:val="0"/>
        <w:adjustRightInd w:val="0"/>
        <w:spacing w:line="360" w:lineRule="auto"/>
        <w:jc w:val="center"/>
        <w:outlineLvl w:val="9"/>
        <w:rPr>
          <w:rFonts w:hint="eastAsia" w:hAnsi="宋体" w:eastAsia="宋体"/>
          <w:b/>
          <w:bCs/>
          <w:kern w:val="0"/>
          <w:sz w:val="32"/>
          <w:szCs w:val="32"/>
          <w:lang w:eastAsia="zh-CN"/>
        </w:rPr>
      </w:pPr>
      <w:r>
        <w:rPr>
          <w:rFonts w:hint="eastAsia" w:hAnsi="宋体"/>
          <w:b/>
          <w:bCs/>
          <w:kern w:val="0"/>
          <w:sz w:val="32"/>
          <w:szCs w:val="32"/>
          <w:lang w:val="en-US" w:eastAsia="zh-CN"/>
        </w:rPr>
        <w:t>项目</w:t>
      </w:r>
      <w:r>
        <w:rPr>
          <w:rFonts w:hint="eastAsia" w:hAnsi="宋体"/>
          <w:b/>
          <w:bCs/>
          <w:kern w:val="0"/>
          <w:sz w:val="32"/>
          <w:szCs w:val="32"/>
        </w:rPr>
        <w:t>编号：</w:t>
      </w:r>
      <w:r>
        <w:rPr>
          <w:rFonts w:hint="eastAsia" w:hAnsi="宋体"/>
          <w:b/>
          <w:bCs/>
          <w:kern w:val="0"/>
          <w:sz w:val="32"/>
          <w:szCs w:val="32"/>
          <w:lang w:eastAsia="zh-CN"/>
        </w:rPr>
        <w:t>YNGCZBZX(招)字-YX-2026-03-02</w:t>
      </w:r>
    </w:p>
    <w:p w14:paraId="3EC4C0BD">
      <w:pPr>
        <w:pStyle w:val="17"/>
        <w:autoSpaceDE w:val="0"/>
        <w:autoSpaceDN w:val="0"/>
        <w:adjustRightInd w:val="0"/>
        <w:spacing w:line="360" w:lineRule="auto"/>
        <w:jc w:val="center"/>
        <w:outlineLvl w:val="9"/>
        <w:rPr>
          <w:rFonts w:hint="eastAsia" w:ascii="宋体" w:hAnsi="宋体" w:eastAsia="宋体" w:cs="Times New Roman"/>
          <w:b/>
          <w:bCs/>
          <w:kern w:val="0"/>
          <w:sz w:val="32"/>
          <w:szCs w:val="32"/>
          <w:highlight w:val="none"/>
          <w:lang w:val="en-US" w:eastAsia="zh-CN"/>
        </w:rPr>
      </w:pPr>
      <w:r>
        <w:rPr>
          <w:rFonts w:hint="eastAsia" w:ascii="宋体" w:hAnsi="宋体" w:eastAsia="宋体" w:cs="Times New Roman"/>
          <w:b/>
          <w:bCs/>
          <w:kern w:val="0"/>
          <w:sz w:val="32"/>
          <w:szCs w:val="32"/>
          <w:highlight w:val="none"/>
          <w:lang w:val="en-US" w:eastAsia="zh-CN"/>
        </w:rPr>
        <w:t>政采云项目编号：YNZC2026-G1-01428-GCJC-0001</w:t>
      </w:r>
    </w:p>
    <w:p w14:paraId="2287EAD4">
      <w:pPr>
        <w:pStyle w:val="17"/>
        <w:outlineLvl w:val="9"/>
        <w:rPr>
          <w:rFonts w:hAnsi="宋体"/>
        </w:rPr>
      </w:pPr>
    </w:p>
    <w:p w14:paraId="7E9C1E9C">
      <w:pPr>
        <w:adjustRightInd w:val="0"/>
        <w:snapToGrid w:val="0"/>
        <w:spacing w:line="500" w:lineRule="exact"/>
        <w:jc w:val="both"/>
        <w:outlineLvl w:val="9"/>
        <w:rPr>
          <w:rFonts w:hint="eastAsia" w:ascii="宋体" w:hAnsi="宋体" w:cs="宋体"/>
          <w:b/>
          <w:bCs/>
          <w:sz w:val="32"/>
          <w:szCs w:val="32"/>
        </w:rPr>
      </w:pPr>
    </w:p>
    <w:p w14:paraId="63B27E46">
      <w:pPr>
        <w:adjustRightInd w:val="0"/>
        <w:snapToGrid w:val="0"/>
        <w:spacing w:line="500" w:lineRule="exact"/>
        <w:jc w:val="both"/>
        <w:outlineLvl w:val="9"/>
        <w:rPr>
          <w:rFonts w:hint="eastAsia" w:ascii="宋体" w:hAnsi="宋体" w:cs="宋体"/>
          <w:b/>
          <w:bCs/>
          <w:sz w:val="32"/>
          <w:szCs w:val="32"/>
        </w:rPr>
      </w:pPr>
    </w:p>
    <w:p w14:paraId="4EC9841F">
      <w:pPr>
        <w:pStyle w:val="31"/>
        <w:rPr>
          <w:rFonts w:hint="eastAsia" w:ascii="宋体" w:hAnsi="宋体" w:cs="宋体"/>
          <w:b/>
          <w:bCs/>
          <w:sz w:val="32"/>
          <w:szCs w:val="32"/>
        </w:rPr>
      </w:pPr>
    </w:p>
    <w:p w14:paraId="657B5079">
      <w:pPr>
        <w:rPr>
          <w:rFonts w:hint="eastAsia"/>
        </w:rPr>
      </w:pPr>
    </w:p>
    <w:p w14:paraId="2FEA9A74">
      <w:pPr>
        <w:adjustRightInd w:val="0"/>
        <w:snapToGrid w:val="0"/>
        <w:spacing w:line="500" w:lineRule="exact"/>
        <w:jc w:val="both"/>
        <w:outlineLvl w:val="9"/>
        <w:rPr>
          <w:rFonts w:hint="eastAsia" w:ascii="宋体" w:hAnsi="宋体" w:cs="宋体"/>
          <w:b/>
          <w:bCs/>
          <w:sz w:val="32"/>
          <w:szCs w:val="32"/>
        </w:rPr>
      </w:pPr>
    </w:p>
    <w:p w14:paraId="08B0B801">
      <w:pPr>
        <w:adjustRightInd w:val="0"/>
        <w:snapToGrid w:val="0"/>
        <w:spacing w:line="500" w:lineRule="exact"/>
        <w:jc w:val="center"/>
        <w:outlineLvl w:val="9"/>
        <w:rPr>
          <w:rFonts w:hint="eastAsia" w:ascii="宋体" w:hAnsi="宋体" w:cs="宋体"/>
          <w:b/>
          <w:bCs/>
          <w:sz w:val="32"/>
          <w:szCs w:val="32"/>
          <w:lang w:eastAsia="zh-CN"/>
        </w:rPr>
      </w:pPr>
      <w:r>
        <w:rPr>
          <w:rFonts w:hint="eastAsia" w:ascii="宋体" w:hAnsi="宋体" w:cs="宋体"/>
          <w:b/>
          <w:bCs/>
          <w:sz w:val="32"/>
          <w:szCs w:val="32"/>
        </w:rPr>
        <w:t>采  购  人：</w:t>
      </w:r>
      <w:r>
        <w:rPr>
          <w:rFonts w:hint="eastAsia" w:ascii="宋体" w:hAnsi="宋体" w:cs="宋体"/>
          <w:b/>
          <w:bCs/>
          <w:sz w:val="32"/>
          <w:szCs w:val="32"/>
          <w:lang w:eastAsia="zh-CN"/>
        </w:rPr>
        <w:t>云南省玉溪监狱</w:t>
      </w:r>
    </w:p>
    <w:p w14:paraId="4106A5E0">
      <w:pPr>
        <w:adjustRightInd w:val="0"/>
        <w:snapToGrid w:val="0"/>
        <w:spacing w:line="500" w:lineRule="exact"/>
        <w:jc w:val="center"/>
        <w:outlineLvl w:val="9"/>
        <w:rPr>
          <w:rFonts w:hint="eastAsia" w:ascii="宋体" w:hAnsi="宋体" w:cs="宋体"/>
          <w:b/>
          <w:bCs/>
          <w:sz w:val="32"/>
          <w:szCs w:val="32"/>
          <w:lang w:eastAsia="zh-CN"/>
        </w:rPr>
      </w:pPr>
      <w:r>
        <w:rPr>
          <w:rFonts w:hint="eastAsia" w:ascii="宋体" w:hAnsi="宋体" w:cs="宋体"/>
          <w:b/>
          <w:bCs/>
          <w:sz w:val="32"/>
          <w:szCs w:val="32"/>
        </w:rPr>
        <w:t>采购代理机构：</w:t>
      </w:r>
      <w:r>
        <w:rPr>
          <w:rFonts w:hint="eastAsia" w:ascii="宋体" w:hAnsi="宋体" w:cs="宋体"/>
          <w:b/>
          <w:bCs/>
          <w:sz w:val="32"/>
          <w:szCs w:val="32"/>
          <w:lang w:eastAsia="zh-CN"/>
        </w:rPr>
        <w:t>云南共创久诚招标咨询有限公司</w:t>
      </w:r>
    </w:p>
    <w:p w14:paraId="3DE866E0">
      <w:pPr>
        <w:adjustRightInd w:val="0"/>
        <w:snapToGrid w:val="0"/>
        <w:spacing w:line="500" w:lineRule="exact"/>
        <w:jc w:val="center"/>
        <w:outlineLvl w:val="9"/>
        <w:rPr>
          <w:rFonts w:hint="eastAsia" w:ascii="宋体" w:hAnsi="宋体" w:cs="宋体"/>
          <w:b/>
          <w:bCs/>
          <w:sz w:val="32"/>
          <w:szCs w:val="32"/>
        </w:rPr>
      </w:pPr>
      <w:r>
        <w:rPr>
          <w:rFonts w:hint="eastAsia" w:ascii="宋体" w:hAnsi="宋体" w:cs="宋体"/>
          <w:b/>
          <w:bCs/>
          <w:sz w:val="32"/>
          <w:szCs w:val="32"/>
        </w:rPr>
        <w:t>202</w:t>
      </w:r>
      <w:r>
        <w:rPr>
          <w:rFonts w:hint="eastAsia" w:ascii="宋体" w:hAnsi="宋体" w:cs="宋体"/>
          <w:b/>
          <w:bCs/>
          <w:sz w:val="32"/>
          <w:szCs w:val="32"/>
          <w:lang w:val="en-US" w:eastAsia="zh-CN"/>
        </w:rPr>
        <w:t>6</w:t>
      </w:r>
      <w:r>
        <w:rPr>
          <w:rFonts w:hint="eastAsia" w:ascii="宋体" w:hAnsi="宋体" w:cs="宋体"/>
          <w:b/>
          <w:bCs/>
          <w:sz w:val="32"/>
          <w:szCs w:val="32"/>
        </w:rPr>
        <w:t>年</w:t>
      </w:r>
      <w:r>
        <w:rPr>
          <w:rFonts w:hint="eastAsia" w:ascii="宋体" w:hAnsi="宋体" w:cs="宋体"/>
          <w:b/>
          <w:bCs/>
          <w:sz w:val="32"/>
          <w:szCs w:val="32"/>
          <w:lang w:val="en-US" w:eastAsia="zh-CN"/>
        </w:rPr>
        <w:t>04</w:t>
      </w:r>
      <w:r>
        <w:rPr>
          <w:rFonts w:hint="eastAsia" w:ascii="宋体" w:hAnsi="宋体" w:cs="宋体"/>
          <w:b/>
          <w:bCs/>
          <w:sz w:val="32"/>
          <w:szCs w:val="32"/>
        </w:rPr>
        <w:t>月</w:t>
      </w:r>
    </w:p>
    <w:p w14:paraId="468B4510">
      <w:pPr>
        <w:pStyle w:val="17"/>
        <w:jc w:val="center"/>
        <w:outlineLvl w:val="9"/>
        <w:rPr>
          <w:rFonts w:hint="eastAsia" w:hAnsi="宋体"/>
          <w:b/>
          <w:sz w:val="32"/>
          <w:szCs w:val="32"/>
        </w:rPr>
        <w:sectPr>
          <w:headerReference r:id="rId4" w:type="first"/>
          <w:footerReference r:id="rId7" w:type="first"/>
          <w:headerReference r:id="rId3" w:type="default"/>
          <w:footerReference r:id="rId5" w:type="default"/>
          <w:footerReference r:id="rId6" w:type="even"/>
          <w:pgSz w:w="11906" w:h="16838"/>
          <w:pgMar w:top="987" w:right="1134" w:bottom="822" w:left="1134" w:header="720" w:footer="720" w:gutter="0"/>
          <w:pgNumType w:fmt="decimal" w:start="0"/>
          <w:cols w:space="720" w:num="1"/>
          <w:titlePg/>
          <w:docGrid w:type="lines" w:linePitch="331" w:charSpace="0"/>
        </w:sectPr>
      </w:pPr>
    </w:p>
    <w:p w14:paraId="6BEA6867">
      <w:pPr>
        <w:pStyle w:val="17"/>
        <w:jc w:val="center"/>
        <w:outlineLvl w:val="9"/>
        <w:sectPr>
          <w:footerReference r:id="rId9" w:type="first"/>
          <w:footerReference r:id="rId8" w:type="default"/>
          <w:pgSz w:w="11906" w:h="16838"/>
          <w:pgMar w:top="987" w:right="1134" w:bottom="822" w:left="1134" w:header="720" w:footer="720" w:gutter="0"/>
          <w:pgNumType w:fmt="decimal" w:start="1"/>
          <w:cols w:space="720" w:num="1"/>
          <w:docGrid w:type="lines" w:linePitch="331" w:charSpace="0"/>
        </w:sectPr>
      </w:pPr>
      <w:r>
        <w:rPr>
          <w:rFonts w:hint="eastAsia" w:hAnsi="宋体"/>
          <w:b/>
          <w:sz w:val="32"/>
          <w:szCs w:val="32"/>
        </w:rPr>
        <w:t>目     录</w:t>
      </w:r>
    </w:p>
    <w:p w14:paraId="0F05F38F">
      <w:pPr>
        <w:pStyle w:val="22"/>
        <w:tabs>
          <w:tab w:val="right" w:leader="dot" w:pos="10026"/>
          <w:tab w:val="clear" w:pos="9628"/>
        </w:tabs>
        <w:spacing w:line="360" w:lineRule="auto"/>
        <w:ind w:left="0" w:leftChars="0" w:firstLine="0" w:firstLineChars="0"/>
        <w:rPr>
          <w:sz w:val="24"/>
          <w:szCs w:val="24"/>
        </w:rPr>
      </w:pPr>
      <w:bookmarkStart w:id="0" w:name="_Toc393784369"/>
      <w:bookmarkStart w:id="1" w:name="_Toc70446094"/>
      <w:bookmarkStart w:id="2" w:name="_Toc29617"/>
      <w:r>
        <w:rPr>
          <w:rFonts w:hint="eastAsia" w:ascii="宋体" w:hAnsi="宋体" w:eastAsia="宋体"/>
          <w:b/>
          <w:bCs/>
          <w:sz w:val="24"/>
          <w:szCs w:val="24"/>
        </w:rPr>
        <w:fldChar w:fldCharType="begin"/>
      </w:r>
      <w:r>
        <w:rPr>
          <w:rFonts w:hint="eastAsia" w:ascii="宋体" w:hAnsi="宋体" w:eastAsia="宋体"/>
          <w:b/>
          <w:bCs/>
          <w:sz w:val="24"/>
          <w:szCs w:val="24"/>
        </w:rPr>
        <w:instrText xml:space="preserve">TOC \o "1-1" \h \u </w:instrText>
      </w:r>
      <w:r>
        <w:rPr>
          <w:rFonts w:hint="eastAsia" w:ascii="宋体" w:hAnsi="宋体" w:eastAsia="宋体"/>
          <w:b/>
          <w:bCs/>
          <w:sz w:val="24"/>
          <w:szCs w:val="24"/>
        </w:rPr>
        <w:fldChar w:fldCharType="separate"/>
      </w:r>
      <w:r>
        <w:rPr>
          <w:rFonts w:hint="eastAsia" w:ascii="宋体" w:hAnsi="宋体" w:eastAsia="宋体"/>
          <w:bCs/>
          <w:sz w:val="24"/>
          <w:szCs w:val="24"/>
        </w:rPr>
        <w:fldChar w:fldCharType="begin"/>
      </w:r>
      <w:r>
        <w:rPr>
          <w:rFonts w:hint="eastAsia" w:ascii="宋体" w:hAnsi="宋体" w:eastAsia="宋体"/>
          <w:bCs/>
          <w:sz w:val="24"/>
          <w:szCs w:val="24"/>
        </w:rPr>
        <w:instrText xml:space="preserve"> HYPERLINK \l _Toc28354 </w:instrText>
      </w:r>
      <w:r>
        <w:rPr>
          <w:rFonts w:hint="eastAsia" w:ascii="宋体" w:hAnsi="宋体" w:eastAsia="宋体"/>
          <w:bCs/>
          <w:sz w:val="24"/>
          <w:szCs w:val="24"/>
        </w:rPr>
        <w:fldChar w:fldCharType="separate"/>
      </w:r>
      <w:r>
        <w:rPr>
          <w:rFonts w:hint="eastAsia" w:ascii="宋体" w:hAnsi="宋体" w:eastAsia="宋体"/>
          <w:bCs/>
          <w:sz w:val="24"/>
          <w:szCs w:val="24"/>
        </w:rPr>
        <w:t>第一章 公开招标公告</w:t>
      </w:r>
      <w:r>
        <w:rPr>
          <w:sz w:val="24"/>
          <w:szCs w:val="24"/>
        </w:rPr>
        <w:tab/>
      </w:r>
      <w:r>
        <w:rPr>
          <w:sz w:val="24"/>
          <w:szCs w:val="24"/>
        </w:rPr>
        <w:fldChar w:fldCharType="begin"/>
      </w:r>
      <w:r>
        <w:rPr>
          <w:sz w:val="24"/>
          <w:szCs w:val="24"/>
        </w:rPr>
        <w:instrText xml:space="preserve"> PAGEREF _Toc28354 \h </w:instrText>
      </w:r>
      <w:r>
        <w:rPr>
          <w:sz w:val="24"/>
          <w:szCs w:val="24"/>
        </w:rPr>
        <w:fldChar w:fldCharType="separate"/>
      </w:r>
      <w:r>
        <w:rPr>
          <w:sz w:val="24"/>
          <w:szCs w:val="24"/>
        </w:rPr>
        <w:t>2</w:t>
      </w:r>
      <w:r>
        <w:rPr>
          <w:sz w:val="24"/>
          <w:szCs w:val="24"/>
        </w:rPr>
        <w:fldChar w:fldCharType="end"/>
      </w:r>
      <w:r>
        <w:rPr>
          <w:rFonts w:hint="eastAsia" w:ascii="宋体" w:hAnsi="宋体" w:eastAsia="宋体"/>
          <w:bCs/>
          <w:sz w:val="24"/>
          <w:szCs w:val="24"/>
        </w:rPr>
        <w:fldChar w:fldCharType="end"/>
      </w:r>
    </w:p>
    <w:p w14:paraId="4B4A88AE">
      <w:pPr>
        <w:pStyle w:val="22"/>
        <w:tabs>
          <w:tab w:val="right" w:leader="dot" w:pos="10026"/>
          <w:tab w:val="clear" w:pos="9628"/>
        </w:tabs>
        <w:spacing w:line="360" w:lineRule="auto"/>
        <w:ind w:left="0" w:leftChars="0" w:firstLine="0" w:firstLineChars="0"/>
        <w:rPr>
          <w:sz w:val="24"/>
          <w:szCs w:val="24"/>
        </w:rPr>
      </w:pPr>
      <w:r>
        <w:rPr>
          <w:rFonts w:hint="eastAsia" w:ascii="宋体" w:hAnsi="宋体" w:eastAsia="宋体"/>
          <w:bCs/>
          <w:sz w:val="24"/>
          <w:szCs w:val="24"/>
        </w:rPr>
        <w:fldChar w:fldCharType="begin"/>
      </w:r>
      <w:r>
        <w:rPr>
          <w:rFonts w:hint="eastAsia" w:ascii="宋体" w:hAnsi="宋体" w:eastAsia="宋体"/>
          <w:bCs/>
          <w:sz w:val="24"/>
          <w:szCs w:val="24"/>
        </w:rPr>
        <w:instrText xml:space="preserve"> HYPERLINK \l _Toc21524 </w:instrText>
      </w:r>
      <w:r>
        <w:rPr>
          <w:rFonts w:hint="eastAsia" w:ascii="宋体" w:hAnsi="宋体" w:eastAsia="宋体"/>
          <w:bCs/>
          <w:sz w:val="24"/>
          <w:szCs w:val="24"/>
        </w:rPr>
        <w:fldChar w:fldCharType="separate"/>
      </w:r>
      <w:r>
        <w:rPr>
          <w:rFonts w:hint="eastAsia" w:ascii="宋体" w:hAnsi="宋体"/>
          <w:bCs w:val="0"/>
          <w:kern w:val="44"/>
          <w:sz w:val="24"/>
          <w:szCs w:val="24"/>
        </w:rPr>
        <w:t>第二章 投标人须知</w:t>
      </w:r>
      <w:r>
        <w:rPr>
          <w:sz w:val="24"/>
          <w:szCs w:val="24"/>
        </w:rPr>
        <w:tab/>
      </w:r>
      <w:r>
        <w:rPr>
          <w:sz w:val="24"/>
          <w:szCs w:val="24"/>
        </w:rPr>
        <w:fldChar w:fldCharType="begin"/>
      </w:r>
      <w:r>
        <w:rPr>
          <w:sz w:val="24"/>
          <w:szCs w:val="24"/>
        </w:rPr>
        <w:instrText xml:space="preserve"> PAGEREF _Toc21524 \h </w:instrText>
      </w:r>
      <w:r>
        <w:rPr>
          <w:sz w:val="24"/>
          <w:szCs w:val="24"/>
        </w:rPr>
        <w:fldChar w:fldCharType="separate"/>
      </w:r>
      <w:r>
        <w:rPr>
          <w:sz w:val="24"/>
          <w:szCs w:val="24"/>
        </w:rPr>
        <w:t>7</w:t>
      </w:r>
      <w:r>
        <w:rPr>
          <w:sz w:val="24"/>
          <w:szCs w:val="24"/>
        </w:rPr>
        <w:fldChar w:fldCharType="end"/>
      </w:r>
      <w:r>
        <w:rPr>
          <w:rFonts w:hint="eastAsia" w:ascii="宋体" w:hAnsi="宋体" w:eastAsia="宋体"/>
          <w:bCs/>
          <w:sz w:val="24"/>
          <w:szCs w:val="24"/>
        </w:rPr>
        <w:fldChar w:fldCharType="end"/>
      </w:r>
    </w:p>
    <w:p w14:paraId="55C8D435">
      <w:pPr>
        <w:pStyle w:val="22"/>
        <w:tabs>
          <w:tab w:val="right" w:leader="dot" w:pos="10026"/>
          <w:tab w:val="clear" w:pos="9628"/>
        </w:tabs>
        <w:spacing w:line="360" w:lineRule="auto"/>
        <w:ind w:left="0" w:leftChars="0" w:firstLine="0" w:firstLineChars="0"/>
        <w:rPr>
          <w:sz w:val="24"/>
          <w:szCs w:val="24"/>
        </w:rPr>
      </w:pPr>
      <w:r>
        <w:rPr>
          <w:rFonts w:hint="eastAsia" w:ascii="宋体" w:hAnsi="宋体" w:eastAsia="宋体"/>
          <w:bCs/>
          <w:sz w:val="24"/>
          <w:szCs w:val="24"/>
        </w:rPr>
        <w:fldChar w:fldCharType="begin"/>
      </w:r>
      <w:r>
        <w:rPr>
          <w:rFonts w:hint="eastAsia" w:ascii="宋体" w:hAnsi="宋体" w:eastAsia="宋体"/>
          <w:bCs/>
          <w:sz w:val="24"/>
          <w:szCs w:val="24"/>
        </w:rPr>
        <w:instrText xml:space="preserve"> HYPERLINK \l _Toc27296 </w:instrText>
      </w:r>
      <w:r>
        <w:rPr>
          <w:rFonts w:hint="eastAsia" w:ascii="宋体" w:hAnsi="宋体" w:eastAsia="宋体"/>
          <w:bCs/>
          <w:sz w:val="24"/>
          <w:szCs w:val="24"/>
        </w:rPr>
        <w:fldChar w:fldCharType="separate"/>
      </w:r>
      <w:r>
        <w:rPr>
          <w:rFonts w:hint="eastAsia" w:ascii="宋体" w:hAnsi="宋体"/>
          <w:bCs/>
          <w:kern w:val="44"/>
          <w:sz w:val="24"/>
          <w:szCs w:val="24"/>
        </w:rPr>
        <w:t>第三章 合同书样式及主要条款</w:t>
      </w:r>
      <w:r>
        <w:rPr>
          <w:sz w:val="24"/>
          <w:szCs w:val="24"/>
        </w:rPr>
        <w:tab/>
      </w:r>
      <w:r>
        <w:rPr>
          <w:sz w:val="24"/>
          <w:szCs w:val="24"/>
        </w:rPr>
        <w:fldChar w:fldCharType="begin"/>
      </w:r>
      <w:r>
        <w:rPr>
          <w:sz w:val="24"/>
          <w:szCs w:val="24"/>
        </w:rPr>
        <w:instrText xml:space="preserve"> PAGEREF _Toc27296 \h </w:instrText>
      </w:r>
      <w:r>
        <w:rPr>
          <w:sz w:val="24"/>
          <w:szCs w:val="24"/>
        </w:rPr>
        <w:fldChar w:fldCharType="separate"/>
      </w:r>
      <w:r>
        <w:rPr>
          <w:sz w:val="24"/>
          <w:szCs w:val="24"/>
        </w:rPr>
        <w:t>26</w:t>
      </w:r>
      <w:r>
        <w:rPr>
          <w:sz w:val="24"/>
          <w:szCs w:val="24"/>
        </w:rPr>
        <w:fldChar w:fldCharType="end"/>
      </w:r>
      <w:r>
        <w:rPr>
          <w:rFonts w:hint="eastAsia" w:ascii="宋体" w:hAnsi="宋体" w:eastAsia="宋体"/>
          <w:bCs/>
          <w:sz w:val="24"/>
          <w:szCs w:val="24"/>
        </w:rPr>
        <w:fldChar w:fldCharType="end"/>
      </w:r>
    </w:p>
    <w:p w14:paraId="0D61DB25">
      <w:pPr>
        <w:pStyle w:val="22"/>
        <w:tabs>
          <w:tab w:val="right" w:leader="dot" w:pos="10026"/>
          <w:tab w:val="clear" w:pos="9628"/>
        </w:tabs>
        <w:spacing w:line="360" w:lineRule="auto"/>
        <w:ind w:left="0" w:leftChars="0" w:firstLine="0" w:firstLineChars="0"/>
        <w:rPr>
          <w:sz w:val="24"/>
          <w:szCs w:val="24"/>
        </w:rPr>
      </w:pPr>
      <w:r>
        <w:rPr>
          <w:rFonts w:hint="eastAsia" w:ascii="宋体" w:hAnsi="宋体" w:eastAsia="宋体"/>
          <w:bCs/>
          <w:sz w:val="24"/>
          <w:szCs w:val="24"/>
        </w:rPr>
        <w:fldChar w:fldCharType="begin"/>
      </w:r>
      <w:r>
        <w:rPr>
          <w:rFonts w:hint="eastAsia" w:ascii="宋体" w:hAnsi="宋体" w:eastAsia="宋体"/>
          <w:bCs/>
          <w:sz w:val="24"/>
          <w:szCs w:val="24"/>
        </w:rPr>
        <w:instrText xml:space="preserve"> HYPERLINK \l _Toc6694 </w:instrText>
      </w:r>
      <w:r>
        <w:rPr>
          <w:rFonts w:hint="eastAsia" w:ascii="宋体" w:hAnsi="宋体" w:eastAsia="宋体"/>
          <w:bCs/>
          <w:sz w:val="24"/>
          <w:szCs w:val="24"/>
        </w:rPr>
        <w:fldChar w:fldCharType="separate"/>
      </w:r>
      <w:r>
        <w:rPr>
          <w:rFonts w:hint="eastAsia" w:ascii="宋体" w:hAnsi="宋体"/>
          <w:bCs w:val="0"/>
          <w:kern w:val="44"/>
          <w:sz w:val="24"/>
          <w:szCs w:val="24"/>
        </w:rPr>
        <w:t>第四章 投标文件格式</w:t>
      </w:r>
      <w:r>
        <w:rPr>
          <w:sz w:val="24"/>
          <w:szCs w:val="24"/>
        </w:rPr>
        <w:tab/>
      </w:r>
      <w:r>
        <w:rPr>
          <w:sz w:val="24"/>
          <w:szCs w:val="24"/>
        </w:rPr>
        <w:fldChar w:fldCharType="begin"/>
      </w:r>
      <w:r>
        <w:rPr>
          <w:sz w:val="24"/>
          <w:szCs w:val="24"/>
        </w:rPr>
        <w:instrText xml:space="preserve"> PAGEREF _Toc6694 \h </w:instrText>
      </w:r>
      <w:r>
        <w:rPr>
          <w:sz w:val="24"/>
          <w:szCs w:val="24"/>
        </w:rPr>
        <w:fldChar w:fldCharType="separate"/>
      </w:r>
      <w:r>
        <w:rPr>
          <w:sz w:val="24"/>
          <w:szCs w:val="24"/>
        </w:rPr>
        <w:t>45</w:t>
      </w:r>
      <w:r>
        <w:rPr>
          <w:sz w:val="24"/>
          <w:szCs w:val="24"/>
        </w:rPr>
        <w:fldChar w:fldCharType="end"/>
      </w:r>
      <w:r>
        <w:rPr>
          <w:rFonts w:hint="eastAsia" w:ascii="宋体" w:hAnsi="宋体" w:eastAsia="宋体"/>
          <w:bCs/>
          <w:sz w:val="24"/>
          <w:szCs w:val="24"/>
        </w:rPr>
        <w:fldChar w:fldCharType="end"/>
      </w:r>
    </w:p>
    <w:p w14:paraId="47487CBD">
      <w:pPr>
        <w:pStyle w:val="22"/>
        <w:tabs>
          <w:tab w:val="right" w:leader="dot" w:pos="10026"/>
          <w:tab w:val="clear" w:pos="9628"/>
        </w:tabs>
        <w:spacing w:line="360" w:lineRule="auto"/>
        <w:ind w:left="0" w:leftChars="0" w:firstLine="0" w:firstLineChars="0"/>
        <w:rPr>
          <w:sz w:val="24"/>
          <w:szCs w:val="24"/>
        </w:rPr>
      </w:pPr>
      <w:r>
        <w:rPr>
          <w:rFonts w:hint="eastAsia" w:ascii="宋体" w:hAnsi="宋体" w:eastAsia="宋体"/>
          <w:bCs/>
          <w:sz w:val="24"/>
          <w:szCs w:val="24"/>
        </w:rPr>
        <w:fldChar w:fldCharType="begin"/>
      </w:r>
      <w:r>
        <w:rPr>
          <w:rFonts w:hint="eastAsia" w:ascii="宋体" w:hAnsi="宋体" w:eastAsia="宋体"/>
          <w:bCs/>
          <w:sz w:val="24"/>
          <w:szCs w:val="24"/>
        </w:rPr>
        <w:instrText xml:space="preserve"> HYPERLINK \l _Toc7684 </w:instrText>
      </w:r>
      <w:r>
        <w:rPr>
          <w:rFonts w:hint="eastAsia" w:ascii="宋体" w:hAnsi="宋体" w:eastAsia="宋体"/>
          <w:bCs/>
          <w:sz w:val="24"/>
          <w:szCs w:val="24"/>
        </w:rPr>
        <w:fldChar w:fldCharType="separate"/>
      </w:r>
      <w:r>
        <w:rPr>
          <w:rFonts w:hint="eastAsia" w:ascii="宋体" w:hAnsi="宋体"/>
          <w:bCs w:val="0"/>
          <w:kern w:val="44"/>
          <w:sz w:val="24"/>
          <w:szCs w:val="24"/>
        </w:rPr>
        <w:t xml:space="preserve">第五章 </w:t>
      </w:r>
      <w:r>
        <w:rPr>
          <w:rFonts w:hint="eastAsia" w:ascii="宋体" w:hAnsi="宋体"/>
          <w:sz w:val="24"/>
          <w:szCs w:val="24"/>
        </w:rPr>
        <w:t>项目需求及</w:t>
      </w:r>
      <w:r>
        <w:rPr>
          <w:rFonts w:ascii="宋体" w:hAnsi="宋体"/>
          <w:sz w:val="24"/>
          <w:szCs w:val="24"/>
        </w:rPr>
        <w:t>服务要求</w:t>
      </w:r>
      <w:r>
        <w:rPr>
          <w:sz w:val="24"/>
          <w:szCs w:val="24"/>
        </w:rPr>
        <w:tab/>
      </w:r>
      <w:r>
        <w:rPr>
          <w:sz w:val="24"/>
          <w:szCs w:val="24"/>
        </w:rPr>
        <w:fldChar w:fldCharType="begin"/>
      </w:r>
      <w:r>
        <w:rPr>
          <w:sz w:val="24"/>
          <w:szCs w:val="24"/>
        </w:rPr>
        <w:instrText xml:space="preserve"> PAGEREF _Toc7684 \h </w:instrText>
      </w:r>
      <w:r>
        <w:rPr>
          <w:sz w:val="24"/>
          <w:szCs w:val="24"/>
        </w:rPr>
        <w:fldChar w:fldCharType="separate"/>
      </w:r>
      <w:r>
        <w:rPr>
          <w:sz w:val="24"/>
          <w:szCs w:val="24"/>
        </w:rPr>
        <w:t>87</w:t>
      </w:r>
      <w:r>
        <w:rPr>
          <w:sz w:val="24"/>
          <w:szCs w:val="24"/>
        </w:rPr>
        <w:fldChar w:fldCharType="end"/>
      </w:r>
      <w:r>
        <w:rPr>
          <w:rFonts w:hint="eastAsia" w:ascii="宋体" w:hAnsi="宋体" w:eastAsia="宋体"/>
          <w:bCs/>
          <w:sz w:val="24"/>
          <w:szCs w:val="24"/>
        </w:rPr>
        <w:fldChar w:fldCharType="end"/>
      </w:r>
    </w:p>
    <w:p w14:paraId="7B8A9BF6">
      <w:pPr>
        <w:pStyle w:val="22"/>
        <w:tabs>
          <w:tab w:val="right" w:leader="dot" w:pos="10026"/>
          <w:tab w:val="clear" w:pos="9628"/>
        </w:tabs>
        <w:spacing w:line="360" w:lineRule="auto"/>
        <w:ind w:left="0" w:leftChars="0" w:firstLine="0" w:firstLineChars="0"/>
        <w:rPr>
          <w:sz w:val="24"/>
          <w:szCs w:val="24"/>
        </w:rPr>
      </w:pPr>
      <w:r>
        <w:rPr>
          <w:rFonts w:hint="eastAsia" w:ascii="宋体" w:hAnsi="宋体" w:eastAsia="宋体"/>
          <w:bCs/>
          <w:sz w:val="24"/>
          <w:szCs w:val="24"/>
        </w:rPr>
        <w:fldChar w:fldCharType="begin"/>
      </w:r>
      <w:r>
        <w:rPr>
          <w:rFonts w:hint="eastAsia" w:ascii="宋体" w:hAnsi="宋体" w:eastAsia="宋体"/>
          <w:bCs/>
          <w:sz w:val="24"/>
          <w:szCs w:val="24"/>
        </w:rPr>
        <w:instrText xml:space="preserve"> HYPERLINK \l _Toc22342 </w:instrText>
      </w:r>
      <w:r>
        <w:rPr>
          <w:rFonts w:hint="eastAsia" w:ascii="宋体" w:hAnsi="宋体" w:eastAsia="宋体"/>
          <w:bCs/>
          <w:sz w:val="24"/>
          <w:szCs w:val="24"/>
        </w:rPr>
        <w:fldChar w:fldCharType="separate"/>
      </w:r>
      <w:r>
        <w:rPr>
          <w:rFonts w:hint="eastAsia" w:ascii="宋体" w:hAnsi="宋体" w:eastAsia="宋体"/>
          <w:bCs w:val="0"/>
          <w:sz w:val="24"/>
          <w:szCs w:val="24"/>
        </w:rPr>
        <w:t>第六章 资格评审标准</w:t>
      </w:r>
      <w:r>
        <w:rPr>
          <w:sz w:val="24"/>
          <w:szCs w:val="24"/>
        </w:rPr>
        <w:tab/>
      </w:r>
      <w:r>
        <w:rPr>
          <w:sz w:val="24"/>
          <w:szCs w:val="24"/>
        </w:rPr>
        <w:fldChar w:fldCharType="begin"/>
      </w:r>
      <w:r>
        <w:rPr>
          <w:sz w:val="24"/>
          <w:szCs w:val="24"/>
        </w:rPr>
        <w:instrText xml:space="preserve"> PAGEREF _Toc22342 \h </w:instrText>
      </w:r>
      <w:r>
        <w:rPr>
          <w:sz w:val="24"/>
          <w:szCs w:val="24"/>
        </w:rPr>
        <w:fldChar w:fldCharType="separate"/>
      </w:r>
      <w:r>
        <w:rPr>
          <w:sz w:val="24"/>
          <w:szCs w:val="24"/>
        </w:rPr>
        <w:t>96</w:t>
      </w:r>
      <w:r>
        <w:rPr>
          <w:sz w:val="24"/>
          <w:szCs w:val="24"/>
        </w:rPr>
        <w:fldChar w:fldCharType="end"/>
      </w:r>
      <w:r>
        <w:rPr>
          <w:rFonts w:hint="eastAsia" w:ascii="宋体" w:hAnsi="宋体" w:eastAsia="宋体"/>
          <w:bCs/>
          <w:sz w:val="24"/>
          <w:szCs w:val="24"/>
        </w:rPr>
        <w:fldChar w:fldCharType="end"/>
      </w:r>
    </w:p>
    <w:p w14:paraId="7D7033DC">
      <w:pPr>
        <w:pStyle w:val="22"/>
        <w:tabs>
          <w:tab w:val="right" w:leader="dot" w:pos="10026"/>
          <w:tab w:val="clear" w:pos="9628"/>
        </w:tabs>
        <w:spacing w:line="360" w:lineRule="auto"/>
        <w:ind w:left="0" w:leftChars="0" w:firstLine="0" w:firstLineChars="0"/>
        <w:rPr>
          <w:sz w:val="24"/>
          <w:szCs w:val="24"/>
        </w:rPr>
      </w:pPr>
      <w:r>
        <w:rPr>
          <w:rFonts w:hint="eastAsia" w:ascii="宋体" w:hAnsi="宋体" w:eastAsia="宋体"/>
          <w:bCs/>
          <w:sz w:val="24"/>
          <w:szCs w:val="24"/>
        </w:rPr>
        <w:fldChar w:fldCharType="begin"/>
      </w:r>
      <w:r>
        <w:rPr>
          <w:rFonts w:hint="eastAsia" w:ascii="宋体" w:hAnsi="宋体" w:eastAsia="宋体"/>
          <w:bCs/>
          <w:sz w:val="24"/>
          <w:szCs w:val="24"/>
        </w:rPr>
        <w:instrText xml:space="preserve"> HYPERLINK \l _Toc10331 </w:instrText>
      </w:r>
      <w:r>
        <w:rPr>
          <w:rFonts w:hint="eastAsia" w:ascii="宋体" w:hAnsi="宋体" w:eastAsia="宋体"/>
          <w:bCs/>
          <w:sz w:val="24"/>
          <w:szCs w:val="24"/>
        </w:rPr>
        <w:fldChar w:fldCharType="separate"/>
      </w:r>
      <w:r>
        <w:rPr>
          <w:rFonts w:hint="eastAsia" w:ascii="宋体" w:hAnsi="宋体"/>
          <w:sz w:val="24"/>
          <w:szCs w:val="24"/>
        </w:rPr>
        <w:t>第七章 评标方法（综合评分法）</w:t>
      </w:r>
      <w:r>
        <w:rPr>
          <w:sz w:val="24"/>
          <w:szCs w:val="24"/>
        </w:rPr>
        <w:tab/>
      </w:r>
      <w:r>
        <w:rPr>
          <w:sz w:val="24"/>
          <w:szCs w:val="24"/>
        </w:rPr>
        <w:fldChar w:fldCharType="begin"/>
      </w:r>
      <w:r>
        <w:rPr>
          <w:sz w:val="24"/>
          <w:szCs w:val="24"/>
        </w:rPr>
        <w:instrText xml:space="preserve"> PAGEREF _Toc10331 \h </w:instrText>
      </w:r>
      <w:r>
        <w:rPr>
          <w:sz w:val="24"/>
          <w:szCs w:val="24"/>
        </w:rPr>
        <w:fldChar w:fldCharType="separate"/>
      </w:r>
      <w:r>
        <w:rPr>
          <w:sz w:val="24"/>
          <w:szCs w:val="24"/>
        </w:rPr>
        <w:t>99</w:t>
      </w:r>
      <w:r>
        <w:rPr>
          <w:sz w:val="24"/>
          <w:szCs w:val="24"/>
        </w:rPr>
        <w:fldChar w:fldCharType="end"/>
      </w:r>
      <w:r>
        <w:rPr>
          <w:rFonts w:hint="eastAsia" w:ascii="宋体" w:hAnsi="宋体" w:eastAsia="宋体"/>
          <w:bCs/>
          <w:sz w:val="24"/>
          <w:szCs w:val="24"/>
        </w:rPr>
        <w:fldChar w:fldCharType="end"/>
      </w:r>
    </w:p>
    <w:p w14:paraId="4845EB2F">
      <w:pPr>
        <w:keepNext w:val="0"/>
        <w:keepLines w:val="0"/>
        <w:pageBreakBefore w:val="0"/>
        <w:widowControl w:val="0"/>
        <w:tabs>
          <w:tab w:val="left" w:pos="360"/>
        </w:tabs>
        <w:kinsoku/>
        <w:wordWrap/>
        <w:overflowPunct/>
        <w:topLinePunct w:val="0"/>
        <w:autoSpaceDE/>
        <w:autoSpaceDN/>
        <w:bidi w:val="0"/>
        <w:adjustRightInd/>
        <w:snapToGrid/>
        <w:spacing w:line="500" w:lineRule="exact"/>
        <w:ind w:left="0" w:firstLine="0"/>
        <w:jc w:val="both"/>
        <w:textAlignment w:val="auto"/>
        <w:outlineLvl w:val="9"/>
        <w:rPr>
          <w:rFonts w:hint="eastAsia" w:ascii="宋体" w:hAnsi="宋体" w:eastAsia="宋体"/>
          <w:b/>
          <w:bCs/>
          <w:sz w:val="36"/>
        </w:rPr>
        <w:sectPr>
          <w:footerReference r:id="rId11" w:type="first"/>
          <w:footerReference r:id="rId10" w:type="default"/>
          <w:type w:val="continuous"/>
          <w:pgSz w:w="11906" w:h="16838"/>
          <w:pgMar w:top="794" w:right="746" w:bottom="680" w:left="1134" w:header="720" w:footer="720" w:gutter="0"/>
          <w:pgNumType w:fmt="decimal"/>
          <w:cols w:space="720" w:num="1"/>
          <w:docGrid w:type="lines" w:linePitch="331" w:charSpace="0"/>
        </w:sectPr>
      </w:pPr>
      <w:r>
        <w:rPr>
          <w:rFonts w:hint="eastAsia" w:ascii="宋体" w:hAnsi="宋体" w:eastAsia="宋体"/>
          <w:bCs/>
          <w:sz w:val="24"/>
          <w:szCs w:val="24"/>
        </w:rPr>
        <w:fldChar w:fldCharType="end"/>
      </w:r>
    </w:p>
    <w:p w14:paraId="2915E225">
      <w:pPr>
        <w:tabs>
          <w:tab w:val="left" w:pos="360"/>
        </w:tabs>
        <w:ind w:left="0" w:firstLine="0"/>
        <w:jc w:val="center"/>
        <w:outlineLvl w:val="0"/>
        <w:rPr>
          <w:rFonts w:ascii="宋体" w:hAnsi="宋体" w:eastAsia="宋体"/>
          <w:sz w:val="36"/>
        </w:rPr>
      </w:pPr>
      <w:bookmarkStart w:id="3" w:name="_Toc28354"/>
      <w:bookmarkStart w:id="4" w:name="_Toc31456"/>
      <w:r>
        <w:rPr>
          <w:rFonts w:hint="eastAsia" w:ascii="宋体" w:hAnsi="宋体" w:eastAsia="宋体"/>
          <w:b/>
          <w:bCs/>
          <w:sz w:val="36"/>
        </w:rPr>
        <w:t xml:space="preserve">第一章 </w:t>
      </w:r>
      <w:bookmarkEnd w:id="0"/>
      <w:r>
        <w:rPr>
          <w:rFonts w:hint="eastAsia" w:ascii="宋体" w:hAnsi="宋体" w:eastAsia="宋体"/>
          <w:b/>
          <w:bCs/>
          <w:sz w:val="36"/>
        </w:rPr>
        <w:t>公开招标公告</w:t>
      </w:r>
      <w:bookmarkEnd w:id="1"/>
      <w:bookmarkEnd w:id="2"/>
      <w:bookmarkEnd w:id="3"/>
      <w:bookmarkEnd w:id="4"/>
    </w:p>
    <w:p w14:paraId="14680195">
      <w:pPr>
        <w:pBdr>
          <w:top w:val="single" w:color="auto" w:sz="4" w:space="1"/>
          <w:left w:val="single" w:color="auto" w:sz="4" w:space="4"/>
          <w:bottom w:val="single" w:color="auto" w:sz="4" w:space="1"/>
          <w:right w:val="single" w:color="auto" w:sz="4" w:space="4"/>
        </w:pBdr>
        <w:spacing w:line="360" w:lineRule="auto"/>
        <w:outlineLvl w:val="9"/>
        <w:rPr>
          <w:rFonts w:ascii="宋体" w:hAnsi="宋体"/>
          <w:sz w:val="24"/>
        </w:rPr>
      </w:pPr>
      <w:r>
        <w:rPr>
          <w:rFonts w:hint="eastAsia" w:ascii="宋体" w:hAnsi="宋体"/>
          <w:sz w:val="24"/>
        </w:rPr>
        <w:t>项目概况</w:t>
      </w:r>
    </w:p>
    <w:p w14:paraId="5095779B">
      <w:pPr>
        <w:pBdr>
          <w:top w:val="single" w:color="auto" w:sz="4" w:space="1"/>
          <w:left w:val="single" w:color="auto" w:sz="4" w:space="4"/>
          <w:bottom w:val="single" w:color="auto" w:sz="4" w:space="1"/>
          <w:right w:val="single" w:color="auto" w:sz="4" w:space="4"/>
        </w:pBdr>
        <w:spacing w:line="360" w:lineRule="auto"/>
        <w:ind w:firstLine="480" w:firstLineChars="200"/>
        <w:outlineLvl w:val="9"/>
        <w:rPr>
          <w:rFonts w:ascii="宋体" w:hAnsi="宋体"/>
          <w:sz w:val="24"/>
          <w:highlight w:val="none"/>
        </w:rPr>
      </w:pPr>
      <w:r>
        <w:rPr>
          <w:rFonts w:hint="eastAsia" w:ascii="宋体" w:hAnsi="宋体" w:cs="宋体"/>
          <w:kern w:val="0"/>
          <w:sz w:val="24"/>
          <w:u w:val="single"/>
          <w:lang w:eastAsia="zh-CN"/>
        </w:rPr>
        <w:t>云南省玉溪监狱2026年至2027年罪犯配餐中心生活物资 一 标段(猪肉类；鸡肉类、冻品（鱼虾）类)采购项目</w:t>
      </w:r>
      <w:r>
        <w:rPr>
          <w:rFonts w:hint="eastAsia" w:ascii="宋体" w:hAnsi="宋体" w:cs="宋体"/>
          <w:kern w:val="0"/>
          <w:sz w:val="24"/>
        </w:rPr>
        <w:t>的潜在投标人应在</w:t>
      </w:r>
      <w:r>
        <w:rPr>
          <w:rFonts w:hint="eastAsia" w:ascii="宋体" w:hAnsi="宋体" w:cs="宋体"/>
          <w:kern w:val="0"/>
          <w:sz w:val="24"/>
          <w:u w:val="single"/>
          <w:lang w:eastAsia="zh-CN"/>
        </w:rPr>
        <w:t>云南省政府采购电子交易平台</w:t>
      </w:r>
      <w:r>
        <w:rPr>
          <w:rFonts w:hint="eastAsia" w:ascii="宋体" w:hAnsi="宋体" w:cs="宋体"/>
          <w:kern w:val="0"/>
          <w:sz w:val="24"/>
          <w:u w:val="single"/>
        </w:rPr>
        <w:t>（政采云平台</w:t>
      </w:r>
      <w:r>
        <w:rPr>
          <w:rFonts w:ascii="宋体" w:hAnsi="宋体" w:cs="宋体"/>
          <w:kern w:val="0"/>
          <w:sz w:val="24"/>
          <w:highlight w:val="none"/>
          <w:u w:val="single"/>
        </w:rPr>
        <w:fldChar w:fldCharType="begin"/>
      </w:r>
      <w:r>
        <w:rPr>
          <w:rFonts w:ascii="宋体" w:hAnsi="宋体" w:cs="宋体"/>
          <w:kern w:val="0"/>
          <w:sz w:val="24"/>
          <w:highlight w:val="none"/>
          <w:u w:val="single"/>
        </w:rPr>
        <w:instrText xml:space="preserve"> HYPERLINK "</w:instrText>
      </w:r>
      <w:r>
        <w:rPr>
          <w:rFonts w:hint="eastAsia" w:ascii="宋体" w:hAnsi="宋体" w:cs="宋体"/>
          <w:kern w:val="0"/>
          <w:sz w:val="24"/>
          <w:highlight w:val="none"/>
          <w:u w:val="single"/>
        </w:rPr>
        <w:instrText xml:space="preserve">https://www.zcygov.cn/）获取招标文件，并于2025年</w:instrText>
      </w:r>
      <w:r>
        <w:rPr>
          <w:rFonts w:ascii="宋体" w:hAnsi="宋体" w:cs="宋体"/>
          <w:kern w:val="0"/>
          <w:sz w:val="24"/>
          <w:highlight w:val="none"/>
          <w:u w:val="single"/>
        </w:rPr>
        <w:instrText xml:space="preserve">" </w:instrText>
      </w:r>
      <w:r>
        <w:rPr>
          <w:rFonts w:ascii="宋体" w:hAnsi="宋体" w:cs="宋体"/>
          <w:kern w:val="0"/>
          <w:sz w:val="24"/>
          <w:highlight w:val="none"/>
          <w:u w:val="single"/>
        </w:rPr>
        <w:fldChar w:fldCharType="separate"/>
      </w:r>
      <w:r>
        <w:rPr>
          <w:rStyle w:val="38"/>
          <w:rFonts w:hint="eastAsia" w:ascii="宋体" w:hAnsi="宋体" w:cs="宋体"/>
          <w:color w:val="auto"/>
          <w:kern w:val="0"/>
          <w:sz w:val="24"/>
          <w:highlight w:val="none"/>
        </w:rPr>
        <w:t>https://www.zcygov.cn/）获取招标文件，并于202</w:t>
      </w:r>
      <w:r>
        <w:rPr>
          <w:rStyle w:val="38"/>
          <w:rFonts w:hint="eastAsia" w:ascii="宋体" w:hAnsi="宋体" w:eastAsia="宋体" w:cs="宋体"/>
          <w:color w:val="auto"/>
          <w:kern w:val="0"/>
          <w:sz w:val="24"/>
          <w:highlight w:val="none"/>
          <w:lang w:val="en-US" w:eastAsia="zh-CN"/>
        </w:rPr>
        <w:t>6</w:t>
      </w:r>
      <w:r>
        <w:rPr>
          <w:rStyle w:val="38"/>
          <w:rFonts w:hint="eastAsia" w:ascii="宋体" w:hAnsi="宋体" w:cs="宋体"/>
          <w:color w:val="auto"/>
          <w:kern w:val="0"/>
          <w:sz w:val="24"/>
          <w:highlight w:val="none"/>
        </w:rPr>
        <w:t>年</w:t>
      </w:r>
      <w:r>
        <w:rPr>
          <w:rFonts w:ascii="宋体" w:hAnsi="宋体" w:cs="宋体"/>
          <w:kern w:val="0"/>
          <w:sz w:val="24"/>
          <w:highlight w:val="none"/>
          <w:u w:val="single"/>
        </w:rPr>
        <w:fldChar w:fldCharType="end"/>
      </w:r>
      <w:r>
        <w:rPr>
          <w:rFonts w:hint="eastAsia" w:ascii="宋体" w:hAnsi="宋体" w:cs="宋体"/>
          <w:kern w:val="0"/>
          <w:sz w:val="24"/>
          <w:highlight w:val="none"/>
          <w:u w:val="single"/>
          <w:lang w:val="en-US" w:eastAsia="zh-CN"/>
        </w:rPr>
        <w:t>05</w:t>
      </w:r>
      <w:r>
        <w:rPr>
          <w:rFonts w:hint="eastAsia" w:ascii="宋体" w:hAnsi="宋体" w:cs="宋体"/>
          <w:kern w:val="0"/>
          <w:sz w:val="24"/>
          <w:highlight w:val="none"/>
          <w:u w:val="single"/>
        </w:rPr>
        <w:t>月</w:t>
      </w:r>
      <w:r>
        <w:rPr>
          <w:rFonts w:hint="eastAsia" w:ascii="宋体" w:hAnsi="宋体" w:cs="宋体"/>
          <w:kern w:val="0"/>
          <w:sz w:val="24"/>
          <w:highlight w:val="none"/>
          <w:u w:val="single"/>
          <w:lang w:val="en-US" w:eastAsia="zh-CN"/>
        </w:rPr>
        <w:t>06</w:t>
      </w:r>
      <w:r>
        <w:rPr>
          <w:rFonts w:hint="eastAsia" w:ascii="宋体" w:hAnsi="宋体" w:cs="宋体"/>
          <w:kern w:val="0"/>
          <w:sz w:val="24"/>
          <w:highlight w:val="none"/>
          <w:u w:val="single"/>
        </w:rPr>
        <w:t>日</w:t>
      </w:r>
      <w:r>
        <w:rPr>
          <w:rFonts w:hint="eastAsia" w:ascii="宋体" w:hAnsi="宋体" w:cs="宋体"/>
          <w:kern w:val="0"/>
          <w:sz w:val="24"/>
          <w:highlight w:val="none"/>
          <w:u w:val="single"/>
          <w:lang w:val="en-US" w:eastAsia="zh-CN"/>
        </w:rPr>
        <w:t>09</w:t>
      </w:r>
      <w:r>
        <w:rPr>
          <w:rFonts w:hint="eastAsia" w:ascii="宋体" w:hAnsi="宋体" w:cs="宋体"/>
          <w:kern w:val="0"/>
          <w:sz w:val="24"/>
          <w:highlight w:val="none"/>
          <w:u w:val="single"/>
        </w:rPr>
        <w:t>时</w:t>
      </w:r>
      <w:r>
        <w:rPr>
          <w:rFonts w:hint="eastAsia" w:ascii="宋体" w:hAnsi="宋体" w:cs="宋体"/>
          <w:kern w:val="0"/>
          <w:sz w:val="24"/>
          <w:highlight w:val="none"/>
          <w:u w:val="single"/>
          <w:lang w:val="en-US" w:eastAsia="zh-CN"/>
        </w:rPr>
        <w:t>30</w:t>
      </w:r>
      <w:r>
        <w:rPr>
          <w:rFonts w:hint="eastAsia" w:ascii="宋体" w:hAnsi="宋体" w:cs="宋体"/>
          <w:kern w:val="0"/>
          <w:sz w:val="24"/>
          <w:highlight w:val="none"/>
          <w:u w:val="single"/>
        </w:rPr>
        <w:t>分（北京时间）</w:t>
      </w:r>
      <w:r>
        <w:rPr>
          <w:rFonts w:hint="eastAsia" w:ascii="宋体" w:hAnsi="宋体" w:cs="宋体"/>
          <w:kern w:val="0"/>
          <w:sz w:val="24"/>
          <w:highlight w:val="none"/>
        </w:rPr>
        <w:t>前</w:t>
      </w:r>
      <w:r>
        <w:rPr>
          <w:rFonts w:hint="eastAsia" w:ascii="宋体" w:hAnsi="宋体" w:cs="宋体"/>
          <w:bCs/>
          <w:color w:val="auto"/>
          <w:kern w:val="2"/>
          <w:sz w:val="24"/>
          <w:szCs w:val="24"/>
          <w:highlight w:val="none"/>
          <w:lang w:bidi="ar"/>
        </w:rPr>
        <w:t>上传投标文件</w:t>
      </w:r>
      <w:r>
        <w:rPr>
          <w:rFonts w:hint="eastAsia" w:ascii="宋体" w:hAnsi="宋体" w:cs="宋体"/>
          <w:kern w:val="0"/>
          <w:sz w:val="24"/>
          <w:highlight w:val="none"/>
        </w:rPr>
        <w:t>。</w:t>
      </w:r>
    </w:p>
    <w:p w14:paraId="6ABD878C">
      <w:pPr>
        <w:tabs>
          <w:tab w:val="left" w:pos="1021"/>
        </w:tabs>
        <w:ind w:left="425" w:firstLine="0"/>
        <w:outlineLvl w:val="9"/>
        <w:rPr>
          <w:rFonts w:ascii="宋体" w:hAnsi="宋体" w:eastAsia="宋体" w:cs="宋体"/>
          <w:b/>
          <w:sz w:val="24"/>
          <w:szCs w:val="24"/>
          <w:highlight w:val="none"/>
        </w:rPr>
      </w:pPr>
      <w:bookmarkStart w:id="5" w:name="_Toc35393621"/>
      <w:bookmarkStart w:id="6" w:name="_Toc28359079"/>
      <w:bookmarkStart w:id="7" w:name="_Toc70446095"/>
      <w:bookmarkStart w:id="8" w:name="_Toc35393790"/>
      <w:bookmarkStart w:id="9" w:name="_Toc28359002"/>
      <w:bookmarkStart w:id="10" w:name="_Hlk24379207"/>
      <w:r>
        <w:rPr>
          <w:rFonts w:hint="eastAsia" w:ascii="宋体" w:hAnsi="宋体" w:eastAsia="宋体" w:cs="宋体"/>
          <w:b/>
          <w:sz w:val="24"/>
          <w:szCs w:val="24"/>
          <w:highlight w:val="none"/>
        </w:rPr>
        <w:t>一、项目基本情况</w:t>
      </w:r>
      <w:bookmarkEnd w:id="5"/>
      <w:bookmarkEnd w:id="6"/>
      <w:bookmarkEnd w:id="7"/>
      <w:bookmarkEnd w:id="8"/>
      <w:bookmarkEnd w:id="9"/>
    </w:p>
    <w:p w14:paraId="0EC631B9">
      <w:pPr>
        <w:spacing w:line="360" w:lineRule="auto"/>
        <w:ind w:firstLine="480" w:firstLineChars="200"/>
        <w:outlineLvl w:val="9"/>
        <w:rPr>
          <w:rFonts w:hint="eastAsia" w:ascii="宋体" w:hAnsi="宋体"/>
          <w:sz w:val="21"/>
          <w:szCs w:val="21"/>
          <w:highlight w:val="none"/>
          <w:lang w:eastAsia="zh-CN"/>
        </w:rPr>
      </w:pPr>
      <w:bookmarkStart w:id="11" w:name="OLE_LINK1"/>
      <w:r>
        <w:rPr>
          <w:rFonts w:hint="eastAsia" w:ascii="宋体" w:hAnsi="宋体"/>
          <w:sz w:val="24"/>
          <w:highlight w:val="none"/>
          <w:lang w:eastAsia="zh-CN"/>
        </w:rPr>
        <w:t>项目编号：</w:t>
      </w:r>
      <w:bookmarkEnd w:id="11"/>
      <w:r>
        <w:rPr>
          <w:rFonts w:hint="eastAsia" w:ascii="宋体" w:hAnsi="宋体"/>
          <w:sz w:val="24"/>
          <w:highlight w:val="none"/>
          <w:lang w:eastAsia="zh-CN"/>
        </w:rPr>
        <w:t>YNGCZBZX(招)字-YX-2026-03-02；</w:t>
      </w:r>
    </w:p>
    <w:p w14:paraId="608BE29E">
      <w:pPr>
        <w:spacing w:line="360" w:lineRule="auto"/>
        <w:ind w:firstLine="480" w:firstLineChars="200"/>
        <w:outlineLvl w:val="9"/>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政采云</w:t>
      </w:r>
      <w:r>
        <w:rPr>
          <w:rFonts w:hint="eastAsia" w:ascii="宋体" w:hAnsi="宋体" w:eastAsia="宋体" w:cs="Times New Roman"/>
          <w:sz w:val="24"/>
          <w:highlight w:val="none"/>
          <w:lang w:eastAsia="zh-CN"/>
        </w:rPr>
        <w:t>项目编号：YNZC2026-G1-01428-GCJC-0001 ；</w:t>
      </w:r>
    </w:p>
    <w:p w14:paraId="01D62199">
      <w:pPr>
        <w:spacing w:line="360" w:lineRule="auto"/>
        <w:ind w:firstLine="480" w:firstLineChars="200"/>
        <w:outlineLvl w:val="9"/>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云南省玉溪监狱2026年至2027年罪犯配餐中心生活物资 一 标段(猪肉类；鸡肉类、冻品（鱼虾）类)采购项目；</w:t>
      </w:r>
    </w:p>
    <w:bookmarkEnd w:id="10"/>
    <w:p w14:paraId="210926CD">
      <w:pPr>
        <w:spacing w:line="360" w:lineRule="auto"/>
        <w:ind w:firstLine="480" w:firstLineChars="200"/>
        <w:outlineLvl w:val="9"/>
        <w:rPr>
          <w:rFonts w:hint="default" w:ascii="宋体" w:hAnsi="宋体" w:eastAsia="宋体"/>
          <w:sz w:val="24"/>
          <w:highlight w:val="none"/>
          <w:lang w:val="en-US" w:eastAsia="zh-CN"/>
        </w:rPr>
      </w:pPr>
      <w:r>
        <w:rPr>
          <w:rFonts w:hint="eastAsia" w:ascii="宋体" w:hAnsi="宋体"/>
          <w:sz w:val="24"/>
          <w:highlight w:val="none"/>
        </w:rPr>
        <w:t>预算金额：</w:t>
      </w:r>
      <w:r>
        <w:rPr>
          <w:rFonts w:hint="eastAsia" w:ascii="宋体" w:hAnsi="宋体"/>
          <w:sz w:val="24"/>
          <w:highlight w:val="none"/>
          <w:lang w:val="en-US" w:eastAsia="zh-CN"/>
        </w:rPr>
        <w:t xml:space="preserve"> </w:t>
      </w:r>
      <w:r>
        <w:rPr>
          <w:rFonts w:hint="eastAsia" w:ascii="宋体" w:hAnsi="宋体" w:cs="宋体"/>
          <w:color w:val="auto"/>
          <w:kern w:val="2"/>
          <w:sz w:val="24"/>
          <w:szCs w:val="24"/>
          <w:highlight w:val="none"/>
          <w:lang w:val="en-US" w:eastAsia="zh-CN" w:bidi="ar"/>
        </w:rPr>
        <w:t>总预算</w:t>
      </w:r>
      <w:r>
        <w:rPr>
          <w:rFonts w:hint="eastAsia" w:ascii="宋体" w:hAnsi="宋体" w:eastAsia="宋体" w:cs="Times New Roman"/>
          <w:sz w:val="24"/>
          <w:lang w:val="en-US" w:eastAsia="zh-CN"/>
        </w:rPr>
        <w:t>3921155.00元(其中包1：猪肉类，采购预算金额3074425.000元；包2:鸡肉类、冻品（鱼虾）类，采购预算金额846730.00元)；</w:t>
      </w:r>
    </w:p>
    <w:p w14:paraId="6EB1B1B0">
      <w:pPr>
        <w:spacing w:line="360" w:lineRule="auto"/>
        <w:ind w:firstLine="480" w:firstLineChars="200"/>
        <w:outlineLvl w:val="9"/>
        <w:rPr>
          <w:rFonts w:hint="eastAsia" w:ascii="宋体" w:hAnsi="宋体" w:eastAsia="宋体"/>
          <w:sz w:val="24"/>
          <w:highlight w:val="none"/>
          <w:lang w:eastAsia="zh-CN"/>
        </w:rPr>
      </w:pPr>
      <w:r>
        <w:rPr>
          <w:rFonts w:hint="eastAsia" w:ascii="宋体" w:hAnsi="宋体"/>
          <w:sz w:val="24"/>
          <w:highlight w:val="none"/>
        </w:rPr>
        <w:t>最高限价：</w:t>
      </w:r>
      <w:r>
        <w:rPr>
          <w:rFonts w:hint="eastAsia" w:ascii="宋体" w:hAnsi="宋体" w:eastAsia="宋体" w:cs="Times New Roman"/>
          <w:sz w:val="24"/>
          <w:highlight w:val="none"/>
          <w:lang w:val="en-US" w:eastAsia="zh-CN"/>
        </w:rPr>
        <w:t xml:space="preserve"> 本项目各标段设有单价最高限价，</w:t>
      </w:r>
      <w:r>
        <w:rPr>
          <w:rFonts w:hint="eastAsia" w:ascii="宋体" w:hAnsi="宋体" w:eastAsia="宋体" w:cs="Times New Roman"/>
          <w:sz w:val="24"/>
          <w:highlight w:val="none"/>
          <w:lang w:eastAsia="zh-CN"/>
        </w:rPr>
        <w:t>详见“第五章 项目需求及服务要求”；</w:t>
      </w:r>
    </w:p>
    <w:p w14:paraId="4BA171D8">
      <w:pPr>
        <w:spacing w:line="360" w:lineRule="auto"/>
        <w:ind w:firstLine="480" w:firstLineChars="200"/>
        <w:outlineLvl w:val="9"/>
        <w:rPr>
          <w:rFonts w:hint="eastAsia" w:ascii="宋体" w:hAnsi="宋体" w:eastAsia="宋体"/>
          <w:sz w:val="24"/>
          <w:highlight w:val="none"/>
          <w:lang w:val="en-US" w:eastAsia="zh-CN"/>
        </w:rPr>
      </w:pPr>
      <w:r>
        <w:rPr>
          <w:rFonts w:hint="eastAsia" w:ascii="宋体" w:hAnsi="宋体"/>
          <w:sz w:val="24"/>
          <w:highlight w:val="none"/>
        </w:rPr>
        <w:t>采购需求：</w:t>
      </w:r>
      <w:r>
        <w:rPr>
          <w:rFonts w:hint="eastAsia" w:ascii="宋体" w:hAnsi="宋体" w:eastAsia="宋体" w:cs="宋体"/>
          <w:sz w:val="24"/>
          <w:szCs w:val="24"/>
          <w:highlight w:val="none"/>
          <w:lang w:eastAsia="zh-CN"/>
        </w:rPr>
        <w:t>本项目为</w:t>
      </w:r>
      <w:r>
        <w:rPr>
          <w:rFonts w:hint="eastAsia" w:ascii="宋体" w:hAnsi="宋体"/>
          <w:sz w:val="24"/>
          <w:highlight w:val="none"/>
          <w:lang w:eastAsia="zh-CN"/>
        </w:rPr>
        <w:t>云南省玉溪监狱2026年至2027年罪犯配餐中心生活物资 一 标段(猪肉类；鸡肉类、冻品（鱼虾）类)采购项目</w:t>
      </w:r>
      <w:r>
        <w:rPr>
          <w:rFonts w:hint="eastAsia" w:ascii="宋体" w:hAnsi="宋体" w:eastAsia="宋体" w:cs="宋体"/>
          <w:sz w:val="24"/>
          <w:szCs w:val="24"/>
          <w:highlight w:val="none"/>
          <w:lang w:eastAsia="zh-CN"/>
        </w:rPr>
        <w:t>，共设</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个标</w:t>
      </w:r>
      <w:r>
        <w:rPr>
          <w:rFonts w:hint="eastAsia" w:ascii="宋体" w:hAnsi="宋体" w:eastAsia="宋体" w:cs="宋体"/>
          <w:sz w:val="24"/>
          <w:szCs w:val="24"/>
          <w:highlight w:val="none"/>
          <w:lang w:val="en-US" w:eastAsia="zh-CN"/>
        </w:rPr>
        <w:t>包</w:t>
      </w:r>
      <w:r>
        <w:rPr>
          <w:rFonts w:hint="eastAsia" w:ascii="宋体" w:hAnsi="宋体" w:eastAsia="宋体" w:cs="宋体"/>
          <w:sz w:val="24"/>
          <w:szCs w:val="24"/>
          <w:highlight w:val="none"/>
          <w:lang w:eastAsia="zh-CN"/>
        </w:rPr>
        <w:t>，具体如下：</w:t>
      </w:r>
    </w:p>
    <w:tbl>
      <w:tblPr>
        <w:tblStyle w:val="32"/>
        <w:tblW w:w="9962" w:type="dxa"/>
        <w:tblInd w:w="-5" w:type="dxa"/>
        <w:tblLayout w:type="fixed"/>
        <w:tblCellMar>
          <w:top w:w="0" w:type="dxa"/>
          <w:left w:w="108" w:type="dxa"/>
          <w:bottom w:w="0" w:type="dxa"/>
          <w:right w:w="108" w:type="dxa"/>
        </w:tblCellMar>
      </w:tblPr>
      <w:tblGrid>
        <w:gridCol w:w="469"/>
        <w:gridCol w:w="1018"/>
        <w:gridCol w:w="1540"/>
        <w:gridCol w:w="1460"/>
        <w:gridCol w:w="825"/>
        <w:gridCol w:w="925"/>
        <w:gridCol w:w="1750"/>
        <w:gridCol w:w="1975"/>
      </w:tblGrid>
      <w:tr w14:paraId="00C25A6D">
        <w:tblPrEx>
          <w:tblCellMar>
            <w:top w:w="0" w:type="dxa"/>
            <w:left w:w="108" w:type="dxa"/>
            <w:bottom w:w="0" w:type="dxa"/>
            <w:right w:w="108" w:type="dxa"/>
          </w:tblCellMar>
        </w:tblPrEx>
        <w:trPr>
          <w:trHeight w:val="983" w:hRule="atLeast"/>
        </w:trPr>
        <w:tc>
          <w:tcPr>
            <w:tcW w:w="469" w:type="dxa"/>
            <w:tcBorders>
              <w:top w:val="single" w:color="000000" w:sz="4" w:space="0"/>
              <w:left w:val="single" w:color="000000" w:sz="4" w:space="0"/>
              <w:bottom w:val="single" w:color="000000" w:sz="4" w:space="0"/>
              <w:right w:val="single" w:color="000000" w:sz="4" w:space="0"/>
            </w:tcBorders>
            <w:noWrap w:val="0"/>
            <w:vAlign w:val="center"/>
          </w:tcPr>
          <w:p w14:paraId="4ABB71D8">
            <w:pPr>
              <w:pStyle w:val="14"/>
              <w:spacing w:line="500" w:lineRule="exact"/>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4EFD4411">
            <w:pPr>
              <w:pStyle w:val="14"/>
              <w:spacing w:line="500" w:lineRule="exact"/>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标段号</w:t>
            </w:r>
          </w:p>
        </w:tc>
        <w:tc>
          <w:tcPr>
            <w:tcW w:w="1540" w:type="dxa"/>
            <w:tcBorders>
              <w:top w:val="single" w:color="000000" w:sz="4" w:space="0"/>
              <w:left w:val="single" w:color="000000" w:sz="4" w:space="0"/>
              <w:bottom w:val="single" w:color="000000" w:sz="4" w:space="0"/>
              <w:right w:val="single" w:color="000000" w:sz="4" w:space="0"/>
            </w:tcBorders>
            <w:noWrap w:val="0"/>
            <w:vAlign w:val="center"/>
          </w:tcPr>
          <w:p w14:paraId="4FEE4272">
            <w:pPr>
              <w:pStyle w:val="14"/>
              <w:spacing w:line="500" w:lineRule="exact"/>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是否接受进口产品投标</w:t>
            </w:r>
          </w:p>
        </w:tc>
        <w:tc>
          <w:tcPr>
            <w:tcW w:w="1460" w:type="dxa"/>
            <w:tcBorders>
              <w:top w:val="single" w:color="000000" w:sz="4" w:space="0"/>
              <w:left w:val="single" w:color="000000" w:sz="4" w:space="0"/>
              <w:bottom w:val="single" w:color="000000" w:sz="4" w:space="0"/>
              <w:right w:val="single" w:color="000000" w:sz="4" w:space="0"/>
            </w:tcBorders>
            <w:noWrap w:val="0"/>
            <w:vAlign w:val="center"/>
          </w:tcPr>
          <w:p w14:paraId="7FC92819">
            <w:pPr>
              <w:pStyle w:val="14"/>
              <w:spacing w:line="500" w:lineRule="exact"/>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标段名称</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2C8B3C3F">
            <w:pPr>
              <w:pStyle w:val="14"/>
              <w:spacing w:line="500" w:lineRule="exact"/>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数量</w:t>
            </w:r>
          </w:p>
        </w:tc>
        <w:tc>
          <w:tcPr>
            <w:tcW w:w="925" w:type="dxa"/>
            <w:tcBorders>
              <w:top w:val="single" w:color="000000" w:sz="4" w:space="0"/>
              <w:left w:val="single" w:color="000000" w:sz="4" w:space="0"/>
              <w:bottom w:val="single" w:color="000000" w:sz="4" w:space="0"/>
              <w:right w:val="single" w:color="000000" w:sz="4" w:space="0"/>
            </w:tcBorders>
            <w:noWrap w:val="0"/>
            <w:vAlign w:val="center"/>
          </w:tcPr>
          <w:p w14:paraId="3560CF5B">
            <w:pPr>
              <w:pStyle w:val="14"/>
              <w:spacing w:line="500" w:lineRule="exact"/>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计量单位</w:t>
            </w:r>
          </w:p>
        </w:tc>
        <w:tc>
          <w:tcPr>
            <w:tcW w:w="1750" w:type="dxa"/>
            <w:tcBorders>
              <w:top w:val="single" w:color="000000" w:sz="4" w:space="0"/>
              <w:left w:val="single" w:color="000000" w:sz="4" w:space="0"/>
              <w:bottom w:val="single" w:color="000000" w:sz="4" w:space="0"/>
              <w:right w:val="single" w:color="auto" w:sz="4" w:space="0"/>
            </w:tcBorders>
            <w:noWrap w:val="0"/>
            <w:vAlign w:val="center"/>
          </w:tcPr>
          <w:p w14:paraId="410C11A1">
            <w:pPr>
              <w:pStyle w:val="14"/>
              <w:spacing w:line="500" w:lineRule="exact"/>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预算总价(元)</w:t>
            </w:r>
          </w:p>
        </w:tc>
        <w:tc>
          <w:tcPr>
            <w:tcW w:w="1975" w:type="dxa"/>
            <w:tcBorders>
              <w:top w:val="single" w:color="000000" w:sz="4" w:space="0"/>
              <w:left w:val="single" w:color="auto" w:sz="4" w:space="0"/>
              <w:bottom w:val="single" w:color="000000" w:sz="4" w:space="0"/>
              <w:right w:val="single" w:color="000000" w:sz="4" w:space="0"/>
            </w:tcBorders>
            <w:noWrap w:val="0"/>
            <w:vAlign w:val="center"/>
          </w:tcPr>
          <w:p w14:paraId="18549A7C">
            <w:pPr>
              <w:pStyle w:val="14"/>
              <w:spacing w:line="500" w:lineRule="exact"/>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最高限价(元)</w:t>
            </w:r>
          </w:p>
        </w:tc>
      </w:tr>
      <w:tr w14:paraId="28767FC1">
        <w:tblPrEx>
          <w:tblCellMar>
            <w:top w:w="0" w:type="dxa"/>
            <w:left w:w="108" w:type="dxa"/>
            <w:bottom w:w="0" w:type="dxa"/>
            <w:right w:w="108" w:type="dxa"/>
          </w:tblCellMar>
        </w:tblPrEx>
        <w:trPr>
          <w:trHeight w:val="548" w:hRule="atLeast"/>
        </w:trPr>
        <w:tc>
          <w:tcPr>
            <w:tcW w:w="469" w:type="dxa"/>
            <w:tcBorders>
              <w:top w:val="single" w:color="000000" w:sz="4" w:space="0"/>
              <w:left w:val="single" w:color="000000" w:sz="4" w:space="0"/>
              <w:bottom w:val="single" w:color="000000" w:sz="4" w:space="0"/>
              <w:right w:val="single" w:color="000000" w:sz="4" w:space="0"/>
            </w:tcBorders>
            <w:noWrap w:val="0"/>
            <w:vAlign w:val="center"/>
          </w:tcPr>
          <w:p w14:paraId="1E90149C">
            <w:pPr>
              <w:pStyle w:val="14"/>
              <w:spacing w:line="500" w:lineRule="exact"/>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2A4C933A">
            <w:pPr>
              <w:pStyle w:val="14"/>
              <w:spacing w:line="500" w:lineRule="exact"/>
              <w:jc w:val="center"/>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包1</w:t>
            </w:r>
          </w:p>
        </w:tc>
        <w:tc>
          <w:tcPr>
            <w:tcW w:w="1540" w:type="dxa"/>
            <w:tcBorders>
              <w:top w:val="single" w:color="000000" w:sz="4" w:space="0"/>
              <w:left w:val="single" w:color="000000" w:sz="4" w:space="0"/>
              <w:bottom w:val="single" w:color="000000" w:sz="4" w:space="0"/>
              <w:right w:val="single" w:color="000000" w:sz="4" w:space="0"/>
            </w:tcBorders>
            <w:noWrap w:val="0"/>
            <w:vAlign w:val="center"/>
          </w:tcPr>
          <w:p w14:paraId="11243BF6">
            <w:pPr>
              <w:adjustRightInd w:val="0"/>
              <w:snapToGrid w:val="0"/>
              <w:spacing w:line="500" w:lineRule="exact"/>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c>
          <w:tcPr>
            <w:tcW w:w="1460" w:type="dxa"/>
            <w:tcBorders>
              <w:top w:val="single" w:color="000000" w:sz="4" w:space="0"/>
              <w:left w:val="single" w:color="000000" w:sz="4" w:space="0"/>
              <w:bottom w:val="single" w:color="000000" w:sz="4" w:space="0"/>
              <w:right w:val="single" w:color="000000" w:sz="4" w:space="0"/>
            </w:tcBorders>
            <w:noWrap w:val="0"/>
            <w:vAlign w:val="center"/>
          </w:tcPr>
          <w:p w14:paraId="40F64E01">
            <w:pPr>
              <w:adjustRightInd w:val="0"/>
              <w:snapToGrid w:val="0"/>
              <w:jc w:val="center"/>
              <w:outlineLvl w:val="9"/>
              <w:rPr>
                <w:rFonts w:hint="eastAsia" w:ascii="宋体" w:hAnsi="宋体" w:eastAsia="宋体" w:cs="宋体"/>
                <w:sz w:val="24"/>
                <w:szCs w:val="24"/>
                <w:highlight w:val="none"/>
                <w:lang w:eastAsia="zh-CN"/>
              </w:rPr>
            </w:pPr>
            <w:r>
              <w:rPr>
                <w:rFonts w:hint="eastAsia" w:ascii="宋体" w:hAnsi="宋体" w:eastAsia="宋体" w:cs="Times New Roman"/>
                <w:sz w:val="24"/>
                <w:lang w:val="en-US" w:eastAsia="zh-CN"/>
              </w:rPr>
              <w:t>猪肉类</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76AF057C">
            <w:pPr>
              <w:pStyle w:val="14"/>
              <w:spacing w:line="500" w:lineRule="exact"/>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25" w:type="dxa"/>
            <w:tcBorders>
              <w:top w:val="single" w:color="000000" w:sz="4" w:space="0"/>
              <w:left w:val="single" w:color="000000" w:sz="4" w:space="0"/>
              <w:bottom w:val="single" w:color="000000" w:sz="4" w:space="0"/>
              <w:right w:val="single" w:color="000000" w:sz="4" w:space="0"/>
            </w:tcBorders>
            <w:noWrap w:val="0"/>
            <w:vAlign w:val="center"/>
          </w:tcPr>
          <w:p w14:paraId="7D08BF89">
            <w:pPr>
              <w:pStyle w:val="14"/>
              <w:spacing w:line="500" w:lineRule="exact"/>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批</w:t>
            </w:r>
          </w:p>
        </w:tc>
        <w:tc>
          <w:tcPr>
            <w:tcW w:w="1750" w:type="dxa"/>
            <w:tcBorders>
              <w:top w:val="single" w:color="000000" w:sz="4" w:space="0"/>
              <w:left w:val="single" w:color="000000" w:sz="4" w:space="0"/>
              <w:bottom w:val="single" w:color="000000" w:sz="4" w:space="0"/>
              <w:right w:val="single" w:color="auto" w:sz="4" w:space="0"/>
            </w:tcBorders>
            <w:noWrap w:val="0"/>
            <w:vAlign w:val="center"/>
          </w:tcPr>
          <w:p w14:paraId="55DECE86">
            <w:pPr>
              <w:pStyle w:val="14"/>
              <w:spacing w:line="500" w:lineRule="exact"/>
              <w:jc w:val="center"/>
              <w:outlineLvl w:val="9"/>
              <w:rPr>
                <w:rFonts w:hint="default" w:ascii="宋体" w:hAnsi="宋体" w:eastAsia="宋体" w:cs="宋体"/>
                <w:kern w:val="2"/>
                <w:sz w:val="24"/>
                <w:szCs w:val="24"/>
                <w:highlight w:val="none"/>
                <w:lang w:val="en-US" w:eastAsia="zh-CN" w:bidi="ar-SA"/>
              </w:rPr>
            </w:pPr>
            <w:r>
              <w:rPr>
                <w:rFonts w:hint="eastAsia" w:ascii="宋体" w:hAnsi="宋体" w:eastAsia="宋体" w:cs="Times New Roman"/>
                <w:sz w:val="24"/>
                <w:lang w:val="en-US" w:eastAsia="zh-CN"/>
              </w:rPr>
              <w:t>3074425.00</w:t>
            </w:r>
          </w:p>
        </w:tc>
        <w:tc>
          <w:tcPr>
            <w:tcW w:w="1975" w:type="dxa"/>
            <w:tcBorders>
              <w:top w:val="single" w:color="000000" w:sz="4" w:space="0"/>
              <w:left w:val="single" w:color="auto" w:sz="4" w:space="0"/>
              <w:bottom w:val="single" w:color="000000" w:sz="4" w:space="0"/>
              <w:right w:val="single" w:color="000000" w:sz="4" w:space="0"/>
            </w:tcBorders>
            <w:noWrap w:val="0"/>
            <w:vAlign w:val="center"/>
          </w:tcPr>
          <w:p w14:paraId="23DBA1C1">
            <w:pPr>
              <w:pStyle w:val="14"/>
              <w:spacing w:line="500" w:lineRule="exact"/>
              <w:jc w:val="center"/>
              <w:outlineLvl w:val="9"/>
              <w:rPr>
                <w:rFonts w:hint="eastAsia" w:ascii="宋体" w:hAnsi="宋体" w:eastAsia="宋体" w:cs="宋体"/>
                <w:kern w:val="2"/>
                <w:sz w:val="24"/>
                <w:szCs w:val="24"/>
                <w:highlight w:val="none"/>
                <w:lang w:val="en-US" w:eastAsia="zh-CN" w:bidi="ar-SA"/>
              </w:rPr>
            </w:pPr>
            <w:r>
              <w:rPr>
                <w:rFonts w:hint="eastAsia" w:ascii="宋体" w:hAnsi="宋体" w:eastAsia="宋体" w:cs="Times New Roman"/>
                <w:sz w:val="24"/>
                <w:lang w:val="en-US" w:eastAsia="zh-CN"/>
              </w:rPr>
              <w:t>3074425.00</w:t>
            </w:r>
          </w:p>
        </w:tc>
      </w:tr>
      <w:tr w14:paraId="29ACDAFC">
        <w:tblPrEx>
          <w:tblCellMar>
            <w:top w:w="0" w:type="dxa"/>
            <w:left w:w="108" w:type="dxa"/>
            <w:bottom w:w="0" w:type="dxa"/>
            <w:right w:w="108" w:type="dxa"/>
          </w:tblCellMar>
        </w:tblPrEx>
        <w:trPr>
          <w:trHeight w:val="548" w:hRule="atLeast"/>
        </w:trPr>
        <w:tc>
          <w:tcPr>
            <w:tcW w:w="469" w:type="dxa"/>
            <w:tcBorders>
              <w:top w:val="single" w:color="000000" w:sz="4" w:space="0"/>
              <w:left w:val="single" w:color="000000" w:sz="4" w:space="0"/>
              <w:bottom w:val="single" w:color="000000" w:sz="4" w:space="0"/>
              <w:right w:val="single" w:color="000000" w:sz="4" w:space="0"/>
            </w:tcBorders>
            <w:noWrap w:val="0"/>
            <w:vAlign w:val="center"/>
          </w:tcPr>
          <w:p w14:paraId="2FC31F18">
            <w:pPr>
              <w:pStyle w:val="14"/>
              <w:spacing w:line="500" w:lineRule="exact"/>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73AD1CA2">
            <w:pPr>
              <w:pStyle w:val="14"/>
              <w:spacing w:line="500" w:lineRule="exact"/>
              <w:jc w:val="center"/>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包2</w:t>
            </w:r>
          </w:p>
        </w:tc>
        <w:tc>
          <w:tcPr>
            <w:tcW w:w="1540" w:type="dxa"/>
            <w:tcBorders>
              <w:top w:val="single" w:color="000000" w:sz="4" w:space="0"/>
              <w:left w:val="single" w:color="000000" w:sz="4" w:space="0"/>
              <w:bottom w:val="single" w:color="000000" w:sz="4" w:space="0"/>
              <w:right w:val="single" w:color="000000" w:sz="4" w:space="0"/>
            </w:tcBorders>
            <w:noWrap w:val="0"/>
            <w:vAlign w:val="center"/>
          </w:tcPr>
          <w:p w14:paraId="09446F7E">
            <w:pPr>
              <w:adjustRightInd w:val="0"/>
              <w:snapToGrid w:val="0"/>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否</w:t>
            </w:r>
          </w:p>
        </w:tc>
        <w:tc>
          <w:tcPr>
            <w:tcW w:w="1460" w:type="dxa"/>
            <w:tcBorders>
              <w:top w:val="single" w:color="000000" w:sz="4" w:space="0"/>
              <w:left w:val="single" w:color="000000" w:sz="4" w:space="0"/>
              <w:bottom w:val="single" w:color="000000" w:sz="4" w:space="0"/>
              <w:right w:val="single" w:color="000000" w:sz="4" w:space="0"/>
            </w:tcBorders>
            <w:noWrap w:val="0"/>
            <w:vAlign w:val="center"/>
          </w:tcPr>
          <w:p w14:paraId="1D564958">
            <w:pPr>
              <w:adjustRightInd w:val="0"/>
              <w:snapToGrid w:val="0"/>
              <w:jc w:val="center"/>
              <w:outlineLvl w:val="9"/>
              <w:rPr>
                <w:rFonts w:hint="eastAsia" w:ascii="宋体" w:hAnsi="宋体" w:eastAsia="宋体" w:cs="宋体"/>
                <w:sz w:val="24"/>
                <w:szCs w:val="24"/>
                <w:lang w:eastAsia="zh-CN"/>
              </w:rPr>
            </w:pPr>
            <w:r>
              <w:rPr>
                <w:rFonts w:hint="eastAsia" w:ascii="宋体" w:hAnsi="宋体" w:eastAsia="宋体" w:cs="Times New Roman"/>
                <w:sz w:val="24"/>
                <w:lang w:val="en-US" w:eastAsia="zh-CN"/>
              </w:rPr>
              <w:t>鸡肉类、冻品（鱼虾）类</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6D0FFEEA">
            <w:pPr>
              <w:pStyle w:val="14"/>
              <w:spacing w:line="500" w:lineRule="exact"/>
              <w:jc w:val="center"/>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925" w:type="dxa"/>
            <w:tcBorders>
              <w:top w:val="single" w:color="000000" w:sz="4" w:space="0"/>
              <w:left w:val="single" w:color="000000" w:sz="4" w:space="0"/>
              <w:bottom w:val="single" w:color="000000" w:sz="4" w:space="0"/>
              <w:right w:val="single" w:color="000000" w:sz="4" w:space="0"/>
            </w:tcBorders>
            <w:noWrap w:val="0"/>
            <w:vAlign w:val="center"/>
          </w:tcPr>
          <w:p w14:paraId="322135E4">
            <w:pPr>
              <w:pStyle w:val="14"/>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批</w:t>
            </w:r>
          </w:p>
        </w:tc>
        <w:tc>
          <w:tcPr>
            <w:tcW w:w="1750" w:type="dxa"/>
            <w:tcBorders>
              <w:top w:val="single" w:color="000000" w:sz="4" w:space="0"/>
              <w:left w:val="single" w:color="000000" w:sz="4" w:space="0"/>
              <w:bottom w:val="single" w:color="000000" w:sz="4" w:space="0"/>
              <w:right w:val="single" w:color="auto" w:sz="4" w:space="0"/>
            </w:tcBorders>
            <w:noWrap w:val="0"/>
            <w:vAlign w:val="center"/>
          </w:tcPr>
          <w:p w14:paraId="4981B209">
            <w:pPr>
              <w:pStyle w:val="14"/>
              <w:spacing w:line="500" w:lineRule="exact"/>
              <w:jc w:val="center"/>
              <w:outlineLvl w:val="9"/>
              <w:rPr>
                <w:rFonts w:hint="default" w:ascii="宋体" w:hAnsi="宋体" w:eastAsia="宋体" w:cs="宋体"/>
                <w:kern w:val="2"/>
                <w:sz w:val="24"/>
                <w:szCs w:val="24"/>
                <w:lang w:val="en-US" w:eastAsia="zh-CN" w:bidi="ar-SA"/>
              </w:rPr>
            </w:pPr>
            <w:r>
              <w:rPr>
                <w:rFonts w:hint="eastAsia" w:ascii="宋体" w:hAnsi="宋体" w:eastAsia="宋体" w:cs="Times New Roman"/>
                <w:sz w:val="24"/>
                <w:lang w:val="en-US" w:eastAsia="zh-CN"/>
              </w:rPr>
              <w:t>846730.00</w:t>
            </w:r>
          </w:p>
        </w:tc>
        <w:tc>
          <w:tcPr>
            <w:tcW w:w="1975" w:type="dxa"/>
            <w:tcBorders>
              <w:top w:val="single" w:color="000000" w:sz="4" w:space="0"/>
              <w:left w:val="single" w:color="auto" w:sz="4" w:space="0"/>
              <w:bottom w:val="single" w:color="000000" w:sz="4" w:space="0"/>
              <w:right w:val="single" w:color="000000" w:sz="4" w:space="0"/>
            </w:tcBorders>
            <w:noWrap w:val="0"/>
            <w:vAlign w:val="center"/>
          </w:tcPr>
          <w:p w14:paraId="35F904C2">
            <w:pPr>
              <w:pStyle w:val="14"/>
              <w:spacing w:line="500" w:lineRule="exact"/>
              <w:jc w:val="center"/>
              <w:outlineLvl w:val="9"/>
              <w:rPr>
                <w:rFonts w:hint="eastAsia" w:ascii="宋体" w:hAnsi="宋体" w:eastAsia="宋体" w:cs="宋体"/>
                <w:kern w:val="2"/>
                <w:sz w:val="24"/>
                <w:szCs w:val="24"/>
                <w:lang w:val="en-US" w:eastAsia="zh-CN" w:bidi="ar-SA"/>
              </w:rPr>
            </w:pPr>
            <w:r>
              <w:rPr>
                <w:rFonts w:hint="eastAsia" w:ascii="宋体" w:hAnsi="宋体" w:eastAsia="宋体" w:cs="Times New Roman"/>
                <w:sz w:val="24"/>
                <w:lang w:val="en-US" w:eastAsia="zh-CN"/>
              </w:rPr>
              <w:t>846730.00</w:t>
            </w:r>
          </w:p>
        </w:tc>
      </w:tr>
    </w:tbl>
    <w:p w14:paraId="56169EC9">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9"/>
        <w:rPr>
          <w:rFonts w:hint="eastAsia" w:ascii="宋体" w:hAnsi="宋体" w:eastAsia="宋体" w:cs="Times New Roman"/>
          <w:b w:val="0"/>
          <w:bCs/>
          <w:sz w:val="24"/>
        </w:rPr>
      </w:pPr>
      <w:r>
        <w:rPr>
          <w:rFonts w:hint="eastAsia" w:ascii="宋体" w:hAnsi="宋体"/>
          <w:b w:val="0"/>
          <w:bCs/>
          <w:sz w:val="24"/>
        </w:rPr>
        <w:t>注：</w:t>
      </w:r>
      <w:r>
        <w:rPr>
          <w:rFonts w:hint="eastAsia" w:ascii="宋体" w:hAnsi="宋体" w:eastAsia="宋体" w:cs="Times New Roman"/>
          <w:b w:val="0"/>
          <w:bCs/>
          <w:sz w:val="24"/>
        </w:rPr>
        <w:t>本次招标不接受进口产品，进口产品是指通过中国海关报关验放进入中国境内且产自关境外的产品。</w:t>
      </w:r>
      <w:r>
        <w:rPr>
          <w:rFonts w:hint="eastAsia" w:ascii="宋体" w:hAnsi="宋体" w:eastAsia="宋体" w:cs="Times New Roman"/>
          <w:b w:val="0"/>
          <w:bCs/>
          <w:sz w:val="24"/>
          <w:highlight w:val="none"/>
          <w:lang w:val="en-US" w:eastAsia="zh-CN"/>
        </w:rPr>
        <w:t>投标人可选择一个或多个标包进行投标，允许兼投兼中，投标人应分标包制作、分别投递投标文件</w:t>
      </w:r>
      <w:r>
        <w:rPr>
          <w:rFonts w:hint="eastAsia" w:ascii="宋体" w:hAnsi="宋体" w:eastAsia="宋体" w:cs="Times New Roman"/>
          <w:b w:val="0"/>
          <w:bCs/>
          <w:sz w:val="24"/>
          <w:highlight w:val="none"/>
        </w:rPr>
        <w:t>。</w:t>
      </w:r>
    </w:p>
    <w:p w14:paraId="5D043928">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9"/>
        <w:rPr>
          <w:rFonts w:hint="eastAsia" w:ascii="宋体" w:hAnsi="宋体" w:eastAsia="宋体" w:cs="Times New Roman"/>
          <w:b w:val="0"/>
          <w:bCs/>
          <w:sz w:val="24"/>
          <w:highlight w:val="none"/>
          <w:lang w:val="en-US" w:eastAsia="zh-CN"/>
        </w:rPr>
      </w:pPr>
      <w:bookmarkStart w:id="12" w:name="OLE_LINK18"/>
      <w:r>
        <w:rPr>
          <w:rFonts w:hint="eastAsia" w:ascii="宋体" w:hAnsi="宋体" w:eastAsia="宋体" w:cs="Times New Roman"/>
          <w:b w:val="0"/>
          <w:bCs/>
          <w:sz w:val="24"/>
          <w:highlight w:val="none"/>
        </w:rPr>
        <w:t>合同履行期限</w:t>
      </w:r>
      <w:bookmarkEnd w:id="12"/>
      <w:r>
        <w:rPr>
          <w:rFonts w:hint="eastAsia" w:ascii="宋体" w:hAnsi="宋体" w:eastAsia="宋体" w:cs="Times New Roman"/>
          <w:b w:val="0"/>
          <w:bCs/>
          <w:sz w:val="24"/>
          <w:highlight w:val="none"/>
        </w:rPr>
        <w:t>：</w:t>
      </w:r>
      <w:r>
        <w:rPr>
          <w:rFonts w:hint="eastAsia" w:ascii="宋体" w:hAnsi="宋体" w:eastAsia="宋体" w:cs="宋体"/>
          <w:color w:val="auto"/>
          <w:kern w:val="0"/>
          <w:sz w:val="24"/>
          <w:szCs w:val="24"/>
          <w:lang w:eastAsia="zh-CN"/>
        </w:rPr>
        <w:t>合同履行期限为</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年（起止时间以合同约定为准）或实际执行金额达到</w:t>
      </w:r>
      <w:r>
        <w:rPr>
          <w:rFonts w:hint="eastAsia" w:ascii="宋体" w:hAnsi="宋体" w:eastAsia="宋体" w:cs="宋体"/>
          <w:color w:val="auto"/>
          <w:kern w:val="0"/>
          <w:sz w:val="24"/>
          <w:szCs w:val="24"/>
          <w:lang w:val="en-US" w:eastAsia="zh-CN"/>
        </w:rPr>
        <w:t>合同</w:t>
      </w:r>
      <w:r>
        <w:rPr>
          <w:rFonts w:hint="eastAsia" w:ascii="宋体" w:hAnsi="宋体" w:eastAsia="宋体" w:cs="宋体"/>
          <w:color w:val="auto"/>
          <w:kern w:val="0"/>
          <w:sz w:val="24"/>
          <w:szCs w:val="24"/>
          <w:lang w:eastAsia="zh-CN"/>
        </w:rPr>
        <w:t>总金额，以先达者为准，期限届满或</w:t>
      </w:r>
      <w:r>
        <w:rPr>
          <w:rFonts w:hint="eastAsia" w:ascii="宋体" w:hAnsi="宋体" w:eastAsia="宋体" w:cs="宋体"/>
          <w:color w:val="auto"/>
          <w:kern w:val="0"/>
          <w:sz w:val="24"/>
          <w:szCs w:val="24"/>
          <w:lang w:val="en-US" w:eastAsia="zh-CN"/>
        </w:rPr>
        <w:t>合同</w:t>
      </w:r>
      <w:r>
        <w:rPr>
          <w:rFonts w:hint="eastAsia" w:ascii="宋体" w:hAnsi="宋体" w:eastAsia="宋体" w:cs="宋体"/>
          <w:color w:val="auto"/>
          <w:kern w:val="0"/>
          <w:sz w:val="24"/>
          <w:szCs w:val="24"/>
          <w:lang w:eastAsia="zh-CN"/>
        </w:rPr>
        <w:t>金额用完，合同即行终止。</w:t>
      </w:r>
    </w:p>
    <w:p w14:paraId="2DFC462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9"/>
        <w:rPr>
          <w:rFonts w:ascii="宋体" w:hAnsi="宋体" w:cs="宋体"/>
          <w:sz w:val="24"/>
        </w:rPr>
      </w:pPr>
      <w:r>
        <w:rPr>
          <w:rFonts w:hint="eastAsia" w:ascii="宋体" w:hAnsi="宋体" w:cs="宋体"/>
          <w:sz w:val="24"/>
          <w:lang w:val="en-US" w:eastAsia="zh-CN"/>
        </w:rPr>
        <w:t>交货</w:t>
      </w:r>
      <w:r>
        <w:rPr>
          <w:rFonts w:hint="eastAsia" w:ascii="宋体" w:hAnsi="宋体" w:cs="宋体"/>
          <w:sz w:val="24"/>
        </w:rPr>
        <w:t>地点：</w:t>
      </w:r>
      <w:r>
        <w:rPr>
          <w:rFonts w:hint="eastAsia" w:ascii="宋体" w:hAnsi="宋体" w:eastAsia="宋体" w:cs="宋体"/>
          <w:color w:val="auto"/>
          <w:kern w:val="0"/>
          <w:sz w:val="24"/>
          <w:szCs w:val="24"/>
          <w:lang w:eastAsia="zh-CN"/>
        </w:rPr>
        <w:t>云南省玉溪监狱或采购人指定地点</w:t>
      </w:r>
      <w:r>
        <w:rPr>
          <w:rFonts w:hint="eastAsia" w:ascii="宋体" w:hAnsi="宋体" w:cs="宋体"/>
          <w:sz w:val="24"/>
        </w:rPr>
        <w:t>。</w:t>
      </w:r>
    </w:p>
    <w:p w14:paraId="7FB49BA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9"/>
        <w:rPr>
          <w:rFonts w:hint="eastAsia" w:ascii="宋体" w:hAnsi="宋体" w:eastAsia="宋体" w:cs="宋体"/>
          <w:color w:val="auto"/>
          <w:kern w:val="0"/>
          <w:sz w:val="24"/>
          <w:szCs w:val="24"/>
          <w:lang w:val="en-US" w:eastAsia="zh-CN" w:bidi="ar-SA"/>
        </w:rPr>
      </w:pPr>
      <w:r>
        <w:rPr>
          <w:rFonts w:hint="eastAsia" w:ascii="宋体" w:hAnsi="宋体" w:cs="宋体"/>
          <w:sz w:val="24"/>
          <w:lang w:val="en-US" w:eastAsia="zh-CN"/>
        </w:rPr>
        <w:t>质量</w:t>
      </w:r>
      <w:r>
        <w:rPr>
          <w:rFonts w:hint="eastAsia" w:ascii="宋体" w:hAnsi="宋体" w:cs="宋体"/>
          <w:sz w:val="24"/>
        </w:rPr>
        <w:t>标准：</w:t>
      </w:r>
      <w:r>
        <w:rPr>
          <w:rFonts w:hint="eastAsia" w:ascii="宋体" w:hAnsi="宋体" w:eastAsia="宋体" w:cs="宋体"/>
          <w:color w:val="auto"/>
          <w:kern w:val="0"/>
          <w:sz w:val="24"/>
          <w:szCs w:val="24"/>
          <w:lang w:val="en-US" w:eastAsia="zh-CN" w:bidi="ar-SA"/>
        </w:rPr>
        <w:t>符合现行国家、行业相关的质量要求、规范及标准，同时满足采购人的实际需求。</w:t>
      </w:r>
    </w:p>
    <w:p w14:paraId="5BE635F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9"/>
        <w:rPr>
          <w:rFonts w:hint="default" w:ascii="宋体" w:hAnsi="宋体" w:eastAsia="宋体" w:cs="宋体"/>
          <w:color w:val="auto"/>
          <w:kern w:val="0"/>
          <w:sz w:val="24"/>
          <w:szCs w:val="24"/>
          <w:highlight w:val="yellow"/>
          <w:lang w:val="en-US" w:eastAsia="zh-CN" w:bidi="ar-SA"/>
        </w:rPr>
      </w:pPr>
      <w:r>
        <w:rPr>
          <w:rFonts w:hint="eastAsia" w:ascii="宋体" w:hAnsi="宋体" w:eastAsia="宋体" w:cs="宋体"/>
          <w:color w:val="auto"/>
          <w:kern w:val="0"/>
          <w:sz w:val="24"/>
          <w:szCs w:val="24"/>
          <w:highlight w:val="none"/>
          <w:lang w:val="en-US" w:eastAsia="zh-CN" w:bidi="ar-SA"/>
        </w:rPr>
        <w:t>交货期：</w:t>
      </w:r>
      <w:r>
        <w:rPr>
          <w:rFonts w:hint="eastAsia" w:ascii="宋体" w:hAnsi="宋体" w:eastAsia="宋体" w:cs="宋体"/>
          <w:color w:val="auto"/>
          <w:kern w:val="0"/>
          <w:sz w:val="24"/>
          <w:szCs w:val="24"/>
          <w:lang w:val="en-US" w:eastAsia="zh-CN" w:bidi="ar-SA"/>
        </w:rPr>
        <w:t>接到采购人采购计划后，能做到24小时内保质保量供货，紧急情况下12小时内送达，具体按照采购人要求执行。</w:t>
      </w:r>
    </w:p>
    <w:p w14:paraId="62B768A3">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9"/>
        <w:rPr>
          <w:rFonts w:ascii="宋体" w:hAnsi="宋体"/>
          <w:sz w:val="24"/>
        </w:rPr>
      </w:pPr>
      <w:r>
        <w:rPr>
          <w:rFonts w:hint="eastAsia" w:ascii="宋体" w:hAnsi="宋体"/>
          <w:sz w:val="24"/>
        </w:rPr>
        <w:t>本项目</w:t>
      </w:r>
      <w:r>
        <w:rPr>
          <w:rFonts w:hint="eastAsia" w:ascii="宋体" w:hAnsi="宋体"/>
          <w:sz w:val="24"/>
          <w:lang w:eastAsia="zh-CN"/>
        </w:rPr>
        <w:t>不接受</w:t>
      </w:r>
      <w:r>
        <w:rPr>
          <w:rFonts w:hint="eastAsia" w:ascii="宋体" w:hAnsi="宋体"/>
          <w:sz w:val="24"/>
        </w:rPr>
        <w:t>联合体投标。</w:t>
      </w:r>
    </w:p>
    <w:p w14:paraId="16029C38">
      <w:pPr>
        <w:tabs>
          <w:tab w:val="left" w:pos="1021"/>
        </w:tabs>
        <w:ind w:left="425" w:firstLine="0"/>
        <w:outlineLvl w:val="9"/>
        <w:rPr>
          <w:rFonts w:ascii="宋体" w:hAnsi="宋体" w:eastAsia="宋体" w:cs="宋体"/>
          <w:b/>
          <w:sz w:val="24"/>
          <w:szCs w:val="24"/>
        </w:rPr>
      </w:pPr>
      <w:bookmarkStart w:id="13" w:name="_Toc28359003"/>
      <w:bookmarkStart w:id="14" w:name="_Toc70446096"/>
      <w:bookmarkStart w:id="15" w:name="_Toc35393791"/>
      <w:bookmarkStart w:id="16" w:name="_Toc35393622"/>
      <w:bookmarkStart w:id="17" w:name="_Toc28359080"/>
      <w:r>
        <w:rPr>
          <w:rFonts w:hint="eastAsia" w:ascii="宋体" w:hAnsi="宋体" w:eastAsia="宋体" w:cs="宋体"/>
          <w:b/>
          <w:sz w:val="24"/>
          <w:szCs w:val="24"/>
        </w:rPr>
        <w:t>二、</w:t>
      </w:r>
      <w:r>
        <w:rPr>
          <w:rFonts w:hint="eastAsia" w:ascii="宋体" w:hAnsi="宋体" w:eastAsia="宋体" w:cs="宋体"/>
          <w:b/>
          <w:sz w:val="24"/>
          <w:szCs w:val="24"/>
          <w:lang w:eastAsia="zh-CN"/>
        </w:rPr>
        <w:t>投标人</w:t>
      </w:r>
      <w:r>
        <w:rPr>
          <w:rFonts w:hint="eastAsia" w:ascii="宋体" w:hAnsi="宋体" w:eastAsia="宋体" w:cs="宋体"/>
          <w:b/>
          <w:sz w:val="24"/>
          <w:szCs w:val="24"/>
        </w:rPr>
        <w:t>的资格要求：</w:t>
      </w:r>
      <w:bookmarkEnd w:id="13"/>
      <w:bookmarkEnd w:id="14"/>
      <w:bookmarkEnd w:id="15"/>
      <w:bookmarkEnd w:id="16"/>
      <w:bookmarkEnd w:id="17"/>
    </w:p>
    <w:p w14:paraId="22D76EBD">
      <w:pPr>
        <w:spacing w:line="360" w:lineRule="auto"/>
        <w:ind w:firstLine="480" w:firstLineChars="200"/>
        <w:outlineLvl w:val="9"/>
        <w:rPr>
          <w:rFonts w:ascii="宋体" w:hAnsi="宋体"/>
          <w:sz w:val="24"/>
        </w:rPr>
      </w:pPr>
      <w:r>
        <w:rPr>
          <w:rFonts w:hint="eastAsia" w:ascii="宋体" w:hAnsi="宋体"/>
          <w:sz w:val="24"/>
        </w:rPr>
        <w:t>1.满足《中华人民共和国政府采购法》第二十二条规定；</w:t>
      </w:r>
    </w:p>
    <w:p w14:paraId="43FAFC95">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color w:val="auto"/>
          <w:kern w:val="0"/>
          <w:sz w:val="24"/>
          <w:szCs w:val="24"/>
        </w:rPr>
      </w:pPr>
      <w:bookmarkStart w:id="18" w:name="_Toc28359081"/>
      <w:bookmarkStart w:id="19" w:name="_Toc28359004"/>
      <w:r>
        <w:rPr>
          <w:rFonts w:hint="eastAsia" w:ascii="宋体" w:hAnsi="宋体" w:eastAsia="宋体" w:cs="宋体"/>
          <w:color w:val="auto"/>
          <w:kern w:val="0"/>
          <w:sz w:val="24"/>
          <w:szCs w:val="24"/>
        </w:rPr>
        <w:t>1.1具有独立承担民事责任的能力：投标人为法人、其他组织或者自然人（提供有效的营业执照或事业单位法人证书或民办非企业登记证书或执业许可证或社会团体登记证或自然人身份</w:t>
      </w:r>
      <w:r>
        <w:rPr>
          <w:rFonts w:hint="eastAsia" w:ascii="宋体" w:hAnsi="宋体" w:cs="宋体"/>
          <w:kern w:val="0"/>
          <w:sz w:val="24"/>
          <w:szCs w:val="24"/>
        </w:rPr>
        <w:t>证明）</w:t>
      </w:r>
      <w:r>
        <w:rPr>
          <w:rFonts w:hint="eastAsia" w:ascii="宋体" w:hAnsi="宋体" w:eastAsia="宋体" w:cs="宋体"/>
          <w:color w:val="auto"/>
          <w:kern w:val="0"/>
          <w:sz w:val="24"/>
          <w:szCs w:val="24"/>
        </w:rPr>
        <w:t>。</w:t>
      </w:r>
    </w:p>
    <w:p w14:paraId="718966D2">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1.2具有良好的商业信誉和健全的财务会计制度：</w:t>
      </w:r>
      <w:r>
        <w:rPr>
          <w:rFonts w:hint="eastAsia" w:ascii="宋体" w:hAnsi="宋体" w:cs="宋体"/>
          <w:color w:val="auto"/>
          <w:kern w:val="2"/>
          <w:sz w:val="24"/>
          <w:szCs w:val="24"/>
          <w:highlight w:val="none"/>
          <w:lang w:bidi="ar"/>
        </w:rPr>
        <w:t>投标人须提供财务状况报告，内容可为以下</w:t>
      </w:r>
      <w:r>
        <w:rPr>
          <w:rFonts w:hint="eastAsia" w:ascii="宋体" w:hAnsi="宋体" w:cs="宋体"/>
          <w:color w:val="auto"/>
          <w:kern w:val="2"/>
          <w:sz w:val="24"/>
          <w:szCs w:val="24"/>
          <w:highlight w:val="none"/>
          <w:lang w:val="en-US" w:eastAsia="zh-CN" w:bidi="ar"/>
        </w:rPr>
        <w:t>三</w:t>
      </w:r>
      <w:r>
        <w:rPr>
          <w:rFonts w:hint="eastAsia" w:ascii="宋体" w:hAnsi="宋体" w:cs="宋体"/>
          <w:color w:val="auto"/>
          <w:kern w:val="2"/>
          <w:sz w:val="24"/>
          <w:szCs w:val="24"/>
          <w:highlight w:val="none"/>
          <w:lang w:bidi="ar"/>
        </w:rPr>
        <w:t>者之一</w:t>
      </w:r>
      <w:r>
        <w:rPr>
          <w:rFonts w:hint="eastAsia" w:ascii="宋体" w:hAnsi="宋体" w:cs="宋体"/>
          <w:color w:val="auto"/>
          <w:kern w:val="2"/>
          <w:sz w:val="24"/>
          <w:szCs w:val="24"/>
          <w:highlight w:val="none"/>
          <w:lang w:eastAsia="zh-CN" w:bidi="ar"/>
        </w:rPr>
        <w:t>：</w:t>
      </w:r>
    </w:p>
    <w:p w14:paraId="79A0FC8A">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color w:val="auto"/>
          <w:kern w:val="0"/>
          <w:sz w:val="24"/>
          <w:szCs w:val="24"/>
          <w:lang w:eastAsia="zh-CN"/>
        </w:rPr>
      </w:pPr>
      <w:r>
        <w:rPr>
          <w:rFonts w:hint="default" w:ascii="宋体" w:hAnsi="宋体" w:eastAsia="宋体" w:cs="宋体"/>
          <w:color w:val="auto"/>
          <w:kern w:val="0"/>
          <w:sz w:val="24"/>
          <w:szCs w:val="24"/>
        </w:rPr>
        <w:t>①</w:t>
      </w:r>
      <w:r>
        <w:rPr>
          <w:rFonts w:hint="eastAsia" w:ascii="宋体" w:hAnsi="宋体" w:eastAsia="宋体" w:cs="宋体"/>
          <w:color w:val="auto"/>
          <w:kern w:val="0"/>
          <w:sz w:val="24"/>
          <w:szCs w:val="24"/>
        </w:rPr>
        <w:t>提供</w:t>
      </w:r>
      <w:r>
        <w:rPr>
          <w:rFonts w:hint="eastAsia" w:ascii="宋体" w:hAnsi="宋体" w:eastAsia="宋体" w:cs="宋体"/>
          <w:color w:val="auto"/>
          <w:kern w:val="0"/>
          <w:sz w:val="24"/>
          <w:szCs w:val="24"/>
          <w:lang w:val="en-US" w:eastAsia="zh-CN"/>
        </w:rPr>
        <w:t>2022年至2024年</w:t>
      </w:r>
      <w:r>
        <w:rPr>
          <w:rFonts w:hint="eastAsia" w:ascii="宋体" w:hAnsi="宋体" w:eastAsia="宋体" w:cs="宋体"/>
          <w:b/>
          <w:bCs/>
          <w:color w:val="auto"/>
          <w:kern w:val="0"/>
          <w:sz w:val="24"/>
          <w:szCs w:val="24"/>
          <w:lang w:val="en-US" w:eastAsia="zh-CN"/>
        </w:rPr>
        <w:t>或</w:t>
      </w:r>
      <w:r>
        <w:rPr>
          <w:rFonts w:hint="eastAsia" w:ascii="宋体" w:hAnsi="宋体" w:eastAsia="宋体" w:cs="宋体"/>
          <w:color w:val="auto"/>
          <w:kern w:val="0"/>
          <w:sz w:val="24"/>
          <w:szCs w:val="24"/>
          <w:lang w:val="en-US" w:eastAsia="zh-CN"/>
        </w:rPr>
        <w:t>2023至2025年连续三年度</w:t>
      </w:r>
      <w:r>
        <w:rPr>
          <w:rFonts w:hint="eastAsia" w:ascii="宋体" w:hAnsi="宋体" w:eastAsia="宋体" w:cs="宋体"/>
          <w:color w:val="auto"/>
          <w:kern w:val="0"/>
          <w:sz w:val="24"/>
          <w:szCs w:val="24"/>
        </w:rPr>
        <w:t>经审计的</w:t>
      </w:r>
      <w:r>
        <w:rPr>
          <w:rFonts w:hint="eastAsia" w:ascii="宋体" w:hAnsi="宋体" w:eastAsia="宋体" w:cs="宋体"/>
          <w:color w:val="auto"/>
          <w:kern w:val="0"/>
          <w:sz w:val="24"/>
          <w:szCs w:val="24"/>
          <w:lang w:val="en-US" w:eastAsia="zh-CN"/>
        </w:rPr>
        <w:t>财务报告</w:t>
      </w:r>
      <w:r>
        <w:rPr>
          <w:rFonts w:hint="eastAsia" w:ascii="宋体" w:hAnsi="宋体" w:eastAsia="宋体" w:cs="宋体"/>
          <w:color w:val="auto"/>
          <w:kern w:val="0"/>
          <w:sz w:val="24"/>
          <w:szCs w:val="24"/>
        </w:rPr>
        <w:t>（包括资产负债表、现金流量表、利润表</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所有者权益变动表（执行小企业会计准则的</w:t>
      </w:r>
      <w:r>
        <w:rPr>
          <w:rFonts w:hint="eastAsia" w:ascii="宋体" w:hAnsi="宋体" w:eastAsia="宋体" w:cs="宋体"/>
          <w:color w:val="auto"/>
          <w:kern w:val="0"/>
          <w:sz w:val="24"/>
          <w:szCs w:val="24"/>
          <w:lang w:val="en-US" w:eastAsia="zh-CN"/>
        </w:rPr>
        <w:t>投标人</w:t>
      </w:r>
      <w:r>
        <w:rPr>
          <w:rFonts w:hint="eastAsia" w:ascii="宋体" w:hAnsi="宋体" w:eastAsia="宋体" w:cs="宋体"/>
          <w:color w:val="auto"/>
          <w:kern w:val="0"/>
          <w:sz w:val="24"/>
          <w:szCs w:val="24"/>
        </w:rPr>
        <w:t>可不提供）及附注（执行小企业会计准则的</w:t>
      </w:r>
      <w:r>
        <w:rPr>
          <w:rFonts w:hint="eastAsia" w:ascii="宋体" w:hAnsi="宋体" w:eastAsia="宋体" w:cs="宋体"/>
          <w:color w:val="auto"/>
          <w:kern w:val="0"/>
          <w:sz w:val="24"/>
          <w:szCs w:val="24"/>
          <w:lang w:val="en-US" w:eastAsia="zh-CN"/>
        </w:rPr>
        <w:t>投标人</w:t>
      </w:r>
      <w:r>
        <w:rPr>
          <w:rFonts w:hint="eastAsia" w:ascii="宋体" w:hAnsi="宋体" w:eastAsia="宋体" w:cs="宋体"/>
          <w:color w:val="auto"/>
          <w:kern w:val="0"/>
          <w:sz w:val="24"/>
          <w:szCs w:val="24"/>
        </w:rPr>
        <w:t>可不提供））</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新成立公司，</w:t>
      </w:r>
      <w:r>
        <w:rPr>
          <w:rFonts w:hint="eastAsia" w:ascii="宋体" w:hAnsi="宋体" w:eastAsia="宋体" w:cs="宋体"/>
          <w:color w:val="auto"/>
          <w:kern w:val="0"/>
          <w:sz w:val="24"/>
          <w:szCs w:val="24"/>
        </w:rPr>
        <w:t>提供成立至今的财务报表或财务状况说明</w:t>
      </w:r>
      <w:r>
        <w:rPr>
          <w:rFonts w:hint="eastAsia" w:ascii="宋体" w:hAnsi="宋体" w:eastAsia="宋体" w:cs="宋体"/>
          <w:color w:val="auto"/>
          <w:kern w:val="0"/>
          <w:sz w:val="24"/>
          <w:szCs w:val="24"/>
          <w:lang w:eastAsia="zh-CN"/>
        </w:rPr>
        <w:t>；</w:t>
      </w:r>
    </w:p>
    <w:p w14:paraId="0B7573EC">
      <w:pPr>
        <w:keepNext w:val="0"/>
        <w:keepLines w:val="0"/>
        <w:pageBreakBefore w:val="0"/>
        <w:kinsoku/>
        <w:overflowPunct/>
        <w:topLinePunct w:val="0"/>
        <w:autoSpaceDE/>
        <w:autoSpaceDN/>
        <w:bidi w:val="0"/>
        <w:spacing w:line="500" w:lineRule="exact"/>
        <w:ind w:firstLine="480" w:firstLineChars="200"/>
        <w:textAlignment w:val="auto"/>
        <w:outlineLvl w:val="9"/>
        <w:rPr>
          <w:rFonts w:hint="eastAsia" w:ascii="宋体" w:hAnsi="宋体" w:eastAsia="宋体" w:cs="宋体"/>
          <w:color w:val="auto"/>
          <w:kern w:val="0"/>
          <w:sz w:val="24"/>
          <w:szCs w:val="24"/>
          <w:lang w:eastAsia="zh-CN"/>
        </w:rPr>
      </w:pPr>
      <w:r>
        <w:rPr>
          <w:rFonts w:hint="default" w:ascii="宋体" w:hAnsi="宋体" w:eastAsia="宋体" w:cs="宋体"/>
          <w:color w:val="auto"/>
          <w:kern w:val="0"/>
          <w:sz w:val="24"/>
          <w:szCs w:val="24"/>
          <w:lang w:val="en-US" w:eastAsia="zh-CN"/>
        </w:rPr>
        <w:t>②</w:t>
      </w:r>
      <w:r>
        <w:rPr>
          <w:rFonts w:hint="eastAsia" w:ascii="宋体" w:hAnsi="宋体" w:eastAsia="宋体" w:cs="宋体"/>
          <w:color w:val="auto"/>
          <w:kern w:val="0"/>
          <w:sz w:val="24"/>
          <w:szCs w:val="24"/>
          <w:lang w:val="en-US" w:eastAsia="zh-CN"/>
        </w:rPr>
        <w:t>开标时间前</w:t>
      </w:r>
      <w:r>
        <w:rPr>
          <w:rFonts w:hint="eastAsia" w:ascii="宋体" w:hAnsi="宋体" w:eastAsia="宋体" w:cs="宋体"/>
          <w:color w:val="auto"/>
          <w:kern w:val="0"/>
          <w:sz w:val="24"/>
          <w:szCs w:val="24"/>
        </w:rPr>
        <w:t>三个月内（含开标当月）</w:t>
      </w:r>
      <w:r>
        <w:rPr>
          <w:rFonts w:hint="eastAsia" w:ascii="宋体" w:hAnsi="宋体" w:eastAsia="宋体" w:cs="宋体"/>
          <w:color w:val="auto"/>
          <w:kern w:val="0"/>
          <w:sz w:val="24"/>
          <w:szCs w:val="24"/>
          <w:lang w:val="en-US" w:eastAsia="zh-CN"/>
        </w:rPr>
        <w:t>由</w:t>
      </w:r>
      <w:r>
        <w:rPr>
          <w:rFonts w:hint="eastAsia" w:ascii="宋体" w:hAnsi="宋体" w:eastAsia="宋体" w:cs="宋体"/>
          <w:color w:val="auto"/>
          <w:kern w:val="0"/>
          <w:sz w:val="24"/>
          <w:szCs w:val="24"/>
        </w:rPr>
        <w:t>基本开户银行出具的资信证明</w:t>
      </w:r>
      <w:r>
        <w:rPr>
          <w:rFonts w:hint="eastAsia" w:ascii="宋体" w:hAnsi="宋体" w:eastAsia="宋体" w:cs="宋体"/>
          <w:color w:val="auto"/>
          <w:kern w:val="0"/>
          <w:sz w:val="24"/>
          <w:szCs w:val="24"/>
          <w:lang w:eastAsia="zh-CN"/>
        </w:rPr>
        <w:t>；</w:t>
      </w:r>
    </w:p>
    <w:p w14:paraId="731234FC">
      <w:pPr>
        <w:keepNext w:val="0"/>
        <w:keepLines w:val="0"/>
        <w:pageBreakBefore w:val="0"/>
        <w:kinsoku/>
        <w:overflowPunct/>
        <w:topLinePunct w:val="0"/>
        <w:autoSpaceDE/>
        <w:autoSpaceDN/>
        <w:bidi w:val="0"/>
        <w:spacing w:line="500" w:lineRule="exact"/>
        <w:ind w:firstLine="480" w:firstLineChars="200"/>
        <w:textAlignment w:val="auto"/>
        <w:outlineLvl w:val="9"/>
        <w:rPr>
          <w:rFonts w:hint="eastAsia" w:ascii="宋体" w:hAnsi="宋体" w:eastAsia="宋体" w:cs="宋体"/>
          <w:color w:val="auto"/>
          <w:kern w:val="0"/>
          <w:sz w:val="24"/>
          <w:szCs w:val="24"/>
          <w:lang w:val="en-US" w:eastAsia="zh-CN"/>
        </w:rPr>
      </w:pPr>
      <w:r>
        <w:rPr>
          <w:rFonts w:hint="default" w:ascii="宋体" w:hAnsi="宋体" w:eastAsia="宋体" w:cs="宋体"/>
          <w:color w:val="auto"/>
          <w:kern w:val="0"/>
          <w:sz w:val="24"/>
          <w:szCs w:val="24"/>
        </w:rPr>
        <w:t>③</w:t>
      </w:r>
      <w:r>
        <w:rPr>
          <w:rFonts w:hint="eastAsia" w:ascii="宋体" w:hAnsi="宋体" w:eastAsia="宋体" w:cs="宋体"/>
          <w:color w:val="auto"/>
          <w:kern w:val="0"/>
          <w:sz w:val="24"/>
          <w:szCs w:val="24"/>
        </w:rPr>
        <w:t>财政部门认可的政府采购专业担保机构出具的投标担保函</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需同时提供专业担保机构经财政部门认可的证明文件）。</w:t>
      </w:r>
    </w:p>
    <w:p w14:paraId="2EB1816F">
      <w:pPr>
        <w:keepNext w:val="0"/>
        <w:keepLines w:val="0"/>
        <w:pageBreakBefore w:val="0"/>
        <w:kinsoku/>
        <w:overflowPunct/>
        <w:topLinePunct w:val="0"/>
        <w:autoSpaceDE/>
        <w:autoSpaceDN/>
        <w:bidi w:val="0"/>
        <w:spacing w:line="500" w:lineRule="exact"/>
        <w:ind w:firstLine="480" w:firstLineChars="200"/>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1.3具有履行合同所必需的设备和专业技术能力：提供书面声明或证明材料。</w:t>
      </w:r>
    </w:p>
    <w:p w14:paraId="4C30B7B1">
      <w:pPr>
        <w:keepNext w:val="0"/>
        <w:keepLines w:val="0"/>
        <w:pageBreakBefore w:val="0"/>
        <w:kinsoku/>
        <w:overflowPunct/>
        <w:topLinePunct w:val="0"/>
        <w:autoSpaceDE/>
        <w:autoSpaceDN/>
        <w:bidi w:val="0"/>
        <w:spacing w:line="500" w:lineRule="exact"/>
        <w:ind w:firstLine="480" w:firstLineChars="200"/>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1.4有依法缴纳税收和社会保障资金的良好记录：提供</w:t>
      </w:r>
      <w:r>
        <w:rPr>
          <w:rFonts w:hint="eastAsia" w:ascii="宋体" w:hAnsi="宋体" w:eastAsia="宋体" w:cs="宋体"/>
          <w:color w:val="auto"/>
          <w:kern w:val="0"/>
          <w:sz w:val="24"/>
          <w:szCs w:val="24"/>
          <w:lang w:val="en-US" w:eastAsia="zh-CN"/>
        </w:rPr>
        <w:t>2025</w:t>
      </w:r>
      <w:r>
        <w:rPr>
          <w:rFonts w:hint="eastAsia" w:ascii="宋体" w:hAnsi="宋体" w:eastAsia="宋体" w:cs="宋体"/>
          <w:color w:val="auto"/>
          <w:kern w:val="0"/>
          <w:sz w:val="24"/>
          <w:szCs w:val="24"/>
        </w:rPr>
        <w:t>年</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月至今任意3个月依法缴纳税收和社会保障资金的证明(</w:t>
      </w:r>
      <w:r>
        <w:rPr>
          <w:rFonts w:hint="eastAsia" w:ascii="宋体" w:hAnsi="宋体" w:eastAsia="宋体" w:cs="宋体"/>
          <w:color w:val="auto"/>
          <w:kern w:val="0"/>
          <w:sz w:val="24"/>
          <w:szCs w:val="24"/>
          <w:lang w:val="en-US" w:eastAsia="zh-CN"/>
        </w:rPr>
        <w:t>若投标人成立时间不足</w:t>
      </w:r>
      <w:r>
        <w:rPr>
          <w:rFonts w:hint="eastAsia" w:ascii="宋体" w:hAnsi="宋体" w:eastAsia="宋体" w:cs="宋体"/>
          <w:color w:val="auto"/>
          <w:kern w:val="0"/>
          <w:sz w:val="24"/>
          <w:szCs w:val="24"/>
        </w:rPr>
        <w:t>3个月</w:t>
      </w:r>
      <w:r>
        <w:rPr>
          <w:rFonts w:hint="eastAsia" w:ascii="宋体" w:hAnsi="宋体" w:eastAsia="宋体" w:cs="宋体"/>
          <w:color w:val="auto"/>
          <w:kern w:val="0"/>
          <w:sz w:val="24"/>
          <w:szCs w:val="24"/>
          <w:lang w:val="en-US" w:eastAsia="zh-CN"/>
        </w:rPr>
        <w:t>的，</w:t>
      </w:r>
      <w:r>
        <w:rPr>
          <w:rFonts w:hint="eastAsia" w:ascii="宋体" w:hAnsi="宋体" w:eastAsia="宋体" w:cs="宋体"/>
          <w:color w:val="auto"/>
          <w:kern w:val="0"/>
          <w:sz w:val="24"/>
          <w:szCs w:val="24"/>
        </w:rPr>
        <w:t>提供成立以来的税收和社会保障资金缴纳凭据；依法免税或不需要缴纳社会保障资金的投标人，应提供相应文件证明其依法免税或不需要缴纳社会保障资金)</w:t>
      </w:r>
      <w:r>
        <w:rPr>
          <w:rFonts w:hint="eastAsia" w:ascii="宋体" w:hAnsi="宋体" w:eastAsia="宋体" w:cs="宋体"/>
          <w:color w:val="auto"/>
          <w:kern w:val="0"/>
          <w:sz w:val="24"/>
          <w:szCs w:val="24"/>
          <w:lang w:eastAsia="zh-CN"/>
        </w:rPr>
        <w:t>。</w:t>
      </w:r>
    </w:p>
    <w:p w14:paraId="180C2411">
      <w:pPr>
        <w:spacing w:line="360" w:lineRule="auto"/>
        <w:ind w:firstLine="480" w:firstLineChars="200"/>
        <w:outlineLvl w:val="9"/>
        <w:rPr>
          <w:rFonts w:hint="eastAsia" w:ascii="宋体" w:hAnsi="宋体" w:eastAsia="宋体" w:cs="Times New Roman"/>
          <w:sz w:val="24"/>
          <w:lang w:eastAsia="zh-CN"/>
        </w:rPr>
      </w:pPr>
      <w:r>
        <w:rPr>
          <w:rFonts w:hint="eastAsia" w:ascii="宋体" w:hAnsi="宋体" w:eastAsia="宋体" w:cs="宋体"/>
          <w:color w:val="auto"/>
          <w:kern w:val="0"/>
          <w:sz w:val="24"/>
          <w:szCs w:val="24"/>
        </w:rPr>
        <w:t>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w:t>
      </w:r>
      <w:r>
        <w:rPr>
          <w:rFonts w:hint="eastAsia" w:ascii="宋体" w:hAnsi="宋体" w:eastAsia="宋体" w:cs="宋体"/>
          <w:color w:val="auto"/>
          <w:kern w:val="0"/>
          <w:sz w:val="24"/>
          <w:szCs w:val="24"/>
          <w:lang w:eastAsia="zh-CN"/>
        </w:rPr>
        <w:t>。</w:t>
      </w:r>
    </w:p>
    <w:p w14:paraId="0D9BAC04">
      <w:pPr>
        <w:spacing w:line="360" w:lineRule="auto"/>
        <w:ind w:firstLine="480" w:firstLineChars="200"/>
        <w:outlineLvl w:val="9"/>
        <w:rPr>
          <w:rFonts w:hint="eastAsia" w:ascii="宋体" w:hAnsi="宋体" w:eastAsia="宋体" w:cs="Times New Roman"/>
          <w:sz w:val="24"/>
        </w:rPr>
      </w:pPr>
      <w:r>
        <w:rPr>
          <w:rFonts w:hint="eastAsia" w:ascii="宋体" w:hAnsi="宋体" w:eastAsia="宋体" w:cs="宋体"/>
          <w:color w:val="auto"/>
          <w:kern w:val="0"/>
          <w:sz w:val="24"/>
          <w:szCs w:val="24"/>
        </w:rPr>
        <w:t>1.6符合法律、行政法规规定的其他条件：</w:t>
      </w:r>
    </w:p>
    <w:p w14:paraId="11351224">
      <w:pPr>
        <w:spacing w:line="360" w:lineRule="auto"/>
        <w:ind w:firstLine="480" w:firstLineChars="200"/>
        <w:outlineLvl w:val="9"/>
        <w:rPr>
          <w:rFonts w:hint="eastAsia" w:ascii="宋体" w:hAnsi="宋体" w:eastAsia="宋体" w:cs="宋体"/>
          <w:color w:val="auto"/>
          <w:kern w:val="0"/>
          <w:sz w:val="24"/>
          <w:szCs w:val="24"/>
          <w:lang w:eastAsia="zh-CN"/>
        </w:rPr>
      </w:pPr>
      <w:r>
        <w:rPr>
          <w:rFonts w:hint="eastAsia" w:ascii="宋体" w:hAnsi="宋体" w:eastAsia="宋体" w:cs="Times New Roman"/>
          <w:sz w:val="24"/>
          <w:lang w:val="en-US" w:eastAsia="zh-CN"/>
        </w:rPr>
        <w:t>1.6.1</w:t>
      </w:r>
      <w:r>
        <w:rPr>
          <w:rFonts w:hint="eastAsia" w:ascii="宋体" w:hAnsi="宋体" w:eastAsia="宋体" w:cs="宋体"/>
          <w:color w:val="auto"/>
          <w:kern w:val="0"/>
          <w:sz w:val="24"/>
          <w:szCs w:val="24"/>
        </w:rPr>
        <w:t>单位负责人为同一人或者存在直接控股、管理关系的不同投标人，不得参加同一合同项下的政府采购活动，提供承诺书</w:t>
      </w:r>
      <w:r>
        <w:rPr>
          <w:rFonts w:hint="eastAsia" w:ascii="宋体" w:hAnsi="宋体" w:eastAsia="宋体" w:cs="宋体"/>
          <w:color w:val="auto"/>
          <w:kern w:val="0"/>
          <w:sz w:val="24"/>
          <w:szCs w:val="24"/>
          <w:lang w:eastAsia="zh-CN"/>
        </w:rPr>
        <w:t>；</w:t>
      </w:r>
    </w:p>
    <w:p w14:paraId="5B5E8A78">
      <w:pPr>
        <w:spacing w:line="360" w:lineRule="auto"/>
        <w:ind w:firstLine="480" w:firstLineChars="200"/>
        <w:outlineLvl w:val="9"/>
        <w:rPr>
          <w:rFonts w:hint="default" w:ascii="宋体" w:hAnsi="宋体" w:eastAsia="宋体" w:cs="Times New Roman"/>
          <w:sz w:val="24"/>
          <w:lang w:val="en-US" w:eastAsia="zh-CN"/>
        </w:rPr>
      </w:pPr>
      <w:r>
        <w:rPr>
          <w:rFonts w:hint="eastAsia" w:ascii="宋体" w:hAnsi="宋体" w:eastAsia="宋体" w:cs="Times New Roman"/>
          <w:sz w:val="24"/>
          <w:lang w:val="en-US" w:eastAsia="zh-CN"/>
        </w:rPr>
        <w:t>1.6.2为采购项目提供整体设计、规范编制或者项目管理、监理、检测等服务的投标人，不得再参加该采购项目的其他采购活动；</w:t>
      </w:r>
    </w:p>
    <w:p w14:paraId="6C405F7C">
      <w:pPr>
        <w:spacing w:line="360" w:lineRule="auto"/>
        <w:ind w:firstLine="480" w:firstLineChars="200"/>
        <w:outlineLvl w:val="9"/>
        <w:rPr>
          <w:rFonts w:hint="eastAsia" w:ascii="宋体" w:hAnsi="宋体" w:eastAsia="宋体" w:cs="Times New Roman"/>
          <w:sz w:val="24"/>
          <w:lang w:val="en-US" w:eastAsia="zh-CN"/>
        </w:rPr>
      </w:pPr>
      <w:r>
        <w:rPr>
          <w:rFonts w:hint="eastAsia" w:ascii="宋体" w:hAnsi="宋体" w:eastAsia="宋体" w:cs="Times New Roman"/>
          <w:sz w:val="24"/>
          <w:lang w:val="en-US" w:eastAsia="zh-CN"/>
        </w:rPr>
        <w:t>1.6.3投标人若中标，不得以任何形式进行转包，提供承诺书；</w:t>
      </w:r>
    </w:p>
    <w:p w14:paraId="78926A56">
      <w:pPr>
        <w:spacing w:line="360" w:lineRule="auto"/>
        <w:ind w:firstLine="480" w:firstLineChars="200"/>
        <w:outlineLvl w:val="9"/>
        <w:rPr>
          <w:rFonts w:hint="default" w:ascii="宋体" w:hAnsi="宋体" w:eastAsia="宋体" w:cs="Times New Roman"/>
          <w:sz w:val="24"/>
          <w:lang w:val="en-US" w:eastAsia="zh-CN"/>
        </w:rPr>
      </w:pPr>
      <w:r>
        <w:rPr>
          <w:rFonts w:hint="eastAsia" w:ascii="宋体" w:hAnsi="宋体" w:eastAsia="宋体" w:cs="Times New Roman"/>
          <w:sz w:val="24"/>
          <w:lang w:val="en-US" w:eastAsia="zh-CN"/>
        </w:rPr>
        <w:t>1.6.4投标人未被列入“信用中国”（www.creditchina.gov.cn）</w:t>
      </w:r>
      <w:r>
        <w:rPr>
          <w:rFonts w:hint="eastAsia" w:ascii="宋体" w:hAnsi="宋体" w:cs="宋体"/>
          <w:color w:val="auto"/>
          <w:kern w:val="0"/>
          <w:sz w:val="24"/>
          <w:highlight w:val="none"/>
        </w:rPr>
        <w:t>失信被执行人</w:t>
      </w:r>
      <w:r>
        <w:rPr>
          <w:rFonts w:hint="eastAsia" w:ascii="宋体" w:hAnsi="宋体" w:cs="宋体"/>
          <w:color w:val="auto"/>
          <w:kern w:val="0"/>
          <w:sz w:val="24"/>
          <w:highlight w:val="none"/>
          <w:lang w:eastAsia="zh-CN"/>
        </w:rPr>
        <w:t>、</w:t>
      </w:r>
      <w:r>
        <w:rPr>
          <w:rFonts w:hint="eastAsia" w:ascii="宋体" w:hAnsi="宋体" w:eastAsia="宋体" w:cs="Times New Roman"/>
          <w:sz w:val="24"/>
          <w:lang w:val="en-US" w:eastAsia="zh-CN"/>
        </w:rPr>
        <w:t>重大税收违法失信主体及“中国政府采购网”（www.ccgp.gov.cn）政府采购严重违法失信行为记录名单，（采购代理机构将于评标前对投标人进行信用信息查询。查询记录为上述网站信用信息查询结果的网页截图或网页打印稿。）</w:t>
      </w:r>
    </w:p>
    <w:p w14:paraId="391FC6FD">
      <w:pPr>
        <w:spacing w:line="360" w:lineRule="auto"/>
        <w:ind w:firstLine="480" w:firstLineChars="200"/>
        <w:outlineLvl w:val="9"/>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2.落实政府采购政策需满足的资格要求：</w:t>
      </w:r>
      <w:r>
        <w:rPr>
          <w:rFonts w:hint="eastAsia" w:ascii="宋体" w:hAnsi="宋体" w:cs="宋体"/>
          <w:color w:val="000000"/>
          <w:kern w:val="0"/>
          <w:sz w:val="24"/>
          <w:highlight w:val="none"/>
        </w:rPr>
        <w:t>本项目</w:t>
      </w:r>
      <w:r>
        <w:rPr>
          <w:rFonts w:hint="eastAsia" w:ascii="宋体" w:hAnsi="宋体" w:cs="宋体"/>
          <w:color w:val="000000"/>
          <w:kern w:val="0"/>
          <w:sz w:val="24"/>
          <w:highlight w:val="none"/>
          <w:lang w:val="en-US" w:eastAsia="zh-CN"/>
        </w:rPr>
        <w:t>非</w:t>
      </w:r>
      <w:r>
        <w:rPr>
          <w:rFonts w:hint="eastAsia" w:ascii="宋体" w:hAnsi="宋体" w:cs="宋体"/>
          <w:color w:val="000000"/>
          <w:kern w:val="0"/>
          <w:sz w:val="24"/>
          <w:highlight w:val="none"/>
        </w:rPr>
        <w:t>专门面向中小企业采购的项目</w:t>
      </w:r>
      <w:r>
        <w:rPr>
          <w:rFonts w:hint="eastAsia" w:ascii="宋体" w:hAnsi="宋体" w:eastAsia="宋体" w:cs="宋体"/>
          <w:kern w:val="0"/>
          <w:sz w:val="24"/>
          <w:szCs w:val="24"/>
          <w:highlight w:val="none"/>
          <w:lang w:val="en-US" w:eastAsia="zh-CN"/>
        </w:rPr>
        <w:t>。</w:t>
      </w:r>
    </w:p>
    <w:p w14:paraId="2563F206">
      <w:pPr>
        <w:spacing w:line="360" w:lineRule="auto"/>
        <w:ind w:firstLine="480" w:firstLineChars="200"/>
        <w:outlineLvl w:val="9"/>
        <w:rPr>
          <w:rFonts w:hint="default" w:ascii="宋体" w:hAnsi="宋体" w:eastAsia="宋体" w:cs="Times New Roman"/>
          <w:sz w:val="24"/>
          <w:lang w:val="en-US" w:eastAsia="zh-CN"/>
        </w:rPr>
      </w:pPr>
      <w:r>
        <w:rPr>
          <w:rFonts w:hint="eastAsia" w:ascii="宋体" w:hAnsi="宋体" w:eastAsia="宋体" w:cs="Times New Roman"/>
          <w:sz w:val="24"/>
        </w:rPr>
        <w:t>3.本项目的特定资格要求：</w:t>
      </w:r>
      <w:bookmarkStart w:id="20" w:name="_Toc35393623"/>
      <w:bookmarkStart w:id="21" w:name="_Toc35393792"/>
      <w:bookmarkStart w:id="22" w:name="_Toc70446097"/>
      <w:r>
        <w:rPr>
          <w:rFonts w:hint="eastAsia" w:ascii="宋体" w:hAnsi="宋体" w:eastAsia="宋体" w:cs="Times New Roman"/>
          <w:sz w:val="24"/>
          <w:lang w:val="en-US" w:eastAsia="zh-CN"/>
        </w:rPr>
        <w:t>投标人应当具备有效的《食品生产许可证》或《食品经营许可证》（属于销售食用农产品等法律、法规规定的不需要取得食品经营许可情形的，提供相关情况说明），所投产品必须符合国家食品质量标准。</w:t>
      </w:r>
    </w:p>
    <w:p w14:paraId="40930A4A">
      <w:pPr>
        <w:keepLines w:val="0"/>
        <w:pageBreakBefore w:val="0"/>
        <w:kinsoku/>
        <w:wordWrap/>
        <w:overflowPunct/>
        <w:topLinePunct w:val="0"/>
        <w:autoSpaceDE/>
        <w:autoSpaceDN/>
        <w:bidi w:val="0"/>
        <w:adjustRightInd w:val="0"/>
        <w:snapToGrid w:val="0"/>
        <w:spacing w:line="500" w:lineRule="exact"/>
        <w:ind w:firstLine="482" w:firstLineChars="200"/>
        <w:outlineLvl w:val="9"/>
        <w:rPr>
          <w:rFonts w:ascii="宋体" w:hAnsi="宋体" w:cs="宋体"/>
          <w:b/>
          <w:sz w:val="24"/>
        </w:rPr>
      </w:pPr>
      <w:r>
        <w:rPr>
          <w:rFonts w:hint="eastAsia" w:ascii="宋体" w:hAnsi="宋体" w:cs="宋体"/>
          <w:b/>
          <w:sz w:val="24"/>
        </w:rPr>
        <w:t>三、获取招标文件</w:t>
      </w:r>
      <w:bookmarkEnd w:id="18"/>
      <w:bookmarkEnd w:id="19"/>
      <w:bookmarkEnd w:id="20"/>
      <w:bookmarkEnd w:id="21"/>
      <w:bookmarkEnd w:id="22"/>
    </w:p>
    <w:p w14:paraId="35EFBE48">
      <w:pPr>
        <w:keepLines w:val="0"/>
        <w:pageBreakBefore w:val="0"/>
        <w:kinsoku/>
        <w:wordWrap/>
        <w:overflowPunct/>
        <w:topLinePunct w:val="0"/>
        <w:autoSpaceDE/>
        <w:autoSpaceDN/>
        <w:bidi w:val="0"/>
        <w:adjustRightInd w:val="0"/>
        <w:snapToGrid w:val="0"/>
        <w:spacing w:line="500" w:lineRule="exact"/>
        <w:ind w:firstLine="540"/>
        <w:outlineLvl w:val="9"/>
        <w:rPr>
          <w:rFonts w:ascii="宋体" w:hAnsi="宋体" w:cs="宋体"/>
          <w:sz w:val="24"/>
        </w:rPr>
      </w:pPr>
      <w:r>
        <w:rPr>
          <w:rFonts w:hint="eastAsia" w:ascii="宋体" w:hAnsi="宋体" w:cs="宋体"/>
          <w:sz w:val="24"/>
        </w:rPr>
        <w:t>时间：</w:t>
      </w:r>
      <w:r>
        <w:rPr>
          <w:rFonts w:hint="eastAsia" w:ascii="宋体" w:hAnsi="宋体" w:cs="宋体"/>
          <w:sz w:val="24"/>
          <w:highlight w:val="none"/>
          <w:u w:val="single"/>
        </w:rPr>
        <w:t>202</w:t>
      </w:r>
      <w:r>
        <w:rPr>
          <w:rFonts w:hint="eastAsia" w:ascii="宋体" w:hAnsi="宋体" w:cs="宋体"/>
          <w:sz w:val="24"/>
          <w:highlight w:val="none"/>
          <w:u w:val="single"/>
          <w:lang w:val="en-US" w:eastAsia="zh-CN"/>
        </w:rPr>
        <w:t>6</w:t>
      </w:r>
      <w:r>
        <w:rPr>
          <w:rFonts w:hint="eastAsia" w:ascii="宋体" w:hAnsi="宋体" w:cs="宋体"/>
          <w:sz w:val="24"/>
          <w:highlight w:val="none"/>
          <w:u w:val="single"/>
        </w:rPr>
        <w:t>年</w:t>
      </w:r>
      <w:r>
        <w:rPr>
          <w:rFonts w:hint="eastAsia" w:ascii="宋体" w:hAnsi="宋体" w:cs="宋体"/>
          <w:sz w:val="24"/>
          <w:highlight w:val="none"/>
          <w:u w:val="single"/>
          <w:lang w:val="en-US" w:eastAsia="zh-CN"/>
        </w:rPr>
        <w:t>04</w:t>
      </w:r>
      <w:r>
        <w:rPr>
          <w:rFonts w:hint="eastAsia" w:ascii="宋体" w:hAnsi="宋体" w:cs="宋体"/>
          <w:sz w:val="24"/>
          <w:highlight w:val="none"/>
          <w:u w:val="single"/>
        </w:rPr>
        <w:t>月</w:t>
      </w:r>
      <w:r>
        <w:rPr>
          <w:rFonts w:hint="eastAsia" w:ascii="宋体" w:hAnsi="宋体" w:cs="宋体"/>
          <w:sz w:val="24"/>
          <w:highlight w:val="none"/>
          <w:u w:val="single"/>
          <w:lang w:val="en-US" w:eastAsia="zh-CN"/>
        </w:rPr>
        <w:t>15</w:t>
      </w:r>
      <w:r>
        <w:rPr>
          <w:rFonts w:hint="eastAsia" w:ascii="宋体" w:hAnsi="宋体" w:cs="宋体"/>
          <w:sz w:val="24"/>
          <w:highlight w:val="none"/>
          <w:u w:val="single"/>
        </w:rPr>
        <w:t>日至202</w:t>
      </w:r>
      <w:r>
        <w:rPr>
          <w:rFonts w:hint="eastAsia" w:ascii="宋体" w:hAnsi="宋体" w:cs="宋体"/>
          <w:sz w:val="24"/>
          <w:highlight w:val="none"/>
          <w:u w:val="single"/>
          <w:lang w:val="en-US" w:eastAsia="zh-CN"/>
        </w:rPr>
        <w:t>6</w:t>
      </w:r>
      <w:r>
        <w:rPr>
          <w:rFonts w:hint="eastAsia" w:ascii="宋体" w:hAnsi="宋体" w:cs="宋体"/>
          <w:sz w:val="24"/>
          <w:highlight w:val="none"/>
          <w:u w:val="single"/>
        </w:rPr>
        <w:t>年</w:t>
      </w:r>
      <w:r>
        <w:rPr>
          <w:rFonts w:hint="eastAsia" w:ascii="宋体" w:hAnsi="宋体" w:cs="宋体"/>
          <w:sz w:val="24"/>
          <w:highlight w:val="none"/>
          <w:u w:val="single"/>
          <w:lang w:val="en-US" w:eastAsia="zh-CN"/>
        </w:rPr>
        <w:t>04</w:t>
      </w:r>
      <w:r>
        <w:rPr>
          <w:rFonts w:hint="eastAsia" w:ascii="宋体" w:hAnsi="宋体" w:cs="宋体"/>
          <w:sz w:val="24"/>
          <w:highlight w:val="none"/>
          <w:u w:val="single"/>
        </w:rPr>
        <w:t>月</w:t>
      </w:r>
      <w:r>
        <w:rPr>
          <w:rFonts w:hint="eastAsia" w:ascii="宋体" w:hAnsi="宋体" w:cs="宋体"/>
          <w:sz w:val="24"/>
          <w:highlight w:val="none"/>
          <w:u w:val="single"/>
          <w:lang w:val="en-US" w:eastAsia="zh-CN"/>
        </w:rPr>
        <w:t>23</w:t>
      </w:r>
      <w:r>
        <w:rPr>
          <w:rFonts w:hint="eastAsia" w:ascii="宋体" w:hAnsi="宋体" w:cs="宋体"/>
          <w:sz w:val="24"/>
          <w:highlight w:val="none"/>
          <w:u w:val="single"/>
        </w:rPr>
        <w:t>日，</w:t>
      </w:r>
      <w:r>
        <w:rPr>
          <w:rFonts w:hint="eastAsia" w:ascii="宋体" w:hAnsi="宋体" w:cs="宋体"/>
          <w:sz w:val="24"/>
        </w:rPr>
        <w:t>每天上午06:00至12:00，下午12:00至23:59（北京时间，法定节假日除外）</w:t>
      </w:r>
    </w:p>
    <w:p w14:paraId="6E6E7BE3">
      <w:pPr>
        <w:keepLines w:val="0"/>
        <w:pageBreakBefore w:val="0"/>
        <w:kinsoku/>
        <w:wordWrap/>
        <w:overflowPunct/>
        <w:topLinePunct w:val="0"/>
        <w:autoSpaceDE/>
        <w:autoSpaceDN/>
        <w:bidi w:val="0"/>
        <w:adjustRightInd w:val="0"/>
        <w:snapToGrid w:val="0"/>
        <w:spacing w:line="500" w:lineRule="exact"/>
        <w:ind w:firstLine="540"/>
        <w:outlineLvl w:val="9"/>
        <w:rPr>
          <w:rFonts w:ascii="宋体" w:hAnsi="宋体" w:cs="宋体"/>
          <w:sz w:val="24"/>
        </w:rPr>
      </w:pPr>
      <w:r>
        <w:rPr>
          <w:rFonts w:hint="eastAsia" w:ascii="宋体" w:hAnsi="宋体" w:cs="宋体"/>
          <w:sz w:val="24"/>
        </w:rPr>
        <w:t>地点：</w:t>
      </w:r>
      <w:r>
        <w:rPr>
          <w:rFonts w:hint="eastAsia" w:ascii="宋体" w:hAnsi="宋体" w:cs="宋体"/>
          <w:sz w:val="24"/>
          <w:lang w:eastAsia="zh-CN"/>
        </w:rPr>
        <w:t>云南省政府采购电子交易平台</w:t>
      </w:r>
      <w:r>
        <w:rPr>
          <w:rFonts w:hint="eastAsia" w:ascii="宋体" w:hAnsi="宋体" w:cs="宋体"/>
          <w:sz w:val="24"/>
        </w:rPr>
        <w:t>（政采云平台https://www.zcygov.cn/）；</w:t>
      </w:r>
    </w:p>
    <w:p w14:paraId="37D5F94A">
      <w:pPr>
        <w:keepLines w:val="0"/>
        <w:pageBreakBefore w:val="0"/>
        <w:kinsoku/>
        <w:wordWrap/>
        <w:overflowPunct/>
        <w:topLinePunct w:val="0"/>
        <w:autoSpaceDE/>
        <w:autoSpaceDN/>
        <w:bidi w:val="0"/>
        <w:adjustRightInd w:val="0"/>
        <w:snapToGrid w:val="0"/>
        <w:spacing w:line="500" w:lineRule="exact"/>
        <w:ind w:firstLine="540"/>
        <w:outlineLvl w:val="9"/>
        <w:rPr>
          <w:rFonts w:ascii="宋体" w:hAnsi="宋体" w:cs="宋体"/>
          <w:sz w:val="24"/>
        </w:rPr>
      </w:pPr>
      <w:r>
        <w:rPr>
          <w:rFonts w:hint="eastAsia" w:ascii="宋体" w:hAnsi="宋体" w:cs="宋体"/>
          <w:sz w:val="24"/>
        </w:rPr>
        <w:t>方式：1.凡有意参加投标者，须在政采云平台办理数字证书（CA），CA申领链接：ttps://middle.zcygov.cn/ca/apply/list?_app_=zcy.sys，并在政采云绑定数字证书（CA）后在网上获取采购文件及其它采购资料，数字证书（CA）详见其办理流程。</w:t>
      </w:r>
    </w:p>
    <w:p w14:paraId="7091ECAB">
      <w:pPr>
        <w:keepLines w:val="0"/>
        <w:pageBreakBefore w:val="0"/>
        <w:kinsoku/>
        <w:wordWrap/>
        <w:overflowPunct/>
        <w:topLinePunct w:val="0"/>
        <w:autoSpaceDE/>
        <w:autoSpaceDN/>
        <w:bidi w:val="0"/>
        <w:adjustRightInd w:val="0"/>
        <w:snapToGrid w:val="0"/>
        <w:spacing w:line="500" w:lineRule="exact"/>
        <w:ind w:firstLine="540"/>
        <w:outlineLvl w:val="9"/>
        <w:rPr>
          <w:rFonts w:ascii="宋体" w:hAnsi="宋体" w:cs="宋体"/>
          <w:sz w:val="24"/>
        </w:rPr>
      </w:pPr>
      <w:r>
        <w:rPr>
          <w:rFonts w:hint="eastAsia" w:ascii="宋体" w:hAnsi="宋体" w:cs="宋体"/>
          <w:sz w:val="24"/>
        </w:rPr>
        <w:t>2.按上述要求获取文件的供应商视为合法获取了本项目采购文件，具备本项目的投标资格。</w:t>
      </w:r>
    </w:p>
    <w:p w14:paraId="3C714BC2">
      <w:pPr>
        <w:keepLines w:val="0"/>
        <w:pageBreakBefore w:val="0"/>
        <w:kinsoku/>
        <w:wordWrap/>
        <w:overflowPunct/>
        <w:topLinePunct w:val="0"/>
        <w:autoSpaceDE/>
        <w:autoSpaceDN/>
        <w:bidi w:val="0"/>
        <w:spacing w:line="500" w:lineRule="exact"/>
        <w:ind w:firstLine="540"/>
        <w:outlineLvl w:val="9"/>
        <w:rPr>
          <w:rFonts w:ascii="宋体" w:hAnsi="宋体" w:cs="宋体"/>
          <w:sz w:val="24"/>
        </w:rPr>
      </w:pPr>
      <w:r>
        <w:rPr>
          <w:rFonts w:hint="eastAsia" w:ascii="宋体" w:hAnsi="宋体" w:cs="宋体"/>
          <w:sz w:val="24"/>
        </w:rPr>
        <w:t>售价（</w:t>
      </w:r>
      <w:r>
        <w:rPr>
          <w:rFonts w:ascii="宋体" w:hAnsi="宋体" w:cs="宋体"/>
          <w:sz w:val="24"/>
        </w:rPr>
        <w:t>元）</w:t>
      </w:r>
      <w:r>
        <w:rPr>
          <w:rFonts w:hint="eastAsia" w:ascii="宋体" w:hAnsi="宋体" w:cs="宋体"/>
          <w:sz w:val="24"/>
        </w:rPr>
        <w:t>：0</w:t>
      </w:r>
    </w:p>
    <w:p w14:paraId="72BE6FA6">
      <w:pPr>
        <w:keepLines w:val="0"/>
        <w:pageBreakBefore w:val="0"/>
        <w:kinsoku/>
        <w:wordWrap/>
        <w:overflowPunct/>
        <w:topLinePunct w:val="0"/>
        <w:autoSpaceDE/>
        <w:autoSpaceDN/>
        <w:bidi w:val="0"/>
        <w:adjustRightInd w:val="0"/>
        <w:snapToGrid w:val="0"/>
        <w:spacing w:line="500" w:lineRule="exact"/>
        <w:ind w:firstLine="482" w:firstLineChars="200"/>
        <w:outlineLvl w:val="9"/>
        <w:rPr>
          <w:rFonts w:hint="eastAsia" w:ascii="宋体" w:hAnsi="宋体" w:cs="宋体"/>
          <w:b/>
          <w:sz w:val="24"/>
        </w:rPr>
      </w:pPr>
      <w:bookmarkStart w:id="23" w:name="_Toc28359005"/>
      <w:bookmarkStart w:id="24" w:name="_Toc28359082"/>
      <w:bookmarkStart w:id="25" w:name="_Toc70446098"/>
      <w:bookmarkStart w:id="26" w:name="_Toc35393793"/>
      <w:bookmarkStart w:id="27" w:name="_Toc35393624"/>
      <w:r>
        <w:rPr>
          <w:rFonts w:hint="eastAsia" w:ascii="宋体" w:hAnsi="宋体" w:cs="宋体"/>
          <w:b/>
          <w:sz w:val="24"/>
        </w:rPr>
        <w:t>四、提交投标文件</w:t>
      </w:r>
      <w:bookmarkEnd w:id="23"/>
      <w:bookmarkEnd w:id="24"/>
      <w:r>
        <w:rPr>
          <w:rFonts w:hint="eastAsia" w:ascii="宋体" w:hAnsi="宋体" w:cs="宋体"/>
          <w:b/>
          <w:sz w:val="24"/>
        </w:rPr>
        <w:t>截止时间、开标时间和地点</w:t>
      </w:r>
      <w:bookmarkEnd w:id="25"/>
      <w:bookmarkEnd w:id="26"/>
      <w:bookmarkEnd w:id="27"/>
    </w:p>
    <w:p w14:paraId="540C15F5">
      <w:pPr>
        <w:keepLines w:val="0"/>
        <w:pageBreakBefore w:val="0"/>
        <w:kinsoku/>
        <w:wordWrap/>
        <w:overflowPunct/>
        <w:topLinePunct w:val="0"/>
        <w:autoSpaceDE/>
        <w:autoSpaceDN/>
        <w:bidi w:val="0"/>
        <w:adjustRightInd w:val="0"/>
        <w:snapToGrid w:val="0"/>
        <w:spacing w:line="500" w:lineRule="exact"/>
        <w:ind w:firstLine="480" w:firstLineChars="200"/>
        <w:outlineLvl w:val="9"/>
        <w:rPr>
          <w:rFonts w:hint="eastAsia" w:ascii="宋体" w:hAnsi="宋体" w:cs="宋体"/>
          <w:b w:val="0"/>
          <w:bCs/>
          <w:sz w:val="24"/>
          <w:highlight w:val="none"/>
        </w:rPr>
      </w:pPr>
      <w:r>
        <w:rPr>
          <w:rFonts w:hint="eastAsia" w:ascii="宋体" w:hAnsi="宋体" w:cs="宋体"/>
          <w:b w:val="0"/>
          <w:bCs/>
          <w:sz w:val="24"/>
        </w:rPr>
        <w:t>截止时间</w:t>
      </w:r>
      <w:r>
        <w:rPr>
          <w:rFonts w:hint="eastAsia" w:ascii="宋体" w:hAnsi="宋体" w:cs="宋体"/>
          <w:b w:val="0"/>
          <w:bCs/>
          <w:sz w:val="24"/>
          <w:highlight w:val="none"/>
        </w:rPr>
        <w:t>：202</w:t>
      </w:r>
      <w:r>
        <w:rPr>
          <w:rFonts w:hint="eastAsia" w:ascii="宋体" w:hAnsi="宋体" w:cs="宋体"/>
          <w:b w:val="0"/>
          <w:bCs/>
          <w:sz w:val="24"/>
          <w:highlight w:val="none"/>
          <w:lang w:val="en-US" w:eastAsia="zh-CN"/>
        </w:rPr>
        <w:t>6</w:t>
      </w:r>
      <w:r>
        <w:rPr>
          <w:rFonts w:hint="eastAsia" w:ascii="宋体" w:hAnsi="宋体" w:cs="宋体"/>
          <w:b w:val="0"/>
          <w:bCs/>
          <w:sz w:val="24"/>
          <w:highlight w:val="none"/>
        </w:rPr>
        <w:t>年</w:t>
      </w:r>
      <w:r>
        <w:rPr>
          <w:rFonts w:hint="eastAsia" w:ascii="宋体" w:hAnsi="宋体" w:cs="宋体"/>
          <w:b w:val="0"/>
          <w:bCs/>
          <w:sz w:val="24"/>
          <w:highlight w:val="none"/>
          <w:lang w:val="en-US" w:eastAsia="zh-CN"/>
        </w:rPr>
        <w:t>05</w:t>
      </w:r>
      <w:r>
        <w:rPr>
          <w:rFonts w:hint="eastAsia" w:ascii="宋体" w:hAnsi="宋体" w:cs="宋体"/>
          <w:b w:val="0"/>
          <w:bCs/>
          <w:sz w:val="24"/>
          <w:highlight w:val="none"/>
        </w:rPr>
        <w:t>月</w:t>
      </w:r>
      <w:r>
        <w:rPr>
          <w:rFonts w:hint="eastAsia" w:ascii="宋体" w:hAnsi="宋体" w:cs="宋体"/>
          <w:b w:val="0"/>
          <w:bCs/>
          <w:sz w:val="24"/>
          <w:highlight w:val="none"/>
          <w:lang w:val="en-US" w:eastAsia="zh-CN"/>
        </w:rPr>
        <w:t>06</w:t>
      </w:r>
      <w:r>
        <w:rPr>
          <w:rFonts w:hint="eastAsia" w:ascii="宋体" w:hAnsi="宋体" w:cs="宋体"/>
          <w:b w:val="0"/>
          <w:bCs/>
          <w:sz w:val="24"/>
          <w:highlight w:val="none"/>
        </w:rPr>
        <w:t>日</w:t>
      </w:r>
      <w:r>
        <w:rPr>
          <w:rFonts w:hint="eastAsia" w:ascii="宋体" w:hAnsi="宋体" w:cs="宋体"/>
          <w:b w:val="0"/>
          <w:bCs/>
          <w:sz w:val="24"/>
          <w:highlight w:val="none"/>
          <w:lang w:val="en-US" w:eastAsia="zh-CN"/>
        </w:rPr>
        <w:t>09</w:t>
      </w:r>
      <w:r>
        <w:rPr>
          <w:rFonts w:hint="eastAsia" w:ascii="宋体" w:hAnsi="宋体" w:cs="宋体"/>
          <w:b w:val="0"/>
          <w:bCs/>
          <w:sz w:val="24"/>
          <w:highlight w:val="none"/>
        </w:rPr>
        <w:t>点</w:t>
      </w:r>
      <w:r>
        <w:rPr>
          <w:rFonts w:hint="eastAsia" w:ascii="宋体" w:hAnsi="宋体" w:cs="宋体"/>
          <w:b w:val="0"/>
          <w:bCs/>
          <w:sz w:val="24"/>
          <w:highlight w:val="none"/>
          <w:lang w:val="en-US" w:eastAsia="zh-CN"/>
        </w:rPr>
        <w:t>30</w:t>
      </w:r>
      <w:r>
        <w:rPr>
          <w:rFonts w:hint="eastAsia" w:ascii="宋体" w:hAnsi="宋体" w:cs="宋体"/>
          <w:b w:val="0"/>
          <w:bCs/>
          <w:sz w:val="24"/>
          <w:highlight w:val="none"/>
        </w:rPr>
        <w:t>分（北京时间）；</w:t>
      </w:r>
    </w:p>
    <w:p w14:paraId="4750AC69">
      <w:pPr>
        <w:keepLines w:val="0"/>
        <w:pageBreakBefore w:val="0"/>
        <w:kinsoku/>
        <w:wordWrap/>
        <w:overflowPunct/>
        <w:topLinePunct w:val="0"/>
        <w:autoSpaceDE/>
        <w:autoSpaceDN/>
        <w:bidi w:val="0"/>
        <w:spacing w:line="500" w:lineRule="exact"/>
        <w:ind w:firstLine="480" w:firstLineChars="200"/>
        <w:outlineLvl w:val="9"/>
        <w:rPr>
          <w:rFonts w:ascii="宋体" w:hAnsi="宋体"/>
          <w:bCs/>
          <w:sz w:val="24"/>
          <w:u w:val="single"/>
        </w:rPr>
      </w:pPr>
      <w:r>
        <w:rPr>
          <w:rFonts w:hint="eastAsia" w:ascii="宋体" w:hAnsi="宋体" w:cs="宋体"/>
          <w:kern w:val="0"/>
          <w:sz w:val="24"/>
        </w:rPr>
        <w:t>地点：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p>
    <w:p w14:paraId="728938E8">
      <w:pPr>
        <w:keepLines w:val="0"/>
        <w:pageBreakBefore w:val="0"/>
        <w:tabs>
          <w:tab w:val="left" w:pos="1021"/>
        </w:tabs>
        <w:kinsoku/>
        <w:wordWrap/>
        <w:overflowPunct/>
        <w:topLinePunct w:val="0"/>
        <w:autoSpaceDE/>
        <w:autoSpaceDN/>
        <w:bidi w:val="0"/>
        <w:spacing w:line="500" w:lineRule="exact"/>
        <w:ind w:left="425" w:firstLine="0"/>
        <w:outlineLvl w:val="9"/>
        <w:rPr>
          <w:rFonts w:ascii="宋体" w:hAnsi="宋体" w:eastAsia="宋体" w:cs="宋体"/>
          <w:b/>
          <w:sz w:val="24"/>
          <w:szCs w:val="24"/>
        </w:rPr>
      </w:pPr>
      <w:bookmarkStart w:id="28" w:name="_Toc35393625"/>
      <w:bookmarkStart w:id="29" w:name="_Toc70446099"/>
      <w:bookmarkStart w:id="30" w:name="_Toc35393794"/>
      <w:bookmarkStart w:id="31" w:name="_Toc28359084"/>
      <w:bookmarkStart w:id="32" w:name="_Toc28359007"/>
      <w:r>
        <w:rPr>
          <w:rFonts w:hint="eastAsia" w:ascii="宋体" w:hAnsi="宋体" w:eastAsia="宋体" w:cs="宋体"/>
          <w:b/>
          <w:sz w:val="24"/>
          <w:szCs w:val="24"/>
        </w:rPr>
        <w:t>五、公告期限</w:t>
      </w:r>
      <w:bookmarkEnd w:id="28"/>
      <w:bookmarkEnd w:id="29"/>
      <w:bookmarkEnd w:id="30"/>
      <w:bookmarkEnd w:id="31"/>
      <w:bookmarkEnd w:id="32"/>
    </w:p>
    <w:p w14:paraId="16DC01EF">
      <w:pPr>
        <w:keepLines w:val="0"/>
        <w:pageBreakBefore w:val="0"/>
        <w:kinsoku/>
        <w:wordWrap/>
        <w:overflowPunct/>
        <w:topLinePunct w:val="0"/>
        <w:autoSpaceDE/>
        <w:autoSpaceDN/>
        <w:bidi w:val="0"/>
        <w:spacing w:line="500" w:lineRule="exact"/>
        <w:ind w:firstLine="480" w:firstLineChars="200"/>
        <w:outlineLvl w:val="9"/>
        <w:rPr>
          <w:rFonts w:ascii="宋体" w:hAnsi="宋体" w:cs="宋体"/>
          <w:kern w:val="0"/>
          <w:sz w:val="24"/>
        </w:rPr>
      </w:pPr>
      <w:r>
        <w:rPr>
          <w:rFonts w:hint="eastAsia" w:ascii="宋体" w:hAnsi="宋体" w:cs="宋体"/>
          <w:kern w:val="0"/>
          <w:sz w:val="24"/>
        </w:rPr>
        <w:t>自本公告发布之日起5个工作日。</w:t>
      </w:r>
    </w:p>
    <w:p w14:paraId="25EA8B6E">
      <w:pPr>
        <w:keepLines w:val="0"/>
        <w:pageBreakBefore w:val="0"/>
        <w:tabs>
          <w:tab w:val="left" w:pos="1021"/>
        </w:tabs>
        <w:kinsoku/>
        <w:wordWrap/>
        <w:overflowPunct/>
        <w:topLinePunct w:val="0"/>
        <w:autoSpaceDE/>
        <w:autoSpaceDN/>
        <w:bidi w:val="0"/>
        <w:spacing w:line="500" w:lineRule="exact"/>
        <w:ind w:left="425" w:firstLine="0"/>
        <w:outlineLvl w:val="9"/>
        <w:rPr>
          <w:rFonts w:ascii="宋体" w:hAnsi="宋体" w:eastAsia="宋体" w:cs="宋体"/>
          <w:b/>
          <w:sz w:val="24"/>
          <w:szCs w:val="24"/>
        </w:rPr>
      </w:pPr>
      <w:bookmarkStart w:id="33" w:name="_Toc35393626"/>
      <w:bookmarkStart w:id="34" w:name="_Toc70446100"/>
      <w:bookmarkStart w:id="35" w:name="_Toc35393795"/>
      <w:r>
        <w:rPr>
          <w:rFonts w:hint="eastAsia" w:ascii="宋体" w:hAnsi="宋体" w:eastAsia="宋体" w:cs="宋体"/>
          <w:b/>
          <w:sz w:val="24"/>
          <w:szCs w:val="24"/>
        </w:rPr>
        <w:t>六、其他补充事宜</w:t>
      </w:r>
      <w:bookmarkEnd w:id="33"/>
      <w:bookmarkEnd w:id="34"/>
      <w:bookmarkEnd w:id="35"/>
    </w:p>
    <w:p w14:paraId="04E2397E">
      <w:pPr>
        <w:spacing w:line="360" w:lineRule="auto"/>
        <w:ind w:firstLine="480" w:firstLineChars="200"/>
        <w:outlineLvl w:val="9"/>
        <w:rPr>
          <w:rFonts w:ascii="宋体" w:hAnsi="宋体" w:cs="宋体"/>
          <w:sz w:val="24"/>
        </w:rPr>
      </w:pPr>
      <w:r>
        <w:rPr>
          <w:rFonts w:hint="eastAsia" w:ascii="宋体" w:hAnsi="宋体" w:cs="宋体"/>
          <w:sz w:val="24"/>
        </w:rPr>
        <w:t>开标方式：网上开标</w:t>
      </w:r>
    </w:p>
    <w:p w14:paraId="05D4403E">
      <w:pPr>
        <w:spacing w:line="360" w:lineRule="auto"/>
        <w:ind w:firstLine="480" w:firstLineChars="200"/>
        <w:outlineLvl w:val="9"/>
        <w:rPr>
          <w:rFonts w:ascii="宋体" w:hAnsi="宋体" w:cs="宋体"/>
          <w:sz w:val="24"/>
        </w:rPr>
      </w:pPr>
      <w:r>
        <w:rPr>
          <w:rFonts w:hint="eastAsia" w:ascii="宋体" w:hAnsi="宋体" w:cs="宋体"/>
          <w:sz w:val="24"/>
        </w:rPr>
        <w:t>是否需要缴纳投标保证金：是</w:t>
      </w:r>
    </w:p>
    <w:p w14:paraId="34924781">
      <w:pPr>
        <w:spacing w:line="360" w:lineRule="auto"/>
        <w:ind w:firstLine="480" w:firstLineChars="200"/>
        <w:outlineLvl w:val="9"/>
        <w:rPr>
          <w:rFonts w:ascii="宋体" w:hAnsi="宋体" w:cs="宋体"/>
          <w:sz w:val="24"/>
        </w:rPr>
      </w:pPr>
      <w:r>
        <w:rPr>
          <w:rFonts w:hint="eastAsia" w:ascii="宋体" w:hAnsi="宋体" w:cs="宋体"/>
          <w:sz w:val="24"/>
        </w:rPr>
        <w:t>（</w:t>
      </w:r>
      <w:r>
        <w:rPr>
          <w:rFonts w:ascii="宋体" w:hAnsi="宋体" w:cs="宋体"/>
          <w:sz w:val="24"/>
        </w:rPr>
        <w:t>01</w:t>
      </w:r>
      <w:r>
        <w:rPr>
          <w:rFonts w:hint="eastAsia" w:ascii="宋体" w:hAnsi="宋体" w:cs="宋体"/>
          <w:sz w:val="24"/>
        </w:rPr>
        <w:t>）</w:t>
      </w:r>
      <w:r>
        <w:rPr>
          <w:rFonts w:hint="eastAsia" w:ascii="宋体" w:hAnsi="宋体" w:cs="宋体"/>
          <w:sz w:val="24"/>
          <w:lang w:eastAsia="zh-CN"/>
        </w:rPr>
        <w:t>云南省玉溪监狱2026年至2027年罪犯配餐中心生活物资 一 标段(猪肉类；鸡肉类、冻品（鱼虾）类)采购项目</w:t>
      </w:r>
      <w:r>
        <w:rPr>
          <w:rFonts w:hint="eastAsia" w:ascii="宋体" w:hAnsi="宋体" w:cs="宋体"/>
          <w:sz w:val="24"/>
        </w:rPr>
        <w:t>:</w:t>
      </w:r>
    </w:p>
    <w:p w14:paraId="385B1732">
      <w:pPr>
        <w:spacing w:line="360" w:lineRule="auto"/>
        <w:ind w:firstLine="480" w:firstLineChars="200"/>
        <w:outlineLvl w:val="9"/>
        <w:rPr>
          <w:rFonts w:hint="eastAsia" w:ascii="宋体" w:hAnsi="宋体" w:cs="宋体"/>
          <w:sz w:val="24"/>
        </w:rPr>
      </w:pPr>
      <w:r>
        <w:rPr>
          <w:rFonts w:hint="eastAsia" w:ascii="宋体" w:hAnsi="宋体" w:cs="宋体"/>
          <w:sz w:val="24"/>
        </w:rPr>
        <w:t>投标保证金缴纳金额：</w:t>
      </w:r>
    </w:p>
    <w:p w14:paraId="06664529">
      <w:pPr>
        <w:spacing w:line="360" w:lineRule="auto"/>
        <w:ind w:firstLine="480" w:firstLineChars="200"/>
        <w:outlineLvl w:val="9"/>
        <w:rPr>
          <w:rFonts w:hint="eastAsia" w:ascii="宋体" w:hAnsi="宋体" w:eastAsia="宋体" w:cs="Times New Roman"/>
          <w:sz w:val="24"/>
          <w:lang w:eastAsia="zh-CN"/>
        </w:rPr>
      </w:pPr>
      <w:r>
        <w:rPr>
          <w:rFonts w:hint="eastAsia" w:ascii="宋体" w:hAnsi="宋体" w:eastAsia="宋体" w:cs="Times New Roman"/>
          <w:sz w:val="24"/>
          <w:lang w:val="en-US" w:eastAsia="zh-CN"/>
        </w:rPr>
        <w:t>包1(猪肉类):30000.00</w:t>
      </w:r>
      <w:r>
        <w:rPr>
          <w:rFonts w:hint="eastAsia" w:ascii="宋体" w:hAnsi="宋体" w:eastAsia="宋体" w:cs="Times New Roman"/>
          <w:sz w:val="24"/>
          <w:lang w:eastAsia="zh-CN"/>
        </w:rPr>
        <w:t>(元)；</w:t>
      </w:r>
    </w:p>
    <w:p w14:paraId="76769D0D">
      <w:pPr>
        <w:spacing w:line="360" w:lineRule="auto"/>
        <w:ind w:firstLine="480" w:firstLineChars="200"/>
        <w:outlineLvl w:val="9"/>
        <w:rPr>
          <w:rFonts w:hint="eastAsia" w:ascii="宋体" w:hAnsi="宋体" w:eastAsia="宋体" w:cs="宋体"/>
          <w:sz w:val="24"/>
          <w:lang w:val="en-US" w:eastAsia="zh-CN"/>
        </w:rPr>
      </w:pPr>
      <w:r>
        <w:rPr>
          <w:rFonts w:hint="eastAsia" w:ascii="宋体" w:hAnsi="宋体" w:eastAsia="宋体" w:cs="Times New Roman"/>
          <w:sz w:val="24"/>
          <w:lang w:val="en-US" w:eastAsia="zh-CN"/>
        </w:rPr>
        <w:t>包2(</w:t>
      </w:r>
      <w:r>
        <w:rPr>
          <w:rFonts w:hint="eastAsia" w:ascii="宋体" w:hAnsi="宋体" w:eastAsia="宋体" w:cs="Times New Roman"/>
          <w:sz w:val="24"/>
          <w:lang w:eastAsia="zh-CN"/>
        </w:rPr>
        <w:t>鸡肉类、冻品（鱼虾）类</w:t>
      </w:r>
      <w:r>
        <w:rPr>
          <w:rFonts w:hint="eastAsia" w:ascii="宋体" w:hAnsi="宋体" w:eastAsia="宋体" w:cs="Times New Roman"/>
          <w:sz w:val="24"/>
          <w:lang w:val="en-US" w:eastAsia="zh-CN"/>
        </w:rPr>
        <w:t>):7600.00</w:t>
      </w:r>
      <w:r>
        <w:rPr>
          <w:rFonts w:hint="eastAsia" w:ascii="宋体" w:hAnsi="宋体" w:eastAsia="宋体" w:cs="Times New Roman"/>
          <w:sz w:val="24"/>
          <w:lang w:eastAsia="zh-CN"/>
        </w:rPr>
        <w:t>(元)。</w:t>
      </w:r>
    </w:p>
    <w:p w14:paraId="5E27464A">
      <w:pPr>
        <w:spacing w:line="360" w:lineRule="auto"/>
        <w:ind w:firstLine="480" w:firstLineChars="200"/>
        <w:outlineLvl w:val="9"/>
        <w:rPr>
          <w:rFonts w:ascii="宋体" w:hAnsi="宋体" w:cs="宋体"/>
          <w:sz w:val="24"/>
        </w:rPr>
      </w:pPr>
      <w:r>
        <w:rPr>
          <w:rFonts w:hint="eastAsia" w:ascii="宋体" w:hAnsi="宋体" w:cs="宋体"/>
          <w:sz w:val="24"/>
        </w:rPr>
        <w:t>投标保证金缴纳方式：支票、汇票、本票、保函、电汇、转账、网银、保证保险等</w:t>
      </w:r>
    </w:p>
    <w:p w14:paraId="5752E971">
      <w:pPr>
        <w:spacing w:line="360" w:lineRule="auto"/>
        <w:ind w:firstLine="480" w:firstLineChars="200"/>
        <w:outlineLvl w:val="9"/>
        <w:rPr>
          <w:rFonts w:hint="eastAsia" w:ascii="宋体" w:hAnsi="宋体" w:cs="宋体"/>
          <w:sz w:val="24"/>
          <w:highlight w:val="none"/>
          <w:lang w:val="en-US" w:eastAsia="zh-CN"/>
        </w:rPr>
      </w:pPr>
      <w:r>
        <w:rPr>
          <w:rFonts w:hint="eastAsia" w:ascii="宋体" w:hAnsi="宋体" w:cs="宋体"/>
          <w:sz w:val="24"/>
        </w:rPr>
        <w:t>投标保证金缴纳截止时间</w:t>
      </w:r>
      <w:r>
        <w:rPr>
          <w:rFonts w:hint="eastAsia" w:ascii="宋体" w:hAnsi="宋体" w:cs="宋体"/>
          <w:sz w:val="24"/>
          <w:highlight w:val="none"/>
        </w:rPr>
        <w:t>：202</w:t>
      </w: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05</w:t>
      </w:r>
      <w:r>
        <w:rPr>
          <w:rFonts w:hint="eastAsia" w:ascii="宋体" w:hAnsi="宋体" w:cs="宋体"/>
          <w:sz w:val="24"/>
          <w:highlight w:val="none"/>
        </w:rPr>
        <w:t>-</w:t>
      </w:r>
      <w:r>
        <w:rPr>
          <w:rFonts w:hint="eastAsia" w:ascii="宋体" w:hAnsi="宋体" w:cs="宋体"/>
          <w:sz w:val="24"/>
          <w:highlight w:val="none"/>
          <w:lang w:val="en-US" w:eastAsia="zh-CN"/>
        </w:rPr>
        <w:t>06</w:t>
      </w:r>
      <w:r>
        <w:rPr>
          <w:rFonts w:hint="eastAsia" w:ascii="宋体" w:hAnsi="宋体" w:cs="宋体"/>
          <w:sz w:val="24"/>
          <w:highlight w:val="none"/>
        </w:rPr>
        <w:t xml:space="preserve">  </w:t>
      </w:r>
      <w:r>
        <w:rPr>
          <w:rFonts w:hint="eastAsia" w:ascii="宋体" w:hAnsi="宋体" w:cs="宋体"/>
          <w:sz w:val="24"/>
          <w:highlight w:val="none"/>
          <w:lang w:val="en-US" w:eastAsia="zh-CN"/>
        </w:rPr>
        <w:t>09</w:t>
      </w:r>
      <w:r>
        <w:rPr>
          <w:rFonts w:hint="eastAsia" w:ascii="宋体" w:hAnsi="宋体" w:cs="宋体"/>
          <w:sz w:val="24"/>
          <w:highlight w:val="none"/>
        </w:rPr>
        <w:t>:</w:t>
      </w:r>
      <w:r>
        <w:rPr>
          <w:rFonts w:hint="eastAsia" w:ascii="宋体" w:hAnsi="宋体" w:cs="宋体"/>
          <w:sz w:val="24"/>
          <w:highlight w:val="none"/>
          <w:lang w:val="en-US" w:eastAsia="zh-CN"/>
        </w:rPr>
        <w:t>30</w:t>
      </w:r>
    </w:p>
    <w:p w14:paraId="3D24D6D3">
      <w:pPr>
        <w:pStyle w:val="31"/>
        <w:spacing w:line="360" w:lineRule="auto"/>
        <w:rPr>
          <w:rFonts w:hint="default" w:ascii="宋体" w:hAnsi="宋体" w:eastAsia="宋体" w:cs="宋体"/>
          <w:kern w:val="2"/>
          <w:sz w:val="24"/>
          <w:szCs w:val="24"/>
          <w:lang w:val="en-US" w:eastAsia="zh-CN" w:bidi="ar-SA"/>
        </w:rPr>
      </w:pPr>
      <w:r>
        <w:rPr>
          <w:rFonts w:hint="eastAsia" w:ascii="宋体" w:hAnsi="宋体" w:eastAsia="宋体" w:cs="宋体"/>
          <w:b/>
          <w:bCs/>
          <w:kern w:val="2"/>
          <w:sz w:val="24"/>
          <w:szCs w:val="24"/>
          <w:lang w:val="en-US" w:eastAsia="zh-CN" w:bidi="ar-SA"/>
        </w:rPr>
        <w:t>注:</w:t>
      </w:r>
      <w:r>
        <w:rPr>
          <w:rFonts w:hint="eastAsia" w:ascii="宋体" w:hAnsi="宋体" w:eastAsia="宋体" w:cs="宋体"/>
          <w:kern w:val="2"/>
          <w:sz w:val="24"/>
          <w:szCs w:val="24"/>
          <w:lang w:val="en-US" w:eastAsia="zh-CN" w:bidi="ar-SA"/>
        </w:rPr>
        <w:t>保证金转账时需注明（项目名称+所投标包投标保证金）</w:t>
      </w:r>
    </w:p>
    <w:p w14:paraId="4AD2ECF4">
      <w:pPr>
        <w:spacing w:line="360" w:lineRule="auto"/>
        <w:ind w:firstLine="480" w:firstLineChars="200"/>
        <w:outlineLvl w:val="9"/>
        <w:rPr>
          <w:rFonts w:ascii="宋体" w:hAnsi="宋体" w:cs="宋体"/>
          <w:sz w:val="24"/>
        </w:rPr>
      </w:pPr>
      <w:r>
        <w:rPr>
          <w:rFonts w:hint="eastAsia" w:ascii="宋体" w:hAnsi="宋体" w:cs="宋体"/>
          <w:sz w:val="24"/>
        </w:rPr>
        <w:t>其他：</w:t>
      </w:r>
    </w:p>
    <w:p w14:paraId="369D6247">
      <w:pPr>
        <w:adjustRightInd w:val="0"/>
        <w:snapToGrid w:val="0"/>
        <w:spacing w:line="360" w:lineRule="auto"/>
        <w:ind w:firstLine="480" w:firstLineChars="200"/>
        <w:outlineLvl w:val="9"/>
        <w:rPr>
          <w:rFonts w:ascii="宋体" w:hAnsi="宋体" w:cs="宋体"/>
          <w:sz w:val="24"/>
        </w:rPr>
      </w:pPr>
      <w:r>
        <w:rPr>
          <w:rFonts w:hint="eastAsia" w:ascii="宋体" w:hAnsi="宋体" w:cs="宋体"/>
          <w:sz w:val="24"/>
        </w:rPr>
        <w:t>1.公告发布的媒介：本次</w:t>
      </w:r>
      <w:r>
        <w:rPr>
          <w:rFonts w:hint="eastAsia" w:ascii="宋体" w:hAnsi="宋体" w:cs="宋体"/>
          <w:sz w:val="24"/>
          <w:lang w:val="en-US" w:eastAsia="zh-CN"/>
        </w:rPr>
        <w:t>公开</w:t>
      </w:r>
      <w:r>
        <w:rPr>
          <w:rFonts w:hint="eastAsia" w:ascii="宋体" w:hAnsi="宋体" w:cs="宋体"/>
          <w:sz w:val="24"/>
        </w:rPr>
        <w:t xml:space="preserve">招标公告在《云南省政府采购网》上发布。 </w:t>
      </w:r>
    </w:p>
    <w:p w14:paraId="60D8B01F">
      <w:pPr>
        <w:adjustRightInd w:val="0"/>
        <w:snapToGrid w:val="0"/>
        <w:spacing w:line="360" w:lineRule="auto"/>
        <w:ind w:firstLine="480" w:firstLineChars="200"/>
        <w:outlineLvl w:val="9"/>
        <w:rPr>
          <w:rFonts w:ascii="宋体" w:hAnsi="宋体" w:cs="宋体"/>
          <w:sz w:val="24"/>
        </w:rPr>
      </w:pPr>
      <w:r>
        <w:rPr>
          <w:rFonts w:hint="eastAsia" w:ascii="宋体" w:hAnsi="宋体" w:cs="宋体"/>
          <w:sz w:val="24"/>
          <w:lang w:val="en-US" w:eastAsia="zh-CN"/>
        </w:rPr>
        <w:t>2</w:t>
      </w:r>
      <w:r>
        <w:rPr>
          <w:rFonts w:hint="eastAsia" w:ascii="宋体" w:hAnsi="宋体" w:cs="宋体"/>
          <w:sz w:val="24"/>
        </w:rPr>
        <w:t>.注：</w:t>
      </w:r>
    </w:p>
    <w:p w14:paraId="730D2C38">
      <w:pPr>
        <w:adjustRightInd w:val="0"/>
        <w:snapToGrid w:val="0"/>
        <w:spacing w:line="360" w:lineRule="auto"/>
        <w:ind w:firstLine="480" w:firstLineChars="200"/>
        <w:outlineLvl w:val="9"/>
        <w:rPr>
          <w:rFonts w:ascii="宋体" w:hAnsi="宋体" w:cs="宋体"/>
          <w:sz w:val="24"/>
        </w:rPr>
      </w:pPr>
      <w:r>
        <w:rPr>
          <w:rFonts w:hint="eastAsia" w:ascii="宋体" w:hAnsi="宋体" w:cs="宋体"/>
          <w:sz w:val="24"/>
          <w:lang w:val="en-US" w:eastAsia="zh-CN"/>
        </w:rPr>
        <w:t>2</w:t>
      </w:r>
      <w:r>
        <w:rPr>
          <w:rFonts w:hint="eastAsia" w:ascii="宋体" w:hAnsi="宋体" w:cs="宋体"/>
          <w:sz w:val="24"/>
        </w:rPr>
        <w:t>.1本项目为不见面开标，投标单位无需到达现场；</w:t>
      </w:r>
    </w:p>
    <w:p w14:paraId="74DB4240">
      <w:pPr>
        <w:adjustRightInd w:val="0"/>
        <w:snapToGrid w:val="0"/>
        <w:spacing w:line="360" w:lineRule="auto"/>
        <w:ind w:firstLine="480" w:firstLineChars="200"/>
        <w:outlineLvl w:val="9"/>
        <w:rPr>
          <w:rFonts w:ascii="宋体" w:hAnsi="宋体" w:cs="宋体"/>
          <w:sz w:val="24"/>
        </w:rPr>
      </w:pPr>
      <w:r>
        <w:rPr>
          <w:rFonts w:hint="eastAsia" w:ascii="宋体" w:hAnsi="宋体" w:cs="宋体"/>
          <w:sz w:val="24"/>
          <w:lang w:val="en-US" w:eastAsia="zh-CN"/>
        </w:rPr>
        <w:t>2</w:t>
      </w:r>
      <w:r>
        <w:rPr>
          <w:rFonts w:hint="eastAsia" w:ascii="宋体" w:hAnsi="宋体" w:cs="宋体"/>
          <w:sz w:val="24"/>
        </w:rPr>
        <w:t>.2本项目实行网上投标，采用电子投标文件；</w:t>
      </w:r>
    </w:p>
    <w:p w14:paraId="6F500158">
      <w:pPr>
        <w:adjustRightInd w:val="0"/>
        <w:snapToGrid w:val="0"/>
        <w:spacing w:line="360" w:lineRule="auto"/>
        <w:ind w:firstLine="480" w:firstLineChars="200"/>
        <w:outlineLvl w:val="9"/>
        <w:rPr>
          <w:rFonts w:ascii="宋体" w:hAnsi="宋体" w:cs="宋体"/>
          <w:sz w:val="24"/>
        </w:rPr>
      </w:pPr>
      <w:r>
        <w:rPr>
          <w:rFonts w:hint="eastAsia" w:ascii="宋体" w:hAnsi="宋体" w:cs="宋体"/>
          <w:sz w:val="24"/>
          <w:lang w:val="en-US" w:eastAsia="zh-CN"/>
        </w:rPr>
        <w:t>2</w:t>
      </w:r>
      <w:r>
        <w:rPr>
          <w:rFonts w:hint="eastAsia" w:ascii="宋体" w:hAnsi="宋体" w:cs="宋体"/>
          <w:sz w:val="24"/>
        </w:rPr>
        <w:t>.3各供应商在开标前应确保成为政采云平台供应商，并完成CA数字证书申领。因未注册入库、未办理CA数字证书等原因造成无法投标或投标失败等后果由供应商自行承担。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通过政采云绑定数字证书（CA）后在网上获取采购文件及其它采购资料，数字证书（CA）详见其办理流程；</w:t>
      </w:r>
    </w:p>
    <w:p w14:paraId="75226649">
      <w:pPr>
        <w:adjustRightInd w:val="0"/>
        <w:snapToGrid w:val="0"/>
        <w:spacing w:line="360" w:lineRule="auto"/>
        <w:ind w:firstLine="480" w:firstLineChars="200"/>
        <w:outlineLvl w:val="9"/>
        <w:rPr>
          <w:rFonts w:ascii="宋体" w:hAnsi="宋体"/>
          <w:sz w:val="24"/>
        </w:rPr>
      </w:pPr>
      <w:r>
        <w:rPr>
          <w:rFonts w:hint="eastAsia" w:ascii="宋体" w:hAnsi="宋体" w:cs="宋体"/>
          <w:sz w:val="24"/>
          <w:lang w:val="en-US" w:eastAsia="zh-CN"/>
        </w:rPr>
        <w:t>2</w:t>
      </w:r>
      <w:r>
        <w:rPr>
          <w:rFonts w:hint="eastAsia" w:ascii="宋体" w:hAnsi="宋体" w:cs="宋体"/>
          <w:sz w:val="24"/>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代理机构不予异常处理，视为供应商自动弃标。</w:t>
      </w:r>
    </w:p>
    <w:p w14:paraId="2140783F">
      <w:pPr>
        <w:tabs>
          <w:tab w:val="left" w:pos="1021"/>
        </w:tabs>
        <w:ind w:left="425" w:firstLine="0"/>
        <w:outlineLvl w:val="9"/>
        <w:rPr>
          <w:rFonts w:ascii="宋体" w:hAnsi="宋体" w:eastAsia="宋体" w:cs="宋体"/>
          <w:b/>
          <w:sz w:val="24"/>
          <w:szCs w:val="24"/>
        </w:rPr>
      </w:pPr>
      <w:bookmarkStart w:id="36" w:name="_Toc70446101"/>
      <w:bookmarkStart w:id="37" w:name="_Toc28359008"/>
      <w:bookmarkStart w:id="38" w:name="_Toc28359085"/>
      <w:bookmarkStart w:id="39" w:name="_Toc35393796"/>
      <w:bookmarkStart w:id="40" w:name="_Toc35393627"/>
      <w:r>
        <w:rPr>
          <w:rFonts w:hint="eastAsia" w:ascii="宋体" w:hAnsi="宋体" w:eastAsia="宋体" w:cs="宋体"/>
          <w:b/>
          <w:sz w:val="24"/>
          <w:szCs w:val="24"/>
        </w:rPr>
        <w:t>七、对本次招标提出询问，请按</w:t>
      </w:r>
      <w:r>
        <w:rPr>
          <w:rFonts w:ascii="宋体" w:hAnsi="宋体" w:eastAsia="宋体" w:cs="宋体"/>
          <w:b/>
          <w:sz w:val="24"/>
          <w:szCs w:val="24"/>
        </w:rPr>
        <w:t>以下方式</w:t>
      </w:r>
      <w:r>
        <w:rPr>
          <w:rFonts w:hint="eastAsia" w:ascii="宋体" w:hAnsi="宋体" w:eastAsia="宋体" w:cs="宋体"/>
          <w:b/>
          <w:sz w:val="24"/>
          <w:szCs w:val="24"/>
        </w:rPr>
        <w:t>联系。</w:t>
      </w:r>
      <w:bookmarkEnd w:id="36"/>
      <w:bookmarkEnd w:id="37"/>
      <w:bookmarkEnd w:id="38"/>
      <w:bookmarkEnd w:id="39"/>
      <w:bookmarkEnd w:id="40"/>
    </w:p>
    <w:p w14:paraId="737F7A45">
      <w:pPr>
        <w:widowControl/>
        <w:spacing w:line="360" w:lineRule="auto"/>
        <w:jc w:val="left"/>
        <w:outlineLvl w:val="9"/>
        <w:rPr>
          <w:rFonts w:ascii="宋体" w:hAnsi="宋体"/>
          <w:sz w:val="24"/>
        </w:rPr>
      </w:pPr>
      <w:r>
        <w:rPr>
          <w:rFonts w:hint="eastAsia" w:ascii="宋体" w:hAnsi="宋体" w:cs="宋体"/>
          <w:sz w:val="24"/>
        </w:rPr>
        <w:t>　　　</w:t>
      </w:r>
      <w:r>
        <w:rPr>
          <w:rFonts w:ascii="宋体" w:hAnsi="宋体" w:cs="宋体"/>
          <w:sz w:val="24"/>
        </w:rPr>
        <w:t>1.</w:t>
      </w:r>
      <w:r>
        <w:rPr>
          <w:rFonts w:hint="eastAsia" w:ascii="宋体" w:hAnsi="宋体" w:cs="宋体"/>
          <w:sz w:val="24"/>
        </w:rPr>
        <w:t>采购人信息</w:t>
      </w:r>
    </w:p>
    <w:p w14:paraId="4AD8439C">
      <w:pPr>
        <w:spacing w:line="360" w:lineRule="auto"/>
        <w:ind w:left="1079" w:leftChars="371" w:hanging="300" w:hangingChars="125"/>
        <w:jc w:val="left"/>
        <w:outlineLvl w:val="9"/>
        <w:rPr>
          <w:rFonts w:hint="eastAsia" w:ascii="宋体" w:hAnsi="宋体" w:eastAsia="宋体"/>
          <w:sz w:val="24"/>
          <w:lang w:eastAsia="zh-CN"/>
        </w:rPr>
      </w:pPr>
      <w:r>
        <w:rPr>
          <w:rFonts w:hint="eastAsia" w:ascii="宋体" w:hAnsi="宋体"/>
          <w:sz w:val="24"/>
        </w:rPr>
        <w:t>名 称：</w:t>
      </w:r>
      <w:r>
        <w:rPr>
          <w:rFonts w:hint="eastAsia" w:ascii="宋体" w:hAnsi="宋体"/>
          <w:sz w:val="24"/>
          <w:u w:val="single"/>
          <w:lang w:eastAsia="zh-CN"/>
        </w:rPr>
        <w:t>云南省玉溪监狱</w:t>
      </w:r>
    </w:p>
    <w:p w14:paraId="3602C572">
      <w:pPr>
        <w:spacing w:line="360" w:lineRule="auto"/>
        <w:ind w:left="1079" w:leftChars="371" w:hanging="300" w:hangingChars="125"/>
        <w:jc w:val="left"/>
        <w:outlineLvl w:val="9"/>
        <w:rPr>
          <w:rFonts w:hint="eastAsia" w:ascii="宋体" w:hAnsi="宋体" w:eastAsia="宋体"/>
          <w:sz w:val="24"/>
          <w:u w:val="single"/>
          <w:lang w:eastAsia="zh-CN"/>
        </w:rPr>
      </w:pPr>
      <w:r>
        <w:rPr>
          <w:rFonts w:hint="eastAsia" w:ascii="宋体" w:hAnsi="宋体"/>
          <w:sz w:val="24"/>
        </w:rPr>
        <w:t>地址：</w:t>
      </w:r>
      <w:r>
        <w:rPr>
          <w:rFonts w:hint="eastAsia" w:ascii="宋体" w:hAnsi="宋体"/>
          <w:sz w:val="24"/>
          <w:u w:val="single"/>
          <w:lang w:eastAsia="zh-CN"/>
        </w:rPr>
        <w:t>云南省玉溪市红塔区春和街道黑村</w:t>
      </w:r>
    </w:p>
    <w:p w14:paraId="6259C105">
      <w:pPr>
        <w:spacing w:line="360" w:lineRule="auto"/>
        <w:ind w:firstLine="720" w:firstLineChars="300"/>
        <w:outlineLvl w:val="9"/>
        <w:rPr>
          <w:rFonts w:hint="default" w:ascii="宋体" w:hAnsi="宋体"/>
          <w:sz w:val="24"/>
          <w:highlight w:val="none"/>
          <w:u w:val="single"/>
          <w:lang w:val="en-US" w:eastAsia="zh-CN"/>
        </w:rPr>
      </w:pPr>
      <w:r>
        <w:rPr>
          <w:rFonts w:hint="eastAsia" w:ascii="宋体" w:hAnsi="宋体"/>
          <w:sz w:val="24"/>
          <w:highlight w:val="none"/>
          <w:u w:val="none"/>
          <w:lang w:eastAsia="zh-CN"/>
        </w:rPr>
        <w:t>联系方式：</w:t>
      </w:r>
      <w:bookmarkStart w:id="41" w:name="_Toc28359086"/>
      <w:bookmarkStart w:id="42" w:name="_Toc28359009"/>
      <w:r>
        <w:rPr>
          <w:rFonts w:hint="eastAsia" w:ascii="宋体" w:hAnsi="宋体" w:eastAsia="宋体" w:cs="Times New Roman"/>
          <w:sz w:val="24"/>
          <w:highlight w:val="none"/>
          <w:u w:val="single"/>
          <w:lang w:val="en-US" w:eastAsia="zh-CN"/>
        </w:rPr>
        <w:t>周</w:t>
      </w:r>
      <w:r>
        <w:rPr>
          <w:rFonts w:hint="eastAsia" w:ascii="宋体" w:hAnsi="宋体"/>
          <w:sz w:val="24"/>
          <w:highlight w:val="none"/>
          <w:u w:val="single"/>
          <w:lang w:val="en-US" w:eastAsia="zh-CN"/>
        </w:rPr>
        <w:t>老师 0877-6133842</w:t>
      </w:r>
    </w:p>
    <w:p w14:paraId="54D41779">
      <w:pPr>
        <w:spacing w:line="360" w:lineRule="auto"/>
        <w:ind w:left="1079" w:leftChars="371" w:hanging="300" w:hangingChars="125"/>
        <w:jc w:val="left"/>
        <w:outlineLvl w:val="9"/>
        <w:rPr>
          <w:rFonts w:ascii="宋体" w:hAnsi="宋体"/>
          <w:sz w:val="24"/>
        </w:rPr>
      </w:pPr>
      <w:r>
        <w:rPr>
          <w:rFonts w:hint="eastAsia" w:ascii="宋体" w:hAnsi="宋体" w:cs="宋体"/>
          <w:sz w:val="24"/>
        </w:rPr>
        <w:t>2.采购代理机构信息</w:t>
      </w:r>
      <w:bookmarkEnd w:id="41"/>
      <w:bookmarkEnd w:id="42"/>
    </w:p>
    <w:p w14:paraId="23FEE054">
      <w:pPr>
        <w:spacing w:line="360" w:lineRule="auto"/>
        <w:ind w:firstLine="720" w:firstLineChars="300"/>
        <w:outlineLvl w:val="9"/>
        <w:rPr>
          <w:rFonts w:hint="eastAsia" w:ascii="宋体" w:hAnsi="宋体" w:eastAsia="宋体"/>
          <w:sz w:val="24"/>
          <w:lang w:eastAsia="zh-CN"/>
        </w:rPr>
      </w:pPr>
      <w:r>
        <w:rPr>
          <w:rFonts w:hint="eastAsia" w:ascii="宋体" w:hAnsi="宋体"/>
          <w:sz w:val="24"/>
        </w:rPr>
        <w:t>名 称：</w:t>
      </w:r>
      <w:r>
        <w:rPr>
          <w:rFonts w:hint="eastAsia" w:ascii="宋体" w:hAnsi="宋体"/>
          <w:sz w:val="24"/>
          <w:u w:val="single"/>
          <w:lang w:eastAsia="zh-CN"/>
        </w:rPr>
        <w:t>云南共创久诚招标咨询有限公司</w:t>
      </w:r>
    </w:p>
    <w:p w14:paraId="18B8BD0E">
      <w:pPr>
        <w:spacing w:line="360" w:lineRule="auto"/>
        <w:ind w:firstLine="720" w:firstLineChars="300"/>
        <w:outlineLvl w:val="9"/>
        <w:rPr>
          <w:rFonts w:hint="eastAsia" w:ascii="宋体" w:hAnsi="宋体" w:eastAsia="宋体"/>
          <w:sz w:val="24"/>
          <w:lang w:eastAsia="zh-CN"/>
        </w:rPr>
      </w:pPr>
      <w:r>
        <w:rPr>
          <w:rFonts w:hint="eastAsia" w:ascii="宋体" w:hAnsi="宋体"/>
          <w:sz w:val="24"/>
        </w:rPr>
        <w:t>地　址：</w:t>
      </w:r>
      <w:r>
        <w:rPr>
          <w:rFonts w:hint="eastAsia" w:ascii="宋体" w:hAnsi="宋体"/>
          <w:sz w:val="24"/>
          <w:u w:val="single"/>
          <w:lang w:eastAsia="zh-CN"/>
        </w:rPr>
        <w:t>昆明市环城南路668号云纺国际商厦C座1801室</w:t>
      </w:r>
    </w:p>
    <w:p w14:paraId="497BBDF8">
      <w:pPr>
        <w:spacing w:line="360" w:lineRule="auto"/>
        <w:ind w:firstLine="720" w:firstLineChars="300"/>
        <w:outlineLvl w:val="9"/>
        <w:rPr>
          <w:rFonts w:hint="eastAsia" w:ascii="宋体" w:hAnsi="宋体" w:eastAsia="宋体"/>
          <w:sz w:val="24"/>
          <w:u w:val="single"/>
          <w:lang w:eastAsia="zh-CN"/>
        </w:rPr>
      </w:pPr>
      <w:r>
        <w:rPr>
          <w:rFonts w:hint="eastAsia" w:ascii="宋体" w:hAnsi="宋体"/>
          <w:sz w:val="24"/>
        </w:rPr>
        <w:t>联系方式：</w:t>
      </w:r>
      <w:bookmarkStart w:id="43" w:name="_Toc28359087"/>
      <w:bookmarkStart w:id="44" w:name="_Toc28359010"/>
      <w:r>
        <w:rPr>
          <w:rFonts w:hint="eastAsia" w:ascii="宋体" w:hAnsi="宋体"/>
          <w:sz w:val="24"/>
          <w:u w:val="single"/>
          <w:lang w:eastAsia="zh-CN"/>
        </w:rPr>
        <w:t>刘青青 19869827332</w:t>
      </w:r>
    </w:p>
    <w:p w14:paraId="499591FD">
      <w:pPr>
        <w:spacing w:line="360" w:lineRule="auto"/>
        <w:ind w:firstLine="720" w:firstLineChars="300"/>
        <w:outlineLvl w:val="9"/>
        <w:rPr>
          <w:rFonts w:ascii="宋体" w:hAnsi="宋体"/>
          <w:sz w:val="24"/>
          <w:u w:val="single"/>
        </w:rPr>
      </w:pPr>
      <w:r>
        <w:rPr>
          <w:rFonts w:ascii="宋体" w:hAnsi="宋体" w:cs="宋体"/>
          <w:sz w:val="24"/>
        </w:rPr>
        <w:t>3.</w:t>
      </w:r>
      <w:r>
        <w:rPr>
          <w:rFonts w:hint="eastAsia" w:ascii="宋体" w:hAnsi="宋体" w:cs="宋体"/>
          <w:sz w:val="24"/>
        </w:rPr>
        <w:t>项目</w:t>
      </w:r>
      <w:r>
        <w:rPr>
          <w:rFonts w:ascii="宋体" w:hAnsi="宋体" w:cs="宋体"/>
          <w:sz w:val="24"/>
        </w:rPr>
        <w:t>联系方式</w:t>
      </w:r>
      <w:bookmarkEnd w:id="43"/>
      <w:bookmarkEnd w:id="44"/>
    </w:p>
    <w:p w14:paraId="0144A590">
      <w:pPr>
        <w:spacing w:line="360" w:lineRule="auto"/>
        <w:ind w:firstLine="720" w:firstLineChars="300"/>
        <w:outlineLvl w:val="9"/>
        <w:rPr>
          <w:rFonts w:hint="eastAsia" w:ascii="宋体" w:hAnsi="宋体" w:eastAsia="宋体"/>
          <w:sz w:val="24"/>
          <w:lang w:eastAsia="zh-CN"/>
        </w:rPr>
      </w:pPr>
      <w:r>
        <w:rPr>
          <w:rFonts w:hint="eastAsia" w:ascii="宋体" w:hAnsi="宋体"/>
          <w:sz w:val="24"/>
        </w:rPr>
        <w:t>项目联系人：</w:t>
      </w:r>
      <w:r>
        <w:rPr>
          <w:rFonts w:hint="eastAsia" w:ascii="宋体" w:hAnsi="宋体"/>
          <w:sz w:val="24"/>
          <w:u w:val="single"/>
          <w:lang w:eastAsia="zh-CN"/>
        </w:rPr>
        <w:t>刘青青</w:t>
      </w:r>
    </w:p>
    <w:p w14:paraId="77E88B3F">
      <w:pPr>
        <w:widowControl/>
        <w:spacing w:line="360" w:lineRule="auto"/>
        <w:ind w:firstLine="720" w:firstLineChars="300"/>
        <w:jc w:val="left"/>
        <w:outlineLvl w:val="9"/>
        <w:rPr>
          <w:rFonts w:hint="eastAsia" w:ascii="宋体" w:hAnsi="宋体" w:eastAsia="宋体"/>
          <w:sz w:val="24"/>
          <w:u w:val="single"/>
          <w:lang w:eastAsia="zh-CN"/>
        </w:rPr>
      </w:pPr>
      <w:r>
        <w:rPr>
          <w:rFonts w:hint="eastAsia" w:ascii="宋体" w:hAnsi="宋体"/>
          <w:sz w:val="24"/>
        </w:rPr>
        <w:t>电　话：</w:t>
      </w:r>
      <w:r>
        <w:rPr>
          <w:rFonts w:hint="eastAsia" w:ascii="宋体" w:hAnsi="宋体"/>
          <w:sz w:val="24"/>
          <w:u w:val="single"/>
          <w:lang w:eastAsia="zh-CN"/>
        </w:rPr>
        <w:t>刘青青 19869827332</w:t>
      </w:r>
    </w:p>
    <w:p w14:paraId="2B391B60">
      <w:pPr>
        <w:pStyle w:val="28"/>
        <w:jc w:val="center"/>
        <w:outlineLvl w:val="0"/>
        <w:rPr>
          <w:rFonts w:ascii="宋体" w:hAnsi="宋体"/>
          <w:bCs w:val="0"/>
          <w:kern w:val="44"/>
          <w:sz w:val="36"/>
          <w:szCs w:val="20"/>
        </w:rPr>
      </w:pPr>
      <w:bookmarkStart w:id="45" w:name="_Toc70446102"/>
      <w:bookmarkStart w:id="46" w:name="_Toc21604"/>
      <w:bookmarkStart w:id="47" w:name="_Toc5348"/>
      <w:r>
        <w:rPr>
          <w:rFonts w:hint="eastAsia" w:ascii="宋体" w:hAnsi="宋体"/>
          <w:bCs w:val="0"/>
          <w:kern w:val="44"/>
          <w:sz w:val="36"/>
          <w:szCs w:val="20"/>
        </w:rPr>
        <w:br w:type="page"/>
      </w:r>
      <w:bookmarkStart w:id="48" w:name="_Toc29268"/>
      <w:bookmarkStart w:id="49" w:name="_Toc21524"/>
      <w:r>
        <w:rPr>
          <w:rFonts w:hint="eastAsia" w:ascii="宋体" w:hAnsi="宋体"/>
          <w:bCs w:val="0"/>
          <w:kern w:val="44"/>
          <w:sz w:val="36"/>
          <w:szCs w:val="20"/>
        </w:rPr>
        <w:t>第二章 投标人须知</w:t>
      </w:r>
      <w:bookmarkEnd w:id="45"/>
      <w:bookmarkEnd w:id="46"/>
      <w:bookmarkEnd w:id="47"/>
      <w:bookmarkEnd w:id="48"/>
      <w:bookmarkEnd w:id="49"/>
    </w:p>
    <w:p w14:paraId="37450715">
      <w:pPr>
        <w:tabs>
          <w:tab w:val="left" w:pos="1021"/>
        </w:tabs>
        <w:spacing w:before="0" w:line="240" w:lineRule="auto"/>
        <w:ind w:left="425" w:firstLine="0"/>
        <w:jc w:val="center"/>
        <w:outlineLvl w:val="9"/>
        <w:rPr>
          <w:rFonts w:ascii="宋体" w:hAnsi="宋体" w:eastAsia="宋体"/>
          <w:b/>
          <w:sz w:val="32"/>
          <w:szCs w:val="32"/>
        </w:rPr>
      </w:pPr>
      <w:bookmarkStart w:id="50" w:name="_Toc70446103"/>
      <w:r>
        <w:rPr>
          <w:rFonts w:hint="eastAsia" w:ascii="宋体" w:hAnsi="宋体" w:eastAsia="宋体"/>
          <w:b/>
          <w:sz w:val="32"/>
          <w:szCs w:val="32"/>
        </w:rPr>
        <w:t>投标人须知前附表</w:t>
      </w:r>
      <w:bookmarkEnd w:id="50"/>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2569"/>
        <w:gridCol w:w="6117"/>
      </w:tblGrid>
      <w:tr w14:paraId="267DA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134" w:type="dxa"/>
            <w:noWrap w:val="0"/>
            <w:vAlign w:val="center"/>
          </w:tcPr>
          <w:p w14:paraId="0B4BB647">
            <w:pPr>
              <w:pStyle w:val="17"/>
              <w:keepNext w:val="0"/>
              <w:keepLines w:val="0"/>
              <w:pageBreakBefore w:val="0"/>
              <w:kinsoku/>
              <w:wordWrap/>
              <w:overflowPunct/>
              <w:topLinePunct w:val="0"/>
              <w:bidi w:val="0"/>
              <w:spacing w:line="300" w:lineRule="exact"/>
              <w:jc w:val="center"/>
              <w:outlineLvl w:val="9"/>
              <w:rPr>
                <w:rFonts w:hAnsi="宋体"/>
                <w:b/>
                <w:sz w:val="24"/>
                <w:szCs w:val="24"/>
              </w:rPr>
            </w:pPr>
            <w:r>
              <w:rPr>
                <w:rFonts w:hint="eastAsia" w:hAnsi="宋体"/>
                <w:b/>
                <w:sz w:val="24"/>
                <w:szCs w:val="24"/>
              </w:rPr>
              <w:t>条款号</w:t>
            </w:r>
          </w:p>
        </w:tc>
        <w:tc>
          <w:tcPr>
            <w:tcW w:w="2569" w:type="dxa"/>
            <w:noWrap w:val="0"/>
            <w:vAlign w:val="center"/>
          </w:tcPr>
          <w:p w14:paraId="54306ED8">
            <w:pPr>
              <w:pStyle w:val="17"/>
              <w:keepNext w:val="0"/>
              <w:keepLines w:val="0"/>
              <w:pageBreakBefore w:val="0"/>
              <w:kinsoku/>
              <w:wordWrap/>
              <w:overflowPunct/>
              <w:topLinePunct w:val="0"/>
              <w:bidi w:val="0"/>
              <w:spacing w:line="300" w:lineRule="exact"/>
              <w:jc w:val="center"/>
              <w:outlineLvl w:val="9"/>
              <w:rPr>
                <w:rFonts w:hAnsi="宋体"/>
                <w:b/>
                <w:sz w:val="24"/>
                <w:szCs w:val="24"/>
              </w:rPr>
            </w:pPr>
            <w:r>
              <w:rPr>
                <w:rFonts w:hint="eastAsia" w:hAnsi="宋体"/>
                <w:b/>
                <w:sz w:val="24"/>
                <w:szCs w:val="24"/>
              </w:rPr>
              <w:t>条 款 名 称</w:t>
            </w:r>
          </w:p>
        </w:tc>
        <w:tc>
          <w:tcPr>
            <w:tcW w:w="6117" w:type="dxa"/>
            <w:noWrap w:val="0"/>
            <w:vAlign w:val="center"/>
          </w:tcPr>
          <w:p w14:paraId="05C6E63E">
            <w:pPr>
              <w:pStyle w:val="17"/>
              <w:keepNext w:val="0"/>
              <w:keepLines w:val="0"/>
              <w:pageBreakBefore w:val="0"/>
              <w:kinsoku/>
              <w:wordWrap/>
              <w:overflowPunct/>
              <w:topLinePunct w:val="0"/>
              <w:bidi w:val="0"/>
              <w:spacing w:line="300" w:lineRule="exact"/>
              <w:jc w:val="center"/>
              <w:outlineLvl w:val="9"/>
              <w:rPr>
                <w:rFonts w:hAnsi="宋体"/>
                <w:b/>
                <w:sz w:val="24"/>
                <w:szCs w:val="24"/>
              </w:rPr>
            </w:pPr>
            <w:r>
              <w:rPr>
                <w:rFonts w:hint="eastAsia" w:hAnsi="宋体"/>
                <w:b/>
                <w:sz w:val="24"/>
                <w:szCs w:val="24"/>
              </w:rPr>
              <w:t>编 列 内 容</w:t>
            </w:r>
          </w:p>
        </w:tc>
      </w:tr>
      <w:tr w14:paraId="7B1B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134" w:type="dxa"/>
            <w:vMerge w:val="restart"/>
            <w:noWrap w:val="0"/>
            <w:vAlign w:val="center"/>
          </w:tcPr>
          <w:p w14:paraId="3369D91F">
            <w:pPr>
              <w:pStyle w:val="17"/>
              <w:keepNext w:val="0"/>
              <w:keepLines w:val="0"/>
              <w:pageBreakBefore w:val="0"/>
              <w:kinsoku/>
              <w:wordWrap/>
              <w:overflowPunct/>
              <w:topLinePunct w:val="0"/>
              <w:bidi w:val="0"/>
              <w:spacing w:line="300" w:lineRule="exact"/>
              <w:jc w:val="center"/>
              <w:outlineLvl w:val="9"/>
              <w:rPr>
                <w:rFonts w:hint="eastAsia" w:hAnsi="宋体"/>
                <w:sz w:val="24"/>
                <w:szCs w:val="24"/>
              </w:rPr>
            </w:pPr>
            <w:r>
              <w:rPr>
                <w:rFonts w:hint="eastAsia" w:hAnsi="宋体"/>
                <w:sz w:val="24"/>
                <w:szCs w:val="24"/>
              </w:rPr>
              <w:t>1</w:t>
            </w:r>
          </w:p>
          <w:p w14:paraId="463D9265">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2.1</w:t>
            </w:r>
          </w:p>
        </w:tc>
        <w:tc>
          <w:tcPr>
            <w:tcW w:w="2569" w:type="dxa"/>
            <w:noWrap w:val="0"/>
            <w:vAlign w:val="center"/>
          </w:tcPr>
          <w:p w14:paraId="3F457D99">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bCs/>
                <w:sz w:val="24"/>
                <w:szCs w:val="24"/>
              </w:rPr>
              <w:t>采购人</w:t>
            </w:r>
            <w:r>
              <w:rPr>
                <w:rFonts w:hint="eastAsia" w:hAnsi="宋体"/>
                <w:kern w:val="48"/>
                <w:sz w:val="24"/>
                <w:szCs w:val="24"/>
              </w:rPr>
              <w:t xml:space="preserve"> </w:t>
            </w:r>
          </w:p>
        </w:tc>
        <w:tc>
          <w:tcPr>
            <w:tcW w:w="6117" w:type="dxa"/>
            <w:noWrap w:val="0"/>
            <w:vAlign w:val="center"/>
          </w:tcPr>
          <w:p w14:paraId="47C27E03">
            <w:pPr>
              <w:pStyle w:val="17"/>
              <w:keepNext w:val="0"/>
              <w:keepLines w:val="0"/>
              <w:pageBreakBefore w:val="0"/>
              <w:kinsoku/>
              <w:wordWrap/>
              <w:overflowPunct/>
              <w:topLinePunct w:val="0"/>
              <w:bidi w:val="0"/>
              <w:spacing w:line="300" w:lineRule="exact"/>
              <w:outlineLvl w:val="9"/>
              <w:rPr>
                <w:rFonts w:hint="eastAsia" w:hAnsi="宋体" w:eastAsia="宋体"/>
                <w:sz w:val="24"/>
                <w:szCs w:val="24"/>
                <w:lang w:eastAsia="zh-CN"/>
              </w:rPr>
            </w:pPr>
            <w:r>
              <w:rPr>
                <w:rFonts w:hint="eastAsia" w:hAnsi="宋体"/>
                <w:sz w:val="24"/>
                <w:szCs w:val="24"/>
                <w:lang w:eastAsia="zh-CN"/>
              </w:rPr>
              <w:t>云南省玉溪监狱</w:t>
            </w:r>
          </w:p>
        </w:tc>
      </w:tr>
      <w:tr w14:paraId="43BE3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34" w:type="dxa"/>
            <w:vMerge w:val="continue"/>
            <w:noWrap w:val="0"/>
            <w:vAlign w:val="center"/>
          </w:tcPr>
          <w:p w14:paraId="5F9732B0">
            <w:pPr>
              <w:keepNext w:val="0"/>
              <w:keepLines w:val="0"/>
              <w:pageBreakBefore w:val="0"/>
              <w:kinsoku/>
              <w:wordWrap/>
              <w:overflowPunct/>
              <w:topLinePunct w:val="0"/>
              <w:bidi w:val="0"/>
              <w:spacing w:line="300" w:lineRule="exact"/>
              <w:outlineLvl w:val="9"/>
              <w:rPr>
                <w:rFonts w:ascii="宋体" w:hAnsi="宋体" w:eastAsia="宋体" w:cs="Times New Roman"/>
                <w:sz w:val="24"/>
                <w:szCs w:val="24"/>
              </w:rPr>
            </w:pPr>
          </w:p>
        </w:tc>
        <w:tc>
          <w:tcPr>
            <w:tcW w:w="2569" w:type="dxa"/>
            <w:noWrap w:val="0"/>
            <w:vAlign w:val="center"/>
          </w:tcPr>
          <w:p w14:paraId="6C6674A3">
            <w:pPr>
              <w:pStyle w:val="17"/>
              <w:keepNext w:val="0"/>
              <w:keepLines w:val="0"/>
              <w:pageBreakBefore w:val="0"/>
              <w:kinsoku/>
              <w:wordWrap/>
              <w:overflowPunct/>
              <w:topLinePunct w:val="0"/>
              <w:bidi w:val="0"/>
              <w:spacing w:line="300" w:lineRule="exact"/>
              <w:outlineLvl w:val="9"/>
              <w:rPr>
                <w:rFonts w:hAnsi="宋体"/>
                <w:bCs/>
                <w:sz w:val="24"/>
                <w:szCs w:val="24"/>
              </w:rPr>
            </w:pPr>
            <w:r>
              <w:rPr>
                <w:rFonts w:hint="eastAsia" w:hAnsi="宋体"/>
                <w:bCs/>
                <w:sz w:val="24"/>
                <w:szCs w:val="24"/>
              </w:rPr>
              <w:t>采购代理机构</w:t>
            </w:r>
          </w:p>
        </w:tc>
        <w:tc>
          <w:tcPr>
            <w:tcW w:w="6117" w:type="dxa"/>
            <w:noWrap w:val="0"/>
            <w:vAlign w:val="center"/>
          </w:tcPr>
          <w:p w14:paraId="5FBC8362">
            <w:pPr>
              <w:pStyle w:val="17"/>
              <w:keepNext w:val="0"/>
              <w:keepLines w:val="0"/>
              <w:pageBreakBefore w:val="0"/>
              <w:kinsoku/>
              <w:wordWrap/>
              <w:overflowPunct/>
              <w:topLinePunct w:val="0"/>
              <w:bidi w:val="0"/>
              <w:spacing w:line="300" w:lineRule="exact"/>
              <w:outlineLvl w:val="9"/>
              <w:rPr>
                <w:rFonts w:hint="eastAsia" w:hAnsi="宋体" w:eastAsia="宋体"/>
                <w:sz w:val="24"/>
                <w:szCs w:val="24"/>
                <w:lang w:eastAsia="zh-CN"/>
              </w:rPr>
            </w:pPr>
            <w:r>
              <w:rPr>
                <w:rFonts w:hint="eastAsia" w:hAnsi="宋体"/>
                <w:sz w:val="24"/>
                <w:szCs w:val="24"/>
                <w:lang w:eastAsia="zh-CN"/>
              </w:rPr>
              <w:t>云南共创久诚招标咨询有限公司</w:t>
            </w:r>
          </w:p>
        </w:tc>
      </w:tr>
      <w:tr w14:paraId="44051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jc w:val="center"/>
        </w:trPr>
        <w:tc>
          <w:tcPr>
            <w:tcW w:w="1134" w:type="dxa"/>
            <w:vMerge w:val="continue"/>
            <w:noWrap w:val="0"/>
            <w:vAlign w:val="center"/>
          </w:tcPr>
          <w:p w14:paraId="6ECAF162">
            <w:pPr>
              <w:keepNext w:val="0"/>
              <w:keepLines w:val="0"/>
              <w:pageBreakBefore w:val="0"/>
              <w:kinsoku/>
              <w:wordWrap/>
              <w:overflowPunct/>
              <w:topLinePunct w:val="0"/>
              <w:bidi w:val="0"/>
              <w:spacing w:line="300" w:lineRule="exact"/>
              <w:outlineLvl w:val="9"/>
              <w:rPr>
                <w:rFonts w:ascii="宋体" w:hAnsi="宋体" w:eastAsia="宋体" w:cs="Times New Roman"/>
                <w:sz w:val="24"/>
                <w:szCs w:val="24"/>
              </w:rPr>
            </w:pPr>
          </w:p>
        </w:tc>
        <w:tc>
          <w:tcPr>
            <w:tcW w:w="2569" w:type="dxa"/>
            <w:noWrap w:val="0"/>
            <w:vAlign w:val="center"/>
          </w:tcPr>
          <w:p w14:paraId="57501CDF">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项目名称及</w:t>
            </w:r>
            <w:r>
              <w:rPr>
                <w:rFonts w:hint="eastAsia" w:hAnsi="宋体"/>
                <w:sz w:val="24"/>
                <w:szCs w:val="24"/>
                <w:lang w:val="en-US" w:eastAsia="zh-CN"/>
              </w:rPr>
              <w:t>项目</w:t>
            </w:r>
            <w:r>
              <w:rPr>
                <w:rFonts w:hint="eastAsia" w:hAnsi="宋体"/>
                <w:sz w:val="24"/>
                <w:szCs w:val="24"/>
              </w:rPr>
              <w:t>编号</w:t>
            </w:r>
          </w:p>
        </w:tc>
        <w:tc>
          <w:tcPr>
            <w:tcW w:w="6117" w:type="dxa"/>
            <w:noWrap w:val="0"/>
            <w:vAlign w:val="center"/>
          </w:tcPr>
          <w:p w14:paraId="09519BDE">
            <w:pPr>
              <w:pStyle w:val="17"/>
              <w:keepNext w:val="0"/>
              <w:keepLines w:val="0"/>
              <w:pageBreakBefore w:val="0"/>
              <w:kinsoku/>
              <w:wordWrap/>
              <w:overflowPunct/>
              <w:topLinePunct w:val="0"/>
              <w:bidi w:val="0"/>
              <w:spacing w:line="300" w:lineRule="exact"/>
              <w:outlineLvl w:val="9"/>
              <w:rPr>
                <w:rFonts w:hint="eastAsia" w:hAnsi="宋体" w:eastAsia="宋体"/>
                <w:sz w:val="24"/>
                <w:szCs w:val="24"/>
                <w:lang w:eastAsia="zh-CN"/>
              </w:rPr>
            </w:pPr>
            <w:r>
              <w:rPr>
                <w:rFonts w:hint="eastAsia" w:hAnsi="宋体"/>
                <w:sz w:val="24"/>
                <w:szCs w:val="24"/>
              </w:rPr>
              <w:t>项目名称：</w:t>
            </w:r>
            <w:r>
              <w:rPr>
                <w:rFonts w:hint="eastAsia" w:hAnsi="宋体"/>
                <w:sz w:val="24"/>
                <w:szCs w:val="24"/>
                <w:lang w:eastAsia="zh-CN"/>
              </w:rPr>
              <w:t>云南省玉溪监狱2026年至2027年罪犯配餐中心生活物资 一 标段(猪肉类；鸡肉类、冻品（鱼虾）类)采购项目</w:t>
            </w:r>
          </w:p>
          <w:p w14:paraId="19CA2526">
            <w:pPr>
              <w:pStyle w:val="17"/>
              <w:keepNext w:val="0"/>
              <w:keepLines w:val="0"/>
              <w:pageBreakBefore w:val="0"/>
              <w:kinsoku/>
              <w:wordWrap/>
              <w:overflowPunct/>
              <w:topLinePunct w:val="0"/>
              <w:bidi w:val="0"/>
              <w:spacing w:line="300" w:lineRule="exact"/>
              <w:outlineLvl w:val="9"/>
              <w:rPr>
                <w:rFonts w:hint="eastAsia" w:hAnsi="宋体"/>
                <w:sz w:val="24"/>
                <w:szCs w:val="24"/>
                <w:lang w:eastAsia="zh-CN"/>
              </w:rPr>
            </w:pPr>
            <w:bookmarkStart w:id="51" w:name="OLE_LINK8"/>
            <w:r>
              <w:rPr>
                <w:rFonts w:hint="eastAsia" w:hAnsi="宋体"/>
                <w:sz w:val="24"/>
                <w:szCs w:val="24"/>
                <w:lang w:val="en-US" w:eastAsia="zh-CN"/>
              </w:rPr>
              <w:t>项目</w:t>
            </w:r>
            <w:r>
              <w:rPr>
                <w:rFonts w:hint="eastAsia" w:hAnsi="宋体"/>
                <w:sz w:val="24"/>
                <w:szCs w:val="24"/>
              </w:rPr>
              <w:t>编号：</w:t>
            </w:r>
            <w:bookmarkEnd w:id="51"/>
            <w:r>
              <w:rPr>
                <w:rFonts w:hint="eastAsia" w:hAnsi="宋体"/>
                <w:sz w:val="24"/>
                <w:szCs w:val="24"/>
                <w:lang w:eastAsia="zh-CN"/>
              </w:rPr>
              <w:t>YNGCZBZX(招)字-YX-2026-03-02</w:t>
            </w:r>
          </w:p>
          <w:p w14:paraId="2FF74EFA">
            <w:pPr>
              <w:pStyle w:val="17"/>
              <w:keepNext w:val="0"/>
              <w:keepLines w:val="0"/>
              <w:pageBreakBefore w:val="0"/>
              <w:kinsoku/>
              <w:wordWrap/>
              <w:overflowPunct/>
              <w:topLinePunct w:val="0"/>
              <w:bidi w:val="0"/>
              <w:spacing w:line="300" w:lineRule="exact"/>
              <w:outlineLvl w:val="9"/>
              <w:rPr>
                <w:rFonts w:hint="eastAsia" w:hAnsi="宋体"/>
                <w:sz w:val="24"/>
                <w:szCs w:val="24"/>
                <w:lang w:eastAsia="zh-CN"/>
              </w:rPr>
            </w:pPr>
            <w:r>
              <w:rPr>
                <w:rFonts w:hint="eastAsia" w:ascii="宋体" w:hAnsi="宋体" w:eastAsia="宋体" w:cs="Times New Roman"/>
                <w:sz w:val="24"/>
                <w:szCs w:val="24"/>
                <w:highlight w:val="none"/>
                <w:lang w:val="en-US" w:eastAsia="zh-CN"/>
              </w:rPr>
              <w:t>政采云项目</w:t>
            </w:r>
            <w:r>
              <w:rPr>
                <w:rFonts w:hint="eastAsia" w:ascii="宋体" w:hAnsi="宋体" w:eastAsia="宋体" w:cs="Times New Roman"/>
                <w:sz w:val="24"/>
                <w:szCs w:val="24"/>
                <w:highlight w:val="none"/>
                <w:lang w:eastAsia="zh-CN"/>
              </w:rPr>
              <w:t xml:space="preserve">编号：YNZC2026-G1-01428-GCJC-0001 </w:t>
            </w:r>
          </w:p>
        </w:tc>
      </w:tr>
      <w:tr w14:paraId="1045E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34" w:type="dxa"/>
            <w:noWrap w:val="0"/>
            <w:vAlign w:val="center"/>
          </w:tcPr>
          <w:p w14:paraId="2C478513">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3.1</w:t>
            </w:r>
          </w:p>
        </w:tc>
        <w:tc>
          <w:tcPr>
            <w:tcW w:w="2569" w:type="dxa"/>
            <w:noWrap w:val="0"/>
            <w:vAlign w:val="center"/>
          </w:tcPr>
          <w:p w14:paraId="4021B564">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招标范围</w:t>
            </w:r>
          </w:p>
        </w:tc>
        <w:tc>
          <w:tcPr>
            <w:tcW w:w="6117" w:type="dxa"/>
            <w:noWrap w:val="0"/>
            <w:vAlign w:val="center"/>
          </w:tcPr>
          <w:p w14:paraId="5D1E9594">
            <w:pPr>
              <w:pStyle w:val="17"/>
              <w:keepNext w:val="0"/>
              <w:keepLines w:val="0"/>
              <w:pageBreakBefore w:val="0"/>
              <w:kinsoku/>
              <w:wordWrap/>
              <w:overflowPunct/>
              <w:topLinePunct w:val="0"/>
              <w:bidi w:val="0"/>
              <w:spacing w:line="300" w:lineRule="exact"/>
              <w:jc w:val="left"/>
              <w:outlineLvl w:val="9"/>
              <w:rPr>
                <w:rFonts w:hAnsi="宋体"/>
                <w:sz w:val="24"/>
                <w:szCs w:val="24"/>
              </w:rPr>
            </w:pPr>
            <w:r>
              <w:rPr>
                <w:rFonts w:hint="eastAsia" w:hAnsi="宋体"/>
                <w:sz w:val="24"/>
                <w:szCs w:val="24"/>
              </w:rPr>
              <w:t>详见</w:t>
            </w:r>
            <w:r>
              <w:rPr>
                <w:rFonts w:hint="eastAsia" w:hAnsi="宋体"/>
                <w:sz w:val="24"/>
                <w:szCs w:val="24"/>
                <w:lang w:eastAsia="zh-CN"/>
              </w:rPr>
              <w:t>“</w:t>
            </w:r>
            <w:r>
              <w:rPr>
                <w:rFonts w:hint="eastAsia" w:hAnsi="宋体"/>
                <w:sz w:val="24"/>
                <w:szCs w:val="24"/>
                <w:lang w:val="en-US" w:eastAsia="zh-CN"/>
              </w:rPr>
              <w:t>第一章 公开</w:t>
            </w:r>
            <w:r>
              <w:rPr>
                <w:rFonts w:hint="eastAsia" w:hAnsi="宋体"/>
                <w:sz w:val="24"/>
                <w:szCs w:val="24"/>
              </w:rPr>
              <w:t>招标公告</w:t>
            </w:r>
            <w:r>
              <w:rPr>
                <w:rFonts w:hint="eastAsia" w:hAnsi="宋体"/>
                <w:sz w:val="24"/>
                <w:szCs w:val="24"/>
                <w:lang w:eastAsia="zh-CN"/>
              </w:rPr>
              <w:t>”</w:t>
            </w:r>
            <w:r>
              <w:rPr>
                <w:rFonts w:hint="eastAsia" w:hAnsi="宋体"/>
                <w:sz w:val="24"/>
                <w:szCs w:val="24"/>
              </w:rPr>
              <w:t>及</w:t>
            </w:r>
            <w:r>
              <w:rPr>
                <w:rFonts w:hint="eastAsia" w:hAnsi="宋体"/>
                <w:sz w:val="24"/>
                <w:szCs w:val="24"/>
                <w:lang w:eastAsia="zh-CN"/>
              </w:rPr>
              <w:t>“</w:t>
            </w:r>
            <w:r>
              <w:rPr>
                <w:rFonts w:hint="eastAsia" w:hAnsi="宋体"/>
                <w:sz w:val="24"/>
                <w:szCs w:val="24"/>
              </w:rPr>
              <w:t>第五章</w:t>
            </w:r>
            <w:r>
              <w:rPr>
                <w:rFonts w:hint="eastAsia" w:hAnsi="宋体"/>
                <w:sz w:val="24"/>
                <w:szCs w:val="24"/>
                <w:lang w:val="en-US" w:eastAsia="zh-CN"/>
              </w:rPr>
              <w:t xml:space="preserve"> 项目需求及服务要求</w:t>
            </w:r>
            <w:r>
              <w:rPr>
                <w:rFonts w:hint="eastAsia" w:hAnsi="宋体"/>
                <w:sz w:val="24"/>
                <w:szCs w:val="24"/>
                <w:lang w:eastAsia="zh-CN"/>
              </w:rPr>
              <w:t>”</w:t>
            </w:r>
          </w:p>
        </w:tc>
      </w:tr>
      <w:tr w14:paraId="6ED22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1134" w:type="dxa"/>
            <w:noWrap w:val="0"/>
            <w:vAlign w:val="center"/>
          </w:tcPr>
          <w:p w14:paraId="2E290D20">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3.2</w:t>
            </w:r>
          </w:p>
        </w:tc>
        <w:tc>
          <w:tcPr>
            <w:tcW w:w="2569" w:type="dxa"/>
            <w:noWrap w:val="0"/>
            <w:vAlign w:val="center"/>
          </w:tcPr>
          <w:p w14:paraId="258BE607">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ascii="宋体" w:hAnsi="宋体" w:eastAsia="宋体" w:cs="Times New Roman"/>
                <w:sz w:val="24"/>
                <w:szCs w:val="24"/>
              </w:rPr>
              <w:t>合同履行期限</w:t>
            </w:r>
          </w:p>
        </w:tc>
        <w:tc>
          <w:tcPr>
            <w:tcW w:w="6117" w:type="dxa"/>
            <w:noWrap w:val="0"/>
            <w:vAlign w:val="center"/>
          </w:tcPr>
          <w:p w14:paraId="59719C2B">
            <w:pPr>
              <w:keepNext w:val="0"/>
              <w:keepLines w:val="0"/>
              <w:pageBreakBefore w:val="0"/>
              <w:widowControl w:val="0"/>
              <w:kinsoku/>
              <w:wordWrap/>
              <w:overflowPunct/>
              <w:topLinePunct w:val="0"/>
              <w:autoSpaceDE/>
              <w:autoSpaceDN/>
              <w:bidi w:val="0"/>
              <w:spacing w:line="240" w:lineRule="auto"/>
              <w:textAlignment w:val="auto"/>
              <w:outlineLvl w:val="9"/>
              <w:rPr>
                <w:rFonts w:ascii="Times New Roman" w:hAnsi="宋体" w:eastAsia="宋体" w:cs="Times New Roman"/>
                <w:sz w:val="24"/>
                <w:szCs w:val="24"/>
                <w:highlight w:val="none"/>
              </w:rPr>
            </w:pPr>
            <w:r>
              <w:rPr>
                <w:rFonts w:hint="eastAsia" w:ascii="宋体" w:hAnsi="宋体" w:eastAsia="宋体" w:cs="宋体"/>
                <w:color w:val="auto"/>
                <w:kern w:val="0"/>
                <w:sz w:val="24"/>
                <w:szCs w:val="24"/>
                <w:lang w:eastAsia="zh-CN"/>
              </w:rPr>
              <w:t>合同履行期限为</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年（起止时间以合同约定为准）或实际执行金额达到</w:t>
            </w:r>
            <w:r>
              <w:rPr>
                <w:rFonts w:hint="eastAsia" w:ascii="宋体" w:hAnsi="宋体" w:eastAsia="宋体" w:cs="宋体"/>
                <w:color w:val="auto"/>
                <w:kern w:val="0"/>
                <w:sz w:val="24"/>
                <w:szCs w:val="24"/>
                <w:lang w:val="en-US" w:eastAsia="zh-CN"/>
              </w:rPr>
              <w:t>合同</w:t>
            </w:r>
            <w:r>
              <w:rPr>
                <w:rFonts w:hint="eastAsia" w:ascii="宋体" w:hAnsi="宋体" w:eastAsia="宋体" w:cs="宋体"/>
                <w:color w:val="auto"/>
                <w:kern w:val="0"/>
                <w:sz w:val="24"/>
                <w:szCs w:val="24"/>
                <w:lang w:eastAsia="zh-CN"/>
              </w:rPr>
              <w:t>总金额，以先达者为准，期限届满或</w:t>
            </w:r>
            <w:r>
              <w:rPr>
                <w:rFonts w:hint="eastAsia" w:ascii="宋体" w:hAnsi="宋体" w:eastAsia="宋体" w:cs="宋体"/>
                <w:color w:val="auto"/>
                <w:kern w:val="0"/>
                <w:sz w:val="24"/>
                <w:szCs w:val="24"/>
                <w:lang w:val="en-US" w:eastAsia="zh-CN"/>
              </w:rPr>
              <w:t>合同</w:t>
            </w:r>
            <w:r>
              <w:rPr>
                <w:rFonts w:hint="eastAsia" w:ascii="宋体" w:hAnsi="宋体" w:eastAsia="宋体" w:cs="宋体"/>
                <w:color w:val="auto"/>
                <w:kern w:val="0"/>
                <w:sz w:val="24"/>
                <w:szCs w:val="24"/>
                <w:lang w:eastAsia="zh-CN"/>
              </w:rPr>
              <w:t>金额用完，合同即行终止。</w:t>
            </w:r>
          </w:p>
        </w:tc>
      </w:tr>
      <w:tr w14:paraId="17AE3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2" w:hRule="atLeast"/>
          <w:jc w:val="center"/>
        </w:trPr>
        <w:tc>
          <w:tcPr>
            <w:tcW w:w="1134" w:type="dxa"/>
            <w:noWrap w:val="0"/>
            <w:vAlign w:val="center"/>
          </w:tcPr>
          <w:p w14:paraId="4DFED014">
            <w:pPr>
              <w:pStyle w:val="17"/>
              <w:keepNext w:val="0"/>
              <w:keepLines w:val="0"/>
              <w:pageBreakBefore w:val="0"/>
              <w:kinsoku/>
              <w:wordWrap/>
              <w:overflowPunct/>
              <w:topLinePunct w:val="0"/>
              <w:bidi w:val="0"/>
              <w:spacing w:line="300" w:lineRule="exact"/>
              <w:jc w:val="center"/>
              <w:outlineLvl w:val="9"/>
              <w:rPr>
                <w:rFonts w:hint="eastAsia" w:hAnsi="宋体"/>
                <w:sz w:val="24"/>
                <w:szCs w:val="24"/>
              </w:rPr>
            </w:pPr>
            <w:r>
              <w:rPr>
                <w:rFonts w:hint="eastAsia" w:hAnsi="宋体"/>
                <w:sz w:val="24"/>
                <w:szCs w:val="24"/>
              </w:rPr>
              <w:t>4.1.2</w:t>
            </w:r>
          </w:p>
        </w:tc>
        <w:tc>
          <w:tcPr>
            <w:tcW w:w="2569" w:type="dxa"/>
            <w:noWrap w:val="0"/>
            <w:vAlign w:val="center"/>
          </w:tcPr>
          <w:p w14:paraId="48223EED">
            <w:pPr>
              <w:pStyle w:val="17"/>
              <w:keepNext w:val="0"/>
              <w:keepLines w:val="0"/>
              <w:pageBreakBefore w:val="0"/>
              <w:kinsoku/>
              <w:wordWrap/>
              <w:overflowPunct/>
              <w:topLinePunct w:val="0"/>
              <w:bidi w:val="0"/>
              <w:spacing w:line="300" w:lineRule="exact"/>
              <w:outlineLvl w:val="9"/>
              <w:rPr>
                <w:rFonts w:hint="eastAsia" w:hAnsi="宋体"/>
                <w:sz w:val="24"/>
                <w:szCs w:val="24"/>
              </w:rPr>
            </w:pPr>
            <w:r>
              <w:rPr>
                <w:rFonts w:hint="eastAsia" w:hAnsi="宋体"/>
                <w:sz w:val="24"/>
                <w:szCs w:val="24"/>
              </w:rPr>
              <w:t>财务状况证明材料</w:t>
            </w:r>
          </w:p>
        </w:tc>
        <w:tc>
          <w:tcPr>
            <w:tcW w:w="6117" w:type="dxa"/>
            <w:noWrap w:val="0"/>
            <w:vAlign w:val="top"/>
          </w:tcPr>
          <w:p w14:paraId="0A2D61BA">
            <w:pPr>
              <w:keepNext w:val="0"/>
              <w:keepLines w:val="0"/>
              <w:pageBreakBefore w:val="0"/>
              <w:kinsoku/>
              <w:wordWrap/>
              <w:overflowPunct/>
              <w:topLinePunct w:val="0"/>
              <w:autoSpaceDE w:val="0"/>
              <w:autoSpaceDN w:val="0"/>
              <w:bidi w:val="0"/>
              <w:snapToGrid w:val="0"/>
              <w:spacing w:line="300" w:lineRule="exact"/>
              <w:textAlignment w:val="bottom"/>
              <w:outlineLvl w:val="9"/>
              <w:rPr>
                <w:rFonts w:hint="eastAsia" w:ascii="宋体" w:hAnsi="宋体" w:eastAsia="宋体" w:cs="Times New Roman"/>
                <w:b w:val="0"/>
                <w:bCs/>
                <w:sz w:val="24"/>
                <w:szCs w:val="24"/>
                <w:lang w:eastAsia="zh-CN"/>
              </w:rPr>
            </w:pPr>
            <w:r>
              <w:rPr>
                <w:rFonts w:hint="eastAsia" w:ascii="宋体" w:hAnsi="宋体" w:eastAsia="宋体" w:cs="Times New Roman"/>
                <w:b w:val="0"/>
                <w:bCs/>
                <w:sz w:val="24"/>
                <w:szCs w:val="24"/>
              </w:rPr>
              <w:t>投标人须提供财务状况报告，内容可为以下</w:t>
            </w:r>
            <w:r>
              <w:rPr>
                <w:rFonts w:hint="eastAsia" w:ascii="宋体" w:hAnsi="宋体" w:eastAsia="宋体" w:cs="Times New Roman"/>
                <w:b w:val="0"/>
                <w:bCs/>
                <w:sz w:val="24"/>
                <w:szCs w:val="24"/>
                <w:lang w:val="en-US" w:eastAsia="zh-CN"/>
              </w:rPr>
              <w:t>三</w:t>
            </w:r>
            <w:r>
              <w:rPr>
                <w:rFonts w:hint="eastAsia" w:ascii="宋体" w:hAnsi="宋体" w:eastAsia="宋体" w:cs="Times New Roman"/>
                <w:b w:val="0"/>
                <w:bCs/>
                <w:sz w:val="24"/>
                <w:szCs w:val="24"/>
              </w:rPr>
              <w:t>者之一</w:t>
            </w:r>
            <w:r>
              <w:rPr>
                <w:rFonts w:hint="eastAsia" w:ascii="宋体" w:hAnsi="宋体" w:eastAsia="宋体" w:cs="Times New Roman"/>
                <w:b w:val="0"/>
                <w:bCs/>
                <w:sz w:val="24"/>
                <w:szCs w:val="24"/>
                <w:lang w:eastAsia="zh-CN"/>
              </w:rPr>
              <w:t>：</w:t>
            </w:r>
          </w:p>
          <w:p w14:paraId="7A9A600C">
            <w:pPr>
              <w:keepNext w:val="0"/>
              <w:keepLines w:val="0"/>
              <w:pageBreakBefore w:val="0"/>
              <w:kinsoku/>
              <w:wordWrap/>
              <w:overflowPunct/>
              <w:topLinePunct w:val="0"/>
              <w:autoSpaceDE w:val="0"/>
              <w:autoSpaceDN w:val="0"/>
              <w:bidi w:val="0"/>
              <w:snapToGrid w:val="0"/>
              <w:spacing w:line="300" w:lineRule="exact"/>
              <w:textAlignment w:val="bottom"/>
              <w:outlineLvl w:val="9"/>
              <w:rPr>
                <w:rFonts w:hint="eastAsia" w:ascii="宋体" w:hAnsi="宋体" w:eastAsia="宋体" w:cs="Times New Roman"/>
                <w:b w:val="0"/>
                <w:bCs/>
                <w:sz w:val="24"/>
                <w:szCs w:val="24"/>
                <w:lang w:eastAsia="zh-CN"/>
              </w:rPr>
            </w:pPr>
            <w:r>
              <w:rPr>
                <w:rFonts w:hint="default" w:ascii="宋体" w:hAnsi="宋体" w:eastAsia="宋体" w:cs="Times New Roman"/>
                <w:b w:val="0"/>
                <w:bCs/>
                <w:sz w:val="24"/>
                <w:szCs w:val="24"/>
              </w:rPr>
              <w:t>①</w:t>
            </w:r>
            <w:r>
              <w:rPr>
                <w:rFonts w:hint="eastAsia" w:ascii="宋体" w:hAnsi="宋体" w:eastAsia="宋体" w:cs="Times New Roman"/>
                <w:b w:val="0"/>
                <w:bCs/>
                <w:sz w:val="24"/>
                <w:szCs w:val="24"/>
              </w:rPr>
              <w:t>提供</w:t>
            </w:r>
            <w:r>
              <w:rPr>
                <w:rFonts w:hint="eastAsia" w:ascii="宋体" w:hAnsi="宋体" w:eastAsia="宋体" w:cs="Times New Roman"/>
                <w:b w:val="0"/>
                <w:bCs/>
                <w:sz w:val="24"/>
                <w:szCs w:val="24"/>
                <w:lang w:val="en-US" w:eastAsia="zh-CN"/>
              </w:rPr>
              <w:t>2022年至2024年</w:t>
            </w:r>
            <w:r>
              <w:rPr>
                <w:rFonts w:hint="eastAsia" w:ascii="宋体" w:hAnsi="宋体" w:eastAsia="宋体" w:cs="Times New Roman"/>
                <w:b/>
                <w:bCs w:val="0"/>
                <w:sz w:val="24"/>
                <w:szCs w:val="24"/>
                <w:lang w:val="en-US" w:eastAsia="zh-CN"/>
              </w:rPr>
              <w:t>或</w:t>
            </w:r>
            <w:r>
              <w:rPr>
                <w:rFonts w:hint="eastAsia" w:ascii="宋体" w:hAnsi="宋体" w:eastAsia="宋体" w:cs="Times New Roman"/>
                <w:b w:val="0"/>
                <w:bCs/>
                <w:sz w:val="24"/>
                <w:szCs w:val="24"/>
                <w:lang w:val="en-US" w:eastAsia="zh-CN"/>
              </w:rPr>
              <w:t>2023至2025年连续三年度</w:t>
            </w:r>
            <w:r>
              <w:rPr>
                <w:rFonts w:hint="eastAsia" w:ascii="宋体" w:hAnsi="宋体" w:eastAsia="宋体" w:cs="Times New Roman"/>
                <w:b w:val="0"/>
                <w:bCs/>
                <w:sz w:val="24"/>
                <w:szCs w:val="24"/>
              </w:rPr>
              <w:t>经审计的</w:t>
            </w:r>
            <w:r>
              <w:rPr>
                <w:rFonts w:hint="eastAsia" w:ascii="宋体" w:hAnsi="宋体" w:eastAsia="宋体" w:cs="Times New Roman"/>
                <w:b w:val="0"/>
                <w:bCs/>
                <w:sz w:val="24"/>
                <w:szCs w:val="24"/>
                <w:lang w:val="en-US" w:eastAsia="zh-CN"/>
              </w:rPr>
              <w:t>财务报告</w:t>
            </w:r>
            <w:r>
              <w:rPr>
                <w:rFonts w:hint="eastAsia" w:ascii="宋体" w:hAnsi="宋体" w:eastAsia="宋体" w:cs="Times New Roman"/>
                <w:b w:val="0"/>
                <w:bCs/>
                <w:sz w:val="24"/>
                <w:szCs w:val="24"/>
              </w:rPr>
              <w:t>（包括资产负债表、现金流量表、利润表</w:t>
            </w:r>
            <w:r>
              <w:rPr>
                <w:rFonts w:hint="eastAsia" w:ascii="宋体" w:hAnsi="宋体" w:eastAsia="宋体" w:cs="Times New Roman"/>
                <w:b w:val="0"/>
                <w:bCs/>
                <w:sz w:val="24"/>
                <w:szCs w:val="24"/>
                <w:lang w:eastAsia="zh-CN"/>
              </w:rPr>
              <w:t>、</w:t>
            </w:r>
            <w:r>
              <w:rPr>
                <w:rFonts w:hint="eastAsia" w:ascii="宋体" w:hAnsi="宋体" w:eastAsia="宋体" w:cs="Times New Roman"/>
                <w:b w:val="0"/>
                <w:bCs/>
                <w:sz w:val="24"/>
                <w:szCs w:val="24"/>
              </w:rPr>
              <w:t>所有者权益变动表（执行小企业会计准则的</w:t>
            </w:r>
            <w:r>
              <w:rPr>
                <w:rFonts w:hint="eastAsia" w:ascii="宋体" w:hAnsi="宋体" w:eastAsia="宋体" w:cs="Times New Roman"/>
                <w:b w:val="0"/>
                <w:bCs/>
                <w:sz w:val="24"/>
                <w:szCs w:val="24"/>
                <w:lang w:val="en-US" w:eastAsia="zh-CN"/>
              </w:rPr>
              <w:t>投标人</w:t>
            </w:r>
            <w:r>
              <w:rPr>
                <w:rFonts w:hint="eastAsia" w:ascii="宋体" w:hAnsi="宋体" w:eastAsia="宋体" w:cs="Times New Roman"/>
                <w:b w:val="0"/>
                <w:bCs/>
                <w:sz w:val="24"/>
                <w:szCs w:val="24"/>
              </w:rPr>
              <w:t>可不提供）及附注（执行小企业会计准则的</w:t>
            </w:r>
            <w:r>
              <w:rPr>
                <w:rFonts w:hint="eastAsia" w:ascii="宋体" w:hAnsi="宋体" w:eastAsia="宋体" w:cs="Times New Roman"/>
                <w:b w:val="0"/>
                <w:bCs/>
                <w:sz w:val="24"/>
                <w:szCs w:val="24"/>
                <w:lang w:val="en-US" w:eastAsia="zh-CN"/>
              </w:rPr>
              <w:t>投标人</w:t>
            </w:r>
            <w:r>
              <w:rPr>
                <w:rFonts w:hint="eastAsia" w:ascii="宋体" w:hAnsi="宋体" w:eastAsia="宋体" w:cs="Times New Roman"/>
                <w:b w:val="0"/>
                <w:bCs/>
                <w:sz w:val="24"/>
                <w:szCs w:val="24"/>
              </w:rPr>
              <w:t>可不提供））</w:t>
            </w:r>
            <w:r>
              <w:rPr>
                <w:rFonts w:hint="eastAsia" w:ascii="宋体" w:hAnsi="宋体" w:eastAsia="宋体" w:cs="Times New Roman"/>
                <w:b w:val="0"/>
                <w:bCs/>
                <w:sz w:val="24"/>
                <w:szCs w:val="24"/>
                <w:lang w:eastAsia="zh-CN"/>
              </w:rPr>
              <w:t>，</w:t>
            </w:r>
            <w:r>
              <w:rPr>
                <w:rFonts w:hint="eastAsia" w:ascii="宋体" w:hAnsi="宋体" w:eastAsia="宋体" w:cs="Times New Roman"/>
                <w:b w:val="0"/>
                <w:bCs/>
                <w:sz w:val="24"/>
                <w:szCs w:val="24"/>
                <w:lang w:val="en-US" w:eastAsia="zh-CN"/>
              </w:rPr>
              <w:t>新成立公司，</w:t>
            </w:r>
            <w:r>
              <w:rPr>
                <w:rFonts w:hint="eastAsia" w:ascii="宋体" w:hAnsi="宋体" w:eastAsia="宋体" w:cs="Times New Roman"/>
                <w:b w:val="0"/>
                <w:bCs/>
                <w:sz w:val="24"/>
                <w:szCs w:val="24"/>
              </w:rPr>
              <w:t>提供成立至今的财务报表或财务状况说明</w:t>
            </w:r>
            <w:r>
              <w:rPr>
                <w:rFonts w:hint="eastAsia" w:ascii="宋体" w:hAnsi="宋体" w:eastAsia="宋体" w:cs="Times New Roman"/>
                <w:b w:val="0"/>
                <w:bCs/>
                <w:sz w:val="24"/>
                <w:szCs w:val="24"/>
                <w:lang w:eastAsia="zh-CN"/>
              </w:rPr>
              <w:t>；</w:t>
            </w:r>
          </w:p>
          <w:p w14:paraId="63EFB4D0">
            <w:pPr>
              <w:keepNext w:val="0"/>
              <w:keepLines w:val="0"/>
              <w:pageBreakBefore w:val="0"/>
              <w:kinsoku/>
              <w:wordWrap/>
              <w:overflowPunct/>
              <w:topLinePunct w:val="0"/>
              <w:autoSpaceDE w:val="0"/>
              <w:autoSpaceDN w:val="0"/>
              <w:bidi w:val="0"/>
              <w:snapToGrid w:val="0"/>
              <w:spacing w:line="300" w:lineRule="exact"/>
              <w:textAlignment w:val="bottom"/>
              <w:outlineLvl w:val="9"/>
              <w:rPr>
                <w:rFonts w:hint="eastAsia" w:ascii="宋体" w:hAnsi="宋体" w:eastAsia="宋体" w:cs="Times New Roman"/>
                <w:b w:val="0"/>
                <w:bCs/>
                <w:sz w:val="24"/>
                <w:szCs w:val="24"/>
                <w:lang w:eastAsia="zh-CN"/>
              </w:rPr>
            </w:pPr>
            <w:r>
              <w:rPr>
                <w:rFonts w:hint="default" w:ascii="宋体" w:hAnsi="宋体" w:eastAsia="宋体" w:cs="Times New Roman"/>
                <w:b w:val="0"/>
                <w:bCs/>
                <w:sz w:val="24"/>
                <w:szCs w:val="24"/>
                <w:lang w:val="en-US" w:eastAsia="zh-CN"/>
              </w:rPr>
              <w:t>②</w:t>
            </w:r>
            <w:r>
              <w:rPr>
                <w:rFonts w:hint="eastAsia" w:ascii="宋体" w:hAnsi="宋体" w:eastAsia="宋体" w:cs="Times New Roman"/>
                <w:b w:val="0"/>
                <w:bCs/>
                <w:sz w:val="24"/>
                <w:szCs w:val="24"/>
                <w:lang w:val="en-US" w:eastAsia="zh-CN"/>
              </w:rPr>
              <w:t>开标时间前</w:t>
            </w:r>
            <w:r>
              <w:rPr>
                <w:rFonts w:hint="eastAsia" w:ascii="宋体" w:hAnsi="宋体" w:eastAsia="宋体" w:cs="Times New Roman"/>
                <w:b w:val="0"/>
                <w:bCs/>
                <w:sz w:val="24"/>
                <w:szCs w:val="24"/>
              </w:rPr>
              <w:t>三个月内（含开标当月）</w:t>
            </w:r>
            <w:r>
              <w:rPr>
                <w:rFonts w:hint="eastAsia" w:ascii="宋体" w:hAnsi="宋体" w:eastAsia="宋体" w:cs="Times New Roman"/>
                <w:b w:val="0"/>
                <w:bCs/>
                <w:sz w:val="24"/>
                <w:szCs w:val="24"/>
                <w:lang w:val="en-US" w:eastAsia="zh-CN"/>
              </w:rPr>
              <w:t>由</w:t>
            </w:r>
            <w:r>
              <w:rPr>
                <w:rFonts w:hint="eastAsia" w:ascii="宋体" w:hAnsi="宋体" w:eastAsia="宋体" w:cs="Times New Roman"/>
                <w:b w:val="0"/>
                <w:bCs/>
                <w:sz w:val="24"/>
                <w:szCs w:val="24"/>
              </w:rPr>
              <w:t>基本开户银行出具的资信证明</w:t>
            </w:r>
            <w:r>
              <w:rPr>
                <w:rFonts w:hint="eastAsia" w:ascii="宋体" w:hAnsi="宋体" w:eastAsia="宋体" w:cs="Times New Roman"/>
                <w:b w:val="0"/>
                <w:bCs/>
                <w:sz w:val="24"/>
                <w:szCs w:val="24"/>
                <w:lang w:eastAsia="zh-CN"/>
              </w:rPr>
              <w:t>；</w:t>
            </w:r>
          </w:p>
          <w:p w14:paraId="4025E6FA">
            <w:pPr>
              <w:keepNext w:val="0"/>
              <w:keepLines w:val="0"/>
              <w:pageBreakBefore w:val="0"/>
              <w:kinsoku/>
              <w:wordWrap/>
              <w:overflowPunct/>
              <w:topLinePunct w:val="0"/>
              <w:autoSpaceDE w:val="0"/>
              <w:autoSpaceDN w:val="0"/>
              <w:bidi w:val="0"/>
              <w:snapToGrid w:val="0"/>
              <w:spacing w:line="300" w:lineRule="exact"/>
              <w:textAlignment w:val="bottom"/>
              <w:outlineLvl w:val="9"/>
              <w:rPr>
                <w:rFonts w:hint="eastAsia" w:ascii="宋体" w:hAnsi="宋体" w:eastAsia="宋体" w:cs="Times New Roman"/>
                <w:b w:val="0"/>
                <w:bCs/>
                <w:sz w:val="24"/>
                <w:szCs w:val="24"/>
              </w:rPr>
            </w:pPr>
            <w:r>
              <w:rPr>
                <w:rFonts w:hint="default" w:ascii="宋体" w:hAnsi="宋体" w:eastAsia="宋体" w:cs="Times New Roman"/>
                <w:b w:val="0"/>
                <w:bCs/>
                <w:sz w:val="24"/>
                <w:szCs w:val="24"/>
              </w:rPr>
              <w:t>③</w:t>
            </w:r>
            <w:r>
              <w:rPr>
                <w:rFonts w:hint="eastAsia" w:ascii="宋体" w:hAnsi="宋体" w:eastAsia="宋体" w:cs="Times New Roman"/>
                <w:b w:val="0"/>
                <w:bCs/>
                <w:sz w:val="24"/>
                <w:szCs w:val="24"/>
              </w:rPr>
              <w:t>财政部门认可的政府采购专业担保机构出具的投标担保函</w:t>
            </w:r>
            <w:r>
              <w:rPr>
                <w:rFonts w:hint="eastAsia" w:ascii="宋体" w:hAnsi="宋体" w:eastAsia="宋体" w:cs="Times New Roman"/>
                <w:b w:val="0"/>
                <w:bCs/>
                <w:sz w:val="24"/>
                <w:szCs w:val="24"/>
                <w:lang w:eastAsia="zh-CN"/>
              </w:rPr>
              <w:t>（</w:t>
            </w:r>
            <w:r>
              <w:rPr>
                <w:rFonts w:hint="eastAsia" w:ascii="宋体" w:hAnsi="宋体" w:eastAsia="宋体" w:cs="Times New Roman"/>
                <w:b w:val="0"/>
                <w:bCs/>
                <w:sz w:val="24"/>
                <w:szCs w:val="24"/>
                <w:lang w:val="en-US" w:eastAsia="zh-CN"/>
              </w:rPr>
              <w:t>需同时提供专业担保机构经财政部门认可的证明文件）。</w:t>
            </w:r>
          </w:p>
        </w:tc>
      </w:tr>
      <w:tr w14:paraId="21FD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jc w:val="center"/>
        </w:trPr>
        <w:tc>
          <w:tcPr>
            <w:tcW w:w="1134" w:type="dxa"/>
            <w:noWrap w:val="0"/>
            <w:vAlign w:val="center"/>
          </w:tcPr>
          <w:p w14:paraId="37C05A5A">
            <w:pPr>
              <w:pStyle w:val="17"/>
              <w:keepNext w:val="0"/>
              <w:keepLines w:val="0"/>
              <w:pageBreakBefore w:val="0"/>
              <w:kinsoku/>
              <w:wordWrap/>
              <w:overflowPunct/>
              <w:topLinePunct w:val="0"/>
              <w:bidi w:val="0"/>
              <w:spacing w:line="300" w:lineRule="exact"/>
              <w:jc w:val="center"/>
              <w:outlineLvl w:val="9"/>
              <w:rPr>
                <w:rFonts w:hint="eastAsia" w:hAnsi="宋体"/>
                <w:sz w:val="24"/>
                <w:szCs w:val="24"/>
              </w:rPr>
            </w:pPr>
            <w:r>
              <w:rPr>
                <w:rFonts w:hint="eastAsia" w:hAnsi="宋体"/>
                <w:sz w:val="24"/>
                <w:szCs w:val="24"/>
              </w:rPr>
              <w:t>4.1.3</w:t>
            </w:r>
          </w:p>
        </w:tc>
        <w:tc>
          <w:tcPr>
            <w:tcW w:w="2569" w:type="dxa"/>
            <w:noWrap w:val="0"/>
            <w:vAlign w:val="center"/>
          </w:tcPr>
          <w:p w14:paraId="486AACB1">
            <w:pPr>
              <w:keepNext w:val="0"/>
              <w:keepLines w:val="0"/>
              <w:pageBreakBefore w:val="0"/>
              <w:kinsoku/>
              <w:wordWrap/>
              <w:overflowPunct/>
              <w:topLinePunct w:val="0"/>
              <w:autoSpaceDE w:val="0"/>
              <w:autoSpaceDN w:val="0"/>
              <w:bidi w:val="0"/>
              <w:snapToGrid w:val="0"/>
              <w:spacing w:line="300" w:lineRule="exact"/>
              <w:textAlignment w:val="bottom"/>
              <w:outlineLvl w:val="9"/>
              <w:rPr>
                <w:rFonts w:ascii="宋体" w:hAnsi="宋体" w:eastAsia="宋体" w:cs="Times New Roman"/>
                <w:sz w:val="24"/>
                <w:szCs w:val="24"/>
              </w:rPr>
            </w:pPr>
            <w:r>
              <w:rPr>
                <w:rFonts w:ascii="宋体" w:hAnsi="宋体" w:eastAsia="宋体" w:cs="Times New Roman"/>
                <w:sz w:val="24"/>
                <w:szCs w:val="24"/>
              </w:rPr>
              <w:t>纳税</w:t>
            </w:r>
            <w:r>
              <w:rPr>
                <w:rFonts w:hint="eastAsia" w:ascii="宋体" w:hAnsi="宋体" w:eastAsia="宋体" w:cs="Times New Roman"/>
                <w:sz w:val="24"/>
                <w:szCs w:val="24"/>
                <w:lang w:eastAsia="zh-CN"/>
              </w:rPr>
              <w:t>、</w:t>
            </w:r>
            <w:r>
              <w:rPr>
                <w:rFonts w:ascii="Times New Roman" w:hAnsi="宋体" w:eastAsia="宋体" w:cs="Times New Roman"/>
                <w:sz w:val="24"/>
                <w:szCs w:val="24"/>
              </w:rPr>
              <w:t>缴纳社会保险</w:t>
            </w:r>
            <w:r>
              <w:rPr>
                <w:rFonts w:ascii="宋体" w:hAnsi="宋体" w:eastAsia="宋体" w:cs="Times New Roman"/>
                <w:sz w:val="24"/>
                <w:szCs w:val="24"/>
              </w:rPr>
              <w:t>证明材料的时间范围</w:t>
            </w:r>
          </w:p>
        </w:tc>
        <w:tc>
          <w:tcPr>
            <w:tcW w:w="6117" w:type="dxa"/>
            <w:noWrap w:val="0"/>
            <w:vAlign w:val="top"/>
          </w:tcPr>
          <w:p w14:paraId="303E9251">
            <w:pPr>
              <w:keepNext w:val="0"/>
              <w:keepLines w:val="0"/>
              <w:pageBreakBefore w:val="0"/>
              <w:kinsoku/>
              <w:wordWrap/>
              <w:overflowPunct/>
              <w:topLinePunct w:val="0"/>
              <w:autoSpaceDE w:val="0"/>
              <w:autoSpaceDN w:val="0"/>
              <w:bidi w:val="0"/>
              <w:snapToGrid w:val="0"/>
              <w:spacing w:line="300" w:lineRule="exact"/>
              <w:textAlignment w:val="bottom"/>
              <w:outlineLvl w:val="9"/>
              <w:rPr>
                <w:rFonts w:hint="eastAsia" w:ascii="宋体" w:hAnsi="宋体" w:eastAsia="宋体" w:cs="Times New Roman"/>
                <w:b w:val="0"/>
                <w:bCs/>
                <w:sz w:val="24"/>
                <w:szCs w:val="24"/>
              </w:rPr>
            </w:pPr>
            <w:r>
              <w:rPr>
                <w:rFonts w:hint="eastAsia" w:ascii="宋体" w:hAnsi="宋体" w:eastAsia="宋体" w:cs="Times New Roman"/>
                <w:b w:val="0"/>
                <w:bCs/>
                <w:sz w:val="24"/>
                <w:szCs w:val="24"/>
              </w:rPr>
              <w:t>提供</w:t>
            </w:r>
            <w:r>
              <w:rPr>
                <w:rFonts w:hint="eastAsia" w:ascii="宋体" w:hAnsi="宋体" w:eastAsia="宋体" w:cs="Times New Roman"/>
                <w:b w:val="0"/>
                <w:bCs/>
                <w:sz w:val="24"/>
                <w:szCs w:val="24"/>
                <w:lang w:val="en-US" w:eastAsia="zh-CN"/>
              </w:rPr>
              <w:t>2025</w:t>
            </w:r>
            <w:r>
              <w:rPr>
                <w:rFonts w:hint="eastAsia" w:ascii="宋体" w:hAnsi="宋体" w:eastAsia="宋体" w:cs="Times New Roman"/>
                <w:b w:val="0"/>
                <w:bCs/>
                <w:sz w:val="24"/>
                <w:szCs w:val="24"/>
              </w:rPr>
              <w:t>年</w:t>
            </w:r>
            <w:r>
              <w:rPr>
                <w:rFonts w:hint="eastAsia" w:ascii="宋体" w:hAnsi="宋体" w:eastAsia="宋体" w:cs="Times New Roman"/>
                <w:b w:val="0"/>
                <w:bCs/>
                <w:sz w:val="24"/>
                <w:szCs w:val="24"/>
                <w:lang w:val="en-US" w:eastAsia="zh-CN"/>
              </w:rPr>
              <w:t>1</w:t>
            </w:r>
            <w:r>
              <w:rPr>
                <w:rFonts w:hint="eastAsia" w:ascii="宋体" w:hAnsi="宋体" w:eastAsia="宋体" w:cs="Times New Roman"/>
                <w:b w:val="0"/>
                <w:bCs/>
                <w:sz w:val="24"/>
                <w:szCs w:val="24"/>
              </w:rPr>
              <w:t>月至今任意3个月依法缴纳税收和社会保障资金的证明(</w:t>
            </w:r>
            <w:r>
              <w:rPr>
                <w:rFonts w:hint="eastAsia" w:ascii="宋体" w:hAnsi="宋体" w:eastAsia="宋体" w:cs="Times New Roman"/>
                <w:b w:val="0"/>
                <w:bCs/>
                <w:sz w:val="24"/>
                <w:szCs w:val="24"/>
                <w:lang w:val="en-US" w:eastAsia="zh-CN"/>
              </w:rPr>
              <w:t>若投标人成立时间不足</w:t>
            </w:r>
            <w:r>
              <w:rPr>
                <w:rFonts w:hint="eastAsia" w:ascii="宋体" w:hAnsi="宋体" w:eastAsia="宋体" w:cs="Times New Roman"/>
                <w:b w:val="0"/>
                <w:bCs/>
                <w:sz w:val="24"/>
                <w:szCs w:val="24"/>
              </w:rPr>
              <w:t>3个月</w:t>
            </w:r>
            <w:r>
              <w:rPr>
                <w:rFonts w:hint="eastAsia" w:ascii="宋体" w:hAnsi="宋体" w:eastAsia="宋体" w:cs="Times New Roman"/>
                <w:b w:val="0"/>
                <w:bCs/>
                <w:sz w:val="24"/>
                <w:szCs w:val="24"/>
                <w:lang w:val="en-US" w:eastAsia="zh-CN"/>
              </w:rPr>
              <w:t>的，</w:t>
            </w:r>
            <w:r>
              <w:rPr>
                <w:rFonts w:hint="eastAsia" w:ascii="宋体" w:hAnsi="宋体" w:eastAsia="宋体" w:cs="Times New Roman"/>
                <w:b w:val="0"/>
                <w:bCs/>
                <w:sz w:val="24"/>
                <w:szCs w:val="24"/>
              </w:rPr>
              <w:t>提供成立以来的税收和社会保障资金缴纳凭据；依法免税或不需要缴纳社会保障资金的投标人，应提供相应文件证明其依法免税或不需要缴纳社会保障资金)</w:t>
            </w:r>
            <w:r>
              <w:rPr>
                <w:rFonts w:hint="eastAsia" w:ascii="宋体" w:hAnsi="宋体" w:eastAsia="宋体" w:cs="Times New Roman"/>
                <w:b w:val="0"/>
                <w:bCs/>
                <w:sz w:val="24"/>
                <w:szCs w:val="24"/>
                <w:lang w:eastAsia="zh-CN"/>
              </w:rPr>
              <w:t>。</w:t>
            </w:r>
          </w:p>
        </w:tc>
      </w:tr>
      <w:tr w14:paraId="25E02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34" w:type="dxa"/>
            <w:noWrap w:val="0"/>
            <w:vAlign w:val="center"/>
          </w:tcPr>
          <w:p w14:paraId="5FC8CFBF">
            <w:pPr>
              <w:pStyle w:val="17"/>
              <w:keepNext w:val="0"/>
              <w:keepLines w:val="0"/>
              <w:pageBreakBefore w:val="0"/>
              <w:kinsoku/>
              <w:wordWrap/>
              <w:overflowPunct/>
              <w:topLinePunct w:val="0"/>
              <w:bidi w:val="0"/>
              <w:spacing w:line="300" w:lineRule="exact"/>
              <w:jc w:val="center"/>
              <w:outlineLvl w:val="9"/>
              <w:rPr>
                <w:rFonts w:hint="eastAsia" w:hAnsi="宋体"/>
                <w:sz w:val="24"/>
                <w:szCs w:val="24"/>
              </w:rPr>
            </w:pPr>
            <w:r>
              <w:rPr>
                <w:rFonts w:hint="eastAsia" w:hAnsi="宋体"/>
                <w:sz w:val="24"/>
                <w:szCs w:val="24"/>
              </w:rPr>
              <w:t>4.1.6</w:t>
            </w:r>
          </w:p>
        </w:tc>
        <w:tc>
          <w:tcPr>
            <w:tcW w:w="2569" w:type="dxa"/>
            <w:noWrap w:val="0"/>
            <w:vAlign w:val="center"/>
          </w:tcPr>
          <w:p w14:paraId="2EEBAD85">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书面声明</w:t>
            </w:r>
          </w:p>
        </w:tc>
        <w:tc>
          <w:tcPr>
            <w:tcW w:w="6117" w:type="dxa"/>
            <w:noWrap w:val="0"/>
            <w:vAlign w:val="top"/>
          </w:tcPr>
          <w:p w14:paraId="4D604258">
            <w:pPr>
              <w:keepNext w:val="0"/>
              <w:keepLines w:val="0"/>
              <w:pageBreakBefore w:val="0"/>
              <w:kinsoku/>
              <w:wordWrap/>
              <w:overflowPunct/>
              <w:topLinePunct w:val="0"/>
              <w:autoSpaceDE w:val="0"/>
              <w:autoSpaceDN w:val="0"/>
              <w:bidi w:val="0"/>
              <w:snapToGrid w:val="0"/>
              <w:spacing w:line="300" w:lineRule="exact"/>
              <w:textAlignment w:val="bottom"/>
              <w:outlineLvl w:val="9"/>
              <w:rPr>
                <w:rFonts w:hint="eastAsia" w:ascii="宋体" w:hAnsi="宋体" w:eastAsia="宋体" w:cs="Times New Roman"/>
                <w:b w:val="0"/>
                <w:bCs/>
                <w:sz w:val="24"/>
                <w:szCs w:val="24"/>
              </w:rPr>
            </w:pPr>
            <w:r>
              <w:rPr>
                <w:rFonts w:hint="eastAsia" w:ascii="宋体" w:hAnsi="宋体" w:eastAsia="宋体" w:cs="Times New Roman"/>
                <w:b w:val="0"/>
                <w:bCs/>
                <w:sz w:val="24"/>
                <w:szCs w:val="24"/>
              </w:rPr>
              <w:t>①提供投标人参加政府采购活动前三年内，在经营活动中没有重大违法记录（重大违法记录，是指投标人因违法经营受到刑事处罚或者责令停产停业、吊销许可证或者执照、较大数额罚款等行政处罚）的书面声明</w:t>
            </w:r>
            <w:r>
              <w:rPr>
                <w:rFonts w:hint="eastAsia" w:ascii="宋体" w:hAnsi="宋体" w:eastAsia="宋体" w:cs="Times New Roman"/>
                <w:b w:val="0"/>
                <w:bCs/>
                <w:sz w:val="24"/>
                <w:szCs w:val="24"/>
                <w:lang w:eastAsia="zh-CN"/>
              </w:rPr>
              <w:t>。</w:t>
            </w:r>
          </w:p>
          <w:p w14:paraId="058E3CD4">
            <w:pPr>
              <w:keepNext w:val="0"/>
              <w:keepLines w:val="0"/>
              <w:pageBreakBefore w:val="0"/>
              <w:kinsoku/>
              <w:wordWrap/>
              <w:overflowPunct/>
              <w:topLinePunct w:val="0"/>
              <w:autoSpaceDE w:val="0"/>
              <w:autoSpaceDN w:val="0"/>
              <w:bidi w:val="0"/>
              <w:snapToGrid w:val="0"/>
              <w:spacing w:line="300" w:lineRule="exact"/>
              <w:textAlignment w:val="bottom"/>
              <w:outlineLvl w:val="9"/>
              <w:rPr>
                <w:rFonts w:hint="eastAsia" w:ascii="宋体" w:hAnsi="宋体" w:eastAsia="宋体" w:cs="Times New Roman"/>
                <w:b w:val="0"/>
                <w:bCs/>
                <w:sz w:val="24"/>
                <w:szCs w:val="24"/>
              </w:rPr>
            </w:pPr>
            <w:r>
              <w:rPr>
                <w:rFonts w:hint="eastAsia" w:ascii="宋体" w:hAnsi="宋体" w:eastAsia="宋体" w:cs="Times New Roman"/>
                <w:b w:val="0"/>
                <w:bCs/>
                <w:sz w:val="24"/>
                <w:szCs w:val="24"/>
              </w:rPr>
              <w:t>②</w:t>
            </w:r>
            <w:r>
              <w:rPr>
                <w:rFonts w:hint="eastAsia" w:ascii="宋体" w:hAnsi="宋体" w:eastAsia="宋体" w:cs="Times New Roman"/>
                <w:b w:val="0"/>
                <w:bCs/>
                <w:sz w:val="24"/>
                <w:szCs w:val="24"/>
                <w:lang w:val="en-US" w:eastAsia="zh-CN"/>
              </w:rPr>
              <w:t>投标人未被列入“信用中国”（www.creditchina.gov.cn）</w:t>
            </w:r>
            <w:r>
              <w:rPr>
                <w:rFonts w:hint="eastAsia" w:ascii="宋体" w:hAnsi="宋体" w:eastAsia="宋体" w:cs="Times New Roman"/>
                <w:b w:val="0"/>
                <w:bCs/>
                <w:sz w:val="24"/>
                <w:szCs w:val="24"/>
              </w:rPr>
              <w:t>失信被执行人</w:t>
            </w:r>
            <w:r>
              <w:rPr>
                <w:rFonts w:hint="eastAsia" w:ascii="宋体" w:hAnsi="宋体" w:eastAsia="宋体" w:cs="Times New Roman"/>
                <w:b w:val="0"/>
                <w:bCs/>
                <w:sz w:val="24"/>
                <w:szCs w:val="24"/>
                <w:lang w:eastAsia="zh-CN"/>
              </w:rPr>
              <w:t>、</w:t>
            </w:r>
            <w:r>
              <w:rPr>
                <w:rFonts w:hint="eastAsia" w:ascii="宋体" w:hAnsi="宋体" w:eastAsia="宋体" w:cs="Times New Roman"/>
                <w:b w:val="0"/>
                <w:bCs/>
                <w:sz w:val="24"/>
                <w:szCs w:val="24"/>
                <w:lang w:val="en-US" w:eastAsia="zh-CN"/>
              </w:rPr>
              <w:t>重大税收违法失信主体及“中国政府采购网”（www.ccgp.gov.cn）政府采购严重违法失信行为记录名单，（采购代理机构将于评标前对投标人进行信用信息查询。查询记录为上述网站信用信息查询结果的网页截图或网页打印稿。）</w:t>
            </w:r>
          </w:p>
        </w:tc>
      </w:tr>
      <w:tr w14:paraId="2CB9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34" w:type="dxa"/>
            <w:noWrap w:val="0"/>
            <w:vAlign w:val="center"/>
          </w:tcPr>
          <w:p w14:paraId="6BA7A158">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4.2</w:t>
            </w:r>
          </w:p>
        </w:tc>
        <w:tc>
          <w:tcPr>
            <w:tcW w:w="2569" w:type="dxa"/>
            <w:noWrap w:val="0"/>
            <w:vAlign w:val="center"/>
          </w:tcPr>
          <w:p w14:paraId="4274FA9A">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采购人根据采购项目的特殊要求规定的特定条件</w:t>
            </w:r>
          </w:p>
        </w:tc>
        <w:tc>
          <w:tcPr>
            <w:tcW w:w="6117" w:type="dxa"/>
            <w:noWrap w:val="0"/>
            <w:vAlign w:val="center"/>
          </w:tcPr>
          <w:p w14:paraId="3CB7D017">
            <w:pPr>
              <w:keepNext w:val="0"/>
              <w:keepLines w:val="0"/>
              <w:pageBreakBefore w:val="0"/>
              <w:kinsoku/>
              <w:wordWrap/>
              <w:overflowPunct/>
              <w:topLinePunct w:val="0"/>
              <w:autoSpaceDE w:val="0"/>
              <w:autoSpaceDN w:val="0"/>
              <w:bidi w:val="0"/>
              <w:snapToGrid w:val="0"/>
              <w:spacing w:line="300" w:lineRule="exact"/>
              <w:textAlignment w:val="bottom"/>
              <w:outlineLvl w:val="9"/>
              <w:rPr>
                <w:rFonts w:ascii="宋体" w:hAnsi="宋体" w:eastAsia="宋体" w:cs="Times New Roman"/>
                <w:b w:val="0"/>
                <w:bCs/>
                <w:sz w:val="24"/>
                <w:szCs w:val="24"/>
              </w:rPr>
            </w:pPr>
            <w:r>
              <w:rPr>
                <w:rFonts w:hint="eastAsia" w:ascii="宋体" w:hAnsi="宋体" w:eastAsia="宋体" w:cs="Times New Roman"/>
                <w:b w:val="0"/>
                <w:bCs/>
                <w:sz w:val="24"/>
                <w:szCs w:val="24"/>
              </w:rPr>
              <w:t>见第一章“</w:t>
            </w:r>
            <w:r>
              <w:rPr>
                <w:rFonts w:hint="eastAsia" w:ascii="宋体" w:hAnsi="宋体" w:eastAsia="宋体" w:cs="Times New Roman"/>
                <w:b w:val="0"/>
                <w:bCs/>
                <w:sz w:val="24"/>
                <w:szCs w:val="24"/>
                <w:lang w:val="en-US" w:eastAsia="zh-CN"/>
              </w:rPr>
              <w:t>公开</w:t>
            </w:r>
            <w:r>
              <w:rPr>
                <w:rFonts w:hint="eastAsia" w:ascii="宋体" w:hAnsi="宋体" w:eastAsia="宋体" w:cs="Times New Roman"/>
                <w:b w:val="0"/>
                <w:bCs/>
                <w:sz w:val="24"/>
                <w:szCs w:val="24"/>
              </w:rPr>
              <w:t>招标公告”二、</w:t>
            </w:r>
            <w:r>
              <w:rPr>
                <w:rFonts w:hint="eastAsia" w:ascii="宋体" w:hAnsi="宋体" w:eastAsia="宋体" w:cs="Times New Roman"/>
                <w:b w:val="0"/>
                <w:bCs/>
                <w:sz w:val="24"/>
                <w:szCs w:val="24"/>
                <w:lang w:eastAsia="zh-CN"/>
              </w:rPr>
              <w:t>投标人</w:t>
            </w:r>
            <w:r>
              <w:rPr>
                <w:rFonts w:hint="eastAsia" w:ascii="宋体" w:hAnsi="宋体" w:eastAsia="宋体" w:cs="Times New Roman"/>
                <w:b w:val="0"/>
                <w:bCs/>
                <w:sz w:val="24"/>
                <w:szCs w:val="24"/>
              </w:rPr>
              <w:t>的资格要求</w:t>
            </w:r>
          </w:p>
        </w:tc>
      </w:tr>
      <w:tr w14:paraId="2EDC7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134" w:type="dxa"/>
            <w:noWrap w:val="0"/>
            <w:vAlign w:val="center"/>
          </w:tcPr>
          <w:p w14:paraId="19FEAD45">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4.</w:t>
            </w:r>
            <w:r>
              <w:rPr>
                <w:rFonts w:hAnsi="宋体"/>
                <w:sz w:val="24"/>
                <w:szCs w:val="24"/>
              </w:rPr>
              <w:t>5</w:t>
            </w:r>
          </w:p>
        </w:tc>
        <w:tc>
          <w:tcPr>
            <w:tcW w:w="2569" w:type="dxa"/>
            <w:noWrap w:val="0"/>
            <w:vAlign w:val="center"/>
          </w:tcPr>
          <w:p w14:paraId="013C4747">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是否接受联合体投标</w:t>
            </w:r>
          </w:p>
        </w:tc>
        <w:tc>
          <w:tcPr>
            <w:tcW w:w="6117" w:type="dxa"/>
            <w:noWrap w:val="0"/>
            <w:vAlign w:val="center"/>
          </w:tcPr>
          <w:p w14:paraId="762A48FD">
            <w:pPr>
              <w:pStyle w:val="17"/>
              <w:keepNext w:val="0"/>
              <w:keepLines w:val="0"/>
              <w:pageBreakBefore w:val="0"/>
              <w:kinsoku/>
              <w:wordWrap/>
              <w:overflowPunct/>
              <w:topLinePunct w:val="0"/>
              <w:bidi w:val="0"/>
              <w:spacing w:line="300" w:lineRule="exact"/>
              <w:jc w:val="left"/>
              <w:outlineLvl w:val="9"/>
              <w:rPr>
                <w:rFonts w:hAnsi="宋体"/>
                <w:sz w:val="24"/>
                <w:szCs w:val="24"/>
              </w:rPr>
            </w:pPr>
            <w:r>
              <w:rPr>
                <w:rFonts w:hint="eastAsia" w:hAnsi="宋体"/>
                <w:sz w:val="24"/>
                <w:szCs w:val="24"/>
              </w:rPr>
              <w:t>不接受</w:t>
            </w:r>
          </w:p>
        </w:tc>
      </w:tr>
      <w:tr w14:paraId="21BBE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134" w:type="dxa"/>
            <w:noWrap w:val="0"/>
            <w:vAlign w:val="center"/>
          </w:tcPr>
          <w:p w14:paraId="4E1BEBF9">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9.1</w:t>
            </w:r>
          </w:p>
        </w:tc>
        <w:tc>
          <w:tcPr>
            <w:tcW w:w="2569" w:type="dxa"/>
            <w:noWrap w:val="0"/>
            <w:vAlign w:val="center"/>
          </w:tcPr>
          <w:p w14:paraId="2F031C75">
            <w:pPr>
              <w:keepNext w:val="0"/>
              <w:keepLines w:val="0"/>
              <w:pageBreakBefore w:val="0"/>
              <w:kinsoku/>
              <w:wordWrap/>
              <w:overflowPunct/>
              <w:topLinePunct w:val="0"/>
              <w:autoSpaceDE w:val="0"/>
              <w:autoSpaceDN w:val="0"/>
              <w:bidi w:val="0"/>
              <w:snapToGrid w:val="0"/>
              <w:spacing w:line="300" w:lineRule="exact"/>
              <w:textAlignment w:val="bottom"/>
              <w:outlineLvl w:val="9"/>
              <w:rPr>
                <w:rFonts w:ascii="宋体" w:hAnsi="宋体" w:eastAsia="宋体" w:cs="Times New Roman"/>
                <w:sz w:val="24"/>
                <w:szCs w:val="24"/>
              </w:rPr>
            </w:pPr>
            <w:r>
              <w:rPr>
                <w:rFonts w:hint="eastAsia" w:ascii="宋体" w:hAnsi="宋体" w:eastAsia="宋体" w:cs="Times New Roman"/>
                <w:sz w:val="24"/>
                <w:szCs w:val="24"/>
              </w:rPr>
              <w:t>招标文件澄清截止时间</w:t>
            </w:r>
          </w:p>
        </w:tc>
        <w:tc>
          <w:tcPr>
            <w:tcW w:w="6117" w:type="dxa"/>
            <w:noWrap w:val="0"/>
            <w:vAlign w:val="center"/>
          </w:tcPr>
          <w:p w14:paraId="7662CFFB">
            <w:pPr>
              <w:pStyle w:val="17"/>
              <w:keepNext w:val="0"/>
              <w:keepLines w:val="0"/>
              <w:pageBreakBefore w:val="0"/>
              <w:kinsoku/>
              <w:wordWrap/>
              <w:overflowPunct/>
              <w:topLinePunct w:val="0"/>
              <w:bidi w:val="0"/>
              <w:spacing w:line="300" w:lineRule="exact"/>
              <w:jc w:val="left"/>
              <w:outlineLvl w:val="9"/>
              <w:rPr>
                <w:rFonts w:hAnsi="宋体"/>
                <w:bCs/>
                <w:sz w:val="24"/>
                <w:szCs w:val="24"/>
              </w:rPr>
            </w:pPr>
            <w:r>
              <w:rPr>
                <w:rFonts w:hint="eastAsia" w:hAnsi="宋体"/>
                <w:sz w:val="24"/>
                <w:szCs w:val="24"/>
              </w:rPr>
              <w:t>提交投标文件截止时间十五日前</w:t>
            </w:r>
          </w:p>
        </w:tc>
      </w:tr>
      <w:tr w14:paraId="3E4A0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134" w:type="dxa"/>
            <w:noWrap w:val="0"/>
            <w:vAlign w:val="center"/>
          </w:tcPr>
          <w:p w14:paraId="15F05927">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Ansi="宋体"/>
                <w:sz w:val="24"/>
                <w:szCs w:val="24"/>
              </w:rPr>
              <w:t>13.1</w:t>
            </w:r>
            <w:r>
              <w:rPr>
                <w:rFonts w:hint="eastAsia" w:hAnsi="宋体"/>
                <w:sz w:val="24"/>
                <w:szCs w:val="24"/>
              </w:rPr>
              <w:t>.</w:t>
            </w:r>
            <w:r>
              <w:rPr>
                <w:rFonts w:hAnsi="宋体"/>
                <w:sz w:val="24"/>
                <w:szCs w:val="24"/>
              </w:rPr>
              <w:t>4</w:t>
            </w:r>
          </w:p>
        </w:tc>
        <w:tc>
          <w:tcPr>
            <w:tcW w:w="2569" w:type="dxa"/>
            <w:noWrap w:val="0"/>
            <w:vAlign w:val="center"/>
          </w:tcPr>
          <w:p w14:paraId="0895E91D">
            <w:pPr>
              <w:pStyle w:val="17"/>
              <w:keepNext w:val="0"/>
              <w:keepLines w:val="0"/>
              <w:pageBreakBefore w:val="0"/>
              <w:kinsoku/>
              <w:wordWrap/>
              <w:overflowPunct/>
              <w:topLinePunct w:val="0"/>
              <w:bidi w:val="0"/>
              <w:spacing w:line="300" w:lineRule="exact"/>
              <w:outlineLvl w:val="9"/>
              <w:rPr>
                <w:rFonts w:hAnsi="宋体"/>
                <w:sz w:val="24"/>
                <w:szCs w:val="24"/>
              </w:rPr>
            </w:pPr>
            <w:r>
              <w:rPr>
                <w:rFonts w:hAnsi="宋体"/>
                <w:sz w:val="24"/>
                <w:szCs w:val="24"/>
              </w:rPr>
              <w:t>构成投标文件</w:t>
            </w:r>
            <w:r>
              <w:rPr>
                <w:rFonts w:hint="eastAsia" w:hAnsi="宋体"/>
                <w:sz w:val="24"/>
                <w:szCs w:val="24"/>
              </w:rPr>
              <w:t>商务部分</w:t>
            </w:r>
            <w:r>
              <w:rPr>
                <w:rFonts w:hAnsi="宋体"/>
                <w:sz w:val="24"/>
                <w:szCs w:val="24"/>
              </w:rPr>
              <w:t>的其他资料</w:t>
            </w:r>
          </w:p>
        </w:tc>
        <w:tc>
          <w:tcPr>
            <w:tcW w:w="6117" w:type="dxa"/>
            <w:noWrap w:val="0"/>
            <w:vAlign w:val="center"/>
          </w:tcPr>
          <w:p w14:paraId="71A9A789">
            <w:pPr>
              <w:keepNext w:val="0"/>
              <w:keepLines w:val="0"/>
              <w:pageBreakBefore w:val="0"/>
              <w:kinsoku/>
              <w:wordWrap/>
              <w:overflowPunct/>
              <w:topLinePunct w:val="0"/>
              <w:autoSpaceDE w:val="0"/>
              <w:autoSpaceDN w:val="0"/>
              <w:bidi w:val="0"/>
              <w:snapToGrid w:val="0"/>
              <w:spacing w:line="300" w:lineRule="exact"/>
              <w:textAlignment w:val="bottom"/>
              <w:outlineLvl w:val="9"/>
              <w:rPr>
                <w:rFonts w:ascii="宋体" w:hAnsi="宋体" w:eastAsia="宋体" w:cs="Times New Roman"/>
                <w:bCs/>
                <w:sz w:val="24"/>
                <w:szCs w:val="24"/>
              </w:rPr>
            </w:pPr>
            <w:r>
              <w:rPr>
                <w:rFonts w:ascii="宋体" w:hAnsi="宋体" w:eastAsia="宋体" w:cs="Times New Roman"/>
                <w:bCs/>
                <w:sz w:val="24"/>
                <w:szCs w:val="24"/>
              </w:rPr>
              <w:t>招标文件中所涉及到的相关资料及证明文件或投标人认为必须提供的其他相关资料。</w:t>
            </w:r>
          </w:p>
        </w:tc>
      </w:tr>
      <w:tr w14:paraId="30162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134" w:type="dxa"/>
            <w:noWrap w:val="0"/>
            <w:vAlign w:val="center"/>
          </w:tcPr>
          <w:p w14:paraId="5E312C3B">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Ansi="宋体"/>
                <w:sz w:val="24"/>
                <w:szCs w:val="24"/>
              </w:rPr>
              <w:t>13.1</w:t>
            </w:r>
            <w:r>
              <w:rPr>
                <w:rFonts w:hint="eastAsia" w:hAnsi="宋体"/>
                <w:sz w:val="24"/>
                <w:szCs w:val="24"/>
              </w:rPr>
              <w:t>.6</w:t>
            </w:r>
          </w:p>
        </w:tc>
        <w:tc>
          <w:tcPr>
            <w:tcW w:w="2569" w:type="dxa"/>
            <w:noWrap w:val="0"/>
            <w:vAlign w:val="center"/>
          </w:tcPr>
          <w:p w14:paraId="1B2D06B8">
            <w:pPr>
              <w:pStyle w:val="17"/>
              <w:keepNext w:val="0"/>
              <w:keepLines w:val="0"/>
              <w:pageBreakBefore w:val="0"/>
              <w:kinsoku/>
              <w:wordWrap/>
              <w:overflowPunct/>
              <w:topLinePunct w:val="0"/>
              <w:bidi w:val="0"/>
              <w:spacing w:line="300" w:lineRule="exact"/>
              <w:outlineLvl w:val="9"/>
              <w:rPr>
                <w:rFonts w:hAnsi="宋体"/>
                <w:sz w:val="24"/>
                <w:szCs w:val="24"/>
              </w:rPr>
            </w:pPr>
            <w:r>
              <w:rPr>
                <w:rFonts w:hAnsi="宋体"/>
                <w:sz w:val="24"/>
                <w:szCs w:val="24"/>
              </w:rPr>
              <w:t>构成投标文件技术部分的其他资料</w:t>
            </w:r>
          </w:p>
        </w:tc>
        <w:tc>
          <w:tcPr>
            <w:tcW w:w="6117" w:type="dxa"/>
            <w:noWrap w:val="0"/>
            <w:vAlign w:val="center"/>
          </w:tcPr>
          <w:p w14:paraId="7E0FBD81">
            <w:pPr>
              <w:keepNext w:val="0"/>
              <w:keepLines w:val="0"/>
              <w:pageBreakBefore w:val="0"/>
              <w:kinsoku/>
              <w:wordWrap/>
              <w:overflowPunct/>
              <w:topLinePunct w:val="0"/>
              <w:autoSpaceDE w:val="0"/>
              <w:autoSpaceDN w:val="0"/>
              <w:bidi w:val="0"/>
              <w:snapToGrid w:val="0"/>
              <w:spacing w:line="300" w:lineRule="exact"/>
              <w:textAlignment w:val="bottom"/>
              <w:outlineLvl w:val="9"/>
              <w:rPr>
                <w:rFonts w:hint="eastAsia" w:ascii="宋体" w:hAnsi="宋体" w:eastAsia="宋体" w:cs="Times New Roman"/>
                <w:bCs/>
                <w:sz w:val="24"/>
                <w:szCs w:val="24"/>
              </w:rPr>
            </w:pPr>
            <w:r>
              <w:rPr>
                <w:rFonts w:hint="eastAsia" w:ascii="宋体" w:hAnsi="宋体" w:eastAsia="宋体" w:cs="Times New Roman"/>
                <w:bCs/>
                <w:sz w:val="24"/>
                <w:szCs w:val="24"/>
              </w:rPr>
              <w:t>1、第五章“项目需求及服务要求”中要求提供的其他资料；</w:t>
            </w:r>
          </w:p>
          <w:p w14:paraId="4C91E78B">
            <w:pPr>
              <w:keepNext w:val="0"/>
              <w:keepLines w:val="0"/>
              <w:pageBreakBefore w:val="0"/>
              <w:kinsoku/>
              <w:wordWrap/>
              <w:overflowPunct/>
              <w:topLinePunct w:val="0"/>
              <w:autoSpaceDE w:val="0"/>
              <w:autoSpaceDN w:val="0"/>
              <w:bidi w:val="0"/>
              <w:snapToGrid w:val="0"/>
              <w:spacing w:line="300" w:lineRule="exact"/>
              <w:textAlignment w:val="bottom"/>
              <w:outlineLvl w:val="9"/>
              <w:rPr>
                <w:rFonts w:ascii="宋体" w:hAnsi="宋体" w:eastAsia="宋体" w:cs="Times New Roman"/>
                <w:bCs/>
                <w:sz w:val="24"/>
                <w:szCs w:val="24"/>
              </w:rPr>
            </w:pPr>
            <w:r>
              <w:rPr>
                <w:rFonts w:hint="eastAsia" w:ascii="宋体" w:hAnsi="宋体" w:eastAsia="宋体" w:cs="Times New Roman"/>
                <w:bCs/>
                <w:sz w:val="24"/>
                <w:szCs w:val="24"/>
              </w:rPr>
              <w:t>2、招标文件中所涉及到的相关资料及证明文件或投标人认为必须提供的其他相关资料。</w:t>
            </w:r>
          </w:p>
        </w:tc>
      </w:tr>
      <w:tr w14:paraId="0184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134" w:type="dxa"/>
            <w:noWrap w:val="0"/>
            <w:vAlign w:val="center"/>
          </w:tcPr>
          <w:p w14:paraId="2F5F81B7">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★15.1</w:t>
            </w:r>
          </w:p>
        </w:tc>
        <w:tc>
          <w:tcPr>
            <w:tcW w:w="2569" w:type="dxa"/>
            <w:noWrap w:val="0"/>
            <w:vAlign w:val="center"/>
          </w:tcPr>
          <w:p w14:paraId="259729CD">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本项目预算金额及最高限价</w:t>
            </w:r>
          </w:p>
        </w:tc>
        <w:tc>
          <w:tcPr>
            <w:tcW w:w="6117" w:type="dxa"/>
            <w:noWrap w:val="0"/>
            <w:vAlign w:val="center"/>
          </w:tcPr>
          <w:p w14:paraId="52832549">
            <w:pPr>
              <w:keepNext w:val="0"/>
              <w:keepLines w:val="0"/>
              <w:pageBreakBefore w:val="0"/>
              <w:kinsoku/>
              <w:wordWrap/>
              <w:overflowPunct/>
              <w:topLinePunct w:val="0"/>
              <w:autoSpaceDE w:val="0"/>
              <w:autoSpaceDN w:val="0"/>
              <w:bidi w:val="0"/>
              <w:snapToGrid w:val="0"/>
              <w:spacing w:line="300" w:lineRule="exact"/>
              <w:textAlignment w:val="bottom"/>
              <w:outlineLvl w:val="9"/>
              <w:rPr>
                <w:rFonts w:hint="eastAsia" w:ascii="宋体" w:hAnsi="宋体" w:eastAsia="宋体" w:cs="Times New Roman"/>
                <w:bCs/>
                <w:sz w:val="24"/>
                <w:szCs w:val="24"/>
              </w:rPr>
            </w:pPr>
            <w:r>
              <w:rPr>
                <w:rFonts w:hint="eastAsia" w:ascii="宋体" w:hAnsi="宋体" w:eastAsia="宋体" w:cs="Times New Roman"/>
                <w:sz w:val="24"/>
                <w:szCs w:val="24"/>
              </w:rPr>
              <w:t>见第一章“</w:t>
            </w:r>
            <w:r>
              <w:rPr>
                <w:rFonts w:hint="eastAsia" w:ascii="宋体" w:hAnsi="宋体" w:eastAsia="宋体" w:cs="Times New Roman"/>
                <w:sz w:val="24"/>
                <w:szCs w:val="24"/>
                <w:lang w:val="en-US" w:eastAsia="zh-CN"/>
              </w:rPr>
              <w:t>公开</w:t>
            </w:r>
            <w:r>
              <w:rPr>
                <w:rFonts w:hint="eastAsia" w:ascii="宋体" w:hAnsi="宋体" w:eastAsia="宋体" w:cs="Times New Roman"/>
                <w:sz w:val="24"/>
                <w:szCs w:val="24"/>
              </w:rPr>
              <w:t>招标公告”</w:t>
            </w:r>
          </w:p>
        </w:tc>
      </w:tr>
      <w:tr w14:paraId="636AA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134" w:type="dxa"/>
            <w:noWrap w:val="0"/>
            <w:vAlign w:val="center"/>
          </w:tcPr>
          <w:p w14:paraId="03EB2626">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15.5</w:t>
            </w:r>
          </w:p>
        </w:tc>
        <w:tc>
          <w:tcPr>
            <w:tcW w:w="2569" w:type="dxa"/>
            <w:noWrap w:val="0"/>
            <w:vAlign w:val="center"/>
          </w:tcPr>
          <w:p w14:paraId="27D92637">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备品备件</w:t>
            </w:r>
          </w:p>
        </w:tc>
        <w:tc>
          <w:tcPr>
            <w:tcW w:w="6117" w:type="dxa"/>
            <w:noWrap w:val="0"/>
            <w:vAlign w:val="center"/>
          </w:tcPr>
          <w:p w14:paraId="5959AB79">
            <w:pPr>
              <w:keepNext w:val="0"/>
              <w:keepLines w:val="0"/>
              <w:pageBreakBefore w:val="0"/>
              <w:kinsoku/>
              <w:wordWrap/>
              <w:overflowPunct/>
              <w:topLinePunct w:val="0"/>
              <w:bidi w:val="0"/>
              <w:spacing w:line="300" w:lineRule="exact"/>
              <w:jc w:val="left"/>
              <w:outlineLvl w:val="9"/>
              <w:rPr>
                <w:rFonts w:ascii="宋体" w:hAnsi="宋体" w:eastAsia="宋体" w:cs="Times New Roman"/>
                <w:sz w:val="24"/>
                <w:szCs w:val="24"/>
              </w:rPr>
            </w:pPr>
            <w:r>
              <w:rPr>
                <w:rFonts w:ascii="宋体" w:hAnsi="宋体" w:eastAsia="宋体" w:cs="Times New Roman"/>
                <w:sz w:val="24"/>
                <w:szCs w:val="24"/>
              </w:rPr>
              <w:t>本次招标（□要求</w:t>
            </w:r>
            <w:r>
              <w:rPr>
                <w:rFonts w:hint="eastAsia" w:ascii="宋体" w:hAnsi="宋体" w:eastAsia="宋体" w:cs="Times New Roman"/>
                <w:sz w:val="24"/>
                <w:szCs w:val="24"/>
              </w:rPr>
              <w:t>■</w:t>
            </w:r>
            <w:r>
              <w:rPr>
                <w:rFonts w:ascii="宋体" w:hAnsi="宋体" w:eastAsia="宋体" w:cs="Times New Roman"/>
                <w:sz w:val="24"/>
                <w:szCs w:val="24"/>
              </w:rPr>
              <w:t>不要求）提供所需的备品备件。</w:t>
            </w:r>
          </w:p>
        </w:tc>
      </w:tr>
      <w:tr w14:paraId="009B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134" w:type="dxa"/>
            <w:noWrap w:val="0"/>
            <w:vAlign w:val="center"/>
          </w:tcPr>
          <w:p w14:paraId="6931BE58">
            <w:pPr>
              <w:pStyle w:val="17"/>
              <w:keepNext w:val="0"/>
              <w:keepLines w:val="0"/>
              <w:pageBreakBefore w:val="0"/>
              <w:kinsoku/>
              <w:wordWrap/>
              <w:overflowPunct/>
              <w:topLinePunct w:val="0"/>
              <w:bidi w:val="0"/>
              <w:spacing w:line="300" w:lineRule="exact"/>
              <w:jc w:val="center"/>
              <w:outlineLvl w:val="9"/>
              <w:rPr>
                <w:rFonts w:hint="eastAsia" w:hAnsi="宋体"/>
                <w:sz w:val="24"/>
                <w:szCs w:val="24"/>
              </w:rPr>
            </w:pPr>
            <w:r>
              <w:rPr>
                <w:rFonts w:hint="eastAsia" w:hAnsi="宋体"/>
                <w:sz w:val="24"/>
                <w:szCs w:val="24"/>
              </w:rPr>
              <w:t>15.8</w:t>
            </w:r>
          </w:p>
        </w:tc>
        <w:tc>
          <w:tcPr>
            <w:tcW w:w="2569" w:type="dxa"/>
            <w:noWrap w:val="0"/>
            <w:vAlign w:val="center"/>
          </w:tcPr>
          <w:p w14:paraId="70EB47EB">
            <w:pPr>
              <w:keepNext w:val="0"/>
              <w:keepLines w:val="0"/>
              <w:pageBreakBefore w:val="0"/>
              <w:kinsoku/>
              <w:wordWrap/>
              <w:overflowPunct/>
              <w:topLinePunct w:val="0"/>
              <w:bidi w:val="0"/>
              <w:spacing w:line="300" w:lineRule="exact"/>
              <w:jc w:val="left"/>
              <w:outlineLvl w:val="9"/>
              <w:rPr>
                <w:rFonts w:hint="eastAsia" w:ascii="宋体" w:hAnsi="宋体" w:eastAsia="宋体" w:cs="Times New Roman"/>
                <w:sz w:val="24"/>
                <w:szCs w:val="24"/>
              </w:rPr>
            </w:pPr>
            <w:r>
              <w:rPr>
                <w:rFonts w:hint="eastAsia" w:ascii="宋体" w:hAnsi="宋体" w:eastAsia="宋体" w:cs="Times New Roman"/>
                <w:sz w:val="24"/>
                <w:szCs w:val="24"/>
              </w:rPr>
              <w:t>技术服务费</w:t>
            </w:r>
          </w:p>
        </w:tc>
        <w:tc>
          <w:tcPr>
            <w:tcW w:w="6117" w:type="dxa"/>
            <w:noWrap w:val="0"/>
            <w:vAlign w:val="center"/>
          </w:tcPr>
          <w:p w14:paraId="14D789F0">
            <w:pPr>
              <w:keepNext w:val="0"/>
              <w:keepLines w:val="0"/>
              <w:pageBreakBefore w:val="0"/>
              <w:kinsoku/>
              <w:wordWrap/>
              <w:overflowPunct/>
              <w:topLinePunct w:val="0"/>
              <w:bidi w:val="0"/>
              <w:spacing w:line="300" w:lineRule="exact"/>
              <w:jc w:val="left"/>
              <w:outlineLvl w:val="9"/>
              <w:rPr>
                <w:rFonts w:ascii="宋体" w:hAnsi="宋体" w:eastAsia="宋体" w:cs="Times New Roman"/>
                <w:sz w:val="24"/>
                <w:szCs w:val="24"/>
              </w:rPr>
            </w:pPr>
            <w:r>
              <w:rPr>
                <w:rFonts w:hint="eastAsia" w:ascii="宋体" w:hAnsi="宋体" w:eastAsia="宋体" w:cs="Times New Roman"/>
                <w:sz w:val="24"/>
                <w:szCs w:val="24"/>
              </w:rPr>
              <w:t>无</w:t>
            </w:r>
          </w:p>
        </w:tc>
      </w:tr>
      <w:tr w14:paraId="40D97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34" w:type="dxa"/>
            <w:noWrap w:val="0"/>
            <w:vAlign w:val="center"/>
          </w:tcPr>
          <w:p w14:paraId="1A60054F">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★17.1</w:t>
            </w:r>
          </w:p>
        </w:tc>
        <w:tc>
          <w:tcPr>
            <w:tcW w:w="2569" w:type="dxa"/>
            <w:noWrap w:val="0"/>
            <w:vAlign w:val="center"/>
          </w:tcPr>
          <w:p w14:paraId="7FD4729B">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投标文件有效期</w:t>
            </w:r>
          </w:p>
        </w:tc>
        <w:tc>
          <w:tcPr>
            <w:tcW w:w="6117" w:type="dxa"/>
            <w:noWrap w:val="0"/>
            <w:vAlign w:val="center"/>
          </w:tcPr>
          <w:p w14:paraId="42F9C534">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从提交投标文件截止之日起</w:t>
            </w:r>
            <w:r>
              <w:rPr>
                <w:rFonts w:hint="eastAsia" w:hAnsi="宋体"/>
                <w:sz w:val="24"/>
                <w:szCs w:val="24"/>
                <w:u w:val="single"/>
              </w:rPr>
              <w:t>90</w:t>
            </w:r>
            <w:r>
              <w:rPr>
                <w:rFonts w:hint="eastAsia" w:hAnsi="宋体"/>
                <w:sz w:val="24"/>
                <w:szCs w:val="24"/>
              </w:rPr>
              <w:t>日历天</w:t>
            </w:r>
          </w:p>
        </w:tc>
      </w:tr>
      <w:tr w14:paraId="32DCC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34" w:type="dxa"/>
            <w:noWrap w:val="0"/>
            <w:vAlign w:val="center"/>
          </w:tcPr>
          <w:p w14:paraId="22644037">
            <w:pPr>
              <w:pStyle w:val="17"/>
              <w:keepNext w:val="0"/>
              <w:keepLines w:val="0"/>
              <w:pageBreakBefore w:val="0"/>
              <w:kinsoku/>
              <w:wordWrap/>
              <w:overflowPunct/>
              <w:topLinePunct w:val="0"/>
              <w:bidi w:val="0"/>
              <w:spacing w:line="300" w:lineRule="exact"/>
              <w:jc w:val="center"/>
              <w:outlineLvl w:val="9"/>
              <w:rPr>
                <w:rFonts w:hint="eastAsia" w:hAnsi="宋体"/>
                <w:sz w:val="24"/>
                <w:szCs w:val="24"/>
              </w:rPr>
            </w:pPr>
            <w:r>
              <w:rPr>
                <w:rFonts w:hint="eastAsia" w:hAnsi="宋体"/>
                <w:sz w:val="24"/>
                <w:szCs w:val="24"/>
              </w:rPr>
              <w:t>18.1</w:t>
            </w:r>
          </w:p>
        </w:tc>
        <w:tc>
          <w:tcPr>
            <w:tcW w:w="2569" w:type="dxa"/>
            <w:noWrap w:val="0"/>
            <w:vAlign w:val="center"/>
          </w:tcPr>
          <w:p w14:paraId="022CE2C9">
            <w:pPr>
              <w:pStyle w:val="17"/>
              <w:keepNext w:val="0"/>
              <w:keepLines w:val="0"/>
              <w:pageBreakBefore w:val="0"/>
              <w:kinsoku/>
              <w:wordWrap/>
              <w:overflowPunct/>
              <w:topLinePunct w:val="0"/>
              <w:bidi w:val="0"/>
              <w:spacing w:line="300" w:lineRule="exact"/>
              <w:outlineLvl w:val="9"/>
              <w:rPr>
                <w:rFonts w:hint="eastAsia" w:hAnsi="宋体"/>
                <w:sz w:val="24"/>
                <w:szCs w:val="24"/>
              </w:rPr>
            </w:pPr>
            <w:r>
              <w:rPr>
                <w:rFonts w:hint="eastAsia" w:hAnsi="宋体"/>
                <w:sz w:val="24"/>
                <w:szCs w:val="24"/>
              </w:rPr>
              <w:t>分包</w:t>
            </w:r>
          </w:p>
        </w:tc>
        <w:tc>
          <w:tcPr>
            <w:tcW w:w="6117" w:type="dxa"/>
            <w:noWrap w:val="0"/>
            <w:vAlign w:val="center"/>
          </w:tcPr>
          <w:p w14:paraId="2BF866FA">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■本项目不得分包。</w:t>
            </w:r>
          </w:p>
          <w:p w14:paraId="67346115">
            <w:pPr>
              <w:pStyle w:val="17"/>
              <w:keepNext w:val="0"/>
              <w:keepLines w:val="0"/>
              <w:pageBreakBefore w:val="0"/>
              <w:kinsoku/>
              <w:wordWrap/>
              <w:overflowPunct/>
              <w:topLinePunct w:val="0"/>
              <w:bidi w:val="0"/>
              <w:spacing w:line="300" w:lineRule="exact"/>
              <w:outlineLvl w:val="9"/>
              <w:rPr>
                <w:rFonts w:hint="eastAsia" w:hAnsi="宋体"/>
                <w:sz w:val="24"/>
                <w:szCs w:val="24"/>
              </w:rPr>
            </w:pPr>
            <w:r>
              <w:rPr>
                <w:rFonts w:hAnsi="宋体"/>
                <w:sz w:val="24"/>
                <w:szCs w:val="24"/>
              </w:rPr>
              <w:t>□本项目中</w:t>
            </w:r>
            <w:r>
              <w:rPr>
                <w:rFonts w:hint="eastAsia" w:hAnsi="宋体"/>
                <w:sz w:val="24"/>
                <w:szCs w:val="24"/>
              </w:rPr>
              <w:t>，</w:t>
            </w:r>
            <w:r>
              <w:rPr>
                <w:rFonts w:hint="eastAsia" w:hAnsi="宋体"/>
                <w:sz w:val="24"/>
                <w:szCs w:val="24"/>
                <w:u w:val="single"/>
              </w:rPr>
              <w:t>/</w:t>
            </w:r>
            <w:r>
              <w:rPr>
                <w:rFonts w:hint="eastAsia" w:hAnsi="宋体"/>
                <w:sz w:val="24"/>
                <w:szCs w:val="24"/>
              </w:rPr>
              <w:t>可以分包。</w:t>
            </w:r>
          </w:p>
        </w:tc>
      </w:tr>
      <w:tr w14:paraId="4C7EA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134" w:type="dxa"/>
            <w:noWrap w:val="0"/>
            <w:vAlign w:val="center"/>
          </w:tcPr>
          <w:p w14:paraId="0F1AA595">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w:t>
            </w:r>
            <w:r>
              <w:rPr>
                <w:rFonts w:hAnsi="宋体"/>
                <w:sz w:val="24"/>
                <w:szCs w:val="24"/>
              </w:rPr>
              <w:t>21.1</w:t>
            </w:r>
          </w:p>
        </w:tc>
        <w:tc>
          <w:tcPr>
            <w:tcW w:w="2569" w:type="dxa"/>
            <w:noWrap w:val="0"/>
            <w:vAlign w:val="center"/>
          </w:tcPr>
          <w:p w14:paraId="5D4AD072">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投标保证金</w:t>
            </w:r>
          </w:p>
        </w:tc>
        <w:tc>
          <w:tcPr>
            <w:tcW w:w="6117" w:type="dxa"/>
            <w:noWrap w:val="0"/>
            <w:vAlign w:val="center"/>
          </w:tcPr>
          <w:p w14:paraId="59EC446C">
            <w:pPr>
              <w:pStyle w:val="17"/>
              <w:keepNext w:val="0"/>
              <w:keepLines w:val="0"/>
              <w:pageBreakBefore w:val="0"/>
              <w:numPr>
                <w:ilvl w:val="0"/>
                <w:numId w:val="1"/>
              </w:numPr>
              <w:kinsoku/>
              <w:wordWrap/>
              <w:overflowPunct/>
              <w:topLinePunct w:val="0"/>
              <w:bidi w:val="0"/>
              <w:outlineLvl w:val="9"/>
              <w:rPr>
                <w:rFonts w:hint="eastAsia" w:ascii="宋体" w:hAnsi="宋体" w:eastAsia="宋体" w:cs="宋体"/>
                <w:sz w:val="24"/>
                <w:lang w:eastAsia="zh-CN"/>
              </w:rPr>
            </w:pPr>
            <w:r>
              <w:rPr>
                <w:rFonts w:hint="eastAsia" w:hAnsi="宋体"/>
                <w:sz w:val="24"/>
                <w:szCs w:val="24"/>
              </w:rPr>
              <w:t>提交方式：</w:t>
            </w:r>
            <w:r>
              <w:rPr>
                <w:rFonts w:hint="eastAsia" w:ascii="宋体" w:hAnsi="宋体" w:eastAsia="宋体" w:cs="宋体"/>
                <w:sz w:val="24"/>
                <w:lang w:eastAsia="zh-CN"/>
              </w:rPr>
              <w:t>电汇、转账、银行保函、保险保函、其他非现金形式缴纳。</w:t>
            </w:r>
          </w:p>
          <w:p w14:paraId="68066550">
            <w:pPr>
              <w:numPr>
                <w:numId w:val="0"/>
              </w:numPr>
            </w:pPr>
          </w:p>
          <w:p w14:paraId="0B388F6F">
            <w:pPr>
              <w:pStyle w:val="17"/>
              <w:keepNext w:val="0"/>
              <w:keepLines w:val="0"/>
              <w:pageBreakBefore w:val="0"/>
              <w:kinsoku/>
              <w:wordWrap/>
              <w:overflowPunct/>
              <w:topLinePunct w:val="0"/>
              <w:bidi w:val="0"/>
              <w:outlineLvl w:val="9"/>
              <w:rPr>
                <w:rFonts w:hint="eastAsia"/>
                <w:lang w:eastAsia="zh-CN"/>
              </w:rPr>
            </w:pPr>
            <w:r>
              <w:rPr>
                <w:rFonts w:hint="eastAsia" w:hAnsi="宋体"/>
                <w:sz w:val="24"/>
                <w:szCs w:val="24"/>
              </w:rPr>
              <w:t>投标保证金金额：</w:t>
            </w:r>
            <w:r>
              <w:rPr>
                <w:rFonts w:hint="eastAsia" w:ascii="宋体" w:hAnsi="宋体" w:eastAsia="宋体" w:cs="宋体"/>
                <w:kern w:val="0"/>
                <w:sz w:val="24"/>
                <w:szCs w:val="24"/>
                <w:lang w:val="en-US" w:eastAsia="zh-CN" w:bidi="ar-SA"/>
              </w:rPr>
              <w:t>包1(猪肉类):30000.00(元)；包2(鸡肉类、冻品（鱼虾）类):7600.00(元)。</w:t>
            </w:r>
          </w:p>
          <w:p w14:paraId="2337FA22">
            <w:pPr>
              <w:keepNext w:val="0"/>
              <w:keepLines w:val="0"/>
              <w:pageBreakBefore w:val="0"/>
              <w:kinsoku/>
              <w:wordWrap/>
              <w:overflowPunct/>
              <w:topLinePunct w:val="0"/>
              <w:autoSpaceDE w:val="0"/>
              <w:autoSpaceDN w:val="0"/>
              <w:bidi w:val="0"/>
              <w:outlineLvl w:val="9"/>
              <w:rPr>
                <w:rFonts w:hint="eastAsia" w:ascii="宋体" w:hAnsi="宋体" w:eastAsia="宋体" w:cs="宋体"/>
                <w:kern w:val="0"/>
                <w:sz w:val="24"/>
                <w:szCs w:val="24"/>
              </w:rPr>
            </w:pPr>
            <w:r>
              <w:rPr>
                <w:rFonts w:hint="eastAsia" w:ascii="宋体" w:hAnsi="宋体" w:eastAsia="宋体" w:cs="宋体"/>
                <w:kern w:val="0"/>
                <w:sz w:val="24"/>
                <w:szCs w:val="24"/>
              </w:rPr>
              <w:t>缴纳时间：到账截止时间为投标文件（响应文件）递交截止时间，到账时间以项目专项账户实际到账时间为准，未按时到账的保证金视为未提交。</w:t>
            </w:r>
          </w:p>
          <w:p w14:paraId="2F0AB4E7">
            <w:pPr>
              <w:widowControl w:val="0"/>
              <w:spacing w:line="360" w:lineRule="auto"/>
              <w:rPr>
                <w:rFonts w:hint="eastAsia" w:ascii="宋体" w:hAnsi="宋体" w:eastAsia="宋体" w:cs="宋体"/>
                <w:color w:val="FF0000"/>
                <w:sz w:val="24"/>
                <w:szCs w:val="24"/>
                <w:highlight w:val="none"/>
                <w:lang w:val="en-US" w:eastAsia="zh-CN"/>
              </w:rPr>
            </w:pPr>
          </w:p>
          <w:p w14:paraId="10E2C26C">
            <w:pPr>
              <w:widowControl w:val="0"/>
              <w:spacing w:line="240" w:lineRule="auto"/>
              <w:rPr>
                <w:rFonts w:hint="default"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包1(猪肉类)投标保证金账户信息：</w:t>
            </w:r>
          </w:p>
          <w:p w14:paraId="020F509A">
            <w:pPr>
              <w:widowControl w:val="0"/>
              <w:spacing w:line="240" w:lineRule="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开户名称：</w:t>
            </w:r>
            <w:r>
              <w:rPr>
                <w:rFonts w:hint="eastAsia" w:ascii="宋体" w:hAnsi="宋体" w:eastAsia="宋体" w:cs="宋体"/>
                <w:color w:val="FF0000"/>
                <w:sz w:val="24"/>
                <w:szCs w:val="24"/>
                <w:highlight w:val="none"/>
              </w:rPr>
              <w:t>玉溪市公共资源交易中心</w:t>
            </w:r>
          </w:p>
          <w:p w14:paraId="1EF625C6">
            <w:pPr>
              <w:widowControl w:val="0"/>
              <w:spacing w:line="240" w:lineRule="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开户银行：中国农业银行玉溪市人民路支行</w:t>
            </w:r>
          </w:p>
          <w:p w14:paraId="0E5ED114">
            <w:pPr>
              <w:widowControl w:val="0"/>
              <w:spacing w:line="240" w:lineRule="auto"/>
              <w:rPr>
                <w:rFonts w:hint="eastAsia" w:ascii="宋体" w:hAnsi="宋体" w:eastAsia="宋体" w:cs="宋体"/>
                <w:color w:val="FF0000"/>
                <w:sz w:val="24"/>
                <w:szCs w:val="24"/>
                <w:highlight w:val="none"/>
                <w:lang w:eastAsia="zh-CN"/>
              </w:rPr>
            </w:pPr>
            <w:r>
              <w:rPr>
                <w:rFonts w:hint="eastAsia" w:ascii="宋体" w:hAnsi="宋体" w:eastAsia="宋体" w:cs="宋体"/>
                <w:color w:val="FF0000"/>
                <w:sz w:val="24"/>
                <w:szCs w:val="24"/>
                <w:highlight w:val="none"/>
              </w:rPr>
              <w:t>账号：24050701040002562</w:t>
            </w:r>
          </w:p>
          <w:p w14:paraId="529B2253">
            <w:pPr>
              <w:pStyle w:val="31"/>
              <w:spacing w:line="240" w:lineRule="auto"/>
              <w:ind w:left="0" w:leftChars="0" w:firstLine="0" w:firstLineChars="0"/>
              <w:rPr>
                <w:rFonts w:hint="eastAsia" w:ascii="宋体" w:hAnsi="宋体" w:eastAsia="宋体" w:cs="宋体"/>
                <w:b/>
                <w:bCs/>
                <w:color w:val="FF0000"/>
                <w:kern w:val="2"/>
                <w:sz w:val="24"/>
                <w:szCs w:val="24"/>
                <w:highlight w:val="none"/>
                <w:lang w:val="en-US" w:eastAsia="zh-CN" w:bidi="ar-SA"/>
              </w:rPr>
            </w:pPr>
            <w:r>
              <w:rPr>
                <w:rFonts w:hint="eastAsia" w:ascii="宋体" w:hAnsi="宋体" w:eastAsia="宋体" w:cs="宋体"/>
                <w:b/>
                <w:bCs/>
                <w:color w:val="FF0000"/>
                <w:kern w:val="2"/>
                <w:sz w:val="24"/>
                <w:szCs w:val="24"/>
                <w:highlight w:val="none"/>
                <w:lang w:val="en-US" w:eastAsia="zh-CN" w:bidi="ar-SA"/>
              </w:rPr>
              <w:t>注:保证金转账时需注明（项目名称+所投标包投标保证金）</w:t>
            </w:r>
          </w:p>
          <w:p w14:paraId="2998A9B5">
            <w:pPr>
              <w:widowControl w:val="0"/>
              <w:spacing w:line="240" w:lineRule="auto"/>
              <w:rPr>
                <w:rFonts w:hint="default"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包2(鸡肉类、冻品（鱼虾）类)投标保证金账户信息：</w:t>
            </w:r>
          </w:p>
          <w:p w14:paraId="24558CA4">
            <w:pPr>
              <w:widowControl w:val="0"/>
              <w:spacing w:line="240" w:lineRule="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开户名称：玉溪市公共资源交易中心</w:t>
            </w:r>
          </w:p>
          <w:p w14:paraId="14843034">
            <w:pPr>
              <w:widowControl w:val="0"/>
              <w:spacing w:line="240" w:lineRule="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开户银行：中国农业银行玉溪市人民路支行</w:t>
            </w:r>
          </w:p>
          <w:p w14:paraId="267694F0">
            <w:pPr>
              <w:widowControl w:val="0"/>
              <w:spacing w:line="240" w:lineRule="auto"/>
              <w:rPr>
                <w:rFonts w:hint="eastAsia" w:ascii="宋体" w:hAnsi="宋体" w:eastAsia="宋体" w:cs="宋体"/>
                <w:color w:val="FF0000"/>
                <w:sz w:val="24"/>
                <w:szCs w:val="24"/>
                <w:highlight w:val="none"/>
                <w:lang w:eastAsia="zh-CN"/>
              </w:rPr>
            </w:pPr>
            <w:r>
              <w:rPr>
                <w:rFonts w:hint="eastAsia" w:ascii="宋体" w:hAnsi="宋体" w:eastAsia="宋体" w:cs="宋体"/>
                <w:color w:val="FF0000"/>
                <w:sz w:val="24"/>
                <w:szCs w:val="24"/>
                <w:highlight w:val="none"/>
              </w:rPr>
              <w:t>账号：24050701040002562</w:t>
            </w:r>
          </w:p>
          <w:p w14:paraId="2072534A">
            <w:pPr>
              <w:pStyle w:val="31"/>
              <w:spacing w:line="240" w:lineRule="auto"/>
              <w:ind w:left="0" w:leftChars="0" w:firstLine="0" w:firstLineChars="0"/>
              <w:rPr>
                <w:rFonts w:hint="eastAsia" w:ascii="宋体" w:hAnsi="宋体" w:eastAsia="宋体" w:cs="宋体"/>
                <w:b/>
                <w:bCs/>
                <w:color w:val="FF0000"/>
                <w:kern w:val="2"/>
                <w:sz w:val="24"/>
                <w:szCs w:val="24"/>
                <w:highlight w:val="none"/>
                <w:lang w:val="en-US" w:eastAsia="zh-CN" w:bidi="ar-SA"/>
              </w:rPr>
            </w:pPr>
            <w:r>
              <w:rPr>
                <w:rFonts w:hint="eastAsia" w:ascii="宋体" w:hAnsi="宋体" w:eastAsia="宋体" w:cs="宋体"/>
                <w:b/>
                <w:bCs/>
                <w:color w:val="FF0000"/>
                <w:kern w:val="2"/>
                <w:sz w:val="24"/>
                <w:szCs w:val="24"/>
                <w:highlight w:val="none"/>
                <w:lang w:val="en-US" w:eastAsia="zh-CN" w:bidi="ar-SA"/>
              </w:rPr>
              <w:t>注:保证金转账时需注明（项目名称+所投标包投标保证金）</w:t>
            </w:r>
          </w:p>
          <w:p w14:paraId="5B92F602">
            <w:pPr>
              <w:pStyle w:val="31"/>
              <w:spacing w:line="240" w:lineRule="auto"/>
              <w:ind w:left="0" w:leftChars="0" w:firstLine="0" w:firstLineChars="0"/>
              <w:rPr>
                <w:rFonts w:hint="default" w:ascii="宋体" w:hAnsi="宋体" w:eastAsia="宋体" w:cs="宋体"/>
                <w:b/>
                <w:bCs/>
                <w:color w:val="FF0000"/>
                <w:kern w:val="2"/>
                <w:sz w:val="24"/>
                <w:szCs w:val="24"/>
                <w:highlight w:val="none"/>
                <w:lang w:val="en-US" w:eastAsia="zh-CN" w:bidi="ar-SA"/>
              </w:rPr>
            </w:pPr>
            <w:bookmarkStart w:id="183" w:name="_GoBack"/>
            <w:bookmarkEnd w:id="183"/>
          </w:p>
          <w:p w14:paraId="785B07C6">
            <w:pPr>
              <w:keepNext w:val="0"/>
              <w:keepLines w:val="0"/>
              <w:pageBreakBefore w:val="0"/>
              <w:kinsoku/>
              <w:wordWrap/>
              <w:overflowPunct/>
              <w:topLinePunct w:val="0"/>
              <w:autoSpaceDE w:val="0"/>
              <w:autoSpaceDN w:val="0"/>
              <w:bidi w:val="0"/>
              <w:outlineLvl w:val="9"/>
              <w:rPr>
                <w:rFonts w:ascii="宋体" w:hAnsi="宋体" w:eastAsia="宋体" w:cs="宋体"/>
                <w:kern w:val="0"/>
                <w:sz w:val="24"/>
                <w:szCs w:val="24"/>
              </w:rPr>
            </w:pPr>
            <w:r>
              <w:rPr>
                <w:rFonts w:hint="eastAsia" w:ascii="宋体" w:hAnsi="宋体" w:eastAsia="宋体" w:cs="宋体"/>
                <w:kern w:val="0"/>
                <w:sz w:val="24"/>
                <w:szCs w:val="24"/>
              </w:rPr>
              <w:t>1、每标段的投标保证金均不相同，请缴纳保证金时注意。</w:t>
            </w:r>
          </w:p>
          <w:p w14:paraId="348A29BA">
            <w:pPr>
              <w:keepNext w:val="0"/>
              <w:keepLines w:val="0"/>
              <w:pageBreakBefore w:val="0"/>
              <w:kinsoku/>
              <w:wordWrap/>
              <w:overflowPunct/>
              <w:topLinePunct w:val="0"/>
              <w:bidi w:val="0"/>
              <w:outlineLvl w:val="9"/>
              <w:rPr>
                <w:rFonts w:ascii="宋体" w:hAnsi="宋体" w:eastAsia="宋体" w:cs="宋体"/>
                <w:kern w:val="0"/>
                <w:sz w:val="24"/>
                <w:szCs w:val="24"/>
              </w:rPr>
            </w:pPr>
            <w:r>
              <w:rPr>
                <w:rFonts w:hint="eastAsia" w:ascii="宋体" w:hAnsi="宋体" w:eastAsia="宋体" w:cs="宋体"/>
                <w:kern w:val="0"/>
                <w:sz w:val="24"/>
                <w:szCs w:val="24"/>
              </w:rPr>
              <w:t>2、请在汇款时按完整的银行账号进行汇款。</w:t>
            </w:r>
          </w:p>
          <w:p w14:paraId="79301FC7">
            <w:pPr>
              <w:keepNext w:val="0"/>
              <w:keepLines w:val="0"/>
              <w:pageBreakBefore w:val="0"/>
              <w:widowControl/>
              <w:kinsoku/>
              <w:wordWrap/>
              <w:overflowPunct/>
              <w:topLinePunct w:val="0"/>
              <w:bidi w:val="0"/>
              <w:adjustRightInd w:val="0"/>
              <w:snapToGrid w:val="0"/>
              <w:spacing w:line="320" w:lineRule="exact"/>
              <w:jc w:val="left"/>
              <w:outlineLvl w:val="9"/>
              <w:rPr>
                <w:rFonts w:ascii="宋体" w:hAnsi="宋体" w:eastAsia="宋体" w:cs="Arial"/>
                <w:b/>
                <w:kern w:val="0"/>
                <w:sz w:val="24"/>
                <w:szCs w:val="24"/>
              </w:rPr>
            </w:pPr>
            <w:r>
              <w:rPr>
                <w:rFonts w:hint="eastAsia" w:ascii="宋体" w:hAnsi="宋体" w:eastAsia="宋体" w:cs="Arial"/>
                <w:b/>
                <w:kern w:val="0"/>
                <w:sz w:val="24"/>
                <w:szCs w:val="24"/>
              </w:rPr>
              <w:t>二、允许供应商自主选择以</w:t>
            </w:r>
            <w:r>
              <w:rPr>
                <w:rFonts w:hint="eastAsia" w:ascii="宋体" w:hAnsi="宋体" w:eastAsia="宋体" w:cs="Arial"/>
                <w:b/>
                <w:kern w:val="0"/>
                <w:sz w:val="24"/>
                <w:szCs w:val="24"/>
                <w:u w:val="single"/>
                <w:lang w:eastAsia="zh-CN"/>
              </w:rPr>
              <w:t>电汇、转账、银行保函、保险保函、其他非现金形式缴纳</w:t>
            </w:r>
            <w:r>
              <w:rPr>
                <w:rFonts w:hint="eastAsia" w:ascii="宋体" w:hAnsi="宋体" w:eastAsia="宋体" w:cs="Arial"/>
                <w:b/>
                <w:kern w:val="0"/>
                <w:sz w:val="24"/>
                <w:szCs w:val="24"/>
              </w:rPr>
              <w:t>或提交保证金，到账截止时间应当与投标（响应）截止时间一致。</w:t>
            </w:r>
          </w:p>
          <w:p w14:paraId="5C937426">
            <w:pPr>
              <w:keepNext w:val="0"/>
              <w:keepLines w:val="0"/>
              <w:pageBreakBefore w:val="0"/>
              <w:widowControl/>
              <w:kinsoku/>
              <w:wordWrap/>
              <w:overflowPunct/>
              <w:topLinePunct w:val="0"/>
              <w:bidi w:val="0"/>
              <w:adjustRightInd w:val="0"/>
              <w:snapToGrid w:val="0"/>
              <w:spacing w:line="320" w:lineRule="exact"/>
              <w:jc w:val="left"/>
              <w:outlineLvl w:val="9"/>
              <w:rPr>
                <w:rFonts w:ascii="宋体" w:hAnsi="宋体" w:eastAsia="宋体" w:cs="Arial"/>
                <w:kern w:val="0"/>
                <w:sz w:val="24"/>
                <w:szCs w:val="24"/>
              </w:rPr>
            </w:pPr>
            <w:r>
              <w:rPr>
                <w:rFonts w:hint="eastAsia" w:ascii="宋体" w:hAnsi="宋体" w:eastAsia="宋体" w:cs="Arial"/>
                <w:kern w:val="0"/>
                <w:sz w:val="24"/>
                <w:szCs w:val="24"/>
              </w:rPr>
              <w:t>1.以银行保函或者保证保险方式提交的，</w:t>
            </w:r>
            <w:r>
              <w:rPr>
                <w:rFonts w:hint="eastAsia" w:ascii="宋体" w:hAnsi="宋体" w:eastAsia="宋体" w:cs="Arial"/>
                <w:kern w:val="0"/>
                <w:sz w:val="24"/>
                <w:szCs w:val="24"/>
                <w:lang w:val="en-US" w:eastAsia="zh-CN"/>
              </w:rPr>
              <w:t>投保人</w:t>
            </w:r>
            <w:r>
              <w:rPr>
                <w:rFonts w:hint="eastAsia" w:ascii="宋体" w:hAnsi="宋体" w:eastAsia="宋体" w:cs="Arial"/>
                <w:kern w:val="0"/>
                <w:sz w:val="24"/>
                <w:szCs w:val="24"/>
              </w:rPr>
              <w:t>必须是供应商，受益人必须是采购人；必须正确填写受益人和</w:t>
            </w:r>
            <w:r>
              <w:rPr>
                <w:rFonts w:hint="eastAsia" w:ascii="宋体" w:hAnsi="宋体" w:eastAsia="宋体" w:cs="Arial"/>
                <w:kern w:val="0"/>
                <w:sz w:val="24"/>
                <w:szCs w:val="24"/>
                <w:lang w:val="en-US" w:eastAsia="zh-CN"/>
              </w:rPr>
              <w:t>投保人</w:t>
            </w:r>
            <w:r>
              <w:rPr>
                <w:rFonts w:hint="eastAsia" w:ascii="宋体" w:hAnsi="宋体" w:eastAsia="宋体" w:cs="Arial"/>
                <w:kern w:val="0"/>
                <w:sz w:val="24"/>
                <w:szCs w:val="24"/>
              </w:rPr>
              <w:t>的全称，并与招标文件规定的名称相一致。有效期应当不小于投标有效期，以免造成投标无效。</w:t>
            </w:r>
          </w:p>
        </w:tc>
      </w:tr>
      <w:tr w14:paraId="0ECB5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134" w:type="dxa"/>
            <w:noWrap w:val="0"/>
            <w:vAlign w:val="center"/>
          </w:tcPr>
          <w:p w14:paraId="362BAE5C">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Ansi="宋体"/>
                <w:sz w:val="24"/>
                <w:szCs w:val="24"/>
              </w:rPr>
              <w:t>22.1</w:t>
            </w:r>
          </w:p>
        </w:tc>
        <w:tc>
          <w:tcPr>
            <w:tcW w:w="2569" w:type="dxa"/>
            <w:noWrap w:val="0"/>
            <w:vAlign w:val="center"/>
          </w:tcPr>
          <w:p w14:paraId="6C6CF84C">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sz w:val="24"/>
                <w:szCs w:val="24"/>
              </w:rPr>
              <w:t>投标文件份数</w:t>
            </w:r>
          </w:p>
        </w:tc>
        <w:tc>
          <w:tcPr>
            <w:tcW w:w="6117" w:type="dxa"/>
            <w:noWrap w:val="0"/>
            <w:vAlign w:val="center"/>
          </w:tcPr>
          <w:p w14:paraId="10F22BA7">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电子投标文件1份。</w:t>
            </w:r>
          </w:p>
          <w:p w14:paraId="6A135DE5">
            <w:pPr>
              <w:pStyle w:val="17"/>
              <w:keepNext w:val="0"/>
              <w:keepLines w:val="0"/>
              <w:pageBreakBefore w:val="0"/>
              <w:kinsoku/>
              <w:wordWrap/>
              <w:overflowPunct/>
              <w:topLinePunct w:val="0"/>
              <w:bidi w:val="0"/>
              <w:spacing w:line="300" w:lineRule="exact"/>
              <w:outlineLvl w:val="9"/>
              <w:rPr>
                <w:rFonts w:hint="eastAsia" w:hAnsi="宋体"/>
                <w:b/>
                <w:sz w:val="24"/>
                <w:szCs w:val="24"/>
              </w:rPr>
            </w:pPr>
            <w:r>
              <w:rPr>
                <w:rFonts w:hint="eastAsia" w:hAnsi="宋体"/>
                <w:b/>
                <w:sz w:val="24"/>
                <w:szCs w:val="24"/>
              </w:rPr>
              <w:t>本项目实行网上投标，采用电子投标文件。投标文件全部采用电子文档，供应商应安装客户端软件—“政采云电子交易客户端”，并按照招标文件和政采云电子交易平台的要求编制，编制后应进行电子签名及加密。</w:t>
            </w:r>
          </w:p>
          <w:p w14:paraId="50DE7859">
            <w:pPr>
              <w:rPr>
                <w:rFonts w:ascii="Times New Roman" w:hAnsi="Times New Roman" w:eastAsia="宋体" w:cs="Times New Roman"/>
              </w:rPr>
            </w:pPr>
            <w:r>
              <w:rPr>
                <w:rFonts w:hint="eastAsia" w:ascii="宋体" w:hAnsi="宋体" w:eastAsia="宋体" w:cs="宋体"/>
                <w:color w:val="0000FF"/>
                <w:sz w:val="24"/>
                <w:highlight w:val="none"/>
              </w:rPr>
              <w:t>中标</w:t>
            </w:r>
            <w:r>
              <w:rPr>
                <w:rFonts w:hint="eastAsia" w:ascii="宋体" w:hAnsi="宋体" w:eastAsia="宋体" w:cs="宋体"/>
                <w:color w:val="0000FF"/>
                <w:sz w:val="24"/>
                <w:highlight w:val="none"/>
                <w:lang w:val="en-US" w:eastAsia="zh-CN"/>
              </w:rPr>
              <w:t>人</w:t>
            </w:r>
            <w:r>
              <w:rPr>
                <w:rFonts w:hint="eastAsia" w:ascii="宋体" w:hAnsi="宋体" w:eastAsia="宋体" w:cs="宋体"/>
                <w:color w:val="0000FF"/>
                <w:sz w:val="24"/>
                <w:highlight w:val="none"/>
              </w:rPr>
              <w:t>须提交的投标文件：中标人须在领取中标通知书时提供</w:t>
            </w:r>
            <w:r>
              <w:rPr>
                <w:rFonts w:hint="eastAsia" w:ascii="宋体" w:hAnsi="宋体" w:eastAsia="宋体" w:cs="宋体"/>
                <w:color w:val="0000FF"/>
                <w:sz w:val="24"/>
                <w:highlight w:val="none"/>
                <w:lang w:val="en-US" w:eastAsia="zh-CN"/>
              </w:rPr>
              <w:t>1</w:t>
            </w:r>
            <w:r>
              <w:rPr>
                <w:rFonts w:hint="eastAsia" w:ascii="宋体" w:hAnsi="宋体" w:eastAsia="宋体" w:cs="宋体"/>
                <w:color w:val="0000FF"/>
                <w:sz w:val="24"/>
                <w:highlight w:val="none"/>
              </w:rPr>
              <w:t>份与</w:t>
            </w:r>
            <w:r>
              <w:rPr>
                <w:rFonts w:hint="eastAsia" w:ascii="宋体" w:hAnsi="宋体" w:eastAsia="宋体" w:cs="宋体"/>
                <w:color w:val="0000FF"/>
                <w:sz w:val="24"/>
                <w:highlight w:val="none"/>
                <w:lang w:val="en-US" w:eastAsia="zh-CN"/>
              </w:rPr>
              <w:t>投标时</w:t>
            </w:r>
            <w:r>
              <w:rPr>
                <w:rFonts w:hint="eastAsia" w:ascii="宋体" w:hAnsi="宋体" w:eastAsia="宋体" w:cs="宋体"/>
                <w:color w:val="0000FF"/>
                <w:sz w:val="24"/>
                <w:highlight w:val="none"/>
              </w:rPr>
              <w:t>的电子投标文件完全一致的纸质标书（</w:t>
            </w:r>
            <w:r>
              <w:rPr>
                <w:rFonts w:hint="eastAsia" w:ascii="宋体" w:hAnsi="宋体" w:eastAsia="宋体" w:cs="宋体"/>
                <w:color w:val="0000FF"/>
                <w:sz w:val="24"/>
                <w:highlight w:val="none"/>
                <w:lang w:val="en-US" w:eastAsia="zh-CN"/>
              </w:rPr>
              <w:t>彩色打印</w:t>
            </w:r>
            <w:r>
              <w:rPr>
                <w:rFonts w:hint="eastAsia" w:ascii="宋体" w:hAnsi="宋体" w:eastAsia="宋体" w:cs="宋体"/>
                <w:color w:val="0000FF"/>
                <w:sz w:val="24"/>
                <w:highlight w:val="none"/>
              </w:rPr>
              <w:t>），以供采购人存档。</w:t>
            </w:r>
          </w:p>
        </w:tc>
      </w:tr>
      <w:tr w14:paraId="12F59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34" w:type="dxa"/>
            <w:noWrap w:val="0"/>
            <w:vAlign w:val="center"/>
          </w:tcPr>
          <w:p w14:paraId="445CB49C">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2</w:t>
            </w:r>
            <w:r>
              <w:rPr>
                <w:rFonts w:hAnsi="宋体"/>
                <w:sz w:val="24"/>
                <w:szCs w:val="24"/>
              </w:rPr>
              <w:t>3</w:t>
            </w:r>
            <w:r>
              <w:rPr>
                <w:rFonts w:hint="eastAsia" w:hAnsi="宋体"/>
                <w:sz w:val="24"/>
                <w:szCs w:val="24"/>
              </w:rPr>
              <w:t>.1</w:t>
            </w:r>
          </w:p>
        </w:tc>
        <w:tc>
          <w:tcPr>
            <w:tcW w:w="2569" w:type="dxa"/>
            <w:noWrap w:val="0"/>
            <w:vAlign w:val="center"/>
          </w:tcPr>
          <w:p w14:paraId="5098898D">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提交投标文件截止时间</w:t>
            </w:r>
          </w:p>
        </w:tc>
        <w:tc>
          <w:tcPr>
            <w:tcW w:w="6117" w:type="dxa"/>
            <w:noWrap w:val="0"/>
            <w:vAlign w:val="center"/>
          </w:tcPr>
          <w:p w14:paraId="64A1DC7B">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见第一章“</w:t>
            </w:r>
            <w:r>
              <w:rPr>
                <w:rFonts w:hint="eastAsia" w:hAnsi="宋体"/>
                <w:sz w:val="24"/>
                <w:szCs w:val="24"/>
                <w:lang w:val="en-US" w:eastAsia="zh-CN"/>
              </w:rPr>
              <w:t>公开</w:t>
            </w:r>
            <w:r>
              <w:rPr>
                <w:rFonts w:hint="eastAsia" w:hAnsi="宋体"/>
                <w:sz w:val="24"/>
                <w:szCs w:val="24"/>
              </w:rPr>
              <w:t>招标公告”</w:t>
            </w:r>
          </w:p>
        </w:tc>
      </w:tr>
      <w:tr w14:paraId="4A30C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134" w:type="dxa"/>
            <w:noWrap w:val="0"/>
            <w:vAlign w:val="center"/>
          </w:tcPr>
          <w:p w14:paraId="5A631E39">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2</w:t>
            </w:r>
            <w:r>
              <w:rPr>
                <w:rFonts w:hAnsi="宋体"/>
                <w:sz w:val="24"/>
                <w:szCs w:val="24"/>
              </w:rPr>
              <w:t>3</w:t>
            </w:r>
            <w:r>
              <w:rPr>
                <w:rFonts w:hint="eastAsia" w:hAnsi="宋体"/>
                <w:sz w:val="24"/>
                <w:szCs w:val="24"/>
              </w:rPr>
              <w:t>.2</w:t>
            </w:r>
          </w:p>
        </w:tc>
        <w:tc>
          <w:tcPr>
            <w:tcW w:w="2569" w:type="dxa"/>
            <w:noWrap w:val="0"/>
            <w:vAlign w:val="center"/>
          </w:tcPr>
          <w:p w14:paraId="0402B2FE">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提交投标文件的地点</w:t>
            </w:r>
          </w:p>
        </w:tc>
        <w:tc>
          <w:tcPr>
            <w:tcW w:w="6117" w:type="dxa"/>
            <w:noWrap w:val="0"/>
            <w:vAlign w:val="center"/>
          </w:tcPr>
          <w:p w14:paraId="4B74FCD6">
            <w:pPr>
              <w:pStyle w:val="17"/>
              <w:keepNext w:val="0"/>
              <w:keepLines w:val="0"/>
              <w:pageBreakBefore w:val="0"/>
              <w:kinsoku/>
              <w:wordWrap/>
              <w:overflowPunct/>
              <w:topLinePunct w:val="0"/>
              <w:bidi w:val="0"/>
              <w:outlineLvl w:val="9"/>
              <w:rPr>
                <w:rFonts w:hAnsi="宋体"/>
                <w:sz w:val="24"/>
                <w:szCs w:val="24"/>
                <w:u w:val="single"/>
              </w:rPr>
            </w:pPr>
            <w:r>
              <w:rPr>
                <w:rFonts w:hint="eastAsia" w:hAnsi="宋体"/>
                <w:sz w:val="24"/>
                <w:szCs w:val="24"/>
              </w:rPr>
              <w:t>见第一章“</w:t>
            </w:r>
            <w:r>
              <w:rPr>
                <w:rFonts w:hint="eastAsia" w:hAnsi="宋体"/>
                <w:sz w:val="24"/>
                <w:szCs w:val="24"/>
                <w:lang w:val="en-US" w:eastAsia="zh-CN"/>
              </w:rPr>
              <w:t>公开</w:t>
            </w:r>
            <w:r>
              <w:rPr>
                <w:rFonts w:hint="eastAsia" w:hAnsi="宋体"/>
                <w:sz w:val="24"/>
                <w:szCs w:val="24"/>
              </w:rPr>
              <w:t>招标公告”</w:t>
            </w:r>
          </w:p>
        </w:tc>
      </w:tr>
      <w:tr w14:paraId="335F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134" w:type="dxa"/>
            <w:noWrap w:val="0"/>
            <w:vAlign w:val="center"/>
          </w:tcPr>
          <w:p w14:paraId="7B69F231">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2</w:t>
            </w:r>
            <w:r>
              <w:rPr>
                <w:rFonts w:hAnsi="宋体"/>
                <w:sz w:val="24"/>
                <w:szCs w:val="24"/>
              </w:rPr>
              <w:t>3</w:t>
            </w:r>
            <w:r>
              <w:rPr>
                <w:rFonts w:hint="eastAsia" w:hAnsi="宋体"/>
                <w:sz w:val="24"/>
                <w:szCs w:val="24"/>
              </w:rPr>
              <w:t>.3</w:t>
            </w:r>
          </w:p>
        </w:tc>
        <w:tc>
          <w:tcPr>
            <w:tcW w:w="2569" w:type="dxa"/>
            <w:noWrap w:val="0"/>
            <w:vAlign w:val="center"/>
          </w:tcPr>
          <w:p w14:paraId="0FEDC472">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投标文件的退还</w:t>
            </w:r>
          </w:p>
        </w:tc>
        <w:tc>
          <w:tcPr>
            <w:tcW w:w="6117" w:type="dxa"/>
            <w:noWrap w:val="0"/>
            <w:vAlign w:val="center"/>
          </w:tcPr>
          <w:p w14:paraId="5373355E">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不予退还</w:t>
            </w:r>
          </w:p>
        </w:tc>
      </w:tr>
      <w:tr w14:paraId="4A6AA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134" w:type="dxa"/>
            <w:noWrap w:val="0"/>
            <w:vAlign w:val="center"/>
          </w:tcPr>
          <w:p w14:paraId="28F6A880">
            <w:pPr>
              <w:pStyle w:val="17"/>
              <w:keepNext w:val="0"/>
              <w:keepLines w:val="0"/>
              <w:pageBreakBefore w:val="0"/>
              <w:kinsoku/>
              <w:wordWrap/>
              <w:overflowPunct/>
              <w:topLinePunct w:val="0"/>
              <w:bidi w:val="0"/>
              <w:spacing w:line="300" w:lineRule="exact"/>
              <w:jc w:val="center"/>
              <w:outlineLvl w:val="9"/>
              <w:rPr>
                <w:rFonts w:hint="eastAsia" w:hAnsi="宋体"/>
                <w:sz w:val="24"/>
                <w:szCs w:val="24"/>
              </w:rPr>
            </w:pPr>
            <w:r>
              <w:rPr>
                <w:rFonts w:hint="eastAsia" w:hAnsi="宋体"/>
                <w:sz w:val="24"/>
                <w:szCs w:val="24"/>
              </w:rPr>
              <w:t>2</w:t>
            </w:r>
            <w:r>
              <w:rPr>
                <w:rFonts w:hAnsi="宋体"/>
                <w:sz w:val="24"/>
                <w:szCs w:val="24"/>
              </w:rPr>
              <w:t>4</w:t>
            </w:r>
            <w:r>
              <w:rPr>
                <w:rFonts w:hint="eastAsia" w:hAnsi="宋体"/>
                <w:sz w:val="24"/>
                <w:szCs w:val="24"/>
              </w:rPr>
              <w:t>.1</w:t>
            </w:r>
          </w:p>
        </w:tc>
        <w:tc>
          <w:tcPr>
            <w:tcW w:w="2569" w:type="dxa"/>
            <w:noWrap w:val="0"/>
            <w:vAlign w:val="center"/>
          </w:tcPr>
          <w:p w14:paraId="04A5F64C">
            <w:pPr>
              <w:pStyle w:val="17"/>
              <w:keepNext w:val="0"/>
              <w:keepLines w:val="0"/>
              <w:pageBreakBefore w:val="0"/>
              <w:kinsoku/>
              <w:wordWrap/>
              <w:overflowPunct/>
              <w:topLinePunct w:val="0"/>
              <w:bidi w:val="0"/>
              <w:spacing w:line="300" w:lineRule="exact"/>
              <w:outlineLvl w:val="9"/>
              <w:rPr>
                <w:rFonts w:hint="eastAsia" w:hAnsi="宋体"/>
                <w:sz w:val="24"/>
                <w:szCs w:val="24"/>
              </w:rPr>
            </w:pPr>
            <w:r>
              <w:rPr>
                <w:rFonts w:hint="eastAsia" w:hAnsi="宋体"/>
                <w:sz w:val="24"/>
                <w:szCs w:val="24"/>
              </w:rPr>
              <w:t>开标时间和地点</w:t>
            </w:r>
          </w:p>
        </w:tc>
        <w:tc>
          <w:tcPr>
            <w:tcW w:w="6117" w:type="dxa"/>
            <w:noWrap w:val="0"/>
            <w:vAlign w:val="center"/>
          </w:tcPr>
          <w:p w14:paraId="5C896820">
            <w:pPr>
              <w:pStyle w:val="17"/>
              <w:keepNext w:val="0"/>
              <w:keepLines w:val="0"/>
              <w:pageBreakBefore w:val="0"/>
              <w:kinsoku/>
              <w:wordWrap/>
              <w:overflowPunct/>
              <w:topLinePunct w:val="0"/>
              <w:bidi w:val="0"/>
              <w:spacing w:line="300" w:lineRule="exact"/>
              <w:outlineLvl w:val="9"/>
              <w:rPr>
                <w:rFonts w:hAnsi="宋体"/>
                <w:sz w:val="24"/>
                <w:szCs w:val="24"/>
                <w:highlight w:val="none"/>
              </w:rPr>
            </w:pPr>
            <w:r>
              <w:rPr>
                <w:rFonts w:hint="eastAsia" w:hAnsi="宋体"/>
                <w:sz w:val="24"/>
                <w:szCs w:val="24"/>
                <w:highlight w:val="none"/>
              </w:rPr>
              <w:t>时间：同“提交投标文件截止时间”</w:t>
            </w:r>
          </w:p>
          <w:p w14:paraId="10F2BE0F">
            <w:pPr>
              <w:pStyle w:val="17"/>
              <w:keepNext w:val="0"/>
              <w:keepLines w:val="0"/>
              <w:pageBreakBefore w:val="0"/>
              <w:kinsoku/>
              <w:wordWrap/>
              <w:overflowPunct/>
              <w:topLinePunct w:val="0"/>
              <w:bidi w:val="0"/>
              <w:spacing w:line="300" w:lineRule="exact"/>
              <w:outlineLvl w:val="9"/>
              <w:rPr>
                <w:rFonts w:hint="eastAsia" w:hAnsi="宋体"/>
                <w:sz w:val="24"/>
                <w:szCs w:val="24"/>
                <w:highlight w:val="none"/>
              </w:rPr>
            </w:pPr>
            <w:r>
              <w:rPr>
                <w:rFonts w:hint="eastAsia" w:hAnsi="宋体"/>
                <w:sz w:val="24"/>
                <w:szCs w:val="24"/>
                <w:highlight w:val="none"/>
              </w:rPr>
              <w:t>地点：同“提交投标文件的地点”</w:t>
            </w:r>
          </w:p>
        </w:tc>
      </w:tr>
      <w:tr w14:paraId="6F3B7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134" w:type="dxa"/>
            <w:noWrap w:val="0"/>
            <w:vAlign w:val="center"/>
          </w:tcPr>
          <w:p w14:paraId="0381C548">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26.3</w:t>
            </w:r>
          </w:p>
        </w:tc>
        <w:tc>
          <w:tcPr>
            <w:tcW w:w="2569" w:type="dxa"/>
            <w:noWrap w:val="0"/>
            <w:vAlign w:val="center"/>
          </w:tcPr>
          <w:p w14:paraId="4304104F">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评标方法</w:t>
            </w:r>
          </w:p>
        </w:tc>
        <w:tc>
          <w:tcPr>
            <w:tcW w:w="6117" w:type="dxa"/>
            <w:noWrap w:val="0"/>
            <w:vAlign w:val="center"/>
          </w:tcPr>
          <w:p w14:paraId="1C3E1660">
            <w:pPr>
              <w:keepNext w:val="0"/>
              <w:keepLines w:val="0"/>
              <w:pageBreakBefore w:val="0"/>
              <w:kinsoku/>
              <w:wordWrap/>
              <w:overflowPunct/>
              <w:topLinePunct w:val="0"/>
              <w:bidi w:val="0"/>
              <w:spacing w:line="300" w:lineRule="exact"/>
              <w:outlineLvl w:val="9"/>
              <w:rPr>
                <w:rFonts w:ascii="宋体" w:hAnsi="宋体" w:eastAsia="宋体" w:cs="Times New Roman"/>
                <w:sz w:val="24"/>
                <w:szCs w:val="24"/>
              </w:rPr>
            </w:pPr>
            <w:r>
              <w:rPr>
                <w:rFonts w:hint="eastAsia" w:ascii="宋体" w:hAnsi="宋体" w:eastAsia="宋体" w:cs="Times New Roman"/>
                <w:sz w:val="24"/>
                <w:szCs w:val="24"/>
              </w:rPr>
              <w:t>综合评分法</w:t>
            </w:r>
          </w:p>
        </w:tc>
      </w:tr>
      <w:tr w14:paraId="24D96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134" w:type="dxa"/>
            <w:noWrap w:val="0"/>
            <w:vAlign w:val="center"/>
          </w:tcPr>
          <w:p w14:paraId="2F43A69A">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Ansi="宋体"/>
                <w:sz w:val="24"/>
                <w:szCs w:val="24"/>
              </w:rPr>
              <w:t>3</w:t>
            </w:r>
            <w:r>
              <w:rPr>
                <w:rFonts w:hint="eastAsia" w:hAnsi="宋体"/>
                <w:sz w:val="24"/>
                <w:szCs w:val="24"/>
              </w:rPr>
              <w:t>1.1</w:t>
            </w:r>
          </w:p>
        </w:tc>
        <w:tc>
          <w:tcPr>
            <w:tcW w:w="2569" w:type="dxa"/>
            <w:noWrap w:val="0"/>
            <w:vAlign w:val="center"/>
          </w:tcPr>
          <w:p w14:paraId="7FB0FB14">
            <w:pPr>
              <w:pStyle w:val="17"/>
              <w:keepNext w:val="0"/>
              <w:keepLines w:val="0"/>
              <w:pageBreakBefore w:val="0"/>
              <w:kinsoku/>
              <w:wordWrap/>
              <w:overflowPunct/>
              <w:topLinePunct w:val="0"/>
              <w:bidi w:val="0"/>
              <w:spacing w:line="300" w:lineRule="exact"/>
              <w:outlineLvl w:val="9"/>
              <w:rPr>
                <w:rFonts w:hAnsi="宋体"/>
                <w:sz w:val="24"/>
                <w:szCs w:val="24"/>
              </w:rPr>
            </w:pPr>
            <w:r>
              <w:rPr>
                <w:rFonts w:hAnsi="宋体"/>
                <w:bCs/>
                <w:sz w:val="24"/>
                <w:szCs w:val="24"/>
              </w:rPr>
              <w:t>履约</w:t>
            </w:r>
            <w:r>
              <w:rPr>
                <w:rFonts w:hint="eastAsia" w:hAnsi="宋体"/>
                <w:bCs/>
                <w:sz w:val="24"/>
                <w:szCs w:val="24"/>
              </w:rPr>
              <w:t>担保</w:t>
            </w:r>
          </w:p>
        </w:tc>
        <w:tc>
          <w:tcPr>
            <w:tcW w:w="6117" w:type="dxa"/>
            <w:noWrap w:val="0"/>
            <w:vAlign w:val="center"/>
          </w:tcPr>
          <w:p w14:paraId="311D4B15">
            <w:pPr>
              <w:keepNext w:val="0"/>
              <w:keepLines w:val="0"/>
              <w:pageBreakBefore w:val="0"/>
              <w:kinsoku/>
              <w:wordWrap/>
              <w:overflowPunct/>
              <w:topLinePunct w:val="0"/>
              <w:bidi w:val="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√要求</w:t>
            </w:r>
          </w:p>
          <w:p w14:paraId="4AAA57D9">
            <w:pPr>
              <w:keepNext w:val="0"/>
              <w:keepLines w:val="0"/>
              <w:pageBreakBefore w:val="0"/>
              <w:kinsoku/>
              <w:wordWrap/>
              <w:overflowPunct/>
              <w:topLinePunct w:val="0"/>
              <w:bidi w:val="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1.履约保证金的形式：银行转账、支票、汇票、本票或者金融机构、担保机构出具的保函等非现金形式提交。</w:t>
            </w:r>
          </w:p>
          <w:p w14:paraId="411BAD83">
            <w:pPr>
              <w:keepNext w:val="0"/>
              <w:keepLines w:val="0"/>
              <w:pageBreakBefore w:val="0"/>
              <w:kinsoku/>
              <w:wordWrap/>
              <w:overflowPunct/>
              <w:topLinePunct w:val="0"/>
              <w:bidi w:val="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2.履约保证金的金额：</w:t>
            </w:r>
            <w:r>
              <w:rPr>
                <w:rFonts w:hint="eastAsia" w:ascii="宋体" w:hAnsi="宋体" w:eastAsia="宋体" w:cs="宋体"/>
                <w:sz w:val="24"/>
                <w:szCs w:val="24"/>
                <w:highlight w:val="none"/>
                <w:u w:val="single"/>
                <w:lang w:val="en-US" w:eastAsia="zh-CN"/>
              </w:rPr>
              <w:t>各标包合同总金额（即预算金额）的8%</w:t>
            </w:r>
            <w:r>
              <w:rPr>
                <w:rFonts w:hint="eastAsia" w:ascii="宋体" w:hAnsi="宋体" w:eastAsia="宋体" w:cs="宋体"/>
                <w:sz w:val="24"/>
                <w:szCs w:val="24"/>
                <w:highlight w:val="none"/>
                <w:lang w:val="en-US" w:eastAsia="zh-CN"/>
              </w:rPr>
              <w:t>；</w:t>
            </w:r>
          </w:p>
          <w:p w14:paraId="11387074">
            <w:pPr>
              <w:keepNext w:val="0"/>
              <w:keepLines w:val="0"/>
              <w:pageBreakBefore w:val="0"/>
              <w:kinsoku/>
              <w:wordWrap/>
              <w:overflowPunct/>
              <w:topLinePunct w:val="0"/>
              <w:bidi w:val="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2.1中标人以银行转账、支票、汇票、本票形式提交的，应在签订合同前足额缴纳至采购人指定账户；</w:t>
            </w:r>
          </w:p>
          <w:p w14:paraId="7B761A0D">
            <w:pPr>
              <w:keepNext w:val="0"/>
              <w:keepLines w:val="0"/>
              <w:pageBreakBefore w:val="0"/>
              <w:kinsoku/>
              <w:wordWrap/>
              <w:overflowPunct/>
              <w:topLinePunct w:val="0"/>
              <w:bidi w:val="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以保函形式提交的，中标人应在中标通知书发出后、签订合同前提供保函开具机构出具的“已受理开函证明”</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“保函将在合同签订后3个工作日内出具”的承诺文件加盖公章，并在合同签订后3个工作日内向采购人提交正式有效保函。</w:t>
            </w:r>
          </w:p>
          <w:p w14:paraId="27ABD6E4">
            <w:pPr>
              <w:pStyle w:val="31"/>
              <w:ind w:left="0" w:leftChars="0" w:firstLine="0" w:firstLineChars="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2.3以保证保险形式提交的，中标人应在合同签订后3个工作日内提交生效的保险凭证。</w:t>
            </w:r>
          </w:p>
          <w:p w14:paraId="27050155">
            <w:pPr>
              <w:keepNext w:val="0"/>
              <w:keepLines w:val="0"/>
              <w:pageBreakBefore w:val="0"/>
              <w:kinsoku/>
              <w:wordWrap/>
              <w:overflowPunct/>
              <w:topLinePunct w:val="0"/>
              <w:bidi w:val="0"/>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包1(猪肉类)：</w:t>
            </w:r>
          </w:p>
          <w:p w14:paraId="1EC23DDD">
            <w:pPr>
              <w:keepNext w:val="0"/>
              <w:keepLines w:val="0"/>
              <w:pageBreakBefore w:val="0"/>
              <w:kinsoku/>
              <w:wordWrap/>
              <w:overflowPunct/>
              <w:topLinePunct w:val="0"/>
              <w:bidi w:val="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合同总</w:t>
            </w:r>
            <w:r>
              <w:rPr>
                <w:rFonts w:hint="eastAsia" w:ascii="宋体" w:hAnsi="宋体" w:eastAsia="宋体" w:cs="宋体"/>
                <w:color w:val="auto"/>
                <w:sz w:val="24"/>
                <w:szCs w:val="24"/>
                <w:highlight w:val="none"/>
                <w:lang w:eastAsia="zh-CN"/>
              </w:rPr>
              <w:t>价</w:t>
            </w:r>
            <w:r>
              <w:rPr>
                <w:rFonts w:hint="eastAsia" w:ascii="宋体" w:hAnsi="宋体" w:eastAsia="宋体" w:cs="宋体"/>
                <w:color w:val="auto"/>
                <w:sz w:val="24"/>
                <w:szCs w:val="24"/>
                <w:highlight w:val="none"/>
                <w:lang w:val="en-US" w:eastAsia="zh-CN"/>
              </w:rPr>
              <w:t>（即预算金额）</w:t>
            </w:r>
            <w:r>
              <w:rPr>
                <w:rFonts w:hint="eastAsia" w:ascii="宋体" w:hAnsi="宋体" w:eastAsia="宋体" w:cs="Times New Roman"/>
                <w:sz w:val="24"/>
                <w:u w:val="single"/>
                <w:lang w:val="en-US" w:eastAsia="zh-CN"/>
              </w:rPr>
              <w:t>3074425.00</w:t>
            </w:r>
            <w:r>
              <w:rPr>
                <w:rFonts w:hint="eastAsia" w:ascii="宋体" w:hAnsi="宋体" w:eastAsia="宋体" w:cs="宋体"/>
                <w:sz w:val="24"/>
                <w:szCs w:val="24"/>
                <w:highlight w:val="none"/>
                <w:lang w:val="en-US" w:eastAsia="zh-CN"/>
              </w:rPr>
              <w:t>元（大写：</w:t>
            </w:r>
            <w:r>
              <w:rPr>
                <w:rFonts w:hint="eastAsia" w:ascii="宋体" w:hAnsi="宋体" w:eastAsia="宋体" w:cs="宋体"/>
                <w:sz w:val="24"/>
                <w:szCs w:val="24"/>
                <w:highlight w:val="none"/>
                <w:u w:val="single"/>
                <w:lang w:val="en-US" w:eastAsia="zh-CN"/>
              </w:rPr>
              <w:t>叁佰零柒万肆仟肆佰贰拾伍元整</w:t>
            </w:r>
            <w:r>
              <w:rPr>
                <w:rFonts w:hint="eastAsia" w:ascii="宋体" w:hAnsi="宋体" w:eastAsia="宋体" w:cs="宋体"/>
                <w:sz w:val="24"/>
                <w:szCs w:val="24"/>
                <w:highlight w:val="none"/>
                <w:lang w:val="en-US" w:eastAsia="zh-CN"/>
              </w:rPr>
              <w:t>）</w:t>
            </w:r>
            <w:r>
              <w:rPr>
                <w:rFonts w:hint="eastAsia" w:ascii="宋体" w:hAnsi="宋体" w:eastAsia="宋体" w:cs="宋体"/>
                <w:color w:val="auto"/>
                <w:sz w:val="24"/>
                <w:szCs w:val="24"/>
                <w:highlight w:val="none"/>
              </w:rPr>
              <w:t>，</w:t>
            </w:r>
          </w:p>
          <w:p w14:paraId="7ED1B579">
            <w:pPr>
              <w:keepNext w:val="0"/>
              <w:keepLines w:val="0"/>
              <w:pageBreakBefore w:val="0"/>
              <w:kinsoku/>
              <w:wordWrap/>
              <w:overflowPunct/>
              <w:topLinePunct w:val="0"/>
              <w:bidi w:val="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金额为</w:t>
            </w:r>
            <w:r>
              <w:rPr>
                <w:rFonts w:hint="eastAsia" w:ascii="宋体" w:hAnsi="宋体" w:eastAsia="宋体" w:cs="宋体"/>
                <w:color w:val="auto"/>
                <w:sz w:val="24"/>
                <w:szCs w:val="24"/>
                <w:highlight w:val="none"/>
                <w:u w:val="single"/>
                <w:lang w:val="en-US" w:eastAsia="zh-CN"/>
              </w:rPr>
              <w:t>245954.00</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大写：</w:t>
            </w:r>
            <w:r>
              <w:rPr>
                <w:rFonts w:hint="eastAsia" w:ascii="宋体" w:hAnsi="宋体" w:eastAsia="宋体" w:cs="宋体"/>
                <w:color w:val="auto"/>
                <w:sz w:val="24"/>
                <w:szCs w:val="24"/>
                <w:highlight w:val="none"/>
                <w:u w:val="single"/>
                <w:lang w:val="en-US" w:eastAsia="zh-CN"/>
              </w:rPr>
              <w:t>贰拾肆万伍仟玖佰伍拾肆元整</w:t>
            </w:r>
            <w:r>
              <w:rPr>
                <w:rFonts w:hint="eastAsia" w:ascii="宋体" w:hAnsi="宋体" w:eastAsia="宋体" w:cs="宋体"/>
                <w:color w:val="auto"/>
                <w:sz w:val="24"/>
                <w:szCs w:val="24"/>
                <w:highlight w:val="none"/>
                <w:lang w:eastAsia="zh-CN"/>
              </w:rPr>
              <w:t>）；</w:t>
            </w:r>
          </w:p>
          <w:p w14:paraId="404470A7">
            <w:pPr>
              <w:keepNext w:val="0"/>
              <w:keepLines w:val="0"/>
              <w:pageBreakBefore w:val="0"/>
              <w:kinsoku/>
              <w:wordWrap/>
              <w:overflowPunct/>
              <w:topLinePunct w:val="0"/>
              <w:bidi w:val="0"/>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包2(鸡肉类、冻品（鱼虾）类)：</w:t>
            </w:r>
          </w:p>
          <w:p w14:paraId="48A74952">
            <w:pPr>
              <w:keepNext w:val="0"/>
              <w:keepLines w:val="0"/>
              <w:pageBreakBefore w:val="0"/>
              <w:kinsoku/>
              <w:wordWrap/>
              <w:overflowPunct/>
              <w:topLinePunct w:val="0"/>
              <w:bidi w:val="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合同总</w:t>
            </w:r>
            <w:r>
              <w:rPr>
                <w:rFonts w:hint="eastAsia" w:ascii="宋体" w:hAnsi="宋体" w:eastAsia="宋体" w:cs="宋体"/>
                <w:color w:val="auto"/>
                <w:sz w:val="24"/>
                <w:szCs w:val="24"/>
                <w:highlight w:val="none"/>
                <w:lang w:eastAsia="zh-CN"/>
              </w:rPr>
              <w:t>价</w:t>
            </w:r>
            <w:r>
              <w:rPr>
                <w:rFonts w:hint="eastAsia" w:ascii="宋体" w:hAnsi="宋体" w:eastAsia="宋体" w:cs="宋体"/>
                <w:color w:val="auto"/>
                <w:sz w:val="24"/>
                <w:szCs w:val="24"/>
                <w:highlight w:val="none"/>
                <w:lang w:val="en-US" w:eastAsia="zh-CN"/>
              </w:rPr>
              <w:t>（即预算金额）</w:t>
            </w:r>
            <w:r>
              <w:rPr>
                <w:rFonts w:hint="eastAsia" w:ascii="宋体" w:hAnsi="宋体" w:eastAsia="宋体" w:cs="Times New Roman"/>
                <w:sz w:val="24"/>
                <w:u w:val="single"/>
                <w:lang w:val="en-US" w:eastAsia="zh-CN"/>
              </w:rPr>
              <w:t>846730.00</w:t>
            </w:r>
            <w:r>
              <w:rPr>
                <w:rFonts w:hint="eastAsia" w:ascii="宋体" w:hAnsi="宋体" w:eastAsia="宋体" w:cs="宋体"/>
                <w:sz w:val="24"/>
                <w:szCs w:val="24"/>
                <w:highlight w:val="none"/>
                <w:lang w:val="en-US" w:eastAsia="zh-CN"/>
              </w:rPr>
              <w:t>元（大写：</w:t>
            </w:r>
            <w:r>
              <w:rPr>
                <w:rFonts w:hint="eastAsia" w:ascii="宋体" w:hAnsi="宋体" w:eastAsia="宋体" w:cs="宋体"/>
                <w:sz w:val="24"/>
                <w:szCs w:val="24"/>
                <w:highlight w:val="none"/>
                <w:u w:val="single"/>
                <w:lang w:val="en-US" w:eastAsia="zh-CN"/>
              </w:rPr>
              <w:t>捌拾肆万陆仟柒佰叁拾元整</w:t>
            </w:r>
            <w:r>
              <w:rPr>
                <w:rFonts w:hint="eastAsia" w:ascii="宋体" w:hAnsi="宋体" w:eastAsia="宋体" w:cs="宋体"/>
                <w:sz w:val="24"/>
                <w:szCs w:val="24"/>
                <w:highlight w:val="none"/>
                <w:lang w:val="en-US" w:eastAsia="zh-CN"/>
              </w:rPr>
              <w:t>）</w:t>
            </w:r>
            <w:r>
              <w:rPr>
                <w:rFonts w:hint="eastAsia" w:ascii="宋体" w:hAnsi="宋体" w:eastAsia="宋体" w:cs="宋体"/>
                <w:color w:val="auto"/>
                <w:sz w:val="24"/>
                <w:szCs w:val="24"/>
                <w:highlight w:val="none"/>
              </w:rPr>
              <w:t>，</w:t>
            </w:r>
          </w:p>
          <w:p w14:paraId="465CC7FE">
            <w:pPr>
              <w:keepNext w:val="0"/>
              <w:keepLines w:val="0"/>
              <w:pageBreakBefore w:val="0"/>
              <w:kinsoku/>
              <w:wordWrap/>
              <w:overflowPunct/>
              <w:topLinePunct w:val="0"/>
              <w:bidi w:val="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金额为</w:t>
            </w:r>
            <w:r>
              <w:rPr>
                <w:rFonts w:hint="eastAsia" w:ascii="宋体" w:hAnsi="宋体" w:eastAsia="宋体" w:cs="宋体"/>
                <w:color w:val="auto"/>
                <w:sz w:val="24"/>
                <w:szCs w:val="24"/>
                <w:highlight w:val="none"/>
                <w:u w:val="single"/>
                <w:lang w:val="en-US" w:eastAsia="zh-CN"/>
              </w:rPr>
              <w:t>67738.40</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大写：</w:t>
            </w:r>
            <w:r>
              <w:rPr>
                <w:rFonts w:hint="eastAsia" w:ascii="宋体" w:hAnsi="宋体" w:eastAsia="宋体" w:cs="宋体"/>
                <w:color w:val="auto"/>
                <w:sz w:val="24"/>
                <w:szCs w:val="24"/>
                <w:highlight w:val="none"/>
                <w:u w:val="single"/>
                <w:lang w:val="en-US" w:eastAsia="zh-CN"/>
              </w:rPr>
              <w:t>陆万柒仟柒佰叁拾捌元肆角整</w:t>
            </w:r>
            <w:r>
              <w:rPr>
                <w:rFonts w:hint="eastAsia" w:ascii="宋体" w:hAnsi="宋体" w:eastAsia="宋体" w:cs="宋体"/>
                <w:color w:val="auto"/>
                <w:sz w:val="24"/>
                <w:szCs w:val="24"/>
                <w:highlight w:val="none"/>
                <w:lang w:eastAsia="zh-CN"/>
              </w:rPr>
              <w:t>）；</w:t>
            </w:r>
          </w:p>
          <w:p w14:paraId="25E0F0E6">
            <w:pPr>
              <w:pStyle w:val="31"/>
              <w:rPr>
                <w:rFonts w:hint="eastAsia"/>
                <w:lang w:val="en-US" w:eastAsia="zh-CN"/>
              </w:rPr>
            </w:pPr>
          </w:p>
          <w:p w14:paraId="1DB2E65D">
            <w:pPr>
              <w:pStyle w:val="115"/>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20" w:lineRule="exact"/>
              <w:ind w:left="0" w:right="0"/>
              <w:textAlignment w:val="auto"/>
              <w:rPr>
                <w:rFonts w:hint="eastAsia" w:ascii="宋体" w:hAnsi="宋体" w:eastAsia="宋体" w:cs="宋体"/>
                <w:b/>
                <w:bCs/>
                <w:color w:val="auto"/>
                <w:spacing w:val="-2"/>
                <w:kern w:val="2"/>
                <w:sz w:val="24"/>
                <w:szCs w:val="24"/>
                <w:highlight w:val="none"/>
              </w:rPr>
            </w:pPr>
            <w:r>
              <w:rPr>
                <w:rFonts w:hint="eastAsia" w:ascii="宋体" w:hAnsi="宋体" w:eastAsia="宋体" w:cs="宋体"/>
                <w:b/>
                <w:bCs/>
                <w:color w:val="auto"/>
                <w:spacing w:val="-2"/>
                <w:kern w:val="2"/>
                <w:sz w:val="24"/>
                <w:szCs w:val="24"/>
                <w:highlight w:val="none"/>
              </w:rPr>
              <w:t>注：</w:t>
            </w:r>
          </w:p>
          <w:p w14:paraId="7AAB396C">
            <w:pPr>
              <w:pStyle w:val="17"/>
              <w:keepNext w:val="0"/>
              <w:keepLines w:val="0"/>
              <w:pageBreakBefore w:val="0"/>
              <w:kinsoku/>
              <w:wordWrap/>
              <w:overflowPunct/>
              <w:topLinePunct w:val="0"/>
              <w:bidi w:val="0"/>
              <w:adjustRightInd w:val="0"/>
              <w:snapToGrid w:val="0"/>
              <w:spacing w:line="460" w:lineRule="exact"/>
              <w:ind w:left="105" w:leftChars="50" w:right="105" w:rightChars="50"/>
              <w:jc w:val="left"/>
              <w:textAlignment w:val="auto"/>
              <w:rPr>
                <w:rFonts w:hint="default" w:ascii="宋体" w:hAnsi="宋体"/>
                <w:b/>
                <w:bCs/>
                <w:color w:val="FF0000"/>
                <w:sz w:val="24"/>
                <w:highlight w:val="none"/>
                <w:lang w:val="en-US" w:eastAsia="zh-CN"/>
              </w:rPr>
            </w:pPr>
            <w:r>
              <w:rPr>
                <w:rFonts w:hint="eastAsia" w:ascii="宋体" w:hAnsi="宋体" w:cs="宋体"/>
                <w:b w:val="0"/>
                <w:bCs w:val="0"/>
                <w:color w:val="FF0000"/>
                <w:spacing w:val="-2"/>
                <w:kern w:val="2"/>
                <w:sz w:val="24"/>
                <w:szCs w:val="24"/>
                <w:highlight w:val="none"/>
                <w:lang w:val="en-US" w:eastAsia="zh-CN"/>
              </w:rPr>
              <w:t>1.</w:t>
            </w:r>
            <w:r>
              <w:rPr>
                <w:rFonts w:hint="eastAsia" w:ascii="宋体" w:hAnsi="宋体" w:eastAsia="宋体" w:cs="宋体"/>
                <w:b/>
                <w:bCs/>
                <w:color w:val="FF0000"/>
                <w:sz w:val="24"/>
                <w:szCs w:val="24"/>
                <w:highlight w:val="none"/>
              </w:rPr>
              <w:t>履约保证金</w:t>
            </w:r>
            <w:r>
              <w:rPr>
                <w:rFonts w:hint="eastAsia" w:ascii="宋体" w:hAnsi="宋体" w:eastAsia="宋体" w:cs="宋体"/>
                <w:b/>
                <w:bCs/>
                <w:color w:val="FF0000"/>
                <w:sz w:val="24"/>
                <w:szCs w:val="24"/>
                <w:highlight w:val="none"/>
                <w:lang w:val="en-US" w:eastAsia="zh-CN"/>
              </w:rPr>
              <w:t>缴纳</w:t>
            </w:r>
            <w:r>
              <w:rPr>
                <w:rFonts w:hint="eastAsia" w:ascii="宋体" w:hAnsi="宋体"/>
                <w:b/>
                <w:bCs/>
                <w:color w:val="FF0000"/>
                <w:sz w:val="24"/>
                <w:highlight w:val="none"/>
                <w:lang w:val="en-US" w:eastAsia="zh-CN"/>
              </w:rPr>
              <w:t>账户信息：</w:t>
            </w:r>
          </w:p>
          <w:p w14:paraId="1B8082E6">
            <w:pPr>
              <w:pStyle w:val="115"/>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20" w:lineRule="exact"/>
              <w:ind w:left="0" w:right="0"/>
              <w:textAlignment w:val="auto"/>
              <w:rPr>
                <w:rFonts w:hint="eastAsia" w:ascii="宋体" w:hAnsi="宋体" w:eastAsia="宋体" w:cs="宋体"/>
                <w:b w:val="0"/>
                <w:bCs w:val="0"/>
                <w:color w:val="FF0000"/>
                <w:spacing w:val="-2"/>
                <w:kern w:val="2"/>
                <w:sz w:val="24"/>
                <w:szCs w:val="24"/>
                <w:highlight w:val="none"/>
                <w:lang w:val="zh-CN"/>
              </w:rPr>
            </w:pPr>
            <w:r>
              <w:rPr>
                <w:rFonts w:hint="eastAsia" w:ascii="宋体" w:hAnsi="宋体" w:eastAsia="宋体" w:cs="宋体"/>
                <w:b w:val="0"/>
                <w:bCs w:val="0"/>
                <w:color w:val="FF0000"/>
                <w:spacing w:val="-2"/>
                <w:kern w:val="2"/>
                <w:sz w:val="24"/>
                <w:szCs w:val="24"/>
                <w:highlight w:val="none"/>
              </w:rPr>
              <w:t>收款人名称：云南省玉溪监狱</w:t>
            </w:r>
            <w:r>
              <w:rPr>
                <w:rFonts w:hint="eastAsia" w:ascii="宋体" w:hAnsi="宋体" w:eastAsia="宋体" w:cs="宋体"/>
                <w:b w:val="0"/>
                <w:bCs w:val="0"/>
                <w:color w:val="FF0000"/>
                <w:spacing w:val="-2"/>
                <w:kern w:val="2"/>
                <w:sz w:val="24"/>
                <w:szCs w:val="24"/>
                <w:highlight w:val="none"/>
                <w:lang w:val="zh-CN"/>
              </w:rPr>
              <w:t>；</w:t>
            </w:r>
          </w:p>
          <w:p w14:paraId="48EB605A">
            <w:pPr>
              <w:pStyle w:val="115"/>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20" w:lineRule="exact"/>
              <w:ind w:left="0" w:right="0"/>
              <w:textAlignment w:val="auto"/>
              <w:rPr>
                <w:rFonts w:hint="eastAsia" w:ascii="宋体" w:hAnsi="宋体" w:eastAsia="宋体" w:cs="宋体"/>
                <w:b w:val="0"/>
                <w:bCs w:val="0"/>
                <w:color w:val="FF0000"/>
                <w:spacing w:val="-2"/>
                <w:kern w:val="2"/>
                <w:sz w:val="24"/>
                <w:szCs w:val="24"/>
                <w:highlight w:val="none"/>
                <w:lang w:val="zh-CN"/>
              </w:rPr>
            </w:pPr>
            <w:r>
              <w:rPr>
                <w:rFonts w:hint="eastAsia" w:ascii="宋体" w:hAnsi="宋体" w:eastAsia="宋体" w:cs="宋体"/>
                <w:b w:val="0"/>
                <w:bCs w:val="0"/>
                <w:color w:val="FF0000"/>
                <w:spacing w:val="-2"/>
                <w:kern w:val="2"/>
                <w:sz w:val="24"/>
                <w:szCs w:val="24"/>
                <w:highlight w:val="none"/>
                <w:lang w:val="zh-CN"/>
              </w:rPr>
              <w:t>收款人账号：</w:t>
            </w:r>
            <w:r>
              <w:rPr>
                <w:rFonts w:hint="eastAsia" w:ascii="宋体" w:hAnsi="宋体" w:eastAsia="宋体" w:cs="宋体"/>
                <w:b w:val="0"/>
                <w:bCs w:val="0"/>
                <w:color w:val="FF0000"/>
                <w:spacing w:val="-2"/>
                <w:kern w:val="2"/>
                <w:sz w:val="24"/>
                <w:szCs w:val="24"/>
                <w:highlight w:val="none"/>
                <w:lang w:val="en-US" w:eastAsia="zh-CN"/>
              </w:rPr>
              <w:t>53050165863600001777</w:t>
            </w:r>
            <w:r>
              <w:rPr>
                <w:rFonts w:hint="eastAsia" w:ascii="宋体" w:hAnsi="宋体" w:eastAsia="宋体" w:cs="宋体"/>
                <w:b w:val="0"/>
                <w:bCs w:val="0"/>
                <w:color w:val="FF0000"/>
                <w:spacing w:val="-2"/>
                <w:kern w:val="2"/>
                <w:sz w:val="24"/>
                <w:szCs w:val="24"/>
                <w:highlight w:val="none"/>
                <w:lang w:val="zh-CN"/>
              </w:rPr>
              <w:t>；</w:t>
            </w:r>
          </w:p>
          <w:p w14:paraId="456C085F">
            <w:pPr>
              <w:pStyle w:val="115"/>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20" w:lineRule="exact"/>
              <w:ind w:left="0" w:right="0"/>
              <w:textAlignment w:val="auto"/>
              <w:rPr>
                <w:rFonts w:hint="eastAsia" w:ascii="宋体" w:hAnsi="宋体" w:eastAsia="宋体" w:cs="宋体"/>
                <w:b w:val="0"/>
                <w:bCs w:val="0"/>
                <w:color w:val="auto"/>
                <w:spacing w:val="-2"/>
                <w:kern w:val="2"/>
                <w:sz w:val="24"/>
                <w:szCs w:val="24"/>
                <w:highlight w:val="none"/>
                <w:lang w:val="en-US" w:eastAsia="zh-CN"/>
              </w:rPr>
            </w:pPr>
            <w:r>
              <w:rPr>
                <w:rFonts w:hint="eastAsia" w:ascii="宋体" w:hAnsi="宋体" w:eastAsia="宋体" w:cs="宋体"/>
                <w:b w:val="0"/>
                <w:bCs w:val="0"/>
                <w:color w:val="FF0000"/>
                <w:spacing w:val="-2"/>
                <w:kern w:val="2"/>
                <w:sz w:val="24"/>
                <w:szCs w:val="24"/>
                <w:highlight w:val="none"/>
                <w:lang w:val="zh-CN"/>
              </w:rPr>
              <w:t>开户行名称：</w:t>
            </w:r>
            <w:r>
              <w:rPr>
                <w:rFonts w:hint="eastAsia" w:ascii="宋体" w:hAnsi="宋体" w:eastAsia="宋体" w:cs="宋体"/>
                <w:b w:val="0"/>
                <w:bCs w:val="0"/>
                <w:color w:val="FF0000"/>
                <w:spacing w:val="-2"/>
                <w:kern w:val="2"/>
                <w:sz w:val="24"/>
                <w:szCs w:val="24"/>
                <w:highlight w:val="none"/>
                <w:lang w:val="en-US" w:eastAsia="zh-CN"/>
              </w:rPr>
              <w:t>中国建设银行股份有限公司玉溪红塔支行</w:t>
            </w:r>
          </w:p>
          <w:p w14:paraId="15407BB9">
            <w:pPr>
              <w:pStyle w:val="115"/>
              <w:keepNext w:val="0"/>
              <w:keepLines w:val="0"/>
              <w:pageBreakBefore w:val="0"/>
              <w:numPr>
                <w:ilvl w:val="0"/>
                <w:numId w:val="0"/>
              </w:numPr>
              <w:suppressLineNumbers w:val="0"/>
              <w:kinsoku/>
              <w:wordWrap/>
              <w:overflowPunct/>
              <w:topLinePunct w:val="0"/>
              <w:autoSpaceDE/>
              <w:autoSpaceDN/>
              <w:bidi w:val="0"/>
              <w:adjustRightInd/>
              <w:snapToGrid w:val="0"/>
              <w:spacing w:before="0" w:beforeAutospacing="0" w:after="0" w:afterAutospacing="0" w:line="320" w:lineRule="exact"/>
              <w:ind w:left="0" w:leftChars="0" w:right="0" w:rightChars="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eastAsia="宋体" w:cs="宋体"/>
                <w:b w:val="0"/>
                <w:bCs w:val="0"/>
                <w:color w:val="auto"/>
                <w:spacing w:val="-2"/>
                <w:kern w:val="2"/>
                <w:sz w:val="24"/>
                <w:szCs w:val="24"/>
                <w:lang w:val="en-US" w:eastAsia="zh-CN" w:bidi="ar-SA"/>
              </w:rPr>
              <w:t>2.</w:t>
            </w:r>
            <w:r>
              <w:rPr>
                <w:rFonts w:hint="eastAsia" w:ascii="宋体" w:hAnsi="宋体" w:cs="宋体"/>
                <w:b w:val="0"/>
                <w:bCs w:val="0"/>
                <w:color w:val="auto"/>
                <w:spacing w:val="-2"/>
                <w:kern w:val="2"/>
                <w:sz w:val="24"/>
                <w:szCs w:val="24"/>
                <w:highlight w:val="none"/>
                <w:lang w:val="en-US" w:eastAsia="zh-CN"/>
              </w:rPr>
              <w:t>合同期内，中标人的工作人员不遵守采购人各项管理规定未造成不良后果或如果货品质量存在问题(包括不合格或以次充好)，采购人有权扣除履约保证金:第一次5000.00元，第二次10000.00元，第三次15000.00元，以此类推，直至扣完为止(也可采用缴纳方式，如递交银行保函(或保证保险)的，则单独提交对应金额的违约金)，同时采购人有权解除合同和追究所造成的经济、民事、刑事等一切法律责任和后果。中标人应赔偿采购人其他损失，损失难于量化时应赔偿采购人违约金5万-10万元(也可由采购人从履约保证金中扣除)，并承担由此造成的一切不良后果。</w:t>
            </w:r>
          </w:p>
          <w:p w14:paraId="5D9ED6C0">
            <w:pPr>
              <w:pStyle w:val="115"/>
              <w:keepNext w:val="0"/>
              <w:keepLines w:val="0"/>
              <w:pageBreakBefore w:val="0"/>
              <w:numPr>
                <w:ilvl w:val="0"/>
                <w:numId w:val="0"/>
              </w:numPr>
              <w:suppressLineNumbers w:val="0"/>
              <w:kinsoku/>
              <w:wordWrap/>
              <w:overflowPunct/>
              <w:topLinePunct w:val="0"/>
              <w:autoSpaceDE/>
              <w:autoSpaceDN/>
              <w:bidi w:val="0"/>
              <w:adjustRightInd/>
              <w:snapToGrid w:val="0"/>
              <w:spacing w:before="0" w:beforeAutospacing="0" w:after="0" w:afterAutospacing="0" w:line="320" w:lineRule="exact"/>
              <w:ind w:left="0" w:leftChars="0" w:right="0" w:rightChars="0"/>
              <w:textAlignment w:val="auto"/>
              <w:rPr>
                <w:rFonts w:hint="default"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3.因中标人不按时按质按量供货影响到采购人正常罪犯伙食需求，造成监管安全事故等严重后果的，中标人要承担采购人损失，承担相应法律责任，采购人有权扣除50%的履约保证金(如递交银行保函(或保证保险)的，则每次提交50%履约保证金的现金违约金)、有权终止合同。</w:t>
            </w:r>
          </w:p>
          <w:p w14:paraId="7D180BF2">
            <w:pPr>
              <w:pStyle w:val="115"/>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20" w:lineRule="exact"/>
              <w:ind w:left="0" w:right="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4.中标人的工作人员不遵守采购人各项管理规定造成不良后果，或泄漏采购人工作秘密的，采购人有权每次扣除20%的履约保证金（如递交银行保函的，则每次提交20%履约保证金的现金违约金，5个工作日内缴清，逾期不缴的，不予支付货款或用货款抵扣相应金额），造成严重后果或社会不良影响的，采购人有权每次扣除50%的履约保证金（如递交银行保函的，则每次提交50%履约保证金的现金违约金）。发生上述情形，采购人有权解除合同并根据情节追究相关法律责任。</w:t>
            </w:r>
          </w:p>
          <w:p w14:paraId="02E5F419">
            <w:pPr>
              <w:pStyle w:val="115"/>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20" w:lineRule="exact"/>
              <w:ind w:left="0" w:right="0"/>
              <w:textAlignment w:val="auto"/>
              <w:rPr>
                <w:rFonts w:hint="eastAsia" w:ascii="宋体" w:hAnsi="宋体" w:eastAsia="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5.如在合同执行期间，因中标人违约导致履约保证金(采取银行转账)部分扣除的，中标人须在5个工作日内将扣除的履约保证金补齐，延迟一个工作日增加延迟费用1000.00元/工作日，以此类推，直至扣完为止；中标人拒不缴纳补齐的</w:t>
            </w:r>
            <w:r>
              <w:rPr>
                <w:rFonts w:hint="eastAsia" w:ascii="宋体" w:hAnsi="宋体" w:eastAsia="宋体" w:cs="宋体"/>
                <w:b w:val="0"/>
                <w:bCs w:val="0"/>
                <w:color w:val="auto"/>
                <w:spacing w:val="-2"/>
                <w:kern w:val="2"/>
                <w:sz w:val="24"/>
                <w:szCs w:val="24"/>
                <w:highlight w:val="none"/>
                <w:lang w:val="en-US" w:eastAsia="zh-CN"/>
              </w:rPr>
              <w:t>，采购人有权终止合同；如中标人递交银行保函的，则在每次发生违约后5个工作日内提交规定违约金至采购人指定账号，逾期不缴的，不予支付货款或用货款抵扣相应金额，延迟一个工作日增加延迟费用1000.00元/工作日，以此类推，直至延迟费达到对应的履约保证金全额；中标人拒不缴纳的，采购人有权终止合同。</w:t>
            </w:r>
          </w:p>
          <w:p w14:paraId="27940DB0">
            <w:pPr>
              <w:pStyle w:val="115"/>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20" w:lineRule="exact"/>
              <w:ind w:left="0" w:right="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eastAsia="宋体" w:cs="宋体"/>
                <w:b w:val="0"/>
                <w:bCs w:val="0"/>
                <w:color w:val="auto"/>
                <w:spacing w:val="-2"/>
                <w:kern w:val="2"/>
                <w:sz w:val="24"/>
                <w:szCs w:val="24"/>
                <w:highlight w:val="none"/>
                <w:lang w:val="en-US" w:eastAsia="zh-CN"/>
              </w:rPr>
              <w:t>6.若中标人在合同执行过程中单方面终止合</w:t>
            </w:r>
            <w:r>
              <w:rPr>
                <w:rFonts w:hint="eastAsia" w:ascii="宋体" w:hAnsi="宋体" w:cs="宋体"/>
                <w:b w:val="0"/>
                <w:bCs w:val="0"/>
                <w:color w:val="auto"/>
                <w:spacing w:val="-2"/>
                <w:kern w:val="2"/>
                <w:sz w:val="24"/>
                <w:szCs w:val="24"/>
                <w:highlight w:val="none"/>
                <w:lang w:val="en-US" w:eastAsia="zh-CN"/>
              </w:rPr>
              <w:t>同的，采购人有权不予退还履约保证金（如中标人递交银行保函的，则中标人须在合同终止次日起5个工作日缴纳同等金额的违约金至采购人指定账号，同时采购人退回银行保函，逾期不缴的，不予支付货款或用货款抵扣相应金额），同时中标人承担由此造成的一切损失和不良后果，甚至是法律责任。</w:t>
            </w:r>
          </w:p>
          <w:p w14:paraId="28F565E6">
            <w:pPr>
              <w:pStyle w:val="115"/>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20" w:lineRule="exact"/>
              <w:ind w:left="0" w:right="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7.中标人所供货物不得来源于国外境外、疫情中高风险地区；配送人员、车辆相对固定，按照采购人不同时期的疫情防控要求，配合采购人做好疫情防控工作。若出现所供货物来源于国外境外、疫情中高风险地区或配送人员不遵守采购人疫情防控要求的，采购人有权每次扣除20%的履约保证金（如递交银行保函的，则每次提交20%履约保证金的现金违约金，5个工作日内缴清，逾期不缴的，不予支付货款或用货款抵扣相应金额），中标人承担由此带来的一切不良后果。</w:t>
            </w:r>
          </w:p>
          <w:p w14:paraId="5E392B30">
            <w:pPr>
              <w:pStyle w:val="115"/>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20" w:lineRule="exact"/>
              <w:ind w:left="0" w:right="0"/>
              <w:textAlignment w:val="auto"/>
              <w:rPr>
                <w:rFonts w:hint="eastAsia" w:ascii="宋体" w:hAnsi="宋体" w:eastAsia="宋体" w:cs="宋体"/>
                <w:sz w:val="24"/>
                <w:szCs w:val="24"/>
                <w:highlight w:val="none"/>
              </w:rPr>
            </w:pPr>
            <w:r>
              <w:rPr>
                <w:rFonts w:hint="eastAsia" w:ascii="宋体" w:hAnsi="宋体" w:cs="宋体"/>
                <w:b w:val="0"/>
                <w:bCs w:val="0"/>
                <w:color w:val="auto"/>
                <w:spacing w:val="-2"/>
                <w:kern w:val="2"/>
                <w:sz w:val="24"/>
                <w:szCs w:val="24"/>
                <w:highlight w:val="none"/>
                <w:lang w:val="en-US" w:eastAsia="zh-CN"/>
              </w:rPr>
              <w:t>8.若合同终止，采购人有权选择其他投标人或其他供应商供货，合同期满时没有发生违约的，采购人将保证金全额无息退还中标人。合同期满时，若中标人在合同履行期间发生违约行为被采购人扣除违约金而中标人又未补齐的，由采购人将剩余履约保证金（履约保证金总额-违反规定扣除的部分）退还给中标人；提交银行保函的退还银行保函。</w:t>
            </w:r>
          </w:p>
        </w:tc>
      </w:tr>
      <w:tr w14:paraId="2F27B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4" w:type="dxa"/>
            <w:noWrap w:val="0"/>
            <w:vAlign w:val="center"/>
          </w:tcPr>
          <w:p w14:paraId="516EEE68">
            <w:pPr>
              <w:pStyle w:val="17"/>
              <w:keepNext w:val="0"/>
              <w:keepLines w:val="0"/>
              <w:pageBreakBefore w:val="0"/>
              <w:kinsoku/>
              <w:wordWrap/>
              <w:overflowPunct/>
              <w:topLinePunct w:val="0"/>
              <w:bidi w:val="0"/>
              <w:spacing w:line="300" w:lineRule="exact"/>
              <w:jc w:val="center"/>
              <w:outlineLvl w:val="9"/>
              <w:rPr>
                <w:rFonts w:hint="default" w:hAnsi="宋体" w:eastAsia="宋体"/>
                <w:sz w:val="24"/>
                <w:szCs w:val="24"/>
                <w:lang w:val="en-US" w:eastAsia="zh-CN"/>
              </w:rPr>
            </w:pPr>
            <w:r>
              <w:rPr>
                <w:rFonts w:hint="eastAsia" w:hAnsi="宋体"/>
                <w:sz w:val="24"/>
                <w:szCs w:val="24"/>
                <w:lang w:val="en-US" w:eastAsia="zh-CN"/>
              </w:rPr>
              <w:t>32</w:t>
            </w:r>
          </w:p>
        </w:tc>
        <w:tc>
          <w:tcPr>
            <w:tcW w:w="2569" w:type="dxa"/>
            <w:noWrap w:val="0"/>
            <w:vAlign w:val="center"/>
          </w:tcPr>
          <w:p w14:paraId="3065226C">
            <w:pPr>
              <w:pStyle w:val="17"/>
              <w:keepNext w:val="0"/>
              <w:keepLines w:val="0"/>
              <w:pageBreakBefore w:val="0"/>
              <w:kinsoku/>
              <w:wordWrap/>
              <w:overflowPunct/>
              <w:topLinePunct w:val="0"/>
              <w:bidi w:val="0"/>
              <w:spacing w:line="300" w:lineRule="exact"/>
              <w:outlineLvl w:val="9"/>
              <w:rPr>
                <w:rFonts w:hint="default" w:hAnsi="宋体" w:eastAsia="宋体"/>
                <w:bCs/>
                <w:sz w:val="24"/>
                <w:szCs w:val="24"/>
                <w:lang w:val="en-US" w:eastAsia="zh-CN"/>
              </w:rPr>
            </w:pPr>
            <w:r>
              <w:rPr>
                <w:rFonts w:hint="eastAsia" w:hAnsi="宋体"/>
                <w:bCs/>
                <w:sz w:val="24"/>
                <w:szCs w:val="24"/>
                <w:lang w:val="en-US" w:eastAsia="zh-CN"/>
              </w:rPr>
              <w:t>付款方式、调价机制</w:t>
            </w:r>
          </w:p>
        </w:tc>
        <w:tc>
          <w:tcPr>
            <w:tcW w:w="6117" w:type="dxa"/>
            <w:noWrap w:val="0"/>
            <w:vAlign w:val="center"/>
          </w:tcPr>
          <w:p w14:paraId="51E93858">
            <w:pPr>
              <w:keepNext w:val="0"/>
              <w:keepLines w:val="0"/>
              <w:pageBreakBefore w:val="0"/>
              <w:kinsoku/>
              <w:wordWrap/>
              <w:overflowPunct/>
              <w:topLinePunct w:val="0"/>
              <w:bidi w:val="0"/>
              <w:outlineLvl w:val="9"/>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rPr>
              <w:t>付款方式</w:t>
            </w:r>
            <w:r>
              <w:rPr>
                <w:rFonts w:hint="eastAsia" w:ascii="宋体" w:hAnsi="宋体" w:eastAsia="宋体" w:cs="Times New Roman"/>
                <w:b/>
                <w:bCs/>
                <w:sz w:val="24"/>
                <w:szCs w:val="24"/>
                <w:highlight w:val="none"/>
                <w:lang w:eastAsia="zh-CN"/>
              </w:rPr>
              <w:t>：</w:t>
            </w:r>
          </w:p>
          <w:p w14:paraId="3D795090">
            <w:pPr>
              <w:spacing w:line="240" w:lineRule="auto"/>
              <w:ind w:firstLine="360" w:firstLineChars="1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1．合同签订后，如无质量和其他问题，</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中标人</w:t>
            </w:r>
            <w:r>
              <w:rPr>
                <w:rFonts w:hint="eastAsia" w:ascii="宋体" w:hAnsi="宋体" w:eastAsia="宋体" w:cs="宋体"/>
                <w:color w:val="000000"/>
                <w:sz w:val="24"/>
                <w:szCs w:val="24"/>
                <w:highlight w:val="none"/>
                <w:lang w:eastAsia="zh-CN"/>
              </w:rPr>
              <w:t>双方根据实际情况，在供货产品验收合格后按月</w:t>
            </w:r>
            <w:r>
              <w:rPr>
                <w:rFonts w:hint="eastAsia" w:ascii="宋体" w:hAnsi="宋体" w:eastAsia="宋体" w:cs="宋体"/>
                <w:sz w:val="24"/>
                <w:szCs w:val="24"/>
                <w:highlight w:val="none"/>
                <w:lang w:eastAsia="zh-CN"/>
              </w:rPr>
              <w:t>（或约定的结算周期）</w:t>
            </w:r>
            <w:r>
              <w:rPr>
                <w:rFonts w:hint="eastAsia" w:ascii="宋体" w:hAnsi="宋体" w:eastAsia="宋体" w:cs="宋体"/>
                <w:color w:val="000000"/>
                <w:sz w:val="24"/>
                <w:szCs w:val="24"/>
                <w:highlight w:val="none"/>
                <w:lang w:eastAsia="zh-CN"/>
              </w:rPr>
              <w:t>结算。</w:t>
            </w:r>
            <w:r>
              <w:rPr>
                <w:rFonts w:hint="eastAsia" w:ascii="宋体" w:hAnsi="宋体" w:eastAsia="宋体" w:cs="宋体"/>
                <w:color w:val="000000"/>
                <w:sz w:val="24"/>
                <w:szCs w:val="24"/>
                <w:highlight w:val="none"/>
                <w:lang w:val="en-US" w:eastAsia="zh-CN"/>
              </w:rPr>
              <w:t>中标人</w:t>
            </w:r>
            <w:r>
              <w:rPr>
                <w:rFonts w:hint="eastAsia" w:ascii="宋体" w:hAnsi="宋体" w:eastAsia="宋体" w:cs="宋体"/>
                <w:color w:val="000000"/>
                <w:sz w:val="24"/>
                <w:szCs w:val="24"/>
                <w:highlight w:val="none"/>
                <w:lang w:eastAsia="zh-CN"/>
              </w:rPr>
              <w:t>提供符合采购人要求的正式发票，</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lang w:eastAsia="zh-CN"/>
              </w:rPr>
              <w:t>收到发票并审核无误后及时结算付款，特殊情况经双方协商后顺延。（其中12月份的货物发票须在</w:t>
            </w:r>
            <w:r>
              <w:rPr>
                <w:rFonts w:hint="eastAsia" w:ascii="宋体" w:hAnsi="宋体" w:eastAsia="宋体" w:cs="宋体"/>
                <w:color w:val="000000"/>
                <w:sz w:val="24"/>
                <w:szCs w:val="24"/>
                <w:highlight w:val="none"/>
                <w:lang w:val="en-US" w:eastAsia="zh-CN"/>
              </w:rPr>
              <w:t>12月</w:t>
            </w:r>
            <w:r>
              <w:rPr>
                <w:rFonts w:hint="eastAsia" w:ascii="宋体" w:hAnsi="宋体" w:eastAsia="宋体" w:cs="宋体"/>
                <w:color w:val="000000"/>
                <w:sz w:val="24"/>
                <w:szCs w:val="24"/>
                <w:highlight w:val="none"/>
                <w:lang w:eastAsia="zh-CN"/>
              </w:rPr>
              <w:t>25日前将发票提交采购人）。</w:t>
            </w:r>
          </w:p>
          <w:p w14:paraId="4A9826CC">
            <w:pPr>
              <w:spacing w:line="240" w:lineRule="auto"/>
              <w:ind w:firstLine="360" w:firstLineChars="1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 合同标的价格均为含税价格，付款方式为银行对公转账支付。</w:t>
            </w:r>
          </w:p>
          <w:p w14:paraId="618F6424">
            <w:pPr>
              <w:spacing w:line="240" w:lineRule="auto"/>
              <w:ind w:firstLine="360" w:firstLineChars="1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 本合同执行先开票后付款的方式，</w:t>
            </w:r>
            <w:r>
              <w:rPr>
                <w:rFonts w:hint="eastAsia" w:ascii="宋体" w:hAnsi="宋体" w:eastAsia="宋体" w:cs="宋体"/>
                <w:color w:val="000000"/>
                <w:sz w:val="24"/>
                <w:szCs w:val="24"/>
                <w:highlight w:val="none"/>
                <w:lang w:val="en-US" w:eastAsia="zh-CN"/>
              </w:rPr>
              <w:t>中标人</w:t>
            </w:r>
            <w:r>
              <w:rPr>
                <w:rFonts w:hint="eastAsia" w:ascii="宋体" w:hAnsi="宋体" w:eastAsia="宋体" w:cs="宋体"/>
                <w:color w:val="000000"/>
                <w:sz w:val="24"/>
                <w:szCs w:val="24"/>
                <w:highlight w:val="none"/>
                <w:lang w:eastAsia="zh-CN"/>
              </w:rPr>
              <w:t>未提供发票给</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lang w:eastAsia="zh-CN"/>
              </w:rPr>
              <w:t>或提供的发票不符合规定的，</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lang w:eastAsia="zh-CN"/>
              </w:rPr>
              <w:t>有权拒绝付款。</w:t>
            </w:r>
          </w:p>
          <w:p w14:paraId="01B03BED">
            <w:pPr>
              <w:spacing w:line="240" w:lineRule="auto"/>
              <w:ind w:firstLine="360" w:firstLineChars="15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4.特殊情况，双方协商一致执行。</w:t>
            </w:r>
          </w:p>
          <w:p w14:paraId="433C0DCA">
            <w:pPr>
              <w:keepNext w:val="0"/>
              <w:keepLines w:val="0"/>
              <w:pageBreakBefore w:val="0"/>
              <w:kinsoku/>
              <w:wordWrap/>
              <w:overflowPunct/>
              <w:topLinePunct w:val="0"/>
              <w:bidi w:val="0"/>
              <w:spacing w:line="240" w:lineRule="auto"/>
              <w:outlineLvl w:val="9"/>
              <w:rPr>
                <w:rFonts w:hint="eastAsia" w:ascii="Times New Roman" w:hAnsi="宋体" w:eastAsia="宋体" w:cs="Times New Roman"/>
                <w:b/>
                <w:bCs w:val="0"/>
                <w:sz w:val="24"/>
                <w:szCs w:val="24"/>
                <w:highlight w:val="none"/>
                <w:lang w:val="en-US" w:eastAsia="zh-CN"/>
              </w:rPr>
            </w:pPr>
            <w:r>
              <w:rPr>
                <w:rFonts w:hint="eastAsia" w:ascii="Times New Roman" w:hAnsi="宋体" w:eastAsia="宋体" w:cs="Times New Roman"/>
                <w:b/>
                <w:bCs w:val="0"/>
                <w:sz w:val="24"/>
                <w:szCs w:val="24"/>
                <w:highlight w:val="none"/>
                <w:lang w:val="en-US" w:eastAsia="zh-CN"/>
              </w:rPr>
              <w:t>调价机制：</w:t>
            </w:r>
          </w:p>
          <w:p w14:paraId="0AC1CB1D">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（1）自合同签订次月首日起，三个月内执行中标单价，不做调价。</w:t>
            </w:r>
          </w:p>
          <w:p w14:paraId="7FF07941">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每月对玉溪市红塔区的猪肉类；鸡肉类、冻品（鱼虾）类物资进行一次市场询价，根据市场询价结果，自合同签订次月首日起每三个月即将结束时可以协商调价一次，同时满足以下条件可启动调价机制：</w:t>
            </w:r>
          </w:p>
          <w:p w14:paraId="7404A3E8">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市场波动条件：自合同签订次月首日起，采购人每三个月的市场询价平均价格与合同签订当月采购人的市场询价价格相比，波动达到±15%以上（保留两位小数，不含本数）。已调整过合同执行价的，则调价后采购人每三个月的市场询价平均价格与最新一次调价主要参照的市场询价当月（自合同签订次月首日起，第三、六、九个月）的市场询价价格相比，波动达到±15%以上（保留两位小数，不含本数）。</w:t>
            </w:r>
          </w:p>
          <w:p w14:paraId="52302097">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②市场询价价格与合同执行价格偏离条件：自合同签订次月首日起每三个月的市场询价价格平均值与合同执行价格偏离±15％以上（不含本数）。</w:t>
            </w:r>
          </w:p>
          <w:p w14:paraId="4AC6D3E0">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上述①②项偏离值需同向变化即同时为正偏离或同时为负偏离时方可启动调价机制。若一个为正偏离，一个为负偏离，则不进行调价。</w:t>
            </w:r>
          </w:p>
          <w:p w14:paraId="6B8BB3B3">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sz w:val="24"/>
                <w:szCs w:val="24"/>
                <w:lang w:val="en-US"/>
              </w:rPr>
            </w:pPr>
            <w:r>
              <w:rPr>
                <w:rFonts w:hint="eastAsia" w:ascii="宋体" w:hAnsi="宋体" w:eastAsia="宋体" w:cs="宋体"/>
                <w:color w:val="auto"/>
                <w:sz w:val="24"/>
                <w:szCs w:val="24"/>
                <w:highlight w:val="none"/>
                <w:lang w:val="en-US" w:eastAsia="zh-CN"/>
              </w:rPr>
              <w:t>（3）拟调整的价格以自合同签订次月首日起每三个月最后一个月的市场询价情况为主要参照（即自合同签订次月首日起，第三、六、九个月玉溪市红塔区内所询价格为准）。双方协商一致的情况下，确定调价方案，签订调价协议，新的价格自调价执行之日起执行到下一次调价。</w:t>
            </w:r>
          </w:p>
        </w:tc>
      </w:tr>
      <w:tr w14:paraId="493B1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1134" w:type="dxa"/>
            <w:noWrap w:val="0"/>
            <w:vAlign w:val="center"/>
          </w:tcPr>
          <w:p w14:paraId="44EB2A5F">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3</w:t>
            </w:r>
            <w:r>
              <w:rPr>
                <w:rFonts w:hAnsi="宋体"/>
                <w:sz w:val="24"/>
                <w:szCs w:val="24"/>
              </w:rPr>
              <w:t>3</w:t>
            </w:r>
          </w:p>
        </w:tc>
        <w:tc>
          <w:tcPr>
            <w:tcW w:w="2569" w:type="dxa"/>
            <w:noWrap w:val="0"/>
            <w:vAlign w:val="center"/>
          </w:tcPr>
          <w:p w14:paraId="6C43686B">
            <w:pPr>
              <w:pStyle w:val="17"/>
              <w:keepNext w:val="0"/>
              <w:keepLines w:val="0"/>
              <w:pageBreakBefore w:val="0"/>
              <w:kinsoku/>
              <w:wordWrap/>
              <w:overflowPunct/>
              <w:topLinePunct w:val="0"/>
              <w:bidi w:val="0"/>
              <w:spacing w:line="300" w:lineRule="exact"/>
              <w:outlineLvl w:val="9"/>
              <w:rPr>
                <w:rFonts w:hAnsi="宋体"/>
                <w:bCs/>
                <w:sz w:val="24"/>
                <w:szCs w:val="24"/>
              </w:rPr>
            </w:pPr>
            <w:r>
              <w:rPr>
                <w:rFonts w:hint="eastAsia" w:hAnsi="宋体"/>
                <w:bCs/>
                <w:sz w:val="24"/>
                <w:szCs w:val="24"/>
              </w:rPr>
              <w:t>采购代理服务费</w:t>
            </w:r>
          </w:p>
        </w:tc>
        <w:tc>
          <w:tcPr>
            <w:tcW w:w="6117" w:type="dxa"/>
            <w:noWrap w:val="0"/>
            <w:vAlign w:val="center"/>
          </w:tcPr>
          <w:p w14:paraId="4671DC48">
            <w:pPr>
              <w:keepNext w:val="0"/>
              <w:keepLines w:val="0"/>
              <w:pageBreakBefore w:val="0"/>
              <w:kinsoku/>
              <w:wordWrap/>
              <w:overflowPunct/>
              <w:topLinePunct w:val="0"/>
              <w:bidi w:val="0"/>
              <w:outlineLvl w:val="9"/>
              <w:rPr>
                <w:rFonts w:hint="eastAsia" w:ascii="Times New Roman" w:hAnsi="宋体" w:eastAsia="宋体" w:cs="Times New Roman"/>
                <w:bCs/>
                <w:sz w:val="24"/>
                <w:szCs w:val="24"/>
              </w:rPr>
            </w:pPr>
            <w:r>
              <w:rPr>
                <w:rFonts w:ascii="宋体" w:hAnsi="宋体" w:eastAsia="宋体" w:cs="Times New Roman"/>
                <w:sz w:val="24"/>
                <w:szCs w:val="24"/>
                <w:highlight w:val="none"/>
              </w:rPr>
              <w:t>1</w:t>
            </w:r>
            <w:r>
              <w:rPr>
                <w:rFonts w:hint="eastAsia" w:ascii="宋体" w:hAnsi="宋体" w:eastAsia="宋体" w:cs="宋体"/>
                <w:color w:val="auto"/>
                <w:sz w:val="24"/>
                <w:szCs w:val="24"/>
                <w:highlight w:val="none"/>
                <w:lang w:val="en-US" w:eastAsia="zh-CN"/>
              </w:rPr>
              <w:t xml:space="preserve">、参照云建招协[2024]58号文《云南省建设工程招标代理服务收费参考意见》，以单个项目（或标段）中标（成交）通知书的中标（成交）金额为计费基数，按差额定率累进法计算后向下浮动30%。由中标人（成交人）支付。 </w:t>
            </w:r>
          </w:p>
        </w:tc>
      </w:tr>
      <w:tr w14:paraId="18CB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134" w:type="dxa"/>
            <w:noWrap w:val="0"/>
            <w:vAlign w:val="center"/>
          </w:tcPr>
          <w:p w14:paraId="7ABCABE8">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3</w:t>
            </w:r>
            <w:r>
              <w:rPr>
                <w:rFonts w:hAnsi="宋体"/>
                <w:sz w:val="24"/>
                <w:szCs w:val="24"/>
              </w:rPr>
              <w:t>5</w:t>
            </w:r>
            <w:r>
              <w:rPr>
                <w:rFonts w:hint="eastAsia" w:hAnsi="宋体"/>
                <w:sz w:val="24"/>
                <w:szCs w:val="24"/>
              </w:rPr>
              <w:t>.1</w:t>
            </w:r>
          </w:p>
        </w:tc>
        <w:tc>
          <w:tcPr>
            <w:tcW w:w="2569" w:type="dxa"/>
            <w:noWrap w:val="0"/>
            <w:vAlign w:val="center"/>
          </w:tcPr>
          <w:p w14:paraId="0989FC56">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备选方案</w:t>
            </w:r>
          </w:p>
        </w:tc>
        <w:tc>
          <w:tcPr>
            <w:tcW w:w="6117" w:type="dxa"/>
            <w:noWrap w:val="0"/>
            <w:vAlign w:val="center"/>
          </w:tcPr>
          <w:p w14:paraId="7F9D9FE9">
            <w:pPr>
              <w:pStyle w:val="17"/>
              <w:keepNext w:val="0"/>
              <w:keepLines w:val="0"/>
              <w:pageBreakBefore w:val="0"/>
              <w:kinsoku/>
              <w:wordWrap/>
              <w:overflowPunct/>
              <w:topLinePunct w:val="0"/>
              <w:bidi w:val="0"/>
              <w:spacing w:line="300" w:lineRule="exact"/>
              <w:outlineLvl w:val="9"/>
              <w:rPr>
                <w:rFonts w:hAnsi="宋体"/>
                <w:sz w:val="24"/>
                <w:szCs w:val="24"/>
              </w:rPr>
            </w:pPr>
            <w:r>
              <w:rPr>
                <w:rFonts w:hint="eastAsia" w:hAnsi="宋体"/>
                <w:sz w:val="24"/>
                <w:szCs w:val="24"/>
              </w:rPr>
              <w:t>不接受</w:t>
            </w:r>
          </w:p>
        </w:tc>
      </w:tr>
      <w:tr w14:paraId="75E06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134" w:type="dxa"/>
            <w:noWrap w:val="0"/>
            <w:vAlign w:val="center"/>
          </w:tcPr>
          <w:p w14:paraId="0D6E3C2E">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3</w:t>
            </w:r>
            <w:r>
              <w:rPr>
                <w:rFonts w:hAnsi="宋体"/>
                <w:sz w:val="24"/>
                <w:szCs w:val="24"/>
              </w:rPr>
              <w:t>5</w:t>
            </w:r>
            <w:r>
              <w:rPr>
                <w:rFonts w:hint="eastAsia" w:hAnsi="宋体"/>
                <w:sz w:val="24"/>
                <w:szCs w:val="24"/>
              </w:rPr>
              <w:t>.2</w:t>
            </w:r>
          </w:p>
        </w:tc>
        <w:tc>
          <w:tcPr>
            <w:tcW w:w="8686" w:type="dxa"/>
            <w:gridSpan w:val="2"/>
            <w:noWrap w:val="0"/>
            <w:vAlign w:val="center"/>
          </w:tcPr>
          <w:p w14:paraId="2B1DA60A">
            <w:pPr>
              <w:pStyle w:val="17"/>
              <w:keepNext w:val="0"/>
              <w:keepLines w:val="0"/>
              <w:pageBreakBefore w:val="0"/>
              <w:kinsoku/>
              <w:wordWrap/>
              <w:overflowPunct/>
              <w:topLinePunct w:val="0"/>
              <w:bidi w:val="0"/>
              <w:spacing w:line="300" w:lineRule="exact"/>
              <w:jc w:val="left"/>
              <w:outlineLvl w:val="9"/>
              <w:rPr>
                <w:rFonts w:hint="eastAsia" w:hAnsi="宋体" w:eastAsia="宋体"/>
                <w:sz w:val="24"/>
                <w:szCs w:val="24"/>
                <w:lang w:eastAsia="zh-CN"/>
              </w:rPr>
            </w:pPr>
            <w:r>
              <w:rPr>
                <w:rFonts w:hint="eastAsia" w:hAnsi="宋体"/>
                <w:sz w:val="24"/>
                <w:szCs w:val="24"/>
              </w:rPr>
              <w:t>需要补充的其他内容</w:t>
            </w:r>
          </w:p>
        </w:tc>
      </w:tr>
      <w:tr w14:paraId="05E07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34" w:type="dxa"/>
            <w:noWrap w:val="0"/>
            <w:vAlign w:val="center"/>
          </w:tcPr>
          <w:p w14:paraId="54BB1EB4">
            <w:pPr>
              <w:pStyle w:val="17"/>
              <w:keepNext w:val="0"/>
              <w:keepLines w:val="0"/>
              <w:pageBreakBefore w:val="0"/>
              <w:kinsoku/>
              <w:wordWrap/>
              <w:overflowPunct/>
              <w:topLinePunct w:val="0"/>
              <w:bidi w:val="0"/>
              <w:spacing w:line="300" w:lineRule="exact"/>
              <w:jc w:val="center"/>
              <w:outlineLvl w:val="9"/>
              <w:rPr>
                <w:rFonts w:hAnsi="宋体"/>
                <w:sz w:val="24"/>
                <w:szCs w:val="24"/>
              </w:rPr>
            </w:pPr>
            <w:r>
              <w:rPr>
                <w:rFonts w:hint="eastAsia" w:hAnsi="宋体"/>
                <w:sz w:val="24"/>
                <w:szCs w:val="24"/>
              </w:rPr>
              <w:t>1）</w:t>
            </w:r>
          </w:p>
        </w:tc>
        <w:tc>
          <w:tcPr>
            <w:tcW w:w="8686" w:type="dxa"/>
            <w:gridSpan w:val="2"/>
            <w:noWrap w:val="0"/>
            <w:vAlign w:val="center"/>
          </w:tcPr>
          <w:p w14:paraId="0086C966">
            <w:pPr>
              <w:keepNext w:val="0"/>
              <w:keepLines w:val="0"/>
              <w:pageBreakBefore w:val="0"/>
              <w:kinsoku/>
              <w:wordWrap/>
              <w:overflowPunct/>
              <w:topLinePunct w:val="0"/>
              <w:bidi w:val="0"/>
              <w:outlineLvl w:val="9"/>
              <w:rPr>
                <w:rFonts w:ascii="Times New Roman" w:hAnsi="Times New Roman" w:eastAsia="宋体" w:cs="Times New Roman"/>
                <w:sz w:val="24"/>
                <w:szCs w:val="24"/>
              </w:rPr>
            </w:pPr>
            <w:r>
              <w:rPr>
                <w:rFonts w:hint="eastAsia" w:ascii="Times New Roman" w:hAnsi="Times New Roman" w:eastAsia="宋体" w:cs="Times New Roman"/>
                <w:sz w:val="24"/>
                <w:szCs w:val="24"/>
              </w:rPr>
              <w:t>政府采购中标人须知：</w:t>
            </w:r>
          </w:p>
          <w:p w14:paraId="29D05F9D">
            <w:pPr>
              <w:keepNext w:val="0"/>
              <w:keepLines w:val="0"/>
              <w:pageBreakBefore w:val="0"/>
              <w:kinsoku/>
              <w:wordWrap/>
              <w:overflowPunct/>
              <w:topLinePunct w:val="0"/>
              <w:bidi w:val="0"/>
              <w:outlineLvl w:val="9"/>
              <w:rPr>
                <w:rFonts w:ascii="宋体" w:hAnsi="宋体" w:eastAsia="宋体" w:cs="Times New Roman"/>
                <w:sz w:val="24"/>
                <w:szCs w:val="24"/>
              </w:rPr>
            </w:pPr>
            <w:r>
              <w:rPr>
                <w:rFonts w:hint="eastAsia" w:ascii="宋体" w:hAnsi="宋体" w:eastAsia="宋体" w:cs="Times New Roman"/>
                <w:sz w:val="24"/>
                <w:szCs w:val="24"/>
              </w:rPr>
              <w:t>中标人在《云南省政府采购网》查询到中标公示后，需办理以下事宜：</w:t>
            </w:r>
          </w:p>
          <w:p w14:paraId="2484C552">
            <w:pPr>
              <w:keepNext w:val="0"/>
              <w:keepLines w:val="0"/>
              <w:pageBreakBefore w:val="0"/>
              <w:kinsoku/>
              <w:wordWrap/>
              <w:overflowPunct/>
              <w:topLinePunct w:val="0"/>
              <w:bidi w:val="0"/>
              <w:outlineLvl w:val="9"/>
              <w:rPr>
                <w:rFonts w:hint="eastAsia" w:ascii="宋体" w:hAnsi="宋体" w:eastAsia="宋体" w:cs="Times New Roman"/>
                <w:sz w:val="24"/>
                <w:szCs w:val="24"/>
              </w:rPr>
            </w:pPr>
            <w:r>
              <w:rPr>
                <w:rFonts w:hint="eastAsia" w:ascii="宋体" w:hAnsi="宋体" w:eastAsia="宋体" w:cs="Times New Roman"/>
                <w:sz w:val="24"/>
                <w:szCs w:val="24"/>
              </w:rPr>
              <w:t>1、缴纳</w:t>
            </w:r>
            <w:r>
              <w:rPr>
                <w:rFonts w:hint="eastAsia" w:ascii="宋体" w:hAnsi="宋体" w:eastAsia="宋体" w:cs="Times New Roman"/>
                <w:sz w:val="24"/>
                <w:szCs w:val="24"/>
                <w:lang w:val="en-US" w:eastAsia="zh-CN"/>
              </w:rPr>
              <w:t>采购</w:t>
            </w:r>
            <w:r>
              <w:rPr>
                <w:rFonts w:hint="eastAsia" w:ascii="宋体" w:hAnsi="宋体" w:eastAsia="宋体" w:cs="Times New Roman"/>
                <w:sz w:val="24"/>
                <w:szCs w:val="24"/>
              </w:rPr>
              <w:t>代理服务费</w:t>
            </w:r>
            <w:r>
              <w:rPr>
                <w:rFonts w:ascii="宋体" w:hAnsi="宋体" w:eastAsia="宋体" w:cs="Times New Roman"/>
                <w:sz w:val="24"/>
                <w:szCs w:val="24"/>
              </w:rPr>
              <w:t>。</w:t>
            </w:r>
          </w:p>
          <w:p w14:paraId="32BA76ED">
            <w:pPr>
              <w:keepNext w:val="0"/>
              <w:keepLines w:val="0"/>
              <w:pageBreakBefore w:val="0"/>
              <w:kinsoku/>
              <w:wordWrap/>
              <w:overflowPunct/>
              <w:topLinePunct w:val="0"/>
              <w:bidi w:val="0"/>
              <w:outlineLvl w:val="9"/>
              <w:rPr>
                <w:rFonts w:ascii="Times New Roman" w:hAnsi="Times New Roman" w:eastAsia="宋体" w:cs="Times New Roman"/>
                <w:b/>
                <w:sz w:val="24"/>
                <w:szCs w:val="24"/>
              </w:rPr>
            </w:pPr>
            <w:r>
              <w:rPr>
                <w:rFonts w:ascii="宋体" w:hAnsi="宋体" w:eastAsia="宋体" w:cs="Times New Roman"/>
                <w:sz w:val="24"/>
                <w:szCs w:val="24"/>
              </w:rPr>
              <w:t>2</w:t>
            </w:r>
            <w:r>
              <w:rPr>
                <w:rFonts w:hint="eastAsia" w:ascii="宋体" w:hAnsi="宋体" w:eastAsia="宋体" w:cs="Times New Roman"/>
                <w:sz w:val="24"/>
                <w:szCs w:val="24"/>
              </w:rPr>
              <w:t>、领取中标通知书，并与采购人联系、洽谈采购合同。</w:t>
            </w:r>
          </w:p>
        </w:tc>
      </w:tr>
      <w:tr w14:paraId="6938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134" w:type="dxa"/>
            <w:noWrap w:val="0"/>
            <w:vAlign w:val="center"/>
          </w:tcPr>
          <w:p w14:paraId="313F95E0">
            <w:pPr>
              <w:pStyle w:val="17"/>
              <w:keepNext w:val="0"/>
              <w:keepLines w:val="0"/>
              <w:pageBreakBefore w:val="0"/>
              <w:kinsoku/>
              <w:wordWrap/>
              <w:overflowPunct/>
              <w:topLinePunct w:val="0"/>
              <w:bidi w:val="0"/>
              <w:spacing w:line="300" w:lineRule="exact"/>
              <w:jc w:val="center"/>
              <w:outlineLvl w:val="9"/>
              <w:rPr>
                <w:rFonts w:hint="eastAsia" w:hAnsi="宋体" w:eastAsia="宋体"/>
                <w:sz w:val="24"/>
                <w:szCs w:val="24"/>
                <w:lang w:val="en-US" w:eastAsia="zh-CN"/>
              </w:rPr>
            </w:pPr>
            <w:r>
              <w:rPr>
                <w:rFonts w:hint="eastAsia" w:hAnsi="宋体"/>
                <w:sz w:val="24"/>
                <w:szCs w:val="24"/>
                <w:lang w:val="en-US" w:eastAsia="zh-CN"/>
              </w:rPr>
              <w:t>2）</w:t>
            </w:r>
          </w:p>
        </w:tc>
        <w:tc>
          <w:tcPr>
            <w:tcW w:w="8686" w:type="dxa"/>
            <w:gridSpan w:val="2"/>
            <w:noWrap w:val="0"/>
            <w:vAlign w:val="center"/>
          </w:tcPr>
          <w:p w14:paraId="1DCDDD86">
            <w:pPr>
              <w:keepNext w:val="0"/>
              <w:keepLines w:val="0"/>
              <w:pageBreakBefore w:val="0"/>
              <w:kinsoku/>
              <w:wordWrap/>
              <w:overflowPunct/>
              <w:topLinePunct w:val="0"/>
              <w:bidi w:val="0"/>
              <w:outlineLvl w:val="9"/>
              <w:rPr>
                <w:rFonts w:hint="eastAsia" w:ascii="宋体" w:hAnsi="宋体" w:eastAsia="宋体" w:cs="Times New Roman"/>
                <w:sz w:val="24"/>
                <w:szCs w:val="24"/>
                <w:highlight w:val="none"/>
              </w:rPr>
            </w:pPr>
            <w:r>
              <w:rPr>
                <w:rFonts w:hint="eastAsia" w:ascii="宋体" w:hAnsi="宋体" w:eastAsia="宋体" w:cs="Times New Roman"/>
                <w:color w:val="auto"/>
                <w:sz w:val="24"/>
                <w:szCs w:val="24"/>
                <w:highlight w:val="none"/>
              </w:rPr>
              <w:t>本次投标不进行总价报价，按单价下浮率进行报价，合同总金额以采购人列出的采购预算金额为准。投标人以所投标包单价下浮率（所有货物统一一个下浮率）进行填报，最终采购人根据中标人自行填报的单价下浮率按单价最高限价×（1-下浮率）计算出最终中标单价，并以最终中标单价乘以实际供货数量进行结算，结算至采购预算金额使用完毕止（或合同约定的1年止），以先达到的条件即为该标段供货及服务期结束条件。</w:t>
            </w:r>
          </w:p>
        </w:tc>
      </w:tr>
      <w:tr w14:paraId="16D08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4" w:type="dxa"/>
            <w:noWrap w:val="0"/>
            <w:vAlign w:val="center"/>
          </w:tcPr>
          <w:p w14:paraId="57596872">
            <w:pPr>
              <w:pStyle w:val="17"/>
              <w:keepNext w:val="0"/>
              <w:keepLines w:val="0"/>
              <w:pageBreakBefore w:val="0"/>
              <w:kinsoku/>
              <w:wordWrap/>
              <w:overflowPunct/>
              <w:topLinePunct w:val="0"/>
              <w:bidi w:val="0"/>
              <w:spacing w:line="300" w:lineRule="exact"/>
              <w:jc w:val="center"/>
              <w:outlineLvl w:val="9"/>
              <w:rPr>
                <w:rFonts w:hint="default" w:hAnsi="宋体"/>
                <w:sz w:val="24"/>
                <w:szCs w:val="24"/>
                <w:lang w:val="en-US" w:eastAsia="zh-CN"/>
              </w:rPr>
            </w:pPr>
            <w:r>
              <w:rPr>
                <w:rFonts w:hint="eastAsia" w:hAnsi="宋体"/>
                <w:sz w:val="24"/>
                <w:szCs w:val="24"/>
                <w:lang w:val="en-US" w:eastAsia="zh-CN"/>
              </w:rPr>
              <w:t>3）</w:t>
            </w:r>
          </w:p>
        </w:tc>
        <w:tc>
          <w:tcPr>
            <w:tcW w:w="8686" w:type="dxa"/>
            <w:gridSpan w:val="2"/>
            <w:noWrap w:val="0"/>
            <w:vAlign w:val="center"/>
          </w:tcPr>
          <w:p w14:paraId="2CBB52DB">
            <w:pPr>
              <w:keepNext w:val="0"/>
              <w:keepLines w:val="0"/>
              <w:pageBreakBefore w:val="0"/>
              <w:kinsoku/>
              <w:wordWrap/>
              <w:overflowPunct/>
              <w:topLinePunct w:val="0"/>
              <w:bidi w:val="0"/>
              <w:outlineLvl w:val="9"/>
              <w:rPr>
                <w:rFonts w:hint="eastAsia" w:ascii="宋体" w:hAnsi="宋体" w:eastAsia="宋体" w:cs="Times New Roman"/>
                <w:sz w:val="24"/>
                <w:szCs w:val="24"/>
              </w:rPr>
            </w:pPr>
            <w:r>
              <w:rPr>
                <w:rFonts w:hint="eastAsia" w:ascii="宋体" w:hAnsi="宋体" w:eastAsia="宋体" w:cs="Times New Roman"/>
                <w:sz w:val="24"/>
                <w:szCs w:val="24"/>
                <w:lang w:val="en-US" w:eastAsia="zh-CN"/>
              </w:rPr>
              <w:t>“单价统一下浮率”按实际下浮率填报（例如：货物基准价格费率为100%，实际货物价格按95%收费，下浮率即为5%）。本项目设定单价最高限价（详见第五章项目需求及服务要求），所列采购数量皆以实际供货数量为准，所有货物在结算时，其单价统一按中标人自行填报的“单价统一下浮率”进行计算，即：最终中标单价=单价最高限价*（1－中标人统一下浮率）。</w:t>
            </w:r>
          </w:p>
        </w:tc>
      </w:tr>
      <w:tr w14:paraId="210B0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jc w:val="center"/>
        </w:trPr>
        <w:tc>
          <w:tcPr>
            <w:tcW w:w="1134" w:type="dxa"/>
            <w:noWrap w:val="0"/>
            <w:vAlign w:val="center"/>
          </w:tcPr>
          <w:p w14:paraId="137BA3B5">
            <w:pPr>
              <w:pStyle w:val="17"/>
              <w:keepNext w:val="0"/>
              <w:keepLines w:val="0"/>
              <w:pageBreakBefore w:val="0"/>
              <w:kinsoku/>
              <w:wordWrap/>
              <w:overflowPunct/>
              <w:topLinePunct w:val="0"/>
              <w:bidi w:val="0"/>
              <w:spacing w:line="300" w:lineRule="exact"/>
              <w:jc w:val="center"/>
              <w:outlineLvl w:val="9"/>
              <w:rPr>
                <w:rFonts w:hint="default" w:hAnsi="宋体"/>
                <w:sz w:val="24"/>
                <w:szCs w:val="24"/>
                <w:lang w:val="en-US" w:eastAsia="zh-CN"/>
              </w:rPr>
            </w:pPr>
            <w:r>
              <w:rPr>
                <w:rFonts w:hint="eastAsia" w:hAnsi="宋体"/>
                <w:sz w:val="24"/>
                <w:szCs w:val="24"/>
                <w:lang w:val="en-US" w:eastAsia="zh-CN"/>
              </w:rPr>
              <w:t>4）</w:t>
            </w:r>
          </w:p>
        </w:tc>
        <w:tc>
          <w:tcPr>
            <w:tcW w:w="8686" w:type="dxa"/>
            <w:gridSpan w:val="2"/>
            <w:noWrap w:val="0"/>
            <w:vAlign w:val="center"/>
          </w:tcPr>
          <w:p w14:paraId="6E9BB93F">
            <w:pPr>
              <w:keepNext w:val="0"/>
              <w:keepLines w:val="0"/>
              <w:pageBreakBefore w:val="0"/>
              <w:kinsoku/>
              <w:wordWrap/>
              <w:overflowPunct/>
              <w:topLinePunct w:val="0"/>
              <w:bidi w:val="0"/>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政府采购政策：</w:t>
            </w:r>
          </w:p>
          <w:p w14:paraId="3B315ED5">
            <w:pPr>
              <w:keepNext w:val="0"/>
              <w:keepLines w:val="0"/>
              <w:pageBreakBefore w:val="0"/>
              <w:kinsoku/>
              <w:wordWrap/>
              <w:overflowPunct/>
              <w:topLinePunct w:val="0"/>
              <w:bidi w:val="0"/>
              <w:outlineLvl w:val="9"/>
              <w:rPr>
                <w:rFonts w:hint="eastAsia" w:ascii="宋体" w:hAnsi="宋体" w:eastAsia="宋体" w:cs="宋体"/>
                <w:sz w:val="24"/>
                <w:szCs w:val="24"/>
                <w:lang w:val="en-US" w:eastAsia="zh-CN"/>
              </w:rPr>
            </w:pPr>
            <w:r>
              <w:rPr>
                <w:rFonts w:hint="eastAsia" w:ascii="宋体" w:hAnsi="宋体" w:eastAsia="宋体" w:cs="宋体"/>
                <w:b/>
                <w:bCs/>
                <w:sz w:val="24"/>
                <w:szCs w:val="24"/>
                <w:highlight w:val="none"/>
              </w:rPr>
              <w:t>小微企业（监狱企业、残疾人福利性单位视同小型或微型企业）应考虑的优先条件和价格折扣：</w:t>
            </w:r>
            <w:r>
              <w:rPr>
                <w:rFonts w:hint="eastAsia" w:ascii="宋体" w:hAnsi="宋体" w:eastAsia="宋体" w:cs="宋体"/>
                <w:sz w:val="24"/>
                <w:szCs w:val="24"/>
                <w:lang w:val="en-US" w:eastAsia="zh-CN"/>
              </w:rPr>
              <w:t>针对小型和微型企业或监狱企业或残疾人福利性单位的报价给予10%的扣除，用扣除后的价格参与评审，残疾人福利性单位属于小型、微型企业的，不重复享受政策。</w:t>
            </w:r>
          </w:p>
          <w:p w14:paraId="1159964A">
            <w:pPr>
              <w:keepNext w:val="0"/>
              <w:keepLines w:val="0"/>
              <w:pageBreakBefore w:val="0"/>
              <w:kinsoku/>
              <w:wordWrap/>
              <w:overflowPunct/>
              <w:topLinePunct w:val="0"/>
              <w:bidi w:val="0"/>
              <w:outlineLvl w:val="9"/>
              <w:rPr>
                <w:rFonts w:hint="eastAsia" w:ascii="宋体" w:hAnsi="宋体" w:eastAsia="宋体" w:cs="Times New Roman"/>
                <w:sz w:val="24"/>
                <w:szCs w:val="24"/>
              </w:rPr>
            </w:pPr>
            <w:r>
              <w:rPr>
                <w:rFonts w:hint="eastAsia" w:ascii="宋体" w:hAnsi="宋体" w:eastAsia="宋体" w:cs="宋体"/>
                <w:sz w:val="24"/>
                <w:szCs w:val="24"/>
                <w:lang w:val="en-US" w:eastAsia="zh-CN"/>
              </w:rPr>
              <w:t>注：本项目标的所属《关于印发中小企业划型标准规定的通知》（工信部联企业〔2011〕300号）中所列“批发业”。</w:t>
            </w:r>
          </w:p>
        </w:tc>
      </w:tr>
      <w:tr w14:paraId="3E5D4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jc w:val="center"/>
        </w:trPr>
        <w:tc>
          <w:tcPr>
            <w:tcW w:w="1134" w:type="dxa"/>
            <w:noWrap w:val="0"/>
            <w:vAlign w:val="center"/>
          </w:tcPr>
          <w:p w14:paraId="38E7C5B1">
            <w:pPr>
              <w:pStyle w:val="17"/>
              <w:keepNext w:val="0"/>
              <w:keepLines w:val="0"/>
              <w:pageBreakBefore w:val="0"/>
              <w:kinsoku/>
              <w:wordWrap/>
              <w:overflowPunct/>
              <w:topLinePunct w:val="0"/>
              <w:bidi w:val="0"/>
              <w:spacing w:line="300" w:lineRule="exact"/>
              <w:jc w:val="center"/>
              <w:outlineLvl w:val="9"/>
              <w:rPr>
                <w:rFonts w:hint="default" w:hAnsi="宋体"/>
                <w:sz w:val="24"/>
                <w:szCs w:val="24"/>
                <w:lang w:val="en-US" w:eastAsia="zh-CN"/>
              </w:rPr>
            </w:pPr>
            <w:r>
              <w:rPr>
                <w:rFonts w:hint="eastAsia" w:hAnsi="宋体"/>
                <w:sz w:val="24"/>
                <w:szCs w:val="24"/>
                <w:lang w:val="en-US" w:eastAsia="zh-CN"/>
              </w:rPr>
              <w:t>5）</w:t>
            </w:r>
          </w:p>
        </w:tc>
        <w:tc>
          <w:tcPr>
            <w:tcW w:w="8686" w:type="dxa"/>
            <w:gridSpan w:val="2"/>
            <w:noWrap w:val="0"/>
            <w:vAlign w:val="center"/>
          </w:tcPr>
          <w:p w14:paraId="3DD4C726">
            <w:pPr>
              <w:keepNext w:val="0"/>
              <w:keepLines w:val="0"/>
              <w:pageBreakBefore w:val="0"/>
              <w:kinsoku/>
              <w:wordWrap/>
              <w:overflowPunct/>
              <w:topLinePunct w:val="0"/>
              <w:bidi w:val="0"/>
              <w:outlineLvl w:val="9"/>
              <w:rPr>
                <w:rFonts w:hint="eastAsia" w:ascii="宋体" w:hAnsi="宋体" w:eastAsia="宋体" w:cs="Times New Roman"/>
                <w:b/>
                <w:bCs/>
                <w:sz w:val="24"/>
                <w:szCs w:val="24"/>
                <w:highlight w:val="none"/>
                <w:lang w:val="en-US" w:eastAsia="zh-CN"/>
              </w:rPr>
            </w:pPr>
            <w:bookmarkStart w:id="52" w:name="OLE_LINK19"/>
            <w:r>
              <w:rPr>
                <w:rFonts w:hint="eastAsia" w:ascii="宋体" w:hAnsi="宋体" w:eastAsia="宋体" w:cs="Times New Roman"/>
                <w:b/>
                <w:bCs/>
                <w:sz w:val="24"/>
                <w:szCs w:val="24"/>
                <w:highlight w:val="none"/>
              </w:rPr>
              <w:t>核心产品：</w:t>
            </w:r>
            <w:r>
              <w:rPr>
                <w:rFonts w:hint="eastAsia" w:ascii="宋体" w:hAnsi="宋体" w:eastAsia="宋体" w:cs="Times New Roman"/>
                <w:b/>
                <w:bCs/>
                <w:sz w:val="24"/>
                <w:szCs w:val="24"/>
                <w:highlight w:val="none"/>
                <w:lang w:val="en-US" w:eastAsia="zh-CN"/>
              </w:rPr>
              <w:t>包2(鸡肉类、冻品（鱼虾）类)：冻巴沙鱼片。</w:t>
            </w:r>
          </w:p>
          <w:p w14:paraId="1D37ADB8">
            <w:pPr>
              <w:keepNext w:val="0"/>
              <w:keepLines w:val="0"/>
              <w:pageBreakBefore w:val="0"/>
              <w:kinsoku/>
              <w:wordWrap/>
              <w:overflowPunct/>
              <w:topLinePunct w:val="0"/>
              <w:bidi w:val="0"/>
              <w:ind w:firstLine="480" w:firstLineChars="200"/>
              <w:outlineLvl w:val="9"/>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同品牌产品的处理：</w:t>
            </w:r>
            <w:bookmarkEnd w:id="52"/>
            <w:r>
              <w:rPr>
                <w:rFonts w:hint="eastAsia" w:ascii="宋体" w:hAnsi="宋体" w:eastAsia="宋体" w:cs="Times New Roman"/>
                <w:sz w:val="24"/>
                <w:szCs w:val="24"/>
                <w:highlight w:val="none"/>
              </w:rPr>
              <w:t>提供相同品牌产品（核心产品品牌相同）且通过资格审查、符合性审查的不同</w:t>
            </w:r>
            <w:r>
              <w:rPr>
                <w:rFonts w:hint="eastAsia" w:ascii="宋体" w:hAnsi="宋体" w:eastAsia="宋体" w:cs="Times New Roman"/>
                <w:sz w:val="24"/>
                <w:szCs w:val="24"/>
                <w:highlight w:val="none"/>
                <w:lang w:val="en-US" w:eastAsia="zh-CN"/>
              </w:rPr>
              <w:t>投标人</w:t>
            </w:r>
            <w:r>
              <w:rPr>
                <w:rFonts w:hint="eastAsia" w:ascii="宋体" w:hAnsi="宋体" w:eastAsia="宋体" w:cs="Times New Roman"/>
                <w:sz w:val="24"/>
                <w:szCs w:val="24"/>
                <w:highlight w:val="none"/>
              </w:rPr>
              <w:t>参加同一合同项下投标的，按一家</w:t>
            </w:r>
            <w:r>
              <w:rPr>
                <w:rFonts w:hint="eastAsia" w:ascii="宋体" w:hAnsi="宋体" w:eastAsia="宋体" w:cs="Times New Roman"/>
                <w:sz w:val="24"/>
                <w:szCs w:val="24"/>
                <w:highlight w:val="none"/>
                <w:lang w:val="en-US" w:eastAsia="zh-CN"/>
              </w:rPr>
              <w:t>投标人</w:t>
            </w:r>
            <w:r>
              <w:rPr>
                <w:rFonts w:hint="eastAsia" w:ascii="宋体" w:hAnsi="宋体" w:eastAsia="宋体" w:cs="Times New Roman"/>
                <w:sz w:val="24"/>
                <w:szCs w:val="24"/>
                <w:highlight w:val="none"/>
              </w:rPr>
              <w:t>计算，评审后得分最高的同品牌</w:t>
            </w:r>
            <w:r>
              <w:rPr>
                <w:rFonts w:hint="eastAsia" w:ascii="宋体" w:hAnsi="宋体" w:eastAsia="宋体" w:cs="Times New Roman"/>
                <w:sz w:val="24"/>
                <w:szCs w:val="24"/>
                <w:highlight w:val="none"/>
                <w:lang w:val="en-US" w:eastAsia="zh-CN"/>
              </w:rPr>
              <w:t>投标人</w:t>
            </w:r>
            <w:r>
              <w:rPr>
                <w:rFonts w:hint="eastAsia" w:ascii="宋体" w:hAnsi="宋体" w:eastAsia="宋体" w:cs="Times New Roman"/>
                <w:sz w:val="24"/>
                <w:szCs w:val="24"/>
                <w:highlight w:val="none"/>
              </w:rPr>
              <w:t>获得中标人推荐资格；评审得分相同的，由采购人或者采购人委托评标委员会按照招标文件规定的方式确定一个</w:t>
            </w:r>
            <w:r>
              <w:rPr>
                <w:rFonts w:hint="eastAsia" w:ascii="宋体" w:hAnsi="宋体" w:eastAsia="宋体" w:cs="Times New Roman"/>
                <w:sz w:val="24"/>
                <w:szCs w:val="24"/>
                <w:highlight w:val="none"/>
                <w:lang w:val="en-US" w:eastAsia="zh-CN"/>
              </w:rPr>
              <w:t>投标人</w:t>
            </w:r>
            <w:r>
              <w:rPr>
                <w:rFonts w:hint="eastAsia" w:ascii="宋体" w:hAnsi="宋体" w:eastAsia="宋体" w:cs="Times New Roman"/>
                <w:sz w:val="24"/>
                <w:szCs w:val="24"/>
                <w:highlight w:val="none"/>
              </w:rPr>
              <w:t>获得中标人推荐资格，招标文件未规定的采取随机抽取方式确定，其他同品牌</w:t>
            </w:r>
            <w:r>
              <w:rPr>
                <w:rFonts w:hint="eastAsia" w:ascii="宋体" w:hAnsi="宋体" w:eastAsia="宋体" w:cs="Times New Roman"/>
                <w:sz w:val="24"/>
                <w:szCs w:val="24"/>
                <w:highlight w:val="none"/>
                <w:lang w:val="en-US" w:eastAsia="zh-CN"/>
              </w:rPr>
              <w:t>投标人</w:t>
            </w:r>
            <w:r>
              <w:rPr>
                <w:rFonts w:hint="eastAsia" w:ascii="宋体" w:hAnsi="宋体" w:eastAsia="宋体" w:cs="Times New Roman"/>
                <w:sz w:val="24"/>
                <w:szCs w:val="24"/>
                <w:highlight w:val="none"/>
              </w:rPr>
              <w:t>不作为中标候选人。</w:t>
            </w:r>
          </w:p>
          <w:p w14:paraId="582E9A3B">
            <w:pPr>
              <w:pStyle w:val="31"/>
              <w:ind w:left="0" w:leftChars="0" w:firstLine="482" w:firstLineChars="200"/>
              <w:rPr>
                <w:rFonts w:hint="eastAsia"/>
                <w:lang w:val="en-US" w:eastAsia="zh-CN"/>
              </w:rPr>
            </w:pPr>
            <w:r>
              <w:rPr>
                <w:rFonts w:hint="eastAsia" w:ascii="宋体" w:hAnsi="宋体" w:eastAsia="宋体" w:cs="Times New Roman"/>
                <w:b/>
                <w:bCs/>
                <w:kern w:val="2"/>
                <w:sz w:val="24"/>
                <w:szCs w:val="24"/>
                <w:highlight w:val="none"/>
                <w:lang w:val="en-US" w:eastAsia="zh-CN" w:bidi="ar-SA"/>
              </w:rPr>
              <w:t>注：</w:t>
            </w:r>
            <w:r>
              <w:rPr>
                <w:rFonts w:hint="eastAsia" w:ascii="宋体" w:hAnsi="宋体" w:eastAsia="宋体" w:cs="Times New Roman"/>
                <w:kern w:val="2"/>
                <w:sz w:val="24"/>
                <w:szCs w:val="24"/>
                <w:highlight w:val="none"/>
                <w:lang w:val="en-US" w:eastAsia="zh-CN" w:bidi="ar-SA"/>
              </w:rPr>
              <w:t>包1(猪肉类)采购内容为净瘦肉、带皮三线肉、排骨、猪脚、肥肉、板油，全部属于生鲜分割猪肉，均为同一品类（猪肉）的不同分割部位，因此包1(猪肉类)不设置核心产品。</w:t>
            </w:r>
          </w:p>
        </w:tc>
      </w:tr>
      <w:tr w14:paraId="50C11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6" w:hRule="atLeast"/>
          <w:jc w:val="center"/>
        </w:trPr>
        <w:tc>
          <w:tcPr>
            <w:tcW w:w="1134" w:type="dxa"/>
            <w:noWrap w:val="0"/>
            <w:vAlign w:val="center"/>
          </w:tcPr>
          <w:p w14:paraId="4BD5A3DF">
            <w:pPr>
              <w:pStyle w:val="17"/>
              <w:keepNext w:val="0"/>
              <w:keepLines w:val="0"/>
              <w:pageBreakBefore w:val="0"/>
              <w:kinsoku/>
              <w:wordWrap/>
              <w:overflowPunct/>
              <w:topLinePunct w:val="0"/>
              <w:bidi w:val="0"/>
              <w:spacing w:line="300" w:lineRule="exact"/>
              <w:jc w:val="center"/>
              <w:outlineLvl w:val="9"/>
              <w:rPr>
                <w:rFonts w:hint="default" w:hAnsi="宋体"/>
                <w:sz w:val="24"/>
                <w:szCs w:val="24"/>
                <w:lang w:val="en-US" w:eastAsia="zh-CN"/>
              </w:rPr>
            </w:pPr>
            <w:r>
              <w:rPr>
                <w:rFonts w:hint="eastAsia" w:hAnsi="宋体"/>
                <w:sz w:val="24"/>
                <w:szCs w:val="24"/>
                <w:lang w:val="en-US" w:eastAsia="zh-CN"/>
              </w:rPr>
              <w:t>6）</w:t>
            </w:r>
          </w:p>
        </w:tc>
        <w:tc>
          <w:tcPr>
            <w:tcW w:w="8686" w:type="dxa"/>
            <w:gridSpan w:val="2"/>
            <w:noWrap w:val="0"/>
            <w:vAlign w:val="center"/>
          </w:tcPr>
          <w:p w14:paraId="0BD83794">
            <w:pPr>
              <w:pStyle w:val="31"/>
              <w:numPr>
                <w:ilvl w:val="0"/>
                <w:numId w:val="0"/>
              </w:numPr>
              <w:spacing w:line="240" w:lineRule="auto"/>
              <w:rPr>
                <w:rFonts w:hint="eastAsia" w:ascii="宋体" w:hAnsi="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中标后，</w:t>
            </w:r>
            <w:r>
              <w:rPr>
                <w:rFonts w:hint="eastAsia" w:ascii="宋体" w:hAnsi="宋体" w:eastAsia="宋体" w:cs="宋体"/>
                <w:b/>
                <w:bCs/>
                <w:color w:val="auto"/>
                <w:kern w:val="2"/>
                <w:sz w:val="24"/>
                <w:szCs w:val="24"/>
                <w:highlight w:val="none"/>
                <w:lang w:val="en-US" w:eastAsia="zh-CN" w:bidi="ar-SA"/>
              </w:rPr>
              <w:t>拟供物资与投标文件一致性核验要求</w:t>
            </w:r>
          </w:p>
          <w:p w14:paraId="57185756">
            <w:pPr>
              <w:pStyle w:val="31"/>
              <w:numPr>
                <w:ilvl w:val="0"/>
                <w:numId w:val="0"/>
              </w:numPr>
              <w:spacing w:line="240" w:lineRule="auto"/>
              <w:ind w:left="0" w:leftChars="0" w:firstLine="420" w:firstLineChars="175"/>
              <w:rPr>
                <w:rFonts w:hint="eastAsia" w:ascii="宋体" w:hAnsi="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合同签订前，中标人须将拟供应货物(与投标文件承诺一致的货物)带至采购人处进行“拟供物资与投标文件一致性核验”，</w:t>
            </w:r>
            <w:r>
              <w:rPr>
                <w:rFonts w:hint="eastAsia" w:ascii="宋体" w:hAnsi="宋体" w:cs="宋体"/>
                <w:b w:val="0"/>
                <w:bCs w:val="0"/>
                <w:color w:val="auto"/>
                <w:kern w:val="2"/>
                <w:sz w:val="24"/>
                <w:szCs w:val="24"/>
                <w:highlight w:val="none"/>
                <w:lang w:val="en-US" w:eastAsia="zh-CN" w:bidi="ar-SA"/>
              </w:rPr>
              <w:t>核验物资为上述清单中每标段每一项货物。</w:t>
            </w:r>
          </w:p>
          <w:p w14:paraId="71B1A7B3">
            <w:pPr>
              <w:pStyle w:val="31"/>
              <w:numPr>
                <w:ilvl w:val="0"/>
                <w:numId w:val="0"/>
              </w:numPr>
              <w:spacing w:line="24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包1(猪肉类):净瘦肉、带皮三线肉、排骨、猪脚、肥肉、板油各提供1kg；</w:t>
            </w:r>
          </w:p>
          <w:p w14:paraId="0A538032">
            <w:pPr>
              <w:numPr>
                <w:ilvl w:val="0"/>
                <w:numId w:val="0"/>
              </w:numPr>
              <w:spacing w:line="240" w:lineRule="auto"/>
              <w:ind w:firstLine="480" w:firstLineChars="200"/>
              <w:rPr>
                <w:rFonts w:hint="eastAsia" w:ascii="Times New Roman" w:hAnsi="Times New Roman" w:eastAsia="宋体" w:cs="Times New Roman"/>
                <w:b w:val="0"/>
                <w:bCs w:val="0"/>
                <w:color w:val="auto"/>
                <w:lang w:val="en-US" w:eastAsia="zh-CN"/>
              </w:rPr>
            </w:pPr>
            <w:r>
              <w:rPr>
                <w:rFonts w:hint="eastAsia" w:ascii="宋体" w:hAnsi="宋体" w:eastAsia="宋体" w:cs="宋体"/>
                <w:b w:val="0"/>
                <w:bCs w:val="0"/>
                <w:color w:val="auto"/>
                <w:kern w:val="2"/>
                <w:sz w:val="24"/>
                <w:szCs w:val="24"/>
                <w:highlight w:val="none"/>
                <w:lang w:val="en-US" w:eastAsia="zh-CN" w:bidi="ar-SA"/>
              </w:rPr>
              <w:t>包2(鸡肉类、冻品（鱼虾）类):鸡肉、冻虾丸、冻虾仁、冰冻虾（整只）</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color w:val="auto"/>
                <w:kern w:val="2"/>
                <w:sz w:val="24"/>
                <w:szCs w:val="24"/>
                <w:highlight w:val="none"/>
                <w:lang w:val="en-US" w:eastAsia="zh-CN" w:bidi="ar-SA"/>
              </w:rPr>
              <w:t>冻巴沙鱼片各提供1 kg样品，有原厂包装的按实际包装提供。</w:t>
            </w:r>
          </w:p>
          <w:p w14:paraId="449BE9A3">
            <w:pPr>
              <w:pStyle w:val="31"/>
              <w:numPr>
                <w:ilvl w:val="0"/>
                <w:numId w:val="0"/>
              </w:numPr>
              <w:spacing w:line="240" w:lineRule="auto"/>
              <w:ind w:left="0" w:leftChars="0" w:firstLine="420" w:firstLineChars="17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核验合格后双方签订合同，如不一致的视为中标人虚假响应，采购人将依据《中华人民共和国政府采购法》、《中华人民共和国政府采购法实施条例》等相关法律法规执行。</w:t>
            </w:r>
          </w:p>
          <w:p w14:paraId="6941E464">
            <w:pPr>
              <w:pStyle w:val="31"/>
              <w:numPr>
                <w:ilvl w:val="0"/>
                <w:numId w:val="0"/>
              </w:numPr>
              <w:spacing w:line="240" w:lineRule="auto"/>
              <w:ind w:left="0" w:leftChars="0" w:firstLine="420" w:firstLineChars="175"/>
              <w:rPr>
                <w:rFonts w:hint="eastAsia" w:ascii="宋体" w:hAnsi="宋体" w:eastAsia="宋体" w:cs="Times New Roman"/>
                <w:b/>
                <w:bCs/>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核验货物要求:每种货物须单独密封，正中位置粘贴加盖有清晰供应商公章的标识（标注名称、制造商/生产企业名称(如有)、品牌(如有)等常规标识）。确定中标人后，中标人提供核验的货物作为验收依据，中标人不能提供投标文件承诺和封存样品图片标准的，必须与采购人协商并依法依规处置。</w:t>
            </w:r>
          </w:p>
        </w:tc>
      </w:tr>
    </w:tbl>
    <w:p w14:paraId="4B7E18E9">
      <w:pPr>
        <w:tabs>
          <w:tab w:val="left" w:pos="1021"/>
        </w:tabs>
        <w:ind w:left="425" w:firstLine="0"/>
        <w:jc w:val="center"/>
        <w:outlineLvl w:val="9"/>
        <w:rPr>
          <w:rFonts w:ascii="宋体" w:hAnsi="宋体" w:eastAsia="宋体"/>
          <w:b/>
          <w:kern w:val="44"/>
          <w:sz w:val="36"/>
        </w:rPr>
      </w:pPr>
      <w:r>
        <w:rPr>
          <w:rFonts w:ascii="宋体" w:hAnsi="宋体" w:eastAsia="宋体"/>
        </w:rPr>
        <w:br w:type="page"/>
      </w:r>
      <w:bookmarkStart w:id="53" w:name="_Toc70446104"/>
      <w:r>
        <w:rPr>
          <w:rFonts w:hint="eastAsia" w:ascii="宋体" w:hAnsi="宋体" w:eastAsia="宋体"/>
          <w:sz w:val="36"/>
          <w:szCs w:val="36"/>
        </w:rPr>
        <w:t>一</w:t>
      </w:r>
      <w:r>
        <w:rPr>
          <w:rFonts w:hint="eastAsia" w:ascii="宋体" w:hAnsi="宋体" w:eastAsia="宋体"/>
          <w:b/>
          <w:kern w:val="44"/>
          <w:sz w:val="36"/>
          <w:szCs w:val="36"/>
        </w:rPr>
        <w:t>、总  则</w:t>
      </w:r>
      <w:bookmarkEnd w:id="53"/>
    </w:p>
    <w:p w14:paraId="1914B792">
      <w:pPr>
        <w:pStyle w:val="17"/>
        <w:spacing w:line="360" w:lineRule="auto"/>
        <w:jc w:val="left"/>
        <w:outlineLvl w:val="9"/>
        <w:rPr>
          <w:rFonts w:hAnsi="宋体"/>
          <w:sz w:val="24"/>
          <w:szCs w:val="24"/>
        </w:rPr>
      </w:pPr>
      <w:r>
        <w:rPr>
          <w:rFonts w:hint="eastAsia" w:hAnsi="宋体"/>
          <w:bCs/>
          <w:sz w:val="24"/>
          <w:szCs w:val="24"/>
        </w:rPr>
        <w:t>1. 采购人、采购代理机构、</w:t>
      </w:r>
      <w:r>
        <w:rPr>
          <w:rFonts w:hint="eastAsia" w:hAnsi="宋体"/>
          <w:sz w:val="24"/>
          <w:szCs w:val="24"/>
        </w:rPr>
        <w:t>项目名称及</w:t>
      </w:r>
      <w:r>
        <w:rPr>
          <w:rFonts w:hint="eastAsia" w:hAnsi="宋体"/>
          <w:sz w:val="24"/>
          <w:szCs w:val="24"/>
          <w:lang w:val="en-US" w:eastAsia="zh-CN"/>
        </w:rPr>
        <w:t>项目</w:t>
      </w:r>
      <w:r>
        <w:rPr>
          <w:rFonts w:hint="eastAsia" w:hAnsi="宋体"/>
          <w:sz w:val="24"/>
          <w:szCs w:val="24"/>
        </w:rPr>
        <w:t>编号，详见招标文件“</w:t>
      </w:r>
      <w:r>
        <w:rPr>
          <w:rFonts w:hint="eastAsia" w:hAnsi="宋体"/>
          <w:b/>
          <w:sz w:val="24"/>
          <w:szCs w:val="24"/>
        </w:rPr>
        <w:t>投标人须知前附表</w:t>
      </w:r>
      <w:r>
        <w:rPr>
          <w:rFonts w:hint="eastAsia" w:hAnsi="宋体"/>
          <w:sz w:val="24"/>
          <w:szCs w:val="24"/>
        </w:rPr>
        <w:t>”。</w:t>
      </w:r>
    </w:p>
    <w:p w14:paraId="02BA3192">
      <w:pPr>
        <w:spacing w:line="360" w:lineRule="auto"/>
        <w:jc w:val="left"/>
        <w:outlineLvl w:val="9"/>
        <w:rPr>
          <w:rFonts w:ascii="宋体" w:hAnsi="宋体"/>
          <w:b/>
          <w:sz w:val="24"/>
        </w:rPr>
      </w:pPr>
      <w:r>
        <w:rPr>
          <w:rFonts w:hint="eastAsia" w:ascii="宋体" w:hAnsi="宋体"/>
          <w:b/>
          <w:sz w:val="24"/>
        </w:rPr>
        <w:t>2. 资金来源</w:t>
      </w:r>
    </w:p>
    <w:p w14:paraId="168E8884">
      <w:pPr>
        <w:spacing w:line="360" w:lineRule="auto"/>
        <w:jc w:val="left"/>
        <w:outlineLvl w:val="9"/>
        <w:rPr>
          <w:rFonts w:ascii="宋体" w:hAnsi="宋体"/>
          <w:sz w:val="24"/>
          <w:highlight w:val="none"/>
        </w:rPr>
      </w:pPr>
      <w:r>
        <w:rPr>
          <w:rFonts w:hint="eastAsia" w:ascii="宋体" w:hAnsi="宋体"/>
          <w:sz w:val="24"/>
          <w:highlight w:val="none"/>
        </w:rPr>
        <w:t>2.1财政</w:t>
      </w:r>
      <w:r>
        <w:rPr>
          <w:rFonts w:hint="eastAsia" w:ascii="宋体" w:hAnsi="宋体"/>
          <w:sz w:val="24"/>
          <w:highlight w:val="none"/>
          <w:lang w:val="en-US" w:eastAsia="zh-CN"/>
        </w:rPr>
        <w:t>资金</w:t>
      </w:r>
      <w:r>
        <w:rPr>
          <w:rFonts w:hint="eastAsia" w:ascii="宋体" w:hAnsi="宋体"/>
          <w:sz w:val="24"/>
          <w:highlight w:val="none"/>
        </w:rPr>
        <w:t>。</w:t>
      </w:r>
    </w:p>
    <w:p w14:paraId="59D59596">
      <w:pPr>
        <w:spacing w:line="360" w:lineRule="auto"/>
        <w:jc w:val="left"/>
        <w:outlineLvl w:val="9"/>
        <w:rPr>
          <w:rFonts w:ascii="宋体" w:hAnsi="宋体"/>
          <w:b/>
          <w:sz w:val="24"/>
        </w:rPr>
      </w:pPr>
      <w:r>
        <w:rPr>
          <w:rFonts w:hint="eastAsia" w:ascii="宋体" w:hAnsi="宋体"/>
          <w:b/>
          <w:sz w:val="24"/>
        </w:rPr>
        <w:t>3. 招标范围</w:t>
      </w:r>
    </w:p>
    <w:p w14:paraId="79AD267C">
      <w:pPr>
        <w:spacing w:line="360" w:lineRule="auto"/>
        <w:jc w:val="left"/>
        <w:outlineLvl w:val="9"/>
        <w:rPr>
          <w:rFonts w:ascii="宋体" w:hAnsi="宋体"/>
          <w:sz w:val="24"/>
        </w:rPr>
      </w:pPr>
      <w:r>
        <w:rPr>
          <w:rFonts w:hint="eastAsia" w:ascii="宋体" w:hAnsi="宋体"/>
          <w:sz w:val="24"/>
        </w:rPr>
        <w:t>3.1 本项目招标范围：见“</w:t>
      </w:r>
      <w:r>
        <w:rPr>
          <w:rFonts w:hint="eastAsia" w:ascii="宋体" w:hAnsi="宋体"/>
          <w:b/>
          <w:sz w:val="24"/>
        </w:rPr>
        <w:t>投标人须知前附表</w:t>
      </w:r>
      <w:r>
        <w:rPr>
          <w:rFonts w:hint="eastAsia" w:ascii="宋体" w:hAnsi="宋体"/>
          <w:sz w:val="24"/>
        </w:rPr>
        <w:t>”。</w:t>
      </w:r>
    </w:p>
    <w:p w14:paraId="4D91BEA5">
      <w:pPr>
        <w:spacing w:line="360" w:lineRule="auto"/>
        <w:jc w:val="left"/>
        <w:outlineLvl w:val="9"/>
        <w:rPr>
          <w:rFonts w:ascii="宋体" w:hAnsi="宋体"/>
          <w:sz w:val="24"/>
        </w:rPr>
      </w:pPr>
      <w:r>
        <w:rPr>
          <w:rFonts w:hint="eastAsia" w:ascii="宋体" w:hAnsi="宋体"/>
          <w:sz w:val="24"/>
        </w:rPr>
        <w:t>3.2 本项目合同履行期限：见“</w:t>
      </w:r>
      <w:r>
        <w:rPr>
          <w:rFonts w:hint="eastAsia" w:ascii="宋体" w:hAnsi="宋体"/>
          <w:b/>
          <w:sz w:val="24"/>
        </w:rPr>
        <w:t>投标人须知前附表</w:t>
      </w:r>
      <w:r>
        <w:rPr>
          <w:rFonts w:hint="eastAsia" w:ascii="宋体" w:hAnsi="宋体"/>
          <w:sz w:val="24"/>
        </w:rPr>
        <w:t>”。</w:t>
      </w:r>
    </w:p>
    <w:p w14:paraId="261534F2">
      <w:pPr>
        <w:spacing w:line="360" w:lineRule="auto"/>
        <w:jc w:val="left"/>
        <w:outlineLvl w:val="9"/>
        <w:rPr>
          <w:rFonts w:ascii="宋体" w:hAnsi="宋体"/>
          <w:b/>
          <w:sz w:val="24"/>
        </w:rPr>
      </w:pPr>
      <w:r>
        <w:rPr>
          <w:rFonts w:hint="eastAsia" w:ascii="宋体" w:hAnsi="宋体"/>
          <w:b/>
          <w:sz w:val="24"/>
        </w:rPr>
        <w:t>4. 合格的投标人</w:t>
      </w:r>
    </w:p>
    <w:p w14:paraId="170A9BE8">
      <w:pPr>
        <w:spacing w:line="360" w:lineRule="auto"/>
        <w:outlineLvl w:val="9"/>
        <w:rPr>
          <w:rFonts w:ascii="宋体" w:hAnsi="宋体"/>
          <w:sz w:val="24"/>
        </w:rPr>
      </w:pPr>
      <w:r>
        <w:rPr>
          <w:rFonts w:hint="eastAsia" w:ascii="宋体" w:hAnsi="宋体"/>
          <w:sz w:val="24"/>
          <w:lang w:val="en-US" w:eastAsia="zh-CN"/>
        </w:rPr>
        <w:t>4.</w:t>
      </w:r>
      <w:r>
        <w:rPr>
          <w:rFonts w:hint="eastAsia" w:ascii="宋体" w:hAnsi="宋体"/>
          <w:sz w:val="24"/>
        </w:rPr>
        <w:t>1满足《中华人民共和国政府采购法》第二十二条规定；</w:t>
      </w:r>
    </w:p>
    <w:p w14:paraId="00F52413">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1.1具有独立承担民事责任的能力：投标人为法人、其他组织或者自然人（提供有效的营业执照或事业单位法人证书或民办非企业登记证书或执业许可证或社会团体登记证或自然人身份</w:t>
      </w:r>
      <w:r>
        <w:rPr>
          <w:rFonts w:hint="eastAsia" w:ascii="宋体" w:hAnsi="宋体" w:cs="宋体"/>
          <w:kern w:val="0"/>
          <w:sz w:val="24"/>
          <w:szCs w:val="24"/>
        </w:rPr>
        <w:t>证明）</w:t>
      </w:r>
      <w:r>
        <w:rPr>
          <w:rFonts w:hint="eastAsia" w:ascii="宋体" w:hAnsi="宋体" w:eastAsia="宋体" w:cs="宋体"/>
          <w:color w:val="auto"/>
          <w:kern w:val="0"/>
          <w:sz w:val="24"/>
          <w:szCs w:val="24"/>
        </w:rPr>
        <w:t>。</w:t>
      </w:r>
    </w:p>
    <w:p w14:paraId="22E200A6">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1.2具有良好的商业信誉和健全的财务会计制度：</w:t>
      </w:r>
      <w:r>
        <w:rPr>
          <w:rFonts w:hint="eastAsia" w:ascii="宋体" w:hAnsi="宋体" w:cs="宋体"/>
          <w:color w:val="auto"/>
          <w:kern w:val="2"/>
          <w:sz w:val="24"/>
          <w:szCs w:val="24"/>
          <w:highlight w:val="none"/>
          <w:lang w:bidi="ar"/>
        </w:rPr>
        <w:t>投标人须提供财务状况报告，内容可为以下</w:t>
      </w:r>
      <w:r>
        <w:rPr>
          <w:rFonts w:hint="eastAsia" w:ascii="宋体" w:hAnsi="宋体" w:cs="宋体"/>
          <w:color w:val="auto"/>
          <w:kern w:val="2"/>
          <w:sz w:val="24"/>
          <w:szCs w:val="24"/>
          <w:highlight w:val="none"/>
          <w:lang w:val="en-US" w:eastAsia="zh-CN" w:bidi="ar"/>
        </w:rPr>
        <w:t>三</w:t>
      </w:r>
      <w:r>
        <w:rPr>
          <w:rFonts w:hint="eastAsia" w:ascii="宋体" w:hAnsi="宋体" w:cs="宋体"/>
          <w:color w:val="auto"/>
          <w:kern w:val="2"/>
          <w:sz w:val="24"/>
          <w:szCs w:val="24"/>
          <w:highlight w:val="none"/>
          <w:lang w:bidi="ar"/>
        </w:rPr>
        <w:t>者之一</w:t>
      </w:r>
      <w:r>
        <w:rPr>
          <w:rFonts w:hint="eastAsia" w:ascii="宋体" w:hAnsi="宋体" w:cs="宋体"/>
          <w:color w:val="auto"/>
          <w:kern w:val="2"/>
          <w:sz w:val="24"/>
          <w:szCs w:val="24"/>
          <w:highlight w:val="none"/>
          <w:lang w:eastAsia="zh-CN" w:bidi="ar"/>
        </w:rPr>
        <w:t>：</w:t>
      </w:r>
    </w:p>
    <w:p w14:paraId="1BE5C661">
      <w:pPr>
        <w:keepNext w:val="0"/>
        <w:keepLines w:val="0"/>
        <w:pageBreakBefore w:val="0"/>
        <w:kinsoku/>
        <w:overflowPunct/>
        <w:topLinePunct w:val="0"/>
        <w:autoSpaceDE/>
        <w:autoSpaceDN/>
        <w:bidi w:val="0"/>
        <w:spacing w:line="500" w:lineRule="exact"/>
        <w:ind w:firstLine="480" w:firstLineChars="200"/>
        <w:textAlignment w:val="auto"/>
        <w:outlineLvl w:val="9"/>
        <w:rPr>
          <w:rFonts w:hint="eastAsia" w:ascii="宋体" w:hAnsi="宋体" w:eastAsia="宋体" w:cs="宋体"/>
          <w:color w:val="auto"/>
          <w:kern w:val="0"/>
          <w:sz w:val="24"/>
          <w:szCs w:val="24"/>
          <w:lang w:eastAsia="zh-CN"/>
        </w:rPr>
      </w:pPr>
      <w:r>
        <w:rPr>
          <w:rFonts w:hint="default" w:ascii="宋体" w:hAnsi="宋体" w:eastAsia="宋体" w:cs="宋体"/>
          <w:color w:val="auto"/>
          <w:kern w:val="0"/>
          <w:sz w:val="24"/>
          <w:szCs w:val="24"/>
        </w:rPr>
        <w:t>①</w:t>
      </w:r>
      <w:r>
        <w:rPr>
          <w:rFonts w:hint="eastAsia" w:ascii="宋体" w:hAnsi="宋体" w:eastAsia="宋体" w:cs="宋体"/>
          <w:color w:val="auto"/>
          <w:kern w:val="0"/>
          <w:sz w:val="24"/>
          <w:szCs w:val="24"/>
        </w:rPr>
        <w:t>提供</w:t>
      </w:r>
      <w:r>
        <w:rPr>
          <w:rFonts w:hint="eastAsia" w:ascii="宋体" w:hAnsi="宋体" w:eastAsia="宋体" w:cs="宋体"/>
          <w:color w:val="auto"/>
          <w:kern w:val="0"/>
          <w:sz w:val="24"/>
          <w:szCs w:val="24"/>
          <w:lang w:val="en-US" w:eastAsia="zh-CN"/>
        </w:rPr>
        <w:t>2022年至2024年</w:t>
      </w:r>
      <w:r>
        <w:rPr>
          <w:rFonts w:hint="eastAsia" w:ascii="宋体" w:hAnsi="宋体" w:eastAsia="宋体" w:cs="宋体"/>
          <w:b/>
          <w:bCs/>
          <w:color w:val="auto"/>
          <w:kern w:val="0"/>
          <w:sz w:val="24"/>
          <w:szCs w:val="24"/>
          <w:lang w:val="en-US" w:eastAsia="zh-CN"/>
        </w:rPr>
        <w:t>或</w:t>
      </w:r>
      <w:r>
        <w:rPr>
          <w:rFonts w:hint="eastAsia" w:ascii="宋体" w:hAnsi="宋体" w:eastAsia="宋体" w:cs="宋体"/>
          <w:color w:val="auto"/>
          <w:kern w:val="0"/>
          <w:sz w:val="24"/>
          <w:szCs w:val="24"/>
          <w:lang w:val="en-US" w:eastAsia="zh-CN"/>
        </w:rPr>
        <w:t>2023至2025年连续三年度</w:t>
      </w:r>
      <w:r>
        <w:rPr>
          <w:rFonts w:hint="eastAsia" w:ascii="宋体" w:hAnsi="宋体" w:eastAsia="宋体" w:cs="宋体"/>
          <w:color w:val="auto"/>
          <w:kern w:val="0"/>
          <w:sz w:val="24"/>
          <w:szCs w:val="24"/>
        </w:rPr>
        <w:t>经审计的</w:t>
      </w:r>
      <w:r>
        <w:rPr>
          <w:rFonts w:hint="eastAsia" w:ascii="宋体" w:hAnsi="宋体" w:eastAsia="宋体" w:cs="宋体"/>
          <w:color w:val="auto"/>
          <w:kern w:val="0"/>
          <w:sz w:val="24"/>
          <w:szCs w:val="24"/>
          <w:lang w:val="en-US" w:eastAsia="zh-CN"/>
        </w:rPr>
        <w:t>财务报告</w:t>
      </w:r>
      <w:r>
        <w:rPr>
          <w:rFonts w:hint="eastAsia" w:ascii="宋体" w:hAnsi="宋体" w:eastAsia="宋体" w:cs="宋体"/>
          <w:color w:val="auto"/>
          <w:kern w:val="0"/>
          <w:sz w:val="24"/>
          <w:szCs w:val="24"/>
        </w:rPr>
        <w:t>（包括资产负债表、现金流量表、利润表</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所有者权益变动表（执行小企业会计准则的</w:t>
      </w:r>
      <w:r>
        <w:rPr>
          <w:rFonts w:hint="eastAsia" w:ascii="宋体" w:hAnsi="宋体" w:eastAsia="宋体" w:cs="宋体"/>
          <w:color w:val="auto"/>
          <w:kern w:val="0"/>
          <w:sz w:val="24"/>
          <w:szCs w:val="24"/>
          <w:lang w:val="en-US" w:eastAsia="zh-CN"/>
        </w:rPr>
        <w:t>投标人</w:t>
      </w:r>
      <w:r>
        <w:rPr>
          <w:rFonts w:hint="eastAsia" w:ascii="宋体" w:hAnsi="宋体" w:eastAsia="宋体" w:cs="宋体"/>
          <w:color w:val="auto"/>
          <w:kern w:val="0"/>
          <w:sz w:val="24"/>
          <w:szCs w:val="24"/>
        </w:rPr>
        <w:t>可不提供）及附注（执行小企业会计准则的</w:t>
      </w:r>
      <w:r>
        <w:rPr>
          <w:rFonts w:hint="eastAsia" w:ascii="宋体" w:hAnsi="宋体" w:eastAsia="宋体" w:cs="宋体"/>
          <w:color w:val="auto"/>
          <w:kern w:val="0"/>
          <w:sz w:val="24"/>
          <w:szCs w:val="24"/>
          <w:lang w:val="en-US" w:eastAsia="zh-CN"/>
        </w:rPr>
        <w:t>投标人</w:t>
      </w:r>
      <w:r>
        <w:rPr>
          <w:rFonts w:hint="eastAsia" w:ascii="宋体" w:hAnsi="宋体" w:eastAsia="宋体" w:cs="宋体"/>
          <w:color w:val="auto"/>
          <w:kern w:val="0"/>
          <w:sz w:val="24"/>
          <w:szCs w:val="24"/>
        </w:rPr>
        <w:t>可不提供））</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新成立公司，</w:t>
      </w:r>
      <w:r>
        <w:rPr>
          <w:rFonts w:hint="eastAsia" w:ascii="宋体" w:hAnsi="宋体" w:eastAsia="宋体" w:cs="宋体"/>
          <w:color w:val="auto"/>
          <w:kern w:val="0"/>
          <w:sz w:val="24"/>
          <w:szCs w:val="24"/>
        </w:rPr>
        <w:t>提供成立至今的财务报表或财务状况说明</w:t>
      </w:r>
      <w:r>
        <w:rPr>
          <w:rFonts w:hint="eastAsia" w:ascii="宋体" w:hAnsi="宋体" w:eastAsia="宋体" w:cs="宋体"/>
          <w:color w:val="auto"/>
          <w:kern w:val="0"/>
          <w:sz w:val="24"/>
          <w:szCs w:val="24"/>
          <w:lang w:eastAsia="zh-CN"/>
        </w:rPr>
        <w:t>；</w:t>
      </w:r>
    </w:p>
    <w:p w14:paraId="2709A1C0">
      <w:pPr>
        <w:keepNext w:val="0"/>
        <w:keepLines w:val="0"/>
        <w:pageBreakBefore w:val="0"/>
        <w:kinsoku/>
        <w:overflowPunct/>
        <w:topLinePunct w:val="0"/>
        <w:autoSpaceDE/>
        <w:autoSpaceDN/>
        <w:bidi w:val="0"/>
        <w:spacing w:line="500" w:lineRule="exact"/>
        <w:ind w:firstLine="480" w:firstLineChars="200"/>
        <w:textAlignment w:val="auto"/>
        <w:outlineLvl w:val="9"/>
        <w:rPr>
          <w:rFonts w:hint="eastAsia" w:ascii="宋体" w:hAnsi="宋体" w:eastAsia="宋体" w:cs="宋体"/>
          <w:color w:val="auto"/>
          <w:kern w:val="0"/>
          <w:sz w:val="24"/>
          <w:szCs w:val="24"/>
          <w:lang w:eastAsia="zh-CN"/>
        </w:rPr>
      </w:pPr>
      <w:r>
        <w:rPr>
          <w:rFonts w:hint="default" w:ascii="宋体" w:hAnsi="宋体" w:eastAsia="宋体" w:cs="宋体"/>
          <w:color w:val="auto"/>
          <w:kern w:val="0"/>
          <w:sz w:val="24"/>
          <w:szCs w:val="24"/>
          <w:lang w:val="en-US" w:eastAsia="zh-CN"/>
        </w:rPr>
        <w:t>②</w:t>
      </w:r>
      <w:r>
        <w:rPr>
          <w:rFonts w:hint="eastAsia" w:ascii="宋体" w:hAnsi="宋体" w:eastAsia="宋体" w:cs="宋体"/>
          <w:color w:val="auto"/>
          <w:kern w:val="0"/>
          <w:sz w:val="24"/>
          <w:szCs w:val="24"/>
          <w:lang w:val="en-US" w:eastAsia="zh-CN"/>
        </w:rPr>
        <w:t>开标时间前</w:t>
      </w:r>
      <w:r>
        <w:rPr>
          <w:rFonts w:hint="eastAsia" w:ascii="宋体" w:hAnsi="宋体" w:eastAsia="宋体" w:cs="宋体"/>
          <w:color w:val="auto"/>
          <w:kern w:val="0"/>
          <w:sz w:val="24"/>
          <w:szCs w:val="24"/>
        </w:rPr>
        <w:t>三个月内（含开标当月）</w:t>
      </w:r>
      <w:r>
        <w:rPr>
          <w:rFonts w:hint="eastAsia" w:ascii="宋体" w:hAnsi="宋体" w:eastAsia="宋体" w:cs="宋体"/>
          <w:color w:val="auto"/>
          <w:kern w:val="0"/>
          <w:sz w:val="24"/>
          <w:szCs w:val="24"/>
          <w:lang w:val="en-US" w:eastAsia="zh-CN"/>
        </w:rPr>
        <w:t>由</w:t>
      </w:r>
      <w:r>
        <w:rPr>
          <w:rFonts w:hint="eastAsia" w:ascii="宋体" w:hAnsi="宋体" w:eastAsia="宋体" w:cs="宋体"/>
          <w:color w:val="auto"/>
          <w:kern w:val="0"/>
          <w:sz w:val="24"/>
          <w:szCs w:val="24"/>
        </w:rPr>
        <w:t>基本开户银行出具的资信证明</w:t>
      </w:r>
      <w:r>
        <w:rPr>
          <w:rFonts w:hint="eastAsia" w:ascii="宋体" w:hAnsi="宋体" w:eastAsia="宋体" w:cs="宋体"/>
          <w:color w:val="auto"/>
          <w:kern w:val="0"/>
          <w:sz w:val="24"/>
          <w:szCs w:val="24"/>
          <w:lang w:eastAsia="zh-CN"/>
        </w:rPr>
        <w:t>；</w:t>
      </w:r>
    </w:p>
    <w:p w14:paraId="63AF986E">
      <w:pPr>
        <w:keepNext w:val="0"/>
        <w:keepLines w:val="0"/>
        <w:pageBreakBefore w:val="0"/>
        <w:kinsoku/>
        <w:overflowPunct/>
        <w:topLinePunct w:val="0"/>
        <w:autoSpaceDE/>
        <w:autoSpaceDN/>
        <w:bidi w:val="0"/>
        <w:spacing w:line="500" w:lineRule="exact"/>
        <w:ind w:firstLine="480" w:firstLineChars="200"/>
        <w:textAlignment w:val="auto"/>
        <w:outlineLvl w:val="9"/>
        <w:rPr>
          <w:rFonts w:hint="eastAsia" w:ascii="宋体" w:hAnsi="宋体" w:eastAsia="宋体" w:cs="宋体"/>
          <w:color w:val="auto"/>
          <w:kern w:val="0"/>
          <w:sz w:val="24"/>
          <w:szCs w:val="24"/>
          <w:lang w:val="en-US" w:eastAsia="zh-CN"/>
        </w:rPr>
      </w:pPr>
      <w:r>
        <w:rPr>
          <w:rFonts w:hint="default" w:ascii="宋体" w:hAnsi="宋体" w:eastAsia="宋体" w:cs="宋体"/>
          <w:color w:val="auto"/>
          <w:kern w:val="0"/>
          <w:sz w:val="24"/>
          <w:szCs w:val="24"/>
        </w:rPr>
        <w:t>③</w:t>
      </w:r>
      <w:r>
        <w:rPr>
          <w:rFonts w:hint="eastAsia" w:ascii="宋体" w:hAnsi="宋体" w:eastAsia="宋体" w:cs="宋体"/>
          <w:color w:val="auto"/>
          <w:kern w:val="0"/>
          <w:sz w:val="24"/>
          <w:szCs w:val="24"/>
        </w:rPr>
        <w:t>财政部门认可的政府采购专业担保机构出具的投标担保函</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需同时提供专业担保机构经财政部门认可的证明文件）。</w:t>
      </w:r>
    </w:p>
    <w:p w14:paraId="4AE9E996">
      <w:pPr>
        <w:keepNext w:val="0"/>
        <w:keepLines w:val="0"/>
        <w:pageBreakBefore w:val="0"/>
        <w:kinsoku/>
        <w:overflowPunct/>
        <w:topLinePunct w:val="0"/>
        <w:autoSpaceDE/>
        <w:autoSpaceDN/>
        <w:bidi w:val="0"/>
        <w:spacing w:line="500" w:lineRule="exact"/>
        <w:ind w:firstLine="480" w:firstLineChars="200"/>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1.3具有履行合同所必需的设备和专业技术能力：提供书面声明或证明材料。</w:t>
      </w:r>
    </w:p>
    <w:p w14:paraId="0674B096">
      <w:pPr>
        <w:keepNext w:val="0"/>
        <w:keepLines w:val="0"/>
        <w:pageBreakBefore w:val="0"/>
        <w:kinsoku/>
        <w:overflowPunct/>
        <w:topLinePunct w:val="0"/>
        <w:autoSpaceDE/>
        <w:autoSpaceDN/>
        <w:bidi w:val="0"/>
        <w:spacing w:line="500" w:lineRule="exact"/>
        <w:ind w:firstLine="480" w:firstLineChars="200"/>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1.4有依法缴纳税收和社会保障资金的良好记录：提供</w:t>
      </w:r>
      <w:r>
        <w:rPr>
          <w:rFonts w:hint="eastAsia" w:ascii="宋体" w:hAnsi="宋体" w:eastAsia="宋体" w:cs="宋体"/>
          <w:color w:val="auto"/>
          <w:kern w:val="0"/>
          <w:sz w:val="24"/>
          <w:szCs w:val="24"/>
          <w:lang w:val="en-US" w:eastAsia="zh-CN"/>
        </w:rPr>
        <w:t>2025</w:t>
      </w:r>
      <w:r>
        <w:rPr>
          <w:rFonts w:hint="eastAsia" w:ascii="宋体" w:hAnsi="宋体" w:eastAsia="宋体" w:cs="宋体"/>
          <w:color w:val="auto"/>
          <w:kern w:val="0"/>
          <w:sz w:val="24"/>
          <w:szCs w:val="24"/>
        </w:rPr>
        <w:t>年</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月至今任意3个月依法缴纳税收和社会保障资金的证明(</w:t>
      </w:r>
      <w:r>
        <w:rPr>
          <w:rFonts w:hint="eastAsia" w:ascii="宋体" w:hAnsi="宋体" w:eastAsia="宋体" w:cs="宋体"/>
          <w:color w:val="auto"/>
          <w:kern w:val="0"/>
          <w:sz w:val="24"/>
          <w:szCs w:val="24"/>
          <w:lang w:val="en-US" w:eastAsia="zh-CN"/>
        </w:rPr>
        <w:t>若投标人成立时间不足</w:t>
      </w:r>
      <w:r>
        <w:rPr>
          <w:rFonts w:hint="eastAsia" w:ascii="宋体" w:hAnsi="宋体" w:eastAsia="宋体" w:cs="宋体"/>
          <w:color w:val="auto"/>
          <w:kern w:val="0"/>
          <w:sz w:val="24"/>
          <w:szCs w:val="24"/>
        </w:rPr>
        <w:t>3个月</w:t>
      </w:r>
      <w:r>
        <w:rPr>
          <w:rFonts w:hint="eastAsia" w:ascii="宋体" w:hAnsi="宋体" w:eastAsia="宋体" w:cs="宋体"/>
          <w:color w:val="auto"/>
          <w:kern w:val="0"/>
          <w:sz w:val="24"/>
          <w:szCs w:val="24"/>
          <w:lang w:val="en-US" w:eastAsia="zh-CN"/>
        </w:rPr>
        <w:t>的，</w:t>
      </w:r>
      <w:r>
        <w:rPr>
          <w:rFonts w:hint="eastAsia" w:ascii="宋体" w:hAnsi="宋体" w:eastAsia="宋体" w:cs="宋体"/>
          <w:color w:val="auto"/>
          <w:kern w:val="0"/>
          <w:sz w:val="24"/>
          <w:szCs w:val="24"/>
        </w:rPr>
        <w:t>提供成立以来的税收和社会保障资金缴纳凭据；依法免税或不需要缴纳社会保障资金的投标人，应提供相应文件证明其依法免税或不需要缴纳社会保障资金)</w:t>
      </w:r>
      <w:r>
        <w:rPr>
          <w:rFonts w:hint="eastAsia" w:ascii="宋体" w:hAnsi="宋体" w:eastAsia="宋体" w:cs="宋体"/>
          <w:color w:val="auto"/>
          <w:kern w:val="0"/>
          <w:sz w:val="24"/>
          <w:szCs w:val="24"/>
          <w:lang w:eastAsia="zh-CN"/>
        </w:rPr>
        <w:t>。</w:t>
      </w:r>
    </w:p>
    <w:p w14:paraId="6FE5CCF5">
      <w:pPr>
        <w:spacing w:line="360" w:lineRule="auto"/>
        <w:ind w:firstLine="480" w:firstLineChars="200"/>
        <w:outlineLvl w:val="9"/>
        <w:rPr>
          <w:rFonts w:hint="eastAsia" w:ascii="宋体" w:hAnsi="宋体" w:eastAsia="宋体" w:cs="Times New Roman"/>
          <w:sz w:val="24"/>
          <w:lang w:eastAsia="zh-CN"/>
        </w:rPr>
      </w:pP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w:t>
      </w:r>
      <w:r>
        <w:rPr>
          <w:rFonts w:hint="eastAsia" w:ascii="宋体" w:hAnsi="宋体" w:eastAsia="宋体" w:cs="宋体"/>
          <w:color w:val="auto"/>
          <w:kern w:val="0"/>
          <w:sz w:val="24"/>
          <w:szCs w:val="24"/>
          <w:lang w:eastAsia="zh-CN"/>
        </w:rPr>
        <w:t>。</w:t>
      </w:r>
    </w:p>
    <w:p w14:paraId="0251A91C">
      <w:pPr>
        <w:spacing w:line="360" w:lineRule="auto"/>
        <w:ind w:firstLine="480" w:firstLineChars="200"/>
        <w:outlineLvl w:val="9"/>
        <w:rPr>
          <w:rFonts w:hint="eastAsia" w:ascii="宋体" w:hAnsi="宋体" w:eastAsia="宋体" w:cs="Times New Roman"/>
          <w:sz w:val="24"/>
        </w:rPr>
      </w:pP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1.6符合法律、行政法规规定的其他条件：</w:t>
      </w:r>
    </w:p>
    <w:p w14:paraId="0B17FD87">
      <w:pPr>
        <w:spacing w:line="360" w:lineRule="auto"/>
        <w:ind w:firstLine="480" w:firstLineChars="200"/>
        <w:outlineLvl w:val="9"/>
        <w:rPr>
          <w:rFonts w:hint="eastAsia" w:ascii="宋体" w:hAnsi="宋体" w:eastAsia="宋体" w:cs="宋体"/>
          <w:color w:val="auto"/>
          <w:kern w:val="0"/>
          <w:sz w:val="24"/>
          <w:szCs w:val="24"/>
          <w:lang w:eastAsia="zh-CN"/>
        </w:rPr>
      </w:pPr>
      <w:r>
        <w:rPr>
          <w:rFonts w:hint="eastAsia" w:ascii="宋体" w:hAnsi="宋体" w:eastAsia="宋体" w:cs="Times New Roman"/>
          <w:sz w:val="24"/>
          <w:lang w:val="en-US" w:eastAsia="zh-CN"/>
        </w:rPr>
        <w:t>4.1.6.1</w:t>
      </w:r>
      <w:r>
        <w:rPr>
          <w:rFonts w:hint="eastAsia" w:ascii="宋体" w:hAnsi="宋体" w:eastAsia="宋体" w:cs="宋体"/>
          <w:color w:val="auto"/>
          <w:kern w:val="0"/>
          <w:sz w:val="24"/>
          <w:szCs w:val="24"/>
        </w:rPr>
        <w:t>单位负责人为同一人或者存在直接控股、管理关系的不同投标人，不得参加同一合同项下的政府采购活动，提供承诺书</w:t>
      </w:r>
      <w:r>
        <w:rPr>
          <w:rFonts w:hint="eastAsia" w:ascii="宋体" w:hAnsi="宋体" w:eastAsia="宋体" w:cs="宋体"/>
          <w:color w:val="auto"/>
          <w:kern w:val="0"/>
          <w:sz w:val="24"/>
          <w:szCs w:val="24"/>
          <w:lang w:eastAsia="zh-CN"/>
        </w:rPr>
        <w:t>；</w:t>
      </w:r>
    </w:p>
    <w:p w14:paraId="06045CA2">
      <w:pPr>
        <w:spacing w:line="360" w:lineRule="auto"/>
        <w:ind w:firstLine="480" w:firstLineChars="200"/>
        <w:outlineLvl w:val="9"/>
        <w:rPr>
          <w:rFonts w:hint="default" w:ascii="宋体" w:hAnsi="宋体" w:eastAsia="宋体" w:cs="Times New Roman"/>
          <w:sz w:val="24"/>
          <w:lang w:val="en-US" w:eastAsia="zh-CN"/>
        </w:rPr>
      </w:pPr>
      <w:r>
        <w:rPr>
          <w:rFonts w:hint="eastAsia" w:ascii="宋体" w:hAnsi="宋体" w:eastAsia="宋体" w:cs="Times New Roman"/>
          <w:sz w:val="24"/>
          <w:lang w:val="en-US" w:eastAsia="zh-CN"/>
        </w:rPr>
        <w:t>4.1.6.2为采购项目提供整体设计、规范编制或者项目管理、监理、检测等服务的投标人，不得再参加该采购项目的其他采购活动</w:t>
      </w:r>
      <w:r>
        <w:rPr>
          <w:rFonts w:hint="eastAsia" w:ascii="宋体" w:hAnsi="宋体" w:eastAsia="宋体" w:cs="宋体"/>
          <w:color w:val="auto"/>
          <w:kern w:val="0"/>
          <w:sz w:val="24"/>
          <w:szCs w:val="24"/>
        </w:rPr>
        <w:t>，提供承诺书</w:t>
      </w:r>
      <w:r>
        <w:rPr>
          <w:rFonts w:hint="eastAsia" w:ascii="宋体" w:hAnsi="宋体" w:eastAsia="宋体" w:cs="Times New Roman"/>
          <w:sz w:val="24"/>
          <w:lang w:val="en-US" w:eastAsia="zh-CN"/>
        </w:rPr>
        <w:t>；</w:t>
      </w:r>
    </w:p>
    <w:p w14:paraId="60AF2C16">
      <w:pPr>
        <w:spacing w:line="360" w:lineRule="auto"/>
        <w:ind w:firstLine="480" w:firstLineChars="200"/>
        <w:outlineLvl w:val="9"/>
        <w:rPr>
          <w:rFonts w:hint="eastAsia" w:ascii="宋体" w:hAnsi="宋体" w:eastAsia="宋体" w:cs="Times New Roman"/>
          <w:sz w:val="24"/>
          <w:lang w:val="en-US" w:eastAsia="zh-CN"/>
        </w:rPr>
      </w:pPr>
      <w:r>
        <w:rPr>
          <w:rFonts w:hint="eastAsia" w:ascii="宋体" w:hAnsi="宋体" w:eastAsia="宋体" w:cs="Times New Roman"/>
          <w:sz w:val="24"/>
          <w:lang w:val="en-US" w:eastAsia="zh-CN"/>
        </w:rPr>
        <w:t>4.1.6.3投标人若中标，不得以任何形式进行转包，提供承诺书；</w:t>
      </w:r>
    </w:p>
    <w:p w14:paraId="09FBA92D">
      <w:pPr>
        <w:spacing w:line="360" w:lineRule="auto"/>
        <w:ind w:firstLine="480" w:firstLineChars="200"/>
        <w:outlineLvl w:val="9"/>
        <w:rPr>
          <w:rFonts w:hint="default" w:ascii="宋体" w:hAnsi="宋体" w:eastAsia="宋体" w:cs="Times New Roman"/>
          <w:sz w:val="24"/>
          <w:lang w:val="en-US" w:eastAsia="zh-CN"/>
        </w:rPr>
      </w:pPr>
      <w:r>
        <w:rPr>
          <w:rFonts w:hint="eastAsia" w:ascii="宋体" w:hAnsi="宋体" w:eastAsia="宋体" w:cs="Times New Roman"/>
          <w:sz w:val="24"/>
          <w:lang w:val="en-US" w:eastAsia="zh-CN"/>
        </w:rPr>
        <w:t>4.1.6.4投标人未被列入“信用中国”（www.creditchina.gov.cn）</w:t>
      </w:r>
      <w:r>
        <w:rPr>
          <w:rFonts w:hint="eastAsia" w:ascii="宋体" w:hAnsi="宋体" w:cs="宋体"/>
          <w:color w:val="auto"/>
          <w:kern w:val="0"/>
          <w:sz w:val="24"/>
          <w:highlight w:val="none"/>
        </w:rPr>
        <w:t>失信被执行人</w:t>
      </w:r>
      <w:r>
        <w:rPr>
          <w:rFonts w:hint="eastAsia" w:ascii="宋体" w:hAnsi="宋体" w:cs="宋体"/>
          <w:color w:val="auto"/>
          <w:kern w:val="0"/>
          <w:sz w:val="24"/>
          <w:highlight w:val="none"/>
          <w:lang w:eastAsia="zh-CN"/>
        </w:rPr>
        <w:t>、</w:t>
      </w:r>
      <w:r>
        <w:rPr>
          <w:rFonts w:hint="eastAsia" w:ascii="宋体" w:hAnsi="宋体" w:eastAsia="宋体" w:cs="Times New Roman"/>
          <w:sz w:val="24"/>
          <w:lang w:val="en-US" w:eastAsia="zh-CN"/>
        </w:rPr>
        <w:t>重大税收违法失信主体及“中国政府采购网”（www.ccgp.gov.cn）政府采购严重违法失信行为记录名单，（采购代理机构将于评标前对投标人进行信用信息查询。查询记录为上述网站信用信息查询结果的网页截图或网页打印稿。）</w:t>
      </w:r>
    </w:p>
    <w:p w14:paraId="3D52D687">
      <w:pPr>
        <w:spacing w:line="360" w:lineRule="auto"/>
        <w:ind w:firstLine="480" w:firstLineChars="200"/>
        <w:outlineLvl w:val="9"/>
        <w:rPr>
          <w:rFonts w:hint="eastAsia" w:ascii="宋体" w:hAnsi="宋体" w:eastAsia="宋体" w:cs="Times New Roman"/>
          <w:sz w:val="24"/>
        </w:rPr>
      </w:pPr>
      <w:r>
        <w:rPr>
          <w:rFonts w:hint="eastAsia" w:ascii="宋体" w:hAnsi="宋体" w:eastAsia="宋体" w:cs="Times New Roman"/>
          <w:sz w:val="24"/>
          <w:lang w:val="en-US" w:eastAsia="zh-CN"/>
        </w:rPr>
        <w:t>4.</w:t>
      </w:r>
      <w:r>
        <w:rPr>
          <w:rFonts w:hint="eastAsia" w:ascii="宋体" w:hAnsi="宋体" w:eastAsia="宋体" w:cs="Times New Roman"/>
          <w:sz w:val="24"/>
        </w:rPr>
        <w:t>2落实政府采购政策需满足的资格要求：</w:t>
      </w:r>
      <w:r>
        <w:rPr>
          <w:rFonts w:hint="eastAsia" w:ascii="宋体" w:hAnsi="宋体" w:cs="宋体"/>
          <w:color w:val="000000"/>
          <w:kern w:val="0"/>
          <w:sz w:val="24"/>
          <w:highlight w:val="none"/>
        </w:rPr>
        <w:t>本项目</w:t>
      </w:r>
      <w:r>
        <w:rPr>
          <w:rFonts w:hint="eastAsia" w:ascii="宋体" w:hAnsi="宋体" w:cs="宋体"/>
          <w:color w:val="000000"/>
          <w:kern w:val="0"/>
          <w:sz w:val="24"/>
          <w:highlight w:val="none"/>
          <w:lang w:val="en-US" w:eastAsia="zh-CN"/>
        </w:rPr>
        <w:t>非</w:t>
      </w:r>
      <w:r>
        <w:rPr>
          <w:rFonts w:hint="eastAsia" w:ascii="宋体" w:hAnsi="宋体" w:cs="宋体"/>
          <w:color w:val="000000"/>
          <w:kern w:val="0"/>
          <w:sz w:val="24"/>
          <w:highlight w:val="none"/>
        </w:rPr>
        <w:t>专门面向中小企业采购的项目</w:t>
      </w:r>
      <w:r>
        <w:rPr>
          <w:rFonts w:hint="eastAsia" w:ascii="宋体" w:hAnsi="宋体" w:eastAsia="宋体" w:cs="宋体"/>
          <w:kern w:val="0"/>
          <w:sz w:val="24"/>
          <w:szCs w:val="24"/>
          <w:highlight w:val="none"/>
          <w:lang w:val="en-US" w:eastAsia="zh-CN"/>
        </w:rPr>
        <w:t>。</w:t>
      </w:r>
    </w:p>
    <w:p w14:paraId="150E7C5B">
      <w:pPr>
        <w:spacing w:line="360" w:lineRule="auto"/>
        <w:ind w:firstLine="480" w:firstLineChars="200"/>
        <w:outlineLvl w:val="9"/>
        <w:rPr>
          <w:rFonts w:hint="eastAsia" w:ascii="宋体" w:hAnsi="宋体"/>
          <w:bCs/>
          <w:sz w:val="24"/>
        </w:rPr>
      </w:pPr>
      <w:r>
        <w:rPr>
          <w:rFonts w:hint="eastAsia" w:ascii="宋体" w:hAnsi="宋体"/>
          <w:sz w:val="24"/>
          <w:lang w:val="en-US" w:eastAsia="zh-CN"/>
        </w:rPr>
        <w:t>4.</w:t>
      </w:r>
      <w:r>
        <w:rPr>
          <w:rFonts w:hint="eastAsia" w:ascii="宋体" w:hAnsi="宋体"/>
          <w:sz w:val="24"/>
        </w:rPr>
        <w:t>3本项目的特定资格要求：</w:t>
      </w:r>
      <w:r>
        <w:rPr>
          <w:rFonts w:hint="eastAsia" w:ascii="宋体" w:hAnsi="宋体" w:eastAsia="宋体" w:cs="Times New Roman"/>
          <w:sz w:val="24"/>
          <w:lang w:val="en-US" w:eastAsia="zh-CN"/>
        </w:rPr>
        <w:t>投标人应当具备有效的《食品生产许可证》或《食品经营许可证》（属于销售食用农产品等法律、法规规定的不需要取得食品经营许可情形的，提供相关情况说明），所投产品必须符合国家食品质量标准。</w:t>
      </w:r>
    </w:p>
    <w:p w14:paraId="0E466275">
      <w:pPr>
        <w:spacing w:line="360" w:lineRule="auto"/>
        <w:ind w:firstLine="480" w:firstLineChars="200"/>
        <w:jc w:val="left"/>
        <w:outlineLvl w:val="9"/>
        <w:rPr>
          <w:rFonts w:ascii="宋体" w:hAnsi="宋体"/>
          <w:sz w:val="24"/>
        </w:rPr>
      </w:pPr>
      <w:r>
        <w:rPr>
          <w:rFonts w:hint="eastAsia" w:ascii="宋体" w:hAnsi="宋体"/>
          <w:sz w:val="24"/>
        </w:rPr>
        <w:t>4.4“</w:t>
      </w:r>
      <w:r>
        <w:rPr>
          <w:rFonts w:hint="eastAsia" w:ascii="宋体" w:hAnsi="宋体"/>
          <w:b/>
          <w:sz w:val="24"/>
        </w:rPr>
        <w:t>投标人须知前附表</w:t>
      </w:r>
      <w:r>
        <w:rPr>
          <w:rFonts w:hint="eastAsia" w:ascii="宋体" w:hAnsi="宋体"/>
          <w:sz w:val="24"/>
        </w:rPr>
        <w:t>”规定接受联合体投标的，除应符合本章第4.1-4.</w:t>
      </w:r>
      <w:r>
        <w:rPr>
          <w:rFonts w:ascii="宋体" w:hAnsi="宋体"/>
          <w:sz w:val="24"/>
        </w:rPr>
        <w:t>4</w:t>
      </w:r>
      <w:r>
        <w:rPr>
          <w:rFonts w:hint="eastAsia" w:ascii="宋体" w:hAnsi="宋体"/>
          <w:sz w:val="24"/>
        </w:rPr>
        <w:t>项和“</w:t>
      </w:r>
      <w:r>
        <w:rPr>
          <w:rFonts w:hint="eastAsia" w:ascii="宋体" w:hAnsi="宋体"/>
          <w:b/>
          <w:sz w:val="24"/>
        </w:rPr>
        <w:t>投标人须知前附表</w:t>
      </w:r>
      <w:r>
        <w:rPr>
          <w:rFonts w:hint="eastAsia" w:ascii="宋体" w:hAnsi="宋体"/>
          <w:sz w:val="24"/>
        </w:rPr>
        <w:t>”的要求外，还应遵守以下规定：</w:t>
      </w:r>
    </w:p>
    <w:p w14:paraId="612F5A26">
      <w:pPr>
        <w:spacing w:line="360" w:lineRule="auto"/>
        <w:ind w:firstLine="435"/>
        <w:jc w:val="left"/>
        <w:outlineLvl w:val="9"/>
        <w:rPr>
          <w:rFonts w:ascii="宋体" w:hAnsi="宋体"/>
          <w:sz w:val="24"/>
        </w:rPr>
      </w:pPr>
      <w:r>
        <w:rPr>
          <w:rFonts w:hint="eastAsia" w:ascii="宋体" w:hAnsi="宋体"/>
          <w:sz w:val="24"/>
        </w:rPr>
        <w:t>(1)</w:t>
      </w:r>
      <w:r>
        <w:rPr>
          <w:rFonts w:hint="eastAsia"/>
        </w:rPr>
        <w:t xml:space="preserve"> </w:t>
      </w:r>
      <w:r>
        <w:rPr>
          <w:rFonts w:hint="eastAsia" w:ascii="宋体" w:hAnsi="宋体"/>
          <w:sz w:val="24"/>
        </w:rPr>
        <w:t>联合体中有同类资质的投标人按照联合体分工承担相同工作的，应当按照资质等级较低的投标人确定资质等级；</w:t>
      </w:r>
    </w:p>
    <w:p w14:paraId="01DB4E2E">
      <w:pPr>
        <w:spacing w:line="360" w:lineRule="auto"/>
        <w:ind w:firstLine="435"/>
        <w:jc w:val="left"/>
        <w:outlineLvl w:val="9"/>
        <w:rPr>
          <w:rFonts w:ascii="宋体" w:hAnsi="宋体"/>
          <w:sz w:val="24"/>
        </w:rPr>
      </w:pPr>
      <w:r>
        <w:rPr>
          <w:rFonts w:hint="eastAsia" w:ascii="宋体" w:hAnsi="宋体"/>
          <w:sz w:val="24"/>
        </w:rPr>
        <w:t>(2)联合体各方之间应当签订共同投标协议，明确约定联合体各方承担的工作和相应的责任；</w:t>
      </w:r>
    </w:p>
    <w:p w14:paraId="56088766">
      <w:pPr>
        <w:spacing w:line="360" w:lineRule="auto"/>
        <w:ind w:firstLine="435"/>
        <w:jc w:val="left"/>
        <w:outlineLvl w:val="9"/>
        <w:rPr>
          <w:rFonts w:ascii="宋体" w:hAnsi="宋体"/>
          <w:sz w:val="24"/>
        </w:rPr>
      </w:pPr>
      <w:r>
        <w:rPr>
          <w:rFonts w:hint="eastAsia" w:ascii="宋体" w:hAnsi="宋体"/>
          <w:sz w:val="24"/>
        </w:rPr>
        <w:t>(3)以联合体形式参加政府采购活动的，联合体各方不得再单独参加或者与其他投标人另外组成联合体参加同一项目包下的政府采购活动。</w:t>
      </w:r>
    </w:p>
    <w:p w14:paraId="7FA3CACB">
      <w:pPr>
        <w:spacing w:line="360" w:lineRule="auto"/>
        <w:jc w:val="left"/>
        <w:outlineLvl w:val="9"/>
        <w:rPr>
          <w:rFonts w:ascii="宋体" w:hAnsi="宋体"/>
          <w:b/>
          <w:sz w:val="24"/>
        </w:rPr>
      </w:pPr>
      <w:r>
        <w:rPr>
          <w:rFonts w:hint="eastAsia" w:ascii="宋体" w:hAnsi="宋体"/>
          <w:sz w:val="24"/>
        </w:rPr>
        <w:t>4.5</w:t>
      </w:r>
      <w:r>
        <w:rPr>
          <w:rFonts w:ascii="宋体" w:hAnsi="宋体"/>
          <w:sz w:val="24"/>
        </w:rPr>
        <w:t xml:space="preserve"> </w:t>
      </w:r>
      <w:r>
        <w:rPr>
          <w:rFonts w:hint="eastAsia" w:ascii="宋体" w:hAnsi="宋体"/>
          <w:sz w:val="24"/>
        </w:rPr>
        <w:t>符合上述条件的投标人应承担投标及履约中应承担的全部责任与义务。</w:t>
      </w:r>
      <w:r>
        <w:rPr>
          <w:rFonts w:hint="eastAsia" w:ascii="宋体" w:hAnsi="宋体"/>
          <w:sz w:val="24"/>
        </w:rPr>
        <w:cr/>
      </w:r>
      <w:r>
        <w:rPr>
          <w:rFonts w:hint="eastAsia" w:ascii="宋体" w:hAnsi="宋体"/>
          <w:b/>
          <w:sz w:val="24"/>
        </w:rPr>
        <w:t>5. 投标费用</w:t>
      </w:r>
    </w:p>
    <w:p w14:paraId="197864B2">
      <w:pPr>
        <w:pStyle w:val="17"/>
        <w:spacing w:line="360" w:lineRule="auto"/>
        <w:outlineLvl w:val="9"/>
        <w:rPr>
          <w:rFonts w:hAnsi="宋体"/>
          <w:sz w:val="24"/>
          <w:szCs w:val="24"/>
        </w:rPr>
      </w:pPr>
      <w:r>
        <w:rPr>
          <w:rFonts w:hint="eastAsia" w:hAnsi="宋体"/>
          <w:sz w:val="24"/>
          <w:szCs w:val="24"/>
        </w:rPr>
        <w:t>5.1不论投标结果如何，投标人均应自行承担</w:t>
      </w:r>
      <w:r>
        <w:rPr>
          <w:rFonts w:hAnsi="宋体"/>
          <w:sz w:val="24"/>
          <w:szCs w:val="24"/>
        </w:rPr>
        <w:t>所有与准备和参加投标活动有关的全部费用</w:t>
      </w:r>
      <w:r>
        <w:rPr>
          <w:rFonts w:hint="eastAsia" w:hAnsi="宋体"/>
          <w:sz w:val="24"/>
          <w:szCs w:val="24"/>
        </w:rPr>
        <w:t>。</w:t>
      </w:r>
    </w:p>
    <w:p w14:paraId="467AD36C">
      <w:pPr>
        <w:outlineLvl w:val="9"/>
        <w:rPr>
          <w:rFonts w:ascii="宋体" w:hAnsi="宋体"/>
          <w:b/>
          <w:sz w:val="24"/>
        </w:rPr>
      </w:pPr>
      <w:r>
        <w:rPr>
          <w:rFonts w:hint="eastAsia" w:ascii="宋体" w:hAnsi="宋体"/>
          <w:b/>
          <w:sz w:val="24"/>
        </w:rPr>
        <w:t>6.</w:t>
      </w:r>
      <w:r>
        <w:rPr>
          <w:rFonts w:ascii="宋体" w:hAnsi="宋体"/>
          <w:b/>
          <w:sz w:val="24"/>
        </w:rPr>
        <w:t>质疑</w:t>
      </w:r>
    </w:p>
    <w:p w14:paraId="68163C2E">
      <w:pPr>
        <w:spacing w:line="360" w:lineRule="auto"/>
        <w:jc w:val="left"/>
        <w:outlineLvl w:val="9"/>
        <w:rPr>
          <w:rFonts w:ascii="宋体" w:hAnsi="宋体"/>
          <w:sz w:val="24"/>
        </w:rPr>
      </w:pPr>
      <w:r>
        <w:rPr>
          <w:rFonts w:ascii="宋体" w:hAnsi="宋体"/>
          <w:sz w:val="24"/>
        </w:rPr>
        <w:t xml:space="preserve">6.1 </w:t>
      </w:r>
      <w:r>
        <w:rPr>
          <w:rFonts w:hint="eastAsia" w:ascii="宋体" w:hAnsi="宋体"/>
          <w:sz w:val="24"/>
        </w:rPr>
        <w:t>投标人</w:t>
      </w:r>
      <w:r>
        <w:rPr>
          <w:rFonts w:ascii="宋体" w:hAnsi="宋体"/>
          <w:sz w:val="24"/>
        </w:rPr>
        <w:t>认为招标文件、招标过程和中标结果使自己的权益受到损害的，应当在知道或者应知其权益受到损害之日起</w:t>
      </w:r>
      <w:r>
        <w:rPr>
          <w:rFonts w:hint="eastAsia" w:ascii="宋体" w:hAnsi="宋体"/>
          <w:sz w:val="24"/>
        </w:rPr>
        <w:t>7</w:t>
      </w:r>
      <w:r>
        <w:rPr>
          <w:rFonts w:ascii="宋体" w:hAnsi="宋体"/>
          <w:sz w:val="24"/>
        </w:rPr>
        <w:t>个工作日内，</w:t>
      </w:r>
      <w:r>
        <w:rPr>
          <w:rFonts w:hint="eastAsia" w:ascii="宋体" w:hAnsi="宋体"/>
          <w:b/>
          <w:sz w:val="24"/>
        </w:rPr>
        <w:t>以书面形式一次性向采购代理机构或采购人提出针对同一采购程序环节的质疑。</w:t>
      </w:r>
      <w:r>
        <w:rPr>
          <w:rFonts w:ascii="宋体" w:hAnsi="宋体"/>
          <w:sz w:val="24"/>
        </w:rPr>
        <w:t>质疑内容不得含有虚假、恶意成分。当事人对自己提出的主张，有责任提供证据，提出质疑时</w:t>
      </w:r>
      <w:r>
        <w:rPr>
          <w:rFonts w:hint="eastAsia" w:ascii="宋体" w:hAnsi="宋体"/>
          <w:sz w:val="24"/>
        </w:rPr>
        <w:t>应</w:t>
      </w:r>
      <w:r>
        <w:rPr>
          <w:rFonts w:ascii="宋体" w:hAnsi="宋体"/>
          <w:sz w:val="24"/>
        </w:rPr>
        <w:t>同时提交相关证据材料和注明事实的确切来源。</w:t>
      </w:r>
    </w:p>
    <w:p w14:paraId="0C309F86">
      <w:pPr>
        <w:spacing w:line="360" w:lineRule="auto"/>
        <w:jc w:val="left"/>
        <w:outlineLvl w:val="9"/>
        <w:rPr>
          <w:rFonts w:ascii="宋体" w:hAnsi="宋体"/>
          <w:sz w:val="24"/>
        </w:rPr>
      </w:pPr>
      <w:r>
        <w:rPr>
          <w:rFonts w:hint="eastAsia" w:ascii="宋体" w:hAnsi="宋体"/>
          <w:sz w:val="24"/>
        </w:rPr>
        <w:t>6.2供应商应知其权益受到损害之日，是指：</w:t>
      </w:r>
    </w:p>
    <w:p w14:paraId="2363C899">
      <w:pPr>
        <w:spacing w:line="360" w:lineRule="auto"/>
        <w:jc w:val="left"/>
        <w:outlineLvl w:val="9"/>
        <w:rPr>
          <w:rFonts w:ascii="宋体" w:hAnsi="宋体"/>
          <w:sz w:val="24"/>
        </w:rPr>
      </w:pPr>
      <w:r>
        <w:rPr>
          <w:rFonts w:hint="eastAsia" w:ascii="宋体" w:hAnsi="宋体"/>
          <w:sz w:val="24"/>
        </w:rPr>
        <w:t>（1）对可以质疑的采购文件提出质疑的，为收到采购文件之日即供应商实际下载采购文件之日（下载采购文件期限同获取招标文件时间）；</w:t>
      </w:r>
    </w:p>
    <w:p w14:paraId="7CBED85A">
      <w:pPr>
        <w:spacing w:line="360" w:lineRule="auto"/>
        <w:jc w:val="left"/>
        <w:outlineLvl w:val="9"/>
        <w:rPr>
          <w:rFonts w:ascii="宋体" w:hAnsi="宋体"/>
          <w:sz w:val="24"/>
        </w:rPr>
      </w:pPr>
      <w:r>
        <w:rPr>
          <w:rFonts w:hint="eastAsia" w:ascii="宋体" w:hAnsi="宋体"/>
          <w:sz w:val="24"/>
        </w:rPr>
        <w:t>（2）对采购过程提出质疑的，为各采购程序环节结束之日；</w:t>
      </w:r>
    </w:p>
    <w:p w14:paraId="53678340">
      <w:pPr>
        <w:spacing w:line="360" w:lineRule="auto"/>
        <w:jc w:val="left"/>
        <w:outlineLvl w:val="9"/>
        <w:rPr>
          <w:rFonts w:ascii="宋体" w:hAnsi="宋体"/>
          <w:sz w:val="24"/>
        </w:rPr>
      </w:pPr>
      <w:r>
        <w:rPr>
          <w:rFonts w:hint="eastAsia" w:ascii="宋体" w:hAnsi="宋体"/>
          <w:sz w:val="24"/>
        </w:rPr>
        <w:t>（3）对中标结果提出质疑的，为中标结果公告期限届满之日。</w:t>
      </w:r>
    </w:p>
    <w:p w14:paraId="5B887B0F">
      <w:pPr>
        <w:spacing w:line="360" w:lineRule="auto"/>
        <w:jc w:val="left"/>
        <w:outlineLvl w:val="9"/>
        <w:rPr>
          <w:rFonts w:ascii="宋体" w:hAnsi="宋体"/>
          <w:sz w:val="24"/>
        </w:rPr>
      </w:pPr>
      <w:r>
        <w:rPr>
          <w:rFonts w:hint="eastAsia" w:ascii="宋体" w:hAnsi="宋体"/>
          <w:bCs/>
          <w:sz w:val="24"/>
        </w:rPr>
        <w:t>6.</w:t>
      </w:r>
      <w:r>
        <w:rPr>
          <w:rFonts w:ascii="宋体" w:hAnsi="宋体"/>
          <w:bCs/>
          <w:sz w:val="24"/>
        </w:rPr>
        <w:t>3</w:t>
      </w:r>
      <w:r>
        <w:rPr>
          <w:rFonts w:hint="eastAsia" w:ascii="宋体" w:hAnsi="宋体"/>
          <w:bCs/>
          <w:sz w:val="24"/>
        </w:rPr>
        <w:t>投标人提供的质疑书应符合中华人民共和国财政部令第94号《政府采购质疑和投诉办法》的规定。</w:t>
      </w:r>
      <w:r>
        <w:rPr>
          <w:rFonts w:hint="eastAsia" w:ascii="宋体" w:hAnsi="宋体"/>
          <w:sz w:val="24"/>
        </w:rPr>
        <w:t>投标人</w:t>
      </w:r>
      <w:r>
        <w:rPr>
          <w:rFonts w:ascii="宋体" w:hAnsi="宋体"/>
          <w:sz w:val="24"/>
        </w:rPr>
        <w:t>提供的质疑书（如材料中有外文资料应同时附上中文译本）应当包括以下主要内容：</w:t>
      </w:r>
    </w:p>
    <w:p w14:paraId="64F3429B">
      <w:pPr>
        <w:spacing w:line="360" w:lineRule="auto"/>
        <w:jc w:val="left"/>
        <w:outlineLvl w:val="9"/>
        <w:rPr>
          <w:rFonts w:ascii="宋体" w:hAnsi="宋体"/>
          <w:sz w:val="24"/>
        </w:rPr>
      </w:pPr>
      <w:r>
        <w:rPr>
          <w:rFonts w:hint="eastAsia" w:ascii="宋体" w:hAnsi="宋体"/>
          <w:sz w:val="24"/>
        </w:rPr>
        <w:t>（1）供应商的姓名或者名称、地址、邮编、联系人及联系电话；</w:t>
      </w:r>
    </w:p>
    <w:p w14:paraId="670D080C">
      <w:pPr>
        <w:spacing w:line="360" w:lineRule="auto"/>
        <w:jc w:val="left"/>
        <w:outlineLvl w:val="9"/>
        <w:rPr>
          <w:rFonts w:ascii="宋体" w:hAnsi="宋体"/>
          <w:sz w:val="24"/>
        </w:rPr>
      </w:pPr>
      <w:r>
        <w:rPr>
          <w:rFonts w:hint="eastAsia" w:ascii="宋体" w:hAnsi="宋体"/>
          <w:sz w:val="24"/>
        </w:rPr>
        <w:t>（2）质疑项目的名称、编号；</w:t>
      </w:r>
    </w:p>
    <w:p w14:paraId="2FD8E0CB">
      <w:pPr>
        <w:spacing w:line="360" w:lineRule="auto"/>
        <w:jc w:val="left"/>
        <w:outlineLvl w:val="9"/>
        <w:rPr>
          <w:rFonts w:ascii="宋体" w:hAnsi="宋体"/>
          <w:sz w:val="24"/>
        </w:rPr>
      </w:pPr>
      <w:r>
        <w:rPr>
          <w:rFonts w:hint="eastAsia" w:ascii="宋体" w:hAnsi="宋体"/>
          <w:sz w:val="24"/>
        </w:rPr>
        <w:t>（3）具体、明确的质疑事项和与质疑事项相关的请求；</w:t>
      </w:r>
    </w:p>
    <w:p w14:paraId="15292753">
      <w:pPr>
        <w:spacing w:line="360" w:lineRule="auto"/>
        <w:jc w:val="left"/>
        <w:outlineLvl w:val="9"/>
        <w:rPr>
          <w:rFonts w:ascii="宋体" w:hAnsi="宋体"/>
          <w:sz w:val="24"/>
        </w:rPr>
      </w:pPr>
      <w:r>
        <w:rPr>
          <w:rFonts w:hint="eastAsia" w:ascii="宋体" w:hAnsi="宋体"/>
          <w:sz w:val="24"/>
        </w:rPr>
        <w:t>（4）事实依据；</w:t>
      </w:r>
    </w:p>
    <w:p w14:paraId="00C99E17">
      <w:pPr>
        <w:spacing w:line="360" w:lineRule="auto"/>
        <w:jc w:val="left"/>
        <w:outlineLvl w:val="9"/>
        <w:rPr>
          <w:rFonts w:ascii="宋体" w:hAnsi="宋体"/>
          <w:sz w:val="24"/>
        </w:rPr>
      </w:pPr>
      <w:r>
        <w:rPr>
          <w:rFonts w:hint="eastAsia" w:ascii="宋体" w:hAnsi="宋体"/>
          <w:sz w:val="24"/>
        </w:rPr>
        <w:t>（5）必要的法律依据；</w:t>
      </w:r>
    </w:p>
    <w:p w14:paraId="0B644ADC">
      <w:pPr>
        <w:spacing w:line="360" w:lineRule="auto"/>
        <w:jc w:val="left"/>
        <w:outlineLvl w:val="9"/>
        <w:rPr>
          <w:rFonts w:hint="eastAsia" w:ascii="宋体" w:hAnsi="宋体"/>
          <w:sz w:val="24"/>
        </w:rPr>
      </w:pPr>
      <w:r>
        <w:rPr>
          <w:rFonts w:hint="eastAsia" w:ascii="宋体" w:hAnsi="宋体"/>
          <w:sz w:val="24"/>
        </w:rPr>
        <w:t>（6）提出质疑的日期。</w:t>
      </w:r>
    </w:p>
    <w:p w14:paraId="105348EF">
      <w:pPr>
        <w:pStyle w:val="10"/>
        <w:ind w:firstLine="480"/>
        <w:outlineLvl w:val="9"/>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供应商为自然人的，应当由本人签字；供应商为法人或者其他组织的，应当由法定代表人、主要负责人，或者其授权代表签字或者盖章，并加盖公章。</w:t>
      </w:r>
    </w:p>
    <w:p w14:paraId="1ED2CF0B">
      <w:pPr>
        <w:spacing w:line="360" w:lineRule="auto"/>
        <w:jc w:val="left"/>
        <w:outlineLvl w:val="9"/>
        <w:rPr>
          <w:rFonts w:ascii="宋体" w:hAnsi="宋体"/>
          <w:b/>
          <w:bCs/>
          <w:sz w:val="24"/>
          <w:u w:val="single"/>
        </w:rPr>
      </w:pPr>
      <w:r>
        <w:rPr>
          <w:rFonts w:ascii="宋体" w:hAnsi="宋体"/>
          <w:b/>
          <w:bCs/>
          <w:sz w:val="24"/>
          <w:u w:val="single"/>
        </w:rPr>
        <w:t>质疑书实行实名制</w:t>
      </w:r>
      <w:r>
        <w:rPr>
          <w:rFonts w:hint="eastAsia" w:ascii="宋体" w:hAnsi="宋体"/>
          <w:b/>
          <w:bCs/>
          <w:sz w:val="24"/>
          <w:u w:val="single"/>
        </w:rPr>
        <w:t>，并提交</w:t>
      </w:r>
      <w:r>
        <w:rPr>
          <w:rFonts w:ascii="宋体" w:hAnsi="宋体"/>
          <w:b/>
          <w:bCs/>
          <w:sz w:val="24"/>
          <w:u w:val="single"/>
        </w:rPr>
        <w:t>由法定代表人或其</w:t>
      </w:r>
      <w:r>
        <w:rPr>
          <w:rFonts w:hint="eastAsia" w:ascii="宋体" w:hAnsi="宋体"/>
          <w:b/>
          <w:bCs/>
          <w:sz w:val="24"/>
          <w:u w:val="single"/>
        </w:rPr>
        <w:t>委托</w:t>
      </w:r>
      <w:r>
        <w:rPr>
          <w:rFonts w:ascii="宋体" w:hAnsi="宋体"/>
          <w:b/>
          <w:bCs/>
          <w:sz w:val="24"/>
          <w:u w:val="single"/>
        </w:rPr>
        <w:t>代理人签字</w:t>
      </w:r>
      <w:r>
        <w:rPr>
          <w:rFonts w:hint="eastAsia" w:ascii="宋体" w:hAnsi="宋体"/>
          <w:b/>
          <w:bCs/>
          <w:sz w:val="24"/>
          <w:u w:val="single"/>
        </w:rPr>
        <w:t>且</w:t>
      </w:r>
      <w:r>
        <w:rPr>
          <w:rFonts w:ascii="宋体" w:hAnsi="宋体"/>
          <w:b/>
          <w:bCs/>
          <w:sz w:val="24"/>
          <w:u w:val="single"/>
        </w:rPr>
        <w:t>盖</w:t>
      </w:r>
      <w:r>
        <w:rPr>
          <w:rFonts w:hint="eastAsia" w:ascii="宋体" w:hAnsi="宋体"/>
          <w:b/>
          <w:bCs/>
          <w:sz w:val="24"/>
          <w:u w:val="single"/>
        </w:rPr>
        <w:t>单位</w:t>
      </w:r>
      <w:r>
        <w:rPr>
          <w:rFonts w:ascii="宋体" w:hAnsi="宋体"/>
          <w:b/>
          <w:bCs/>
          <w:sz w:val="24"/>
          <w:u w:val="single"/>
        </w:rPr>
        <w:t>章</w:t>
      </w:r>
      <w:r>
        <w:rPr>
          <w:rFonts w:hint="eastAsia" w:ascii="宋体" w:hAnsi="宋体"/>
          <w:b/>
          <w:bCs/>
          <w:sz w:val="24"/>
          <w:u w:val="single"/>
        </w:rPr>
        <w:t>的原件</w:t>
      </w:r>
      <w:r>
        <w:rPr>
          <w:rFonts w:ascii="宋体" w:hAnsi="宋体"/>
          <w:b/>
          <w:bCs/>
          <w:sz w:val="24"/>
          <w:u w:val="single"/>
        </w:rPr>
        <w:t>。</w:t>
      </w:r>
    </w:p>
    <w:p w14:paraId="234D1C19">
      <w:pPr>
        <w:spacing w:line="360" w:lineRule="auto"/>
        <w:jc w:val="left"/>
        <w:outlineLvl w:val="9"/>
        <w:rPr>
          <w:rFonts w:ascii="宋体" w:hAnsi="宋体"/>
          <w:sz w:val="24"/>
        </w:rPr>
      </w:pPr>
      <w:r>
        <w:rPr>
          <w:rFonts w:hint="eastAsia" w:ascii="宋体" w:hAnsi="宋体"/>
          <w:sz w:val="24"/>
        </w:rPr>
        <w:t>6.4供应商为自然人的，质疑函应当由本人签字；供应商为法人或者其他组织的，质疑函应当由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07132E97">
      <w:pPr>
        <w:spacing w:line="360" w:lineRule="auto"/>
        <w:jc w:val="left"/>
        <w:outlineLvl w:val="9"/>
        <w:rPr>
          <w:rFonts w:ascii="宋体" w:hAnsi="宋体"/>
          <w:sz w:val="24"/>
        </w:rPr>
      </w:pPr>
      <w:r>
        <w:rPr>
          <w:rFonts w:hint="eastAsia" w:ascii="宋体" w:hAnsi="宋体"/>
          <w:b/>
          <w:sz w:val="24"/>
        </w:rPr>
        <w:t>接收质疑函的方式：</w:t>
      </w:r>
      <w:r>
        <w:rPr>
          <w:rFonts w:hint="eastAsia" w:ascii="宋体" w:hAnsi="宋体"/>
          <w:sz w:val="24"/>
        </w:rPr>
        <w:t>以书面形式递交签字并加盖公章的质疑函原件和必要的证明材料；邮寄送达的以邮件交邮日期为准。</w:t>
      </w:r>
    </w:p>
    <w:p w14:paraId="4337500F">
      <w:pPr>
        <w:spacing w:line="360" w:lineRule="auto"/>
        <w:jc w:val="left"/>
        <w:outlineLvl w:val="9"/>
        <w:rPr>
          <w:rFonts w:hint="eastAsia" w:ascii="宋体" w:hAnsi="宋体" w:eastAsia="宋体"/>
          <w:sz w:val="24"/>
          <w:lang w:eastAsia="zh-CN"/>
        </w:rPr>
      </w:pPr>
      <w:r>
        <w:rPr>
          <w:rFonts w:hint="eastAsia" w:ascii="宋体" w:hAnsi="宋体"/>
          <w:b/>
          <w:sz w:val="24"/>
        </w:rPr>
        <w:t>联系电话：</w:t>
      </w:r>
      <w:r>
        <w:rPr>
          <w:rFonts w:hint="eastAsia" w:ascii="宋体" w:hAnsi="宋体"/>
          <w:sz w:val="24"/>
          <w:lang w:eastAsia="zh-CN"/>
        </w:rPr>
        <w:t>刘青青 19869827332</w:t>
      </w:r>
    </w:p>
    <w:p w14:paraId="6654A79E">
      <w:pPr>
        <w:spacing w:line="360" w:lineRule="auto"/>
        <w:jc w:val="left"/>
        <w:outlineLvl w:val="9"/>
        <w:rPr>
          <w:rFonts w:hint="eastAsia" w:ascii="宋体" w:hAnsi="宋体" w:eastAsia="宋体"/>
          <w:sz w:val="24"/>
          <w:lang w:eastAsia="zh-CN"/>
        </w:rPr>
      </w:pPr>
      <w:r>
        <w:rPr>
          <w:rFonts w:hint="eastAsia" w:ascii="宋体" w:hAnsi="宋体"/>
          <w:b/>
          <w:sz w:val="24"/>
        </w:rPr>
        <w:t>通讯地址：</w:t>
      </w:r>
      <w:r>
        <w:rPr>
          <w:rFonts w:hint="eastAsia" w:ascii="宋体" w:hAnsi="宋体"/>
          <w:sz w:val="24"/>
          <w:lang w:eastAsia="zh-CN"/>
        </w:rPr>
        <w:t>昆明市环城南路668号云纺国际商厦C座1801室</w:t>
      </w:r>
    </w:p>
    <w:p w14:paraId="42EAAC0E">
      <w:pPr>
        <w:spacing w:line="360" w:lineRule="auto"/>
        <w:jc w:val="left"/>
        <w:outlineLvl w:val="9"/>
        <w:rPr>
          <w:rFonts w:ascii="宋体" w:hAnsi="宋体"/>
          <w:bCs/>
          <w:sz w:val="24"/>
        </w:rPr>
      </w:pPr>
      <w:r>
        <w:rPr>
          <w:rFonts w:hint="eastAsia" w:ascii="宋体" w:hAnsi="宋体"/>
          <w:sz w:val="24"/>
        </w:rPr>
        <w:t>6.5</w:t>
      </w:r>
      <w:r>
        <w:rPr>
          <w:rFonts w:ascii="宋体" w:hAnsi="宋体"/>
          <w:sz w:val="24"/>
        </w:rPr>
        <w:t>采购人、采购代理机构将在收到</w:t>
      </w:r>
      <w:r>
        <w:rPr>
          <w:rFonts w:hint="eastAsia" w:ascii="宋体" w:hAnsi="宋体"/>
          <w:sz w:val="24"/>
        </w:rPr>
        <w:t>投标人</w:t>
      </w:r>
      <w:r>
        <w:rPr>
          <w:rFonts w:ascii="宋体" w:hAnsi="宋体"/>
          <w:sz w:val="24"/>
        </w:rPr>
        <w:t>的书面质疑后</w:t>
      </w:r>
      <w:r>
        <w:rPr>
          <w:rFonts w:hint="eastAsia" w:ascii="宋体" w:hAnsi="宋体"/>
          <w:sz w:val="24"/>
        </w:rPr>
        <w:t>7</w:t>
      </w:r>
      <w:r>
        <w:rPr>
          <w:rFonts w:ascii="宋体" w:hAnsi="宋体"/>
          <w:sz w:val="24"/>
        </w:rPr>
        <w:t>个工作日内</w:t>
      </w:r>
      <w:r>
        <w:rPr>
          <w:rFonts w:hint="eastAsia" w:ascii="宋体" w:hAnsi="宋体"/>
          <w:sz w:val="24"/>
        </w:rPr>
        <w:t>作</w:t>
      </w:r>
      <w:r>
        <w:rPr>
          <w:rFonts w:ascii="宋体" w:hAnsi="宋体"/>
          <w:sz w:val="24"/>
        </w:rPr>
        <w:t>出答复，但答复的内容不</w:t>
      </w:r>
      <w:r>
        <w:rPr>
          <w:rFonts w:ascii="宋体" w:hAnsi="宋体"/>
          <w:bCs/>
          <w:sz w:val="24"/>
        </w:rPr>
        <w:t>涉及商业秘密。</w:t>
      </w:r>
    </w:p>
    <w:p w14:paraId="382E4FE7">
      <w:pPr>
        <w:spacing w:line="360" w:lineRule="auto"/>
        <w:outlineLvl w:val="9"/>
        <w:rPr>
          <w:rFonts w:ascii="宋体" w:hAnsi="宋体"/>
          <w:sz w:val="24"/>
        </w:rPr>
      </w:pPr>
      <w:r>
        <w:rPr>
          <w:rFonts w:hint="eastAsia" w:ascii="宋体" w:hAnsi="宋体"/>
          <w:sz w:val="24"/>
        </w:rPr>
        <w:t>6.6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35101AA5">
      <w:pPr>
        <w:spacing w:line="360" w:lineRule="auto"/>
        <w:outlineLvl w:val="9"/>
        <w:rPr>
          <w:rFonts w:ascii="宋体" w:hAnsi="宋体"/>
          <w:b/>
          <w:sz w:val="24"/>
        </w:rPr>
      </w:pPr>
      <w:bookmarkStart w:id="54" w:name="_Toc321836357"/>
      <w:r>
        <w:rPr>
          <w:rFonts w:hint="eastAsia" w:ascii="宋体" w:hAnsi="宋体"/>
          <w:b/>
          <w:sz w:val="24"/>
        </w:rPr>
        <w:t>7.</w:t>
      </w:r>
      <w:r>
        <w:rPr>
          <w:rFonts w:ascii="宋体" w:hAnsi="宋体"/>
          <w:b/>
          <w:sz w:val="24"/>
        </w:rPr>
        <w:t>投诉</w:t>
      </w:r>
      <w:bookmarkEnd w:id="54"/>
    </w:p>
    <w:p w14:paraId="56AF1219">
      <w:pPr>
        <w:pStyle w:val="17"/>
        <w:spacing w:line="360" w:lineRule="auto"/>
        <w:outlineLvl w:val="9"/>
        <w:rPr>
          <w:rFonts w:hAnsi="宋体"/>
          <w:sz w:val="24"/>
          <w:szCs w:val="24"/>
        </w:rPr>
      </w:pPr>
      <w:r>
        <w:rPr>
          <w:rFonts w:hint="eastAsia" w:hAnsi="宋体"/>
          <w:sz w:val="24"/>
          <w:szCs w:val="24"/>
        </w:rPr>
        <w:t>7.1</w:t>
      </w:r>
      <w:r>
        <w:rPr>
          <w:rFonts w:hAnsi="宋体"/>
          <w:sz w:val="24"/>
          <w:szCs w:val="24"/>
        </w:rPr>
        <w:t>投诉必须首先经过质疑程序。质疑</w:t>
      </w:r>
      <w:r>
        <w:rPr>
          <w:rFonts w:hint="eastAsia" w:hAnsi="宋体"/>
          <w:sz w:val="24"/>
          <w:szCs w:val="24"/>
        </w:rPr>
        <w:t>人</w:t>
      </w:r>
      <w:r>
        <w:rPr>
          <w:rFonts w:hAnsi="宋体"/>
          <w:sz w:val="24"/>
          <w:szCs w:val="24"/>
        </w:rPr>
        <w:t>对采购人、采购代理机构的答复不满意，或者采购人、采购代理机构未在规定的时间内做出答复的，可以在答复期满后</w:t>
      </w:r>
      <w:r>
        <w:rPr>
          <w:rFonts w:hint="eastAsia" w:hAnsi="宋体"/>
          <w:sz w:val="24"/>
          <w:szCs w:val="24"/>
        </w:rPr>
        <w:t>1</w:t>
      </w:r>
      <w:r>
        <w:rPr>
          <w:rFonts w:hAnsi="宋体"/>
          <w:sz w:val="24"/>
          <w:szCs w:val="24"/>
        </w:rPr>
        <w:t>5个工作日内书面向</w:t>
      </w:r>
      <w:r>
        <w:rPr>
          <w:rFonts w:hint="eastAsia" w:hAnsi="宋体"/>
          <w:sz w:val="24"/>
          <w:szCs w:val="24"/>
        </w:rPr>
        <w:t>同</w:t>
      </w:r>
      <w:r>
        <w:rPr>
          <w:rFonts w:hAnsi="宋体"/>
          <w:sz w:val="24"/>
          <w:szCs w:val="24"/>
        </w:rPr>
        <w:t>级财政部门</w:t>
      </w:r>
      <w:r>
        <w:rPr>
          <w:rFonts w:hint="eastAsia" w:hAnsi="宋体"/>
          <w:sz w:val="24"/>
          <w:szCs w:val="24"/>
        </w:rPr>
        <w:t>提出</w:t>
      </w:r>
      <w:r>
        <w:rPr>
          <w:rFonts w:hAnsi="宋体"/>
          <w:sz w:val="24"/>
          <w:szCs w:val="24"/>
        </w:rPr>
        <w:t>投诉。</w:t>
      </w:r>
    </w:p>
    <w:p w14:paraId="2EEF0109">
      <w:pPr>
        <w:tabs>
          <w:tab w:val="left" w:pos="1021"/>
        </w:tabs>
        <w:ind w:left="425" w:firstLine="0"/>
        <w:jc w:val="center"/>
        <w:outlineLvl w:val="9"/>
        <w:rPr>
          <w:rFonts w:hint="eastAsia" w:ascii="宋体" w:hAnsi="宋体" w:eastAsia="宋体" w:cs="Times New Roman"/>
          <w:sz w:val="30"/>
          <w:szCs w:val="30"/>
        </w:rPr>
      </w:pPr>
      <w:bookmarkStart w:id="55" w:name="_Toc70446105"/>
      <w:r>
        <w:rPr>
          <w:rFonts w:hint="eastAsia" w:ascii="宋体" w:hAnsi="宋体" w:eastAsia="宋体" w:cs="Times New Roman"/>
          <w:b/>
          <w:bCs/>
          <w:sz w:val="36"/>
          <w:szCs w:val="36"/>
        </w:rPr>
        <w:t>二、招标文件</w:t>
      </w:r>
      <w:bookmarkEnd w:id="55"/>
    </w:p>
    <w:p w14:paraId="3036DEAA">
      <w:pPr>
        <w:pStyle w:val="17"/>
        <w:spacing w:line="360" w:lineRule="auto"/>
        <w:outlineLvl w:val="9"/>
        <w:rPr>
          <w:rFonts w:hAnsi="宋体"/>
          <w:b/>
          <w:bCs/>
          <w:sz w:val="24"/>
          <w:szCs w:val="24"/>
        </w:rPr>
      </w:pPr>
      <w:r>
        <w:rPr>
          <w:rFonts w:hint="eastAsia" w:hAnsi="宋体"/>
          <w:b/>
          <w:bCs/>
          <w:sz w:val="24"/>
          <w:szCs w:val="24"/>
        </w:rPr>
        <w:t>8. 招标文件构成</w:t>
      </w:r>
    </w:p>
    <w:p w14:paraId="1A33AEFF">
      <w:pPr>
        <w:spacing w:line="360" w:lineRule="auto"/>
        <w:jc w:val="left"/>
        <w:outlineLvl w:val="9"/>
        <w:rPr>
          <w:rFonts w:ascii="宋体" w:hAnsi="宋体"/>
          <w:sz w:val="24"/>
        </w:rPr>
      </w:pPr>
      <w:r>
        <w:rPr>
          <w:rFonts w:hint="eastAsia" w:ascii="宋体" w:hAnsi="宋体"/>
          <w:sz w:val="24"/>
        </w:rPr>
        <w:t>8.1要求提供的</w:t>
      </w:r>
      <w:r>
        <w:rPr>
          <w:rFonts w:hint="eastAsia" w:ascii="宋体" w:hAnsi="宋体"/>
          <w:sz w:val="24"/>
          <w:lang w:val="en-US" w:eastAsia="zh-CN"/>
        </w:rPr>
        <w:t>货物</w:t>
      </w:r>
      <w:r>
        <w:rPr>
          <w:rFonts w:hint="eastAsia" w:ascii="宋体" w:hAnsi="宋体"/>
          <w:sz w:val="24"/>
        </w:rPr>
        <w:t>、采购过程及合同条款在招标文件中均有说明，招标文件共七章，各章的内容如下：</w:t>
      </w:r>
    </w:p>
    <w:p w14:paraId="41B08CE2">
      <w:pPr>
        <w:spacing w:line="360" w:lineRule="auto"/>
        <w:ind w:firstLine="720" w:firstLineChars="300"/>
        <w:jc w:val="left"/>
        <w:outlineLvl w:val="9"/>
        <w:rPr>
          <w:rFonts w:ascii="宋体" w:hAnsi="宋体"/>
          <w:sz w:val="24"/>
        </w:rPr>
      </w:pPr>
      <w:r>
        <w:rPr>
          <w:rFonts w:hint="eastAsia" w:ascii="宋体" w:hAnsi="宋体"/>
          <w:sz w:val="24"/>
        </w:rPr>
        <w:t>第一章  公开招标公告</w:t>
      </w:r>
    </w:p>
    <w:p w14:paraId="0011F0A9">
      <w:pPr>
        <w:pStyle w:val="17"/>
        <w:spacing w:line="360" w:lineRule="auto"/>
        <w:outlineLvl w:val="9"/>
        <w:rPr>
          <w:rFonts w:hAnsi="宋体"/>
          <w:sz w:val="24"/>
          <w:szCs w:val="24"/>
        </w:rPr>
      </w:pPr>
      <w:r>
        <w:rPr>
          <w:rFonts w:hint="eastAsia" w:hAnsi="宋体"/>
          <w:sz w:val="24"/>
          <w:szCs w:val="24"/>
        </w:rPr>
        <w:t xml:space="preserve">      第二章  投标人须知</w:t>
      </w:r>
    </w:p>
    <w:p w14:paraId="5AF7A8E5">
      <w:pPr>
        <w:pStyle w:val="17"/>
        <w:spacing w:line="360" w:lineRule="auto"/>
        <w:outlineLvl w:val="9"/>
        <w:rPr>
          <w:rFonts w:hAnsi="宋体"/>
          <w:sz w:val="24"/>
          <w:szCs w:val="24"/>
        </w:rPr>
      </w:pPr>
      <w:r>
        <w:rPr>
          <w:rFonts w:hint="eastAsia" w:hAnsi="宋体"/>
          <w:sz w:val="24"/>
          <w:szCs w:val="24"/>
        </w:rPr>
        <w:t xml:space="preserve">      第三章  合同书样式及主要条款</w:t>
      </w:r>
    </w:p>
    <w:p w14:paraId="44B74768">
      <w:pPr>
        <w:pStyle w:val="17"/>
        <w:spacing w:line="360" w:lineRule="auto"/>
        <w:ind w:firstLine="720" w:firstLineChars="300"/>
        <w:outlineLvl w:val="9"/>
        <w:rPr>
          <w:rFonts w:hAnsi="宋体"/>
          <w:sz w:val="24"/>
          <w:szCs w:val="24"/>
        </w:rPr>
      </w:pPr>
      <w:r>
        <w:rPr>
          <w:rFonts w:hint="eastAsia" w:hAnsi="宋体"/>
          <w:sz w:val="24"/>
          <w:szCs w:val="24"/>
        </w:rPr>
        <w:t>第四章  投标文件格式</w:t>
      </w:r>
    </w:p>
    <w:p w14:paraId="0171D4FD">
      <w:pPr>
        <w:pStyle w:val="17"/>
        <w:spacing w:line="360" w:lineRule="auto"/>
        <w:outlineLvl w:val="9"/>
        <w:rPr>
          <w:rFonts w:hAnsi="宋体"/>
          <w:sz w:val="24"/>
          <w:szCs w:val="24"/>
        </w:rPr>
      </w:pPr>
      <w:r>
        <w:rPr>
          <w:rFonts w:hint="eastAsia" w:hAnsi="宋体"/>
          <w:sz w:val="24"/>
          <w:szCs w:val="24"/>
        </w:rPr>
        <w:t xml:space="preserve">      第五章  项目需求及服务要求</w:t>
      </w:r>
    </w:p>
    <w:p w14:paraId="764C41B6">
      <w:pPr>
        <w:pStyle w:val="17"/>
        <w:spacing w:line="360" w:lineRule="auto"/>
        <w:ind w:firstLine="720" w:firstLineChars="300"/>
        <w:outlineLvl w:val="9"/>
        <w:rPr>
          <w:rFonts w:hAnsi="宋体"/>
          <w:sz w:val="24"/>
          <w:szCs w:val="24"/>
        </w:rPr>
      </w:pPr>
      <w:r>
        <w:rPr>
          <w:rFonts w:hint="eastAsia" w:hAnsi="宋体"/>
          <w:sz w:val="24"/>
          <w:szCs w:val="24"/>
        </w:rPr>
        <w:t>第六章  资格评审标准</w:t>
      </w:r>
    </w:p>
    <w:p w14:paraId="691DF321">
      <w:pPr>
        <w:pStyle w:val="17"/>
        <w:spacing w:line="360" w:lineRule="auto"/>
        <w:ind w:firstLine="720" w:firstLineChars="300"/>
        <w:outlineLvl w:val="9"/>
        <w:rPr>
          <w:rFonts w:hint="eastAsia" w:ascii="宋体" w:hAnsi="宋体" w:eastAsia="宋体" w:cs="Times New Roman"/>
          <w:sz w:val="24"/>
          <w:szCs w:val="24"/>
        </w:rPr>
      </w:pPr>
      <w:r>
        <w:rPr>
          <w:rFonts w:hint="eastAsia" w:ascii="宋体" w:hAnsi="宋体" w:eastAsia="宋体" w:cs="Times New Roman"/>
          <w:sz w:val="24"/>
          <w:szCs w:val="24"/>
        </w:rPr>
        <w:t>第七章  评标方法（综合评分法）</w:t>
      </w:r>
    </w:p>
    <w:p w14:paraId="50D4F0B2">
      <w:pPr>
        <w:pStyle w:val="17"/>
        <w:spacing w:line="360" w:lineRule="auto"/>
        <w:outlineLvl w:val="9"/>
        <w:rPr>
          <w:rFonts w:hAnsi="宋体"/>
          <w:b/>
          <w:bCs/>
          <w:sz w:val="24"/>
          <w:szCs w:val="24"/>
        </w:rPr>
      </w:pPr>
      <w:r>
        <w:rPr>
          <w:rFonts w:hint="eastAsia" w:hAnsi="宋体"/>
          <w:b/>
          <w:bCs/>
          <w:sz w:val="24"/>
          <w:szCs w:val="24"/>
        </w:rPr>
        <w:t>9. 招标文件的澄清</w:t>
      </w:r>
    </w:p>
    <w:p w14:paraId="4B41EB9E">
      <w:pPr>
        <w:spacing w:line="360" w:lineRule="auto"/>
        <w:jc w:val="left"/>
        <w:outlineLvl w:val="9"/>
        <w:rPr>
          <w:rFonts w:ascii="宋体" w:hAnsi="宋体"/>
          <w:sz w:val="24"/>
        </w:rPr>
      </w:pPr>
      <w:r>
        <w:rPr>
          <w:rFonts w:hint="eastAsia" w:ascii="宋体" w:hAnsi="宋体"/>
          <w:sz w:val="24"/>
        </w:rPr>
        <w:t>9.1投标人应认真核查招标文件，如有疑问的，投标人可以在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政采云”平台，通过在线方式进行不署名提问。</w:t>
      </w:r>
    </w:p>
    <w:p w14:paraId="748697A4">
      <w:pPr>
        <w:spacing w:line="360" w:lineRule="auto"/>
        <w:jc w:val="left"/>
        <w:outlineLvl w:val="9"/>
        <w:rPr>
          <w:rFonts w:ascii="宋体" w:hAnsi="宋体"/>
          <w:sz w:val="24"/>
        </w:rPr>
      </w:pPr>
      <w:r>
        <w:rPr>
          <w:rFonts w:hint="eastAsia" w:ascii="宋体" w:hAnsi="宋体"/>
          <w:sz w:val="24"/>
        </w:rPr>
        <w:t>9.2采购代理机构将通过电子文件形式答复所有获取招标文件的投标人（答复中不包含问题的来源）要求澄清的问题，其他澄清方式为无效。</w:t>
      </w:r>
    </w:p>
    <w:p w14:paraId="204F2C2F">
      <w:pPr>
        <w:pStyle w:val="17"/>
        <w:spacing w:line="360" w:lineRule="auto"/>
        <w:outlineLvl w:val="9"/>
        <w:rPr>
          <w:rFonts w:hAnsi="宋体"/>
          <w:b/>
          <w:bCs/>
          <w:sz w:val="24"/>
          <w:szCs w:val="24"/>
        </w:rPr>
      </w:pPr>
      <w:r>
        <w:rPr>
          <w:rFonts w:hint="eastAsia" w:hAnsi="宋体"/>
          <w:b/>
          <w:bCs/>
          <w:sz w:val="24"/>
          <w:szCs w:val="24"/>
        </w:rPr>
        <w:t>10. 招标文件的澄清或者修改</w:t>
      </w:r>
    </w:p>
    <w:p w14:paraId="20ABD7AF">
      <w:pPr>
        <w:spacing w:line="360" w:lineRule="auto"/>
        <w:jc w:val="left"/>
        <w:outlineLvl w:val="9"/>
        <w:rPr>
          <w:rFonts w:ascii="宋体" w:hAnsi="宋体"/>
          <w:sz w:val="24"/>
        </w:rPr>
      </w:pPr>
      <w:r>
        <w:rPr>
          <w:rFonts w:hint="eastAsia" w:ascii="宋体" w:hAnsi="宋体"/>
          <w:sz w:val="24"/>
        </w:rPr>
        <w:t>10.1 采购代理机构对已发出的招标文件进行必要澄清或者修改的，于招标文件要求提交投标文件截止时间15日前，在财政部门指定的政府采购信息发布媒体上发布更正公告。该澄清或者修改的内容为招标文件的组成部分。</w:t>
      </w:r>
    </w:p>
    <w:p w14:paraId="0E7EC96F">
      <w:pPr>
        <w:spacing w:line="360" w:lineRule="auto"/>
        <w:jc w:val="left"/>
        <w:outlineLvl w:val="9"/>
        <w:rPr>
          <w:rFonts w:ascii="宋体" w:hAnsi="宋体"/>
          <w:sz w:val="24"/>
        </w:rPr>
      </w:pPr>
      <w:r>
        <w:rPr>
          <w:rFonts w:hint="eastAsia" w:ascii="宋体" w:hAnsi="宋体"/>
          <w:sz w:val="24"/>
        </w:rPr>
        <w:t>10.2 采购代理机构和采购单位可以视采购具体情况，延长投标截止时间和开标时间，但至少在招标文件要求提交投标文件的截止时间前，将变更时间通知所有获取招标文件的投标人，并在财政部门指定的政府采购信息发布媒体上发布变更公告。</w:t>
      </w:r>
    </w:p>
    <w:p w14:paraId="093E13DD">
      <w:pPr>
        <w:spacing w:line="360" w:lineRule="auto"/>
        <w:jc w:val="left"/>
        <w:outlineLvl w:val="9"/>
        <w:rPr>
          <w:rFonts w:ascii="宋体" w:hAnsi="宋体"/>
          <w:sz w:val="24"/>
        </w:rPr>
      </w:pPr>
      <w:r>
        <w:rPr>
          <w:rFonts w:hint="eastAsia" w:ascii="宋体" w:hAnsi="宋体"/>
          <w:sz w:val="24"/>
        </w:rPr>
        <w:t>10.3采购人对采购文件中的涉及评标办法、评审项目等重要评审内容做出变更，将同时发布补遗文件进行说明以保证各投标人都能重新下载并用于编制电子投标文件。</w:t>
      </w:r>
    </w:p>
    <w:p w14:paraId="4EEC99A2">
      <w:pPr>
        <w:keepNext w:val="0"/>
        <w:keepLines w:val="0"/>
        <w:pageBreakBefore w:val="0"/>
        <w:widowControl w:val="0"/>
        <w:kinsoku/>
        <w:wordWrap w:val="0"/>
        <w:overflowPunct/>
        <w:topLinePunct w:val="0"/>
        <w:autoSpaceDE/>
        <w:autoSpaceDN/>
        <w:bidi w:val="0"/>
        <w:adjustRightInd/>
        <w:snapToGrid/>
        <w:spacing w:line="360" w:lineRule="auto"/>
        <w:jc w:val="left"/>
        <w:textAlignment w:val="auto"/>
        <w:outlineLvl w:val="9"/>
        <w:rPr>
          <w:rFonts w:ascii="宋体" w:hAnsi="宋体"/>
          <w:sz w:val="24"/>
        </w:rPr>
      </w:pPr>
      <w:r>
        <w:rPr>
          <w:rFonts w:hint="eastAsia" w:ascii="宋体" w:hAnsi="宋体"/>
          <w:sz w:val="24"/>
        </w:rPr>
        <w:t>10.4投标人应在投标截止时间前及时登录</w:t>
      </w:r>
      <w:r>
        <w:rPr>
          <w:rFonts w:hint="eastAsia" w:ascii="宋体" w:hAnsi="宋体" w:cs="宋体"/>
          <w:sz w:val="24"/>
          <w:lang w:eastAsia="zh-CN"/>
        </w:rPr>
        <w:t>云南省政府采购电子交易平台</w:t>
      </w:r>
      <w:r>
        <w:rPr>
          <w:rFonts w:hint="eastAsia" w:ascii="宋体" w:hAnsi="宋体" w:cs="宋体"/>
          <w:sz w:val="24"/>
        </w:rPr>
        <w:t>（政采云平台https://www.zcygov.cn/）</w:t>
      </w:r>
      <w:r>
        <w:rPr>
          <w:rFonts w:hint="eastAsia" w:ascii="宋体" w:hAnsi="宋体"/>
          <w:sz w:val="24"/>
        </w:rPr>
        <w:t>中查看有关招标文件的答疑、补遗内容。否则，后果自负。</w:t>
      </w:r>
    </w:p>
    <w:p w14:paraId="13EDBD75">
      <w:pPr>
        <w:keepNext w:val="0"/>
        <w:keepLines w:val="0"/>
        <w:pageBreakBefore w:val="0"/>
        <w:widowControl w:val="0"/>
        <w:kinsoku/>
        <w:wordWrap w:val="0"/>
        <w:overflowPunct/>
        <w:topLinePunct w:val="0"/>
        <w:autoSpaceDE/>
        <w:autoSpaceDN/>
        <w:bidi w:val="0"/>
        <w:adjustRightInd/>
        <w:snapToGrid/>
        <w:spacing w:line="360" w:lineRule="auto"/>
        <w:jc w:val="left"/>
        <w:textAlignment w:val="auto"/>
        <w:outlineLvl w:val="9"/>
        <w:rPr>
          <w:rFonts w:ascii="宋体" w:hAnsi="宋体"/>
          <w:sz w:val="24"/>
        </w:rPr>
      </w:pPr>
      <w:r>
        <w:rPr>
          <w:rFonts w:hint="eastAsia" w:ascii="宋体" w:hAnsi="宋体"/>
          <w:sz w:val="24"/>
        </w:rPr>
        <w:t>10.5招标文件澄清、招标文件修改文件内容均以网上电子文件为准，当招标文件、招标文件澄清、招标文件修改文件内容后前相互矛盾时，以最后发出的为准。</w:t>
      </w:r>
    </w:p>
    <w:p w14:paraId="15E49F86">
      <w:pPr>
        <w:tabs>
          <w:tab w:val="left" w:pos="1021"/>
        </w:tabs>
        <w:ind w:left="425" w:firstLine="0"/>
        <w:jc w:val="center"/>
        <w:outlineLvl w:val="9"/>
        <w:rPr>
          <w:rFonts w:ascii="宋体" w:hAnsi="宋体" w:eastAsia="宋体"/>
          <w:sz w:val="30"/>
          <w:szCs w:val="30"/>
        </w:rPr>
      </w:pPr>
      <w:bookmarkStart w:id="56" w:name="_Toc70446106"/>
      <w:r>
        <w:rPr>
          <w:rFonts w:hint="eastAsia" w:ascii="宋体" w:hAnsi="宋体" w:eastAsia="宋体"/>
          <w:b/>
          <w:bCs/>
          <w:sz w:val="36"/>
          <w:szCs w:val="36"/>
        </w:rPr>
        <w:t>三、投标文件</w:t>
      </w:r>
      <w:bookmarkEnd w:id="56"/>
    </w:p>
    <w:p w14:paraId="37606F9A">
      <w:pPr>
        <w:spacing w:line="360" w:lineRule="auto"/>
        <w:jc w:val="left"/>
        <w:outlineLvl w:val="9"/>
        <w:rPr>
          <w:rFonts w:ascii="宋体" w:hAnsi="宋体"/>
          <w:b/>
          <w:sz w:val="24"/>
        </w:rPr>
      </w:pPr>
      <w:r>
        <w:rPr>
          <w:rFonts w:hint="eastAsia" w:ascii="宋体" w:hAnsi="宋体"/>
          <w:b/>
          <w:sz w:val="24"/>
        </w:rPr>
        <w:t>11. 投标文件编写注意事项</w:t>
      </w:r>
    </w:p>
    <w:p w14:paraId="4DF6FEFD">
      <w:pPr>
        <w:spacing w:line="360" w:lineRule="auto"/>
        <w:jc w:val="left"/>
        <w:outlineLvl w:val="9"/>
        <w:rPr>
          <w:rFonts w:ascii="宋体" w:hAnsi="宋体"/>
          <w:sz w:val="24"/>
        </w:rPr>
      </w:pPr>
      <w:r>
        <w:rPr>
          <w:rFonts w:hint="eastAsia" w:ascii="宋体" w:hAnsi="宋体"/>
          <w:sz w:val="24"/>
        </w:rPr>
        <w:t>11.1投标人应仔细阅读招标文件，在完全了解采购的内容、技术性能要求(详见“</w:t>
      </w:r>
      <w:r>
        <w:rPr>
          <w:rFonts w:hint="eastAsia" w:ascii="宋体" w:hAnsi="宋体"/>
          <w:b/>
          <w:sz w:val="24"/>
        </w:rPr>
        <w:t>项目需求</w:t>
      </w:r>
      <w:r>
        <w:rPr>
          <w:rFonts w:ascii="宋体" w:hAnsi="宋体"/>
          <w:b/>
          <w:sz w:val="24"/>
        </w:rPr>
        <w:t>及服务要求</w:t>
      </w:r>
      <w:r>
        <w:rPr>
          <w:rFonts w:hint="eastAsia" w:ascii="宋体" w:hAnsi="宋体"/>
          <w:b/>
          <w:sz w:val="24"/>
        </w:rPr>
        <w:t>”</w:t>
      </w:r>
      <w:r>
        <w:rPr>
          <w:rFonts w:hint="eastAsia" w:ascii="宋体" w:hAnsi="宋体"/>
          <w:sz w:val="24"/>
        </w:rPr>
        <w:t>)和商务条件后，编写投标文件。</w:t>
      </w:r>
      <w:r>
        <w:rPr>
          <w:rFonts w:hint="eastAsia" w:ascii="宋体" w:hAnsi="宋体"/>
          <w:b/>
          <w:sz w:val="24"/>
        </w:rPr>
        <w:t>招标文件中标注★号的条款为实质性要求和条件，投标文件必须响应招标文件的实质性要求和条件，不满足任何一条将导致投标无效</w:t>
      </w:r>
      <w:r>
        <w:rPr>
          <w:rFonts w:hint="eastAsia" w:ascii="宋体" w:hAnsi="宋体"/>
          <w:sz w:val="24"/>
        </w:rPr>
        <w:t>。</w:t>
      </w:r>
    </w:p>
    <w:p w14:paraId="1C3BBEC9">
      <w:pPr>
        <w:spacing w:line="360" w:lineRule="auto"/>
        <w:jc w:val="left"/>
        <w:outlineLvl w:val="9"/>
        <w:rPr>
          <w:rFonts w:ascii="宋体" w:hAnsi="宋体"/>
          <w:sz w:val="24"/>
        </w:rPr>
      </w:pPr>
      <w:r>
        <w:rPr>
          <w:rFonts w:hint="eastAsia" w:ascii="宋体" w:hAnsi="宋体"/>
          <w:sz w:val="24"/>
        </w:rPr>
        <w:t>11.2 对招标文件提出的实质性要求和条件作出响应是指：投标人必须对招标文件中的实质性要求和条件的内容作出满足或者优于原要求和条件的承诺，并提供相应的证明材料。</w:t>
      </w:r>
    </w:p>
    <w:p w14:paraId="10DECA7C">
      <w:pPr>
        <w:spacing w:line="360" w:lineRule="auto"/>
        <w:jc w:val="left"/>
        <w:outlineLvl w:val="9"/>
        <w:rPr>
          <w:rFonts w:ascii="宋体" w:hAnsi="宋体"/>
          <w:b/>
          <w:sz w:val="24"/>
        </w:rPr>
      </w:pPr>
      <w:r>
        <w:rPr>
          <w:rFonts w:hint="eastAsia" w:ascii="宋体" w:hAnsi="宋体"/>
          <w:b/>
          <w:sz w:val="24"/>
        </w:rPr>
        <w:t>12. 投标的语言及计量单位</w:t>
      </w:r>
    </w:p>
    <w:p w14:paraId="4DB98197">
      <w:pPr>
        <w:spacing w:line="360" w:lineRule="auto"/>
        <w:jc w:val="left"/>
        <w:outlineLvl w:val="9"/>
        <w:rPr>
          <w:rFonts w:ascii="宋体" w:hAnsi="宋体"/>
          <w:sz w:val="24"/>
        </w:rPr>
      </w:pPr>
      <w:r>
        <w:rPr>
          <w:rFonts w:hint="eastAsia" w:ascii="宋体" w:hAnsi="宋体"/>
          <w:sz w:val="24"/>
        </w:rPr>
        <w:t>12.1投标人的投标文件以及投标人与采购代理机构就有关投标的所有来往函电统一使用中文（特别规定除外）。</w:t>
      </w:r>
    </w:p>
    <w:p w14:paraId="1715BB55">
      <w:pPr>
        <w:spacing w:line="360" w:lineRule="auto"/>
        <w:jc w:val="left"/>
        <w:outlineLvl w:val="9"/>
        <w:rPr>
          <w:rFonts w:ascii="宋体" w:hAnsi="宋体"/>
          <w:sz w:val="24"/>
        </w:rPr>
      </w:pPr>
      <w:r>
        <w:rPr>
          <w:rFonts w:hint="eastAsia" w:ascii="宋体" w:hAnsi="宋体"/>
          <w:sz w:val="24"/>
        </w:rPr>
        <w:t>12.2投标文件中使用的计量单位除招标文件中有特殊规定外，一律使用中国法定计量单位。</w:t>
      </w:r>
    </w:p>
    <w:p w14:paraId="3170FFA4">
      <w:pPr>
        <w:spacing w:line="360" w:lineRule="auto"/>
        <w:jc w:val="left"/>
        <w:outlineLvl w:val="9"/>
        <w:rPr>
          <w:rFonts w:ascii="宋体" w:hAnsi="宋体"/>
          <w:b/>
          <w:sz w:val="24"/>
        </w:rPr>
      </w:pPr>
      <w:r>
        <w:rPr>
          <w:rFonts w:hint="eastAsia" w:ascii="宋体" w:hAnsi="宋体"/>
          <w:b/>
          <w:sz w:val="24"/>
        </w:rPr>
        <w:t>13. 投标文件构成</w:t>
      </w:r>
    </w:p>
    <w:p w14:paraId="0DA4D67D">
      <w:pPr>
        <w:spacing w:line="360" w:lineRule="auto"/>
        <w:jc w:val="left"/>
        <w:outlineLvl w:val="9"/>
        <w:rPr>
          <w:rFonts w:ascii="宋体" w:hAnsi="宋体"/>
          <w:sz w:val="24"/>
        </w:rPr>
      </w:pPr>
      <w:r>
        <w:rPr>
          <w:rFonts w:hint="eastAsia" w:ascii="宋体" w:hAnsi="宋体"/>
          <w:sz w:val="24"/>
        </w:rPr>
        <w:t>13.1投标人编写的投标文件应由下列部分构成，并按第四章“投标文件格式”要求填写。</w:t>
      </w:r>
    </w:p>
    <w:p w14:paraId="655CAF5C">
      <w:pPr>
        <w:spacing w:line="360" w:lineRule="auto"/>
        <w:ind w:firstLine="410" w:firstLineChars="171"/>
        <w:jc w:val="left"/>
        <w:outlineLvl w:val="9"/>
        <w:rPr>
          <w:rFonts w:ascii="宋体" w:hAnsi="宋体"/>
          <w:sz w:val="24"/>
        </w:rPr>
      </w:pPr>
      <w:r>
        <w:rPr>
          <w:rFonts w:hint="eastAsia" w:ascii="宋体" w:hAnsi="宋体"/>
          <w:sz w:val="24"/>
        </w:rPr>
        <w:t>13.1.1</w:t>
      </w:r>
      <w:r>
        <w:rPr>
          <w:rFonts w:ascii="宋体" w:hAnsi="宋体"/>
          <w:sz w:val="24"/>
        </w:rPr>
        <w:t>开标一览表</w:t>
      </w:r>
      <w:r>
        <w:rPr>
          <w:rFonts w:hint="eastAsia" w:ascii="宋体" w:hAnsi="宋体"/>
          <w:sz w:val="24"/>
        </w:rPr>
        <w:t>；</w:t>
      </w:r>
    </w:p>
    <w:p w14:paraId="6D32E71C">
      <w:pPr>
        <w:spacing w:line="360" w:lineRule="auto"/>
        <w:ind w:firstLine="410" w:firstLineChars="171"/>
        <w:jc w:val="left"/>
        <w:outlineLvl w:val="9"/>
        <w:rPr>
          <w:rFonts w:ascii="宋体" w:hAnsi="宋体"/>
          <w:sz w:val="24"/>
        </w:rPr>
      </w:pPr>
      <w:r>
        <w:rPr>
          <w:rFonts w:hint="eastAsia" w:ascii="宋体" w:hAnsi="宋体"/>
          <w:sz w:val="24"/>
        </w:rPr>
        <w:t>13.1.</w:t>
      </w:r>
      <w:r>
        <w:rPr>
          <w:rFonts w:ascii="宋体" w:hAnsi="宋体"/>
          <w:sz w:val="24"/>
        </w:rPr>
        <w:t>2</w:t>
      </w:r>
      <w:r>
        <w:rPr>
          <w:rFonts w:hint="eastAsia" w:ascii="宋体" w:hAnsi="宋体"/>
          <w:sz w:val="24"/>
        </w:rPr>
        <w:t>资格证明文件；</w:t>
      </w:r>
    </w:p>
    <w:p w14:paraId="7740D576">
      <w:pPr>
        <w:spacing w:line="360" w:lineRule="auto"/>
        <w:ind w:firstLine="410" w:firstLineChars="171"/>
        <w:jc w:val="left"/>
        <w:outlineLvl w:val="9"/>
        <w:rPr>
          <w:rFonts w:hint="eastAsia" w:ascii="宋体" w:hAnsi="宋体"/>
          <w:sz w:val="24"/>
        </w:rPr>
      </w:pPr>
      <w:r>
        <w:rPr>
          <w:rFonts w:hint="eastAsia" w:ascii="宋体" w:hAnsi="宋体"/>
          <w:sz w:val="24"/>
        </w:rPr>
        <w:t>（1）本章第</w:t>
      </w:r>
      <w:r>
        <w:rPr>
          <w:rFonts w:hint="eastAsia" w:ascii="宋体" w:hAnsi="宋体"/>
          <w:b/>
          <w:sz w:val="24"/>
        </w:rPr>
        <w:t>4款“ 合格的投标人”</w:t>
      </w:r>
      <w:r>
        <w:rPr>
          <w:rFonts w:hint="eastAsia" w:ascii="宋体" w:hAnsi="宋体"/>
          <w:sz w:val="24"/>
        </w:rPr>
        <w:t>中要求提供的资格证明文件。</w:t>
      </w:r>
    </w:p>
    <w:p w14:paraId="70483338">
      <w:pPr>
        <w:spacing w:line="360" w:lineRule="auto"/>
        <w:ind w:firstLine="480" w:firstLineChars="200"/>
        <w:jc w:val="left"/>
        <w:outlineLvl w:val="9"/>
        <w:rPr>
          <w:rFonts w:hint="eastAsia" w:ascii="宋体" w:hAnsi="宋体"/>
          <w:sz w:val="24"/>
        </w:rPr>
      </w:pPr>
      <w:r>
        <w:rPr>
          <w:rFonts w:hint="eastAsia" w:ascii="宋体" w:hAnsi="宋体"/>
          <w:sz w:val="24"/>
        </w:rPr>
        <w:t>13.1.3投标文件商务部分：详见第四章</w:t>
      </w:r>
    </w:p>
    <w:p w14:paraId="340DC513">
      <w:pPr>
        <w:spacing w:line="360" w:lineRule="auto"/>
        <w:ind w:firstLine="480" w:firstLineChars="200"/>
        <w:jc w:val="left"/>
        <w:outlineLvl w:val="9"/>
        <w:rPr>
          <w:rFonts w:hint="eastAsia" w:ascii="宋体" w:hAnsi="宋体"/>
          <w:sz w:val="24"/>
        </w:rPr>
      </w:pPr>
      <w:r>
        <w:rPr>
          <w:rFonts w:ascii="宋体" w:hAnsi="宋体"/>
          <w:sz w:val="24"/>
        </w:rPr>
        <w:t>13.1.4</w:t>
      </w:r>
      <w:r>
        <w:rPr>
          <w:rFonts w:hint="eastAsia" w:ascii="宋体" w:hAnsi="宋体"/>
          <w:sz w:val="24"/>
        </w:rPr>
        <w:t>构成投标文件商务部分的其他资料：详见“投标人须知前附表”要求。</w:t>
      </w:r>
    </w:p>
    <w:p w14:paraId="4D01A060">
      <w:pPr>
        <w:spacing w:line="360" w:lineRule="auto"/>
        <w:ind w:firstLine="480" w:firstLineChars="200"/>
        <w:jc w:val="left"/>
        <w:outlineLvl w:val="9"/>
        <w:rPr>
          <w:rFonts w:hint="eastAsia" w:ascii="宋体" w:hAnsi="宋体"/>
          <w:sz w:val="24"/>
        </w:rPr>
      </w:pPr>
      <w:r>
        <w:rPr>
          <w:rFonts w:hint="eastAsia" w:ascii="宋体" w:hAnsi="宋体"/>
          <w:sz w:val="24"/>
        </w:rPr>
        <w:t>13.1.5投标文件技术部分：详见第四章</w:t>
      </w:r>
    </w:p>
    <w:p w14:paraId="75F9498A">
      <w:pPr>
        <w:spacing w:line="360" w:lineRule="auto"/>
        <w:ind w:firstLine="480" w:firstLineChars="200"/>
        <w:jc w:val="left"/>
        <w:outlineLvl w:val="9"/>
        <w:rPr>
          <w:rFonts w:ascii="宋体" w:hAnsi="宋体"/>
          <w:sz w:val="24"/>
        </w:rPr>
      </w:pPr>
      <w:r>
        <w:rPr>
          <w:rFonts w:ascii="宋体" w:hAnsi="宋体"/>
          <w:sz w:val="24"/>
        </w:rPr>
        <w:t>13.1.</w:t>
      </w:r>
      <w:r>
        <w:rPr>
          <w:rFonts w:hint="eastAsia" w:ascii="宋体" w:hAnsi="宋体"/>
          <w:sz w:val="24"/>
        </w:rPr>
        <w:t>6构成投标文件技术部分的其他资料：详见“投标人须知前附表”要求。</w:t>
      </w:r>
    </w:p>
    <w:p w14:paraId="5DB67799">
      <w:pPr>
        <w:spacing w:line="360" w:lineRule="auto"/>
        <w:jc w:val="left"/>
        <w:outlineLvl w:val="9"/>
        <w:rPr>
          <w:rFonts w:ascii="宋体" w:hAnsi="宋体"/>
          <w:sz w:val="24"/>
        </w:rPr>
      </w:pPr>
      <w:r>
        <w:rPr>
          <w:rFonts w:hint="eastAsia" w:ascii="宋体" w:hAnsi="宋体"/>
          <w:sz w:val="24"/>
        </w:rPr>
        <w:t>13.2投标人同时投多个包（</w:t>
      </w:r>
      <w:r>
        <w:rPr>
          <w:rFonts w:hint="eastAsia" w:ascii="宋体" w:hAnsi="宋体"/>
          <w:b/>
          <w:sz w:val="24"/>
        </w:rPr>
        <w:t>若分包时</w:t>
      </w:r>
      <w:r>
        <w:rPr>
          <w:rFonts w:hint="eastAsia" w:ascii="宋体" w:hAnsi="宋体"/>
          <w:sz w:val="24"/>
        </w:rPr>
        <w:t>）的，投标文件应按包分别编制，单独成册上传。</w:t>
      </w:r>
    </w:p>
    <w:p w14:paraId="33C826F8">
      <w:pPr>
        <w:spacing w:line="360" w:lineRule="auto"/>
        <w:jc w:val="left"/>
        <w:outlineLvl w:val="9"/>
        <w:rPr>
          <w:rFonts w:ascii="宋体" w:hAnsi="宋体"/>
          <w:b/>
          <w:sz w:val="24"/>
        </w:rPr>
      </w:pPr>
      <w:r>
        <w:rPr>
          <w:rFonts w:hint="eastAsia" w:ascii="宋体" w:hAnsi="宋体"/>
          <w:b/>
          <w:sz w:val="24"/>
        </w:rPr>
        <w:t>14. 投标文件的格式要求</w:t>
      </w:r>
    </w:p>
    <w:p w14:paraId="26402B2D">
      <w:pPr>
        <w:pStyle w:val="17"/>
        <w:tabs>
          <w:tab w:val="left" w:pos="3030"/>
        </w:tabs>
        <w:spacing w:line="360" w:lineRule="auto"/>
        <w:outlineLvl w:val="9"/>
        <w:rPr>
          <w:rFonts w:hAnsi="宋体"/>
          <w:bCs/>
          <w:sz w:val="24"/>
          <w:szCs w:val="24"/>
        </w:rPr>
      </w:pPr>
      <w:r>
        <w:rPr>
          <w:rFonts w:hint="eastAsia" w:hAnsi="宋体"/>
          <w:sz w:val="24"/>
          <w:szCs w:val="24"/>
        </w:rPr>
        <w:t>14.1投标人应按第四章</w:t>
      </w:r>
      <w:r>
        <w:rPr>
          <w:rFonts w:hint="eastAsia" w:hAnsi="宋体"/>
          <w:sz w:val="24"/>
        </w:rPr>
        <w:t>“</w:t>
      </w:r>
      <w:r>
        <w:rPr>
          <w:rFonts w:hint="eastAsia" w:hAnsi="宋体"/>
          <w:b/>
          <w:sz w:val="24"/>
        </w:rPr>
        <w:t>投标文件格式</w:t>
      </w:r>
      <w:r>
        <w:rPr>
          <w:rFonts w:hint="eastAsia" w:hAnsi="宋体"/>
          <w:sz w:val="24"/>
        </w:rPr>
        <w:t>”</w:t>
      </w:r>
      <w:r>
        <w:rPr>
          <w:rFonts w:hint="eastAsia" w:hAnsi="宋体"/>
          <w:sz w:val="24"/>
          <w:szCs w:val="24"/>
        </w:rPr>
        <w:t>提供的格式完整地填写。</w:t>
      </w:r>
    </w:p>
    <w:p w14:paraId="3C8A3C41">
      <w:pPr>
        <w:spacing w:line="360" w:lineRule="auto"/>
        <w:jc w:val="left"/>
        <w:outlineLvl w:val="9"/>
        <w:rPr>
          <w:rFonts w:ascii="宋体" w:hAnsi="宋体"/>
          <w:b/>
          <w:sz w:val="24"/>
        </w:rPr>
      </w:pPr>
      <w:r>
        <w:rPr>
          <w:rFonts w:hint="eastAsia" w:ascii="宋体" w:hAnsi="宋体"/>
          <w:b/>
          <w:sz w:val="24"/>
        </w:rPr>
        <w:t>15. 投标报价</w:t>
      </w:r>
    </w:p>
    <w:p w14:paraId="3F8E5813">
      <w:pPr>
        <w:spacing w:line="360" w:lineRule="auto"/>
        <w:outlineLvl w:val="9"/>
        <w:rPr>
          <w:rFonts w:ascii="宋体" w:hAnsi="宋体"/>
          <w:sz w:val="24"/>
        </w:rPr>
      </w:pPr>
      <w:r>
        <w:rPr>
          <w:rFonts w:hint="eastAsia" w:ascii="宋体" w:hAnsi="宋体"/>
          <w:b/>
          <w:sz w:val="24"/>
          <w:szCs w:val="20"/>
        </w:rPr>
        <w:t>★</w:t>
      </w:r>
      <w:r>
        <w:rPr>
          <w:rFonts w:hint="eastAsia" w:ascii="宋体" w:hAnsi="宋体"/>
          <w:sz w:val="24"/>
        </w:rPr>
        <w:t>15.1本项目预算金额、</w:t>
      </w:r>
      <w:r>
        <w:rPr>
          <w:rFonts w:ascii="宋体" w:hAnsi="宋体"/>
          <w:sz w:val="24"/>
        </w:rPr>
        <w:t>最高限价</w:t>
      </w:r>
      <w:r>
        <w:rPr>
          <w:rFonts w:hint="eastAsia" w:ascii="宋体" w:hAnsi="宋体"/>
          <w:sz w:val="24"/>
        </w:rPr>
        <w:t>见</w:t>
      </w:r>
      <w:r>
        <w:rPr>
          <w:rFonts w:hint="eastAsia" w:ascii="宋体" w:hAnsi="宋体"/>
          <w:sz w:val="24"/>
          <w:szCs w:val="20"/>
        </w:rPr>
        <w:t>“</w:t>
      </w:r>
      <w:r>
        <w:rPr>
          <w:rFonts w:hint="eastAsia" w:ascii="宋体" w:hAnsi="宋体"/>
          <w:b/>
          <w:bCs/>
          <w:sz w:val="24"/>
          <w:szCs w:val="20"/>
        </w:rPr>
        <w:t>投标人须知前附表</w:t>
      </w:r>
      <w:r>
        <w:rPr>
          <w:rFonts w:hint="eastAsia" w:ascii="宋体" w:hAnsi="宋体"/>
          <w:sz w:val="24"/>
          <w:szCs w:val="20"/>
        </w:rPr>
        <w:t>”，若投标人的投标报价超过</w:t>
      </w:r>
      <w:r>
        <w:rPr>
          <w:rFonts w:hint="eastAsia" w:ascii="宋体" w:hAnsi="宋体"/>
          <w:sz w:val="24"/>
        </w:rPr>
        <w:t>预算金额或</w:t>
      </w:r>
      <w:r>
        <w:rPr>
          <w:rFonts w:ascii="宋体" w:hAnsi="宋体"/>
          <w:sz w:val="24"/>
        </w:rPr>
        <w:t>最高限价</w:t>
      </w:r>
      <w:r>
        <w:rPr>
          <w:rFonts w:hint="eastAsia" w:ascii="宋体" w:hAnsi="宋体"/>
          <w:sz w:val="24"/>
          <w:szCs w:val="20"/>
        </w:rPr>
        <w:t>，</w:t>
      </w:r>
      <w:r>
        <w:rPr>
          <w:rFonts w:hint="eastAsia" w:ascii="宋体" w:hAnsi="宋体"/>
          <w:bCs/>
          <w:sz w:val="24"/>
          <w:szCs w:val="20"/>
        </w:rPr>
        <w:t>按不实质性响应招标文件要求处理</w:t>
      </w:r>
      <w:r>
        <w:rPr>
          <w:rFonts w:hint="eastAsia" w:ascii="宋体" w:hAnsi="宋体"/>
          <w:sz w:val="24"/>
          <w:szCs w:val="20"/>
        </w:rPr>
        <w:t>。</w:t>
      </w:r>
    </w:p>
    <w:p w14:paraId="114B3A03">
      <w:pPr>
        <w:spacing w:line="360" w:lineRule="auto"/>
        <w:outlineLvl w:val="9"/>
        <w:rPr>
          <w:rFonts w:ascii="宋体" w:hAnsi="宋体"/>
          <w:sz w:val="24"/>
        </w:rPr>
      </w:pPr>
      <w:r>
        <w:rPr>
          <w:rFonts w:hint="eastAsia" w:ascii="宋体" w:hAnsi="宋体"/>
          <w:b/>
          <w:sz w:val="24"/>
          <w:szCs w:val="20"/>
        </w:rPr>
        <w:t>★</w:t>
      </w:r>
      <w:r>
        <w:rPr>
          <w:rFonts w:hint="eastAsia" w:ascii="宋体" w:hAnsi="宋体"/>
          <w:sz w:val="24"/>
        </w:rPr>
        <w:t>15.2投标人须就</w:t>
      </w:r>
      <w:r>
        <w:rPr>
          <w:rFonts w:hint="eastAsia" w:ascii="宋体" w:hAnsi="宋体"/>
          <w:b/>
          <w:sz w:val="24"/>
        </w:rPr>
        <w:t>“第五章 项目需求及服务要求”</w:t>
      </w:r>
      <w:r>
        <w:rPr>
          <w:rFonts w:hint="eastAsia" w:ascii="宋体" w:hAnsi="宋体"/>
          <w:sz w:val="24"/>
        </w:rPr>
        <w:t>中的</w:t>
      </w:r>
      <w:r>
        <w:rPr>
          <w:rFonts w:hint="eastAsia" w:ascii="宋体" w:hAnsi="宋体"/>
          <w:b/>
          <w:bCs/>
          <w:sz w:val="24"/>
        </w:rPr>
        <w:t>所投包所有内容作完整唯一报价</w:t>
      </w:r>
      <w:r>
        <w:rPr>
          <w:rFonts w:hint="eastAsia" w:ascii="宋体" w:hAnsi="宋体"/>
          <w:sz w:val="24"/>
        </w:rPr>
        <w:t>。</w:t>
      </w:r>
    </w:p>
    <w:p w14:paraId="104D1D77">
      <w:pPr>
        <w:spacing w:line="360" w:lineRule="auto"/>
        <w:outlineLvl w:val="9"/>
        <w:rPr>
          <w:rFonts w:hAnsi="宋体"/>
          <w:sz w:val="24"/>
        </w:rPr>
      </w:pPr>
      <w:r>
        <w:rPr>
          <w:rFonts w:hint="eastAsia" w:ascii="宋体" w:hAnsi="宋体"/>
          <w:sz w:val="24"/>
        </w:rPr>
        <w:t>15.3</w:t>
      </w:r>
      <w:r>
        <w:rPr>
          <w:rFonts w:hAnsi="宋体"/>
          <w:sz w:val="24"/>
        </w:rPr>
        <w:t>投标人应依据招标文件的要求及有关资料，按国家或行业现行技术经济标准、定额及规范，自行测算出满足招标要求的投标</w:t>
      </w:r>
      <w:r>
        <w:rPr>
          <w:rFonts w:hint="eastAsia" w:hAnsi="宋体"/>
          <w:sz w:val="24"/>
          <w:lang w:val="en-US" w:eastAsia="zh-CN"/>
        </w:rPr>
        <w:t>货物及服务</w:t>
      </w:r>
      <w:r>
        <w:rPr>
          <w:rFonts w:hAnsi="宋体"/>
          <w:sz w:val="24"/>
        </w:rPr>
        <w:t>的竞争性报价。</w:t>
      </w:r>
      <w:r>
        <w:rPr>
          <w:rFonts w:hint="eastAsia" w:hAnsi="宋体"/>
          <w:sz w:val="24"/>
        </w:rPr>
        <w:t>投标人应根据本企业的成本自行决定报价，但不得以低于成本的报价竞标。</w:t>
      </w:r>
    </w:p>
    <w:p w14:paraId="74DA572A">
      <w:pPr>
        <w:spacing w:line="360" w:lineRule="auto"/>
        <w:rPr>
          <w:rFonts w:hint="eastAsia"/>
          <w:b/>
          <w:bCs/>
          <w:color w:val="auto"/>
          <w:sz w:val="48"/>
          <w:szCs w:val="48"/>
          <w:highlight w:val="none"/>
          <w:lang w:eastAsia="zh-CN"/>
        </w:rPr>
      </w:pPr>
      <w:r>
        <w:rPr>
          <w:rFonts w:hint="eastAsia" w:hAnsi="宋体"/>
          <w:color w:val="auto"/>
          <w:sz w:val="24"/>
          <w:highlight w:val="none"/>
        </w:rPr>
        <w:t>15.4投标人的投标报价应符合国内行情</w:t>
      </w:r>
      <w:r>
        <w:rPr>
          <w:rFonts w:hint="eastAsia" w:hAnsi="宋体"/>
          <w:color w:val="auto"/>
          <w:sz w:val="24"/>
          <w:highlight w:val="none"/>
          <w:lang w:val="en-US" w:eastAsia="zh-CN"/>
        </w:rPr>
        <w:t>、充分考虑采购人安全检查等</w:t>
      </w:r>
      <w:r>
        <w:rPr>
          <w:rFonts w:hint="eastAsia" w:hAnsi="宋体"/>
          <w:color w:val="auto"/>
          <w:sz w:val="24"/>
          <w:highlight w:val="none"/>
        </w:rPr>
        <w:t>并能保证投标人完成履行合同所需的一切工作。结合市场实际情况，本次合同价格实行阶段性固定与动态调价相结合的方式，具体调价机制如下：</w:t>
      </w:r>
    </w:p>
    <w:p w14:paraId="41C29BDB">
      <w:pPr>
        <w:keepNext w:val="0"/>
        <w:keepLines w:val="0"/>
        <w:pageBreakBefore w:val="0"/>
        <w:widowControl/>
        <w:kinsoku/>
        <w:wordWrap/>
        <w:overflowPunct/>
        <w:topLinePunct w:val="0"/>
        <w:autoSpaceDE/>
        <w:autoSpaceDN/>
        <w:bidi w:val="0"/>
        <w:adjustRightInd/>
        <w:snapToGrid/>
        <w:spacing w:line="360" w:lineRule="auto"/>
        <w:ind w:firstLine="240" w:firstLineChars="1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（1）自合同签订次月首日起，三个月内执行中标单价，不做调价。</w:t>
      </w:r>
    </w:p>
    <w:p w14:paraId="140D7638">
      <w:pPr>
        <w:keepNext w:val="0"/>
        <w:keepLines w:val="0"/>
        <w:pageBreakBefore w:val="0"/>
        <w:widowControl/>
        <w:kinsoku/>
        <w:wordWrap/>
        <w:overflowPunct/>
        <w:topLinePunct w:val="0"/>
        <w:autoSpaceDE/>
        <w:autoSpaceDN/>
        <w:bidi w:val="0"/>
        <w:adjustRightInd/>
        <w:snapToGrid/>
        <w:spacing w:line="360" w:lineRule="auto"/>
        <w:ind w:firstLine="240" w:firstLineChars="1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采购人每月对玉溪市红塔区的猪肉类；鸡肉类、冻品（鱼虾）类物资进行一次市场询价，根据市场询价结果，自合同签订次月首日起每三个月即将结束时可以协商调价一次，同时满足以下条件可启动调价机制：</w:t>
      </w:r>
    </w:p>
    <w:p w14:paraId="7201B24F">
      <w:pPr>
        <w:keepNext w:val="0"/>
        <w:keepLines w:val="0"/>
        <w:pageBreakBefore w:val="0"/>
        <w:widowControl/>
        <w:kinsoku/>
        <w:wordWrap/>
        <w:overflowPunct/>
        <w:topLinePunct w:val="0"/>
        <w:autoSpaceDE/>
        <w:autoSpaceDN/>
        <w:bidi w:val="0"/>
        <w:adjustRightInd/>
        <w:snapToGrid/>
        <w:spacing w:line="360" w:lineRule="auto"/>
        <w:ind w:firstLine="240" w:firstLineChars="1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市场波动条件：自合同签订次月首日起，采购人每三个月的市场询价平均价格与合同签订当月采购人的市场询价价格相比，波动达到±15%以上（保留两位小数，不含本数）。已调整过合同执行价的，则调价后采购人每三个月的市场询价平均价格与最新一次调价主要参照的市场询价当月（自合同签订次月首日起，第三、六、九个月）的市场询价价格相比，波动达到±15%以上（保留两位小数，不含本数）。</w:t>
      </w:r>
    </w:p>
    <w:p w14:paraId="430E49A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②市场询价价格与合同执行价格偏离条件：自合同签订次月首日起每三个月的市场询价价格平均值与合同执行价格偏离±15％以上（不含本数）。</w:t>
      </w:r>
    </w:p>
    <w:p w14:paraId="78C6E45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上述①②项偏离值需同向变化即同时为正偏离或同时为负偏离时方可启动调价机制。若一个为正偏离，一个为负偏离，则不进行调价。</w:t>
      </w:r>
    </w:p>
    <w:p w14:paraId="69717F37">
      <w:pPr>
        <w:numPr>
          <w:ilvl w:val="0"/>
          <w:numId w:val="0"/>
        </w:numPr>
        <w:spacing w:line="360" w:lineRule="auto"/>
        <w:ind w:firstLine="480" w:firstLineChars="200"/>
        <w:jc w:val="left"/>
        <w:outlineLvl w:val="9"/>
        <w:rPr>
          <w:rFonts w:hint="eastAsia" w:ascii="宋体" w:hAnsi="宋体" w:cs="宋体"/>
          <w:color w:val="auto"/>
          <w:sz w:val="24"/>
          <w:szCs w:val="24"/>
          <w:highlight w:val="none"/>
          <w:lang w:val="en-US" w:eastAsia="zh-CN"/>
        </w:rPr>
      </w:pPr>
      <w:r>
        <w:rPr>
          <w:rFonts w:hint="eastAsia" w:ascii="宋体" w:hAnsi="宋体" w:cs="宋体"/>
          <w:color w:val="auto"/>
          <w:kern w:val="2"/>
          <w:sz w:val="24"/>
          <w:szCs w:val="24"/>
          <w:lang w:val="en-US" w:eastAsia="zh-CN" w:bidi="ar-SA"/>
        </w:rPr>
        <w:t>（3）</w:t>
      </w:r>
      <w:r>
        <w:rPr>
          <w:rFonts w:hint="eastAsia" w:ascii="宋体" w:hAnsi="宋体" w:cs="宋体"/>
          <w:color w:val="auto"/>
          <w:sz w:val="24"/>
          <w:szCs w:val="24"/>
          <w:highlight w:val="none"/>
          <w:lang w:val="en-US" w:eastAsia="zh-CN"/>
        </w:rPr>
        <w:t>拟调整的价格以自合同签订次月首日起每三个月最后一个月的市场询价情况为主要参照（即自合同签订次月首日起，第三、六、九个月玉溪市红塔区内所询价格为准）。双方协商一致的情况下，确定调价方案，签订调价协议，新的价格自调价执行之日起执行到下一次调价。</w:t>
      </w:r>
    </w:p>
    <w:p w14:paraId="738A5EDC">
      <w:pPr>
        <w:numPr>
          <w:ilvl w:val="0"/>
          <w:numId w:val="0"/>
        </w:numPr>
        <w:spacing w:line="360" w:lineRule="auto"/>
        <w:jc w:val="left"/>
        <w:outlineLvl w:val="9"/>
        <w:rPr>
          <w:rFonts w:ascii="宋体" w:hAnsi="宋体"/>
          <w:b/>
          <w:sz w:val="24"/>
        </w:rPr>
      </w:pPr>
      <w:r>
        <w:rPr>
          <w:rFonts w:hint="eastAsia" w:ascii="宋体" w:hAnsi="宋体"/>
          <w:b/>
          <w:sz w:val="24"/>
        </w:rPr>
        <w:t>16. 投标货币</w:t>
      </w:r>
    </w:p>
    <w:p w14:paraId="163254E9">
      <w:pPr>
        <w:pStyle w:val="17"/>
        <w:spacing w:line="360" w:lineRule="auto"/>
        <w:outlineLvl w:val="9"/>
        <w:rPr>
          <w:rFonts w:hAnsi="宋体"/>
          <w:bCs/>
          <w:sz w:val="24"/>
          <w:szCs w:val="24"/>
        </w:rPr>
      </w:pPr>
      <w:r>
        <w:rPr>
          <w:rFonts w:hint="eastAsia" w:hAnsi="宋体"/>
          <w:sz w:val="24"/>
          <w:szCs w:val="24"/>
        </w:rPr>
        <w:t>16.1投标以人民币报价。</w:t>
      </w:r>
    </w:p>
    <w:p w14:paraId="64C47BFC">
      <w:pPr>
        <w:spacing w:line="360" w:lineRule="auto"/>
        <w:jc w:val="left"/>
        <w:outlineLvl w:val="9"/>
        <w:rPr>
          <w:rFonts w:ascii="宋体" w:hAnsi="宋体"/>
          <w:b/>
          <w:sz w:val="24"/>
        </w:rPr>
      </w:pPr>
      <w:r>
        <w:rPr>
          <w:rFonts w:hint="eastAsia" w:ascii="宋体" w:hAnsi="宋体"/>
          <w:b/>
          <w:sz w:val="24"/>
        </w:rPr>
        <w:t>17. 投标文件有效期</w:t>
      </w:r>
    </w:p>
    <w:p w14:paraId="4B7A26A2">
      <w:pPr>
        <w:pStyle w:val="17"/>
        <w:spacing w:line="360" w:lineRule="auto"/>
        <w:ind w:left="720" w:hanging="720" w:hangingChars="300"/>
        <w:outlineLvl w:val="9"/>
        <w:rPr>
          <w:rFonts w:hAnsi="宋体"/>
          <w:sz w:val="24"/>
          <w:szCs w:val="24"/>
        </w:rPr>
      </w:pPr>
      <w:r>
        <w:rPr>
          <w:rFonts w:hint="eastAsia" w:hAnsi="宋体"/>
          <w:sz w:val="24"/>
          <w:szCs w:val="24"/>
        </w:rPr>
        <w:t>17.1</w:t>
      </w:r>
      <w:r>
        <w:rPr>
          <w:rFonts w:hAnsi="宋体"/>
          <w:sz w:val="24"/>
          <w:szCs w:val="24"/>
        </w:rPr>
        <w:t>在“</w:t>
      </w:r>
      <w:r>
        <w:rPr>
          <w:rFonts w:hAnsi="宋体"/>
          <w:b/>
          <w:bCs/>
          <w:sz w:val="24"/>
          <w:szCs w:val="24"/>
        </w:rPr>
        <w:t>投标人须知前附表</w:t>
      </w:r>
      <w:r>
        <w:rPr>
          <w:rFonts w:hAnsi="宋体"/>
          <w:sz w:val="24"/>
          <w:szCs w:val="24"/>
        </w:rPr>
        <w:t>”规定的投标有效期内，投标人不得要求撤销或修改其投标文件。</w:t>
      </w:r>
    </w:p>
    <w:p w14:paraId="13714E7D">
      <w:pPr>
        <w:spacing w:line="360" w:lineRule="auto"/>
        <w:jc w:val="left"/>
        <w:outlineLvl w:val="9"/>
        <w:rPr>
          <w:rFonts w:ascii="宋体" w:hAnsi="宋体"/>
          <w:sz w:val="24"/>
        </w:rPr>
      </w:pPr>
      <w:r>
        <w:rPr>
          <w:rFonts w:hint="eastAsia" w:hAnsi="宋体"/>
          <w:b/>
          <w:sz w:val="24"/>
        </w:rPr>
        <w:t>★</w:t>
      </w:r>
      <w:r>
        <w:rPr>
          <w:rFonts w:hint="eastAsia" w:ascii="宋体" w:hAnsi="宋体"/>
          <w:sz w:val="24"/>
        </w:rPr>
        <w:t>17.2投标有效期从提交投标文件的截止之日起算。投标文件中承诺的投标有效期应当不少于招标文件中载明的投标有效期。投标有效期内投标人撤销投标文件的，采购代理机构可以不退还投标保证金。</w:t>
      </w:r>
    </w:p>
    <w:p w14:paraId="459AA1C0">
      <w:pPr>
        <w:spacing w:line="360" w:lineRule="auto"/>
        <w:jc w:val="left"/>
        <w:outlineLvl w:val="9"/>
        <w:rPr>
          <w:rFonts w:ascii="宋体" w:hAnsi="宋体"/>
          <w:sz w:val="24"/>
        </w:rPr>
      </w:pPr>
      <w:r>
        <w:rPr>
          <w:rFonts w:ascii="宋体" w:hAnsi="宋体"/>
          <w:sz w:val="24"/>
        </w:rPr>
        <w:t>17.3</w:t>
      </w:r>
      <w:r>
        <w:rPr>
          <w:rFonts w:hint="eastAsia" w:ascii="宋体" w:hAnsi="宋体"/>
          <w:sz w:val="24"/>
        </w:rPr>
        <w:t>在</w:t>
      </w:r>
      <w:r>
        <w:rPr>
          <w:rFonts w:ascii="宋体" w:hAnsi="宋体"/>
          <w:sz w:val="24"/>
        </w:rPr>
        <w:t>特殊情况需要延长投标有效期的，</w:t>
      </w:r>
      <w:r>
        <w:rPr>
          <w:rFonts w:hint="eastAsia" w:ascii="宋体" w:hAnsi="宋体"/>
          <w:sz w:val="24"/>
        </w:rPr>
        <w:t>采购人</w:t>
      </w:r>
      <w:r>
        <w:rPr>
          <w:rFonts w:ascii="宋体" w:hAnsi="宋体"/>
          <w:sz w:val="24"/>
        </w:rPr>
        <w:t>以书面形式通知所有投标人延长投标有效期。投标人同意延长的，应相应延长其投标保证金的有效期，但不得要求或被允许修改或撤销其投标文件；投标人拒绝延长的，其投标</w:t>
      </w:r>
      <w:r>
        <w:rPr>
          <w:rFonts w:hint="eastAsia" w:ascii="宋体" w:hAnsi="宋体"/>
          <w:sz w:val="24"/>
        </w:rPr>
        <w:t>文件</w:t>
      </w:r>
      <w:r>
        <w:rPr>
          <w:rFonts w:ascii="宋体" w:hAnsi="宋体"/>
          <w:sz w:val="24"/>
        </w:rPr>
        <w:t>失效，但投标人有权收回其投标保证金。</w:t>
      </w:r>
    </w:p>
    <w:p w14:paraId="7565FFCE">
      <w:pPr>
        <w:spacing w:line="360" w:lineRule="auto"/>
        <w:jc w:val="left"/>
        <w:outlineLvl w:val="9"/>
        <w:rPr>
          <w:rFonts w:ascii="宋体" w:hAnsi="宋体"/>
          <w:b/>
          <w:sz w:val="24"/>
        </w:rPr>
      </w:pPr>
      <w:r>
        <w:rPr>
          <w:rFonts w:hint="eastAsia" w:ascii="宋体" w:hAnsi="宋体"/>
          <w:b/>
          <w:sz w:val="24"/>
        </w:rPr>
        <w:t>1</w:t>
      </w:r>
      <w:r>
        <w:rPr>
          <w:rFonts w:ascii="宋体" w:hAnsi="宋体"/>
          <w:b/>
          <w:sz w:val="24"/>
        </w:rPr>
        <w:t>8</w:t>
      </w:r>
      <w:r>
        <w:rPr>
          <w:rFonts w:hint="eastAsia" w:ascii="宋体" w:hAnsi="宋体"/>
          <w:b/>
          <w:sz w:val="24"/>
        </w:rPr>
        <w:t>.分包</w:t>
      </w:r>
    </w:p>
    <w:p w14:paraId="7E1A68E8">
      <w:pPr>
        <w:spacing w:line="360" w:lineRule="auto"/>
        <w:jc w:val="left"/>
        <w:outlineLvl w:val="9"/>
        <w:rPr>
          <w:rFonts w:ascii="inherit" w:hAnsi="inherit" w:cs="宋体"/>
          <w:kern w:val="0"/>
          <w:sz w:val="24"/>
        </w:rPr>
      </w:pPr>
      <w:r>
        <w:rPr>
          <w:rFonts w:hint="eastAsia" w:hAnsi="宋体"/>
          <w:sz w:val="24"/>
        </w:rPr>
        <w:t>1</w:t>
      </w:r>
      <w:r>
        <w:rPr>
          <w:rFonts w:hAnsi="宋体"/>
          <w:sz w:val="24"/>
        </w:rPr>
        <w:t>8</w:t>
      </w:r>
      <w:r>
        <w:rPr>
          <w:rFonts w:hint="eastAsia" w:hAnsi="宋体"/>
          <w:sz w:val="24"/>
        </w:rPr>
        <w:t>.1</w:t>
      </w:r>
      <w:r>
        <w:rPr>
          <w:rFonts w:hAnsi="宋体"/>
          <w:sz w:val="24"/>
        </w:rPr>
        <w:t>“</w:t>
      </w:r>
      <w:r>
        <w:rPr>
          <w:rFonts w:hAnsi="宋体"/>
          <w:b/>
          <w:sz w:val="24"/>
        </w:rPr>
        <w:t>投标人须知前附表</w:t>
      </w:r>
      <w:r>
        <w:rPr>
          <w:rFonts w:hAnsi="宋体"/>
          <w:sz w:val="24"/>
        </w:rPr>
        <w:t>”规定</w:t>
      </w:r>
      <w:r>
        <w:rPr>
          <w:rFonts w:hint="eastAsia" w:hAnsi="宋体"/>
          <w:sz w:val="24"/>
        </w:rPr>
        <w:t>允许分包的项目，投标人在中标后只能将项目的非主体、</w:t>
      </w:r>
      <w:r>
        <w:rPr>
          <w:rFonts w:ascii="inherit" w:hAnsi="inherit" w:cs="宋体"/>
          <w:kern w:val="0"/>
          <w:sz w:val="24"/>
        </w:rPr>
        <w:t>非关键性工作分包</w:t>
      </w:r>
      <w:r>
        <w:rPr>
          <w:rFonts w:hint="eastAsia" w:ascii="inherit" w:hAnsi="inherit" w:cs="宋体"/>
          <w:kern w:val="0"/>
          <w:sz w:val="24"/>
        </w:rPr>
        <w:t>。投标人</w:t>
      </w:r>
      <w:r>
        <w:rPr>
          <w:rFonts w:ascii="inherit" w:hAnsi="inherit" w:cs="宋体"/>
          <w:kern w:val="0"/>
          <w:sz w:val="24"/>
        </w:rPr>
        <w:t>应当在投标文件中载明分包承担主体，分包承担主体应当具备相应资质条件且不得再次分包。</w:t>
      </w:r>
    </w:p>
    <w:p w14:paraId="04A7ABFA">
      <w:pPr>
        <w:spacing w:line="360" w:lineRule="auto"/>
        <w:jc w:val="left"/>
        <w:outlineLvl w:val="9"/>
        <w:rPr>
          <w:rFonts w:hint="eastAsia" w:hAnsi="宋体"/>
          <w:sz w:val="24"/>
        </w:rPr>
      </w:pPr>
      <w:r>
        <w:rPr>
          <w:rFonts w:hint="eastAsia" w:ascii="宋体" w:hAnsi="宋体"/>
          <w:b/>
          <w:sz w:val="24"/>
        </w:rPr>
        <w:t xml:space="preserve">★19. </w:t>
      </w:r>
      <w:r>
        <w:rPr>
          <w:rFonts w:ascii="宋体" w:hAnsi="宋体"/>
          <w:b/>
          <w:sz w:val="24"/>
        </w:rPr>
        <w:t>投</w:t>
      </w:r>
      <w:r>
        <w:rPr>
          <w:rFonts w:ascii="inherit" w:hAnsi="inherit" w:cs="宋体"/>
          <w:b/>
          <w:kern w:val="0"/>
          <w:sz w:val="24"/>
        </w:rPr>
        <w:t>标人应当遵循公平竞争的原则，不得恶意串通，不得妨碍其他投标人的竞争行为，不得损害采购人或者其他投标人的合法权益</w:t>
      </w:r>
      <w:r>
        <w:rPr>
          <w:rFonts w:ascii="inherit" w:hAnsi="inherit" w:cs="宋体"/>
          <w:kern w:val="0"/>
          <w:sz w:val="24"/>
        </w:rPr>
        <w:t>。</w:t>
      </w:r>
    </w:p>
    <w:p w14:paraId="56844852">
      <w:pPr>
        <w:spacing w:line="360" w:lineRule="auto"/>
        <w:jc w:val="left"/>
        <w:outlineLvl w:val="9"/>
        <w:rPr>
          <w:rFonts w:ascii="宋体" w:hAnsi="宋体"/>
          <w:b/>
          <w:sz w:val="24"/>
        </w:rPr>
      </w:pPr>
      <w:r>
        <w:rPr>
          <w:rFonts w:ascii="宋体" w:hAnsi="宋体"/>
          <w:b/>
          <w:sz w:val="24"/>
        </w:rPr>
        <w:t>20</w:t>
      </w:r>
      <w:r>
        <w:rPr>
          <w:rFonts w:hint="eastAsia" w:ascii="宋体" w:hAnsi="宋体"/>
          <w:b/>
          <w:sz w:val="24"/>
        </w:rPr>
        <w:t>. 投标文件的编制</w:t>
      </w:r>
    </w:p>
    <w:p w14:paraId="09D71E33">
      <w:pPr>
        <w:pStyle w:val="17"/>
        <w:spacing w:line="360" w:lineRule="auto"/>
        <w:outlineLvl w:val="9"/>
        <w:rPr>
          <w:rFonts w:hAnsi="宋体"/>
          <w:sz w:val="24"/>
          <w:szCs w:val="24"/>
        </w:rPr>
      </w:pPr>
      <w:r>
        <w:rPr>
          <w:rFonts w:hint="eastAsia" w:hAnsi="宋体"/>
          <w:sz w:val="24"/>
          <w:szCs w:val="24"/>
        </w:rPr>
        <w:t>20.1投标文件全部采用电子文档，投标人应安装客户端软件—“政采云电子交易客户端”，并按照招标文件和政采云电子交易平台的要求编制，编制后应进行电子签名及加密。</w:t>
      </w:r>
    </w:p>
    <w:p w14:paraId="5CE28383">
      <w:pPr>
        <w:pStyle w:val="17"/>
        <w:spacing w:line="360" w:lineRule="auto"/>
        <w:outlineLvl w:val="9"/>
        <w:rPr>
          <w:rFonts w:hAnsi="宋体"/>
          <w:sz w:val="24"/>
          <w:szCs w:val="24"/>
        </w:rPr>
      </w:pPr>
      <w:r>
        <w:rPr>
          <w:rFonts w:hint="eastAsia" w:hAnsi="宋体"/>
          <w:sz w:val="24"/>
          <w:szCs w:val="24"/>
        </w:rPr>
        <w:t>★20.2如投标人提交的电子标书不符合20.1要求或开标时无法读取导入或解密，其投标文件将不予受理。</w:t>
      </w:r>
    </w:p>
    <w:p w14:paraId="0922FB39">
      <w:pPr>
        <w:pStyle w:val="17"/>
        <w:spacing w:line="360" w:lineRule="auto"/>
        <w:outlineLvl w:val="9"/>
        <w:rPr>
          <w:rFonts w:hAnsi="宋体"/>
          <w:sz w:val="24"/>
          <w:szCs w:val="24"/>
        </w:rPr>
      </w:pPr>
      <w:r>
        <w:rPr>
          <w:rFonts w:hint="eastAsia" w:hAnsi="宋体"/>
          <w:sz w:val="24"/>
          <w:szCs w:val="24"/>
        </w:rPr>
        <w:t>20.3投标文件应尽量避免涂改、行间插字或删除。如果出现上述情况，改动之处应加盖单位章或由投标人的法定代表人/单位负责人（签名或盖章）确认。</w:t>
      </w:r>
    </w:p>
    <w:p w14:paraId="5EFAB5F8">
      <w:pPr>
        <w:spacing w:line="360" w:lineRule="auto"/>
        <w:jc w:val="left"/>
        <w:outlineLvl w:val="9"/>
        <w:rPr>
          <w:rFonts w:ascii="宋体" w:hAnsi="宋体"/>
          <w:sz w:val="24"/>
        </w:rPr>
      </w:pPr>
      <w:r>
        <w:rPr>
          <w:rFonts w:hint="eastAsia" w:ascii="宋体" w:hAnsi="宋体"/>
          <w:b/>
          <w:sz w:val="24"/>
        </w:rPr>
        <w:t>★</w:t>
      </w:r>
      <w:r>
        <w:rPr>
          <w:rFonts w:ascii="宋体" w:hAnsi="宋体"/>
          <w:sz w:val="24"/>
        </w:rPr>
        <w:t>20</w:t>
      </w:r>
      <w:r>
        <w:rPr>
          <w:rFonts w:hint="eastAsia" w:ascii="宋体" w:hAnsi="宋体"/>
          <w:sz w:val="24"/>
        </w:rPr>
        <w:t>.4关键内容字迹潦草、表达不清、未按要求填写而导致非唯一理解，视为未实质性响应招标文件的投标文件。</w:t>
      </w:r>
    </w:p>
    <w:p w14:paraId="5A8E4083">
      <w:pPr>
        <w:spacing w:line="360" w:lineRule="auto"/>
        <w:jc w:val="left"/>
        <w:outlineLvl w:val="9"/>
        <w:rPr>
          <w:rFonts w:ascii="宋体" w:hAnsi="宋体"/>
          <w:bCs/>
          <w:sz w:val="24"/>
        </w:rPr>
      </w:pPr>
      <w:r>
        <w:rPr>
          <w:rFonts w:ascii="宋体" w:hAnsi="宋体"/>
          <w:sz w:val="24"/>
        </w:rPr>
        <w:t>20</w:t>
      </w:r>
      <w:r>
        <w:rPr>
          <w:rFonts w:hint="eastAsia" w:ascii="宋体" w:hAnsi="宋体"/>
          <w:sz w:val="24"/>
        </w:rPr>
        <w:t>.5投标文件中提</w:t>
      </w:r>
      <w:r>
        <w:rPr>
          <w:rFonts w:hint="eastAsia" w:ascii="宋体" w:hAnsi="宋体"/>
          <w:bCs/>
          <w:sz w:val="24"/>
        </w:rPr>
        <w:t>供的资料（扫描件），内容必须清晰可辨，若内容模糊，无法辨识，均视为未提供。</w:t>
      </w:r>
    </w:p>
    <w:p w14:paraId="0A4C86EC">
      <w:pPr>
        <w:spacing w:line="360" w:lineRule="auto"/>
        <w:jc w:val="left"/>
        <w:outlineLvl w:val="9"/>
        <w:rPr>
          <w:rFonts w:ascii="宋体" w:hAnsi="宋体"/>
          <w:bCs/>
          <w:sz w:val="24"/>
        </w:rPr>
      </w:pPr>
      <w:r>
        <w:rPr>
          <w:rFonts w:ascii="宋体" w:hAnsi="宋体"/>
          <w:bCs/>
          <w:sz w:val="24"/>
        </w:rPr>
        <w:t>20</w:t>
      </w:r>
      <w:r>
        <w:rPr>
          <w:rFonts w:hint="eastAsia" w:ascii="宋体" w:hAnsi="宋体"/>
          <w:bCs/>
          <w:sz w:val="24"/>
        </w:rPr>
        <w:t>.6投标文件中对招标文件商务条款及技术要求的应答出现完全或绝大部分复制招标文件要求的，视为未实质性响应招标文件的投标文件。</w:t>
      </w:r>
    </w:p>
    <w:p w14:paraId="7749397A">
      <w:pPr>
        <w:pStyle w:val="17"/>
        <w:spacing w:line="360" w:lineRule="auto"/>
        <w:outlineLvl w:val="9"/>
        <w:rPr>
          <w:rFonts w:hAnsi="宋体"/>
          <w:sz w:val="24"/>
          <w:szCs w:val="24"/>
        </w:rPr>
      </w:pPr>
      <w:r>
        <w:rPr>
          <w:rFonts w:hAnsi="宋体"/>
          <w:bCs/>
          <w:sz w:val="24"/>
        </w:rPr>
        <w:t>20</w:t>
      </w:r>
      <w:r>
        <w:rPr>
          <w:rFonts w:hint="eastAsia" w:hAnsi="宋体"/>
          <w:bCs/>
          <w:sz w:val="24"/>
        </w:rPr>
        <w:t>.7投标文件应由法定代表人/单位负责人在凡规定（电子签名）处逐一电子签名（电子签名或电子签章），要求盖章处应盖单位章（电子签章）。</w:t>
      </w:r>
    </w:p>
    <w:p w14:paraId="7942FD9D">
      <w:pPr>
        <w:spacing w:line="360" w:lineRule="auto"/>
        <w:jc w:val="left"/>
        <w:outlineLvl w:val="9"/>
        <w:rPr>
          <w:rFonts w:ascii="宋体" w:hAnsi="宋体"/>
          <w:b/>
          <w:sz w:val="24"/>
        </w:rPr>
      </w:pPr>
      <w:r>
        <w:rPr>
          <w:rFonts w:ascii="宋体" w:hAnsi="宋体"/>
          <w:b/>
          <w:sz w:val="24"/>
        </w:rPr>
        <w:t>21</w:t>
      </w:r>
      <w:r>
        <w:rPr>
          <w:rFonts w:hint="eastAsia" w:ascii="宋体" w:hAnsi="宋体"/>
          <w:b/>
          <w:sz w:val="24"/>
        </w:rPr>
        <w:t>. 投标保证金</w:t>
      </w:r>
    </w:p>
    <w:p w14:paraId="59794664">
      <w:pPr>
        <w:pStyle w:val="17"/>
        <w:tabs>
          <w:tab w:val="left" w:pos="710"/>
        </w:tabs>
        <w:spacing w:line="360" w:lineRule="auto"/>
        <w:outlineLvl w:val="9"/>
        <w:rPr>
          <w:rFonts w:hAnsi="宋体"/>
          <w:sz w:val="24"/>
          <w:szCs w:val="24"/>
        </w:rPr>
      </w:pPr>
      <w:r>
        <w:rPr>
          <w:rFonts w:hAnsi="宋体"/>
          <w:sz w:val="24"/>
          <w:szCs w:val="24"/>
        </w:rPr>
        <w:t>21</w:t>
      </w:r>
      <w:r>
        <w:rPr>
          <w:rFonts w:hint="eastAsia" w:hAnsi="宋体"/>
          <w:sz w:val="24"/>
          <w:szCs w:val="24"/>
        </w:rPr>
        <w:t>.1投标保证金为人民币。投标人应在提交投标文件截止时间以前按“</w:t>
      </w:r>
      <w:r>
        <w:rPr>
          <w:rFonts w:hint="eastAsia" w:hAnsi="宋体"/>
          <w:b/>
          <w:sz w:val="24"/>
          <w:szCs w:val="24"/>
        </w:rPr>
        <w:t>投标人须知前附表</w:t>
      </w:r>
      <w:r>
        <w:rPr>
          <w:rFonts w:hint="eastAsia" w:hAnsi="宋体"/>
          <w:sz w:val="24"/>
          <w:szCs w:val="24"/>
        </w:rPr>
        <w:t>”规定的金额及形式提交，并在规定的时间内保持有效。</w:t>
      </w:r>
    </w:p>
    <w:p w14:paraId="3BEF4770">
      <w:pPr>
        <w:pStyle w:val="17"/>
        <w:tabs>
          <w:tab w:val="left" w:pos="710"/>
        </w:tabs>
        <w:spacing w:line="360" w:lineRule="auto"/>
        <w:outlineLvl w:val="9"/>
        <w:rPr>
          <w:rFonts w:hAnsi="宋体"/>
          <w:sz w:val="24"/>
          <w:szCs w:val="24"/>
        </w:rPr>
      </w:pPr>
      <w:r>
        <w:rPr>
          <w:rFonts w:hAnsi="宋体"/>
          <w:sz w:val="24"/>
          <w:szCs w:val="24"/>
        </w:rPr>
        <w:t>21</w:t>
      </w:r>
      <w:r>
        <w:rPr>
          <w:rFonts w:hint="eastAsia" w:hAnsi="宋体"/>
          <w:sz w:val="24"/>
          <w:szCs w:val="24"/>
        </w:rPr>
        <w:t>.2</w:t>
      </w:r>
      <w:r>
        <w:rPr>
          <w:rFonts w:hAnsi="宋体" w:cs="宋体"/>
          <w:kern w:val="0"/>
          <w:sz w:val="24"/>
          <w:szCs w:val="24"/>
        </w:rPr>
        <w:t>投标人在投标截止时间前撤回已提交的投标文件的，采购代理机构</w:t>
      </w:r>
      <w:r>
        <w:rPr>
          <w:rFonts w:hint="eastAsia" w:hAnsi="宋体" w:cs="宋体"/>
          <w:kern w:val="0"/>
          <w:sz w:val="24"/>
          <w:szCs w:val="24"/>
        </w:rPr>
        <w:t>将</w:t>
      </w:r>
      <w:r>
        <w:rPr>
          <w:rFonts w:hAnsi="宋体" w:cs="宋体"/>
          <w:kern w:val="0"/>
          <w:sz w:val="24"/>
          <w:szCs w:val="24"/>
        </w:rPr>
        <w:t>在自收到投标人书面撤回通知之日起</w:t>
      </w:r>
      <w:r>
        <w:rPr>
          <w:rFonts w:hint="eastAsia" w:hAnsi="宋体" w:cs="宋体"/>
          <w:kern w:val="0"/>
          <w:sz w:val="24"/>
          <w:szCs w:val="24"/>
        </w:rPr>
        <w:t>5</w:t>
      </w:r>
      <w:r>
        <w:rPr>
          <w:rFonts w:hAnsi="宋体" w:cs="宋体"/>
          <w:kern w:val="0"/>
          <w:sz w:val="24"/>
          <w:szCs w:val="24"/>
        </w:rPr>
        <w:t>个工作日内，退还已收取的投标保证金，但因投标人自身原因导致无法及时退还的除外</w:t>
      </w:r>
      <w:r>
        <w:rPr>
          <w:rFonts w:hint="eastAsia" w:hAnsi="宋体"/>
          <w:sz w:val="24"/>
          <w:szCs w:val="24"/>
        </w:rPr>
        <w:t>。</w:t>
      </w:r>
    </w:p>
    <w:p w14:paraId="6AAA5DBD">
      <w:pPr>
        <w:pStyle w:val="17"/>
        <w:spacing w:line="360" w:lineRule="auto"/>
        <w:outlineLvl w:val="9"/>
        <w:rPr>
          <w:rFonts w:hAnsi="宋体"/>
          <w:sz w:val="24"/>
          <w:szCs w:val="24"/>
        </w:rPr>
      </w:pPr>
      <w:r>
        <w:rPr>
          <w:rFonts w:hAnsi="宋体"/>
          <w:sz w:val="24"/>
          <w:szCs w:val="24"/>
        </w:rPr>
        <w:t>21</w:t>
      </w:r>
      <w:r>
        <w:rPr>
          <w:rFonts w:hint="eastAsia" w:hAnsi="宋体"/>
          <w:sz w:val="24"/>
          <w:szCs w:val="24"/>
        </w:rPr>
        <w:t>.</w:t>
      </w:r>
      <w:r>
        <w:rPr>
          <w:rFonts w:hAnsi="宋体"/>
          <w:sz w:val="24"/>
          <w:szCs w:val="24"/>
        </w:rPr>
        <w:t>3</w:t>
      </w:r>
      <w:r>
        <w:rPr>
          <w:rFonts w:hint="eastAsia" w:hAnsi="宋体"/>
          <w:sz w:val="24"/>
          <w:szCs w:val="24"/>
        </w:rPr>
        <w:t>未中标人的投标保证金将在</w:t>
      </w:r>
      <w:r>
        <w:rPr>
          <w:rFonts w:hint="eastAsia" w:hAnsi="宋体"/>
          <w:sz w:val="24"/>
          <w:szCs w:val="24"/>
          <w:lang w:val="en-US" w:eastAsia="zh-CN"/>
        </w:rPr>
        <w:t>中标通知书发出之日起</w:t>
      </w:r>
      <w:r>
        <w:rPr>
          <w:rFonts w:hint="eastAsia" w:hAnsi="宋体"/>
          <w:sz w:val="24"/>
          <w:szCs w:val="24"/>
        </w:rPr>
        <w:t>5个工作日</w:t>
      </w:r>
      <w:r>
        <w:rPr>
          <w:rFonts w:hint="eastAsia" w:hAnsi="宋体"/>
          <w:sz w:val="24"/>
          <w:szCs w:val="24"/>
          <w:lang w:val="en-US" w:eastAsia="zh-CN"/>
        </w:rPr>
        <w:t>内</w:t>
      </w:r>
      <w:r>
        <w:rPr>
          <w:rFonts w:hint="eastAsia" w:hAnsi="宋体"/>
          <w:sz w:val="24"/>
          <w:szCs w:val="24"/>
        </w:rPr>
        <w:t>退还；中标人的投标保证金将在</w:t>
      </w:r>
      <w:r>
        <w:rPr>
          <w:rFonts w:hAnsi="宋体" w:cs="宋体"/>
          <w:kern w:val="0"/>
          <w:sz w:val="24"/>
          <w:szCs w:val="24"/>
        </w:rPr>
        <w:t>采购合同签订之日起5个工作日内退还</w:t>
      </w:r>
      <w:r>
        <w:rPr>
          <w:rFonts w:hint="eastAsia" w:hAnsi="宋体"/>
          <w:sz w:val="24"/>
          <w:szCs w:val="24"/>
        </w:rPr>
        <w:t>。</w:t>
      </w:r>
    </w:p>
    <w:p w14:paraId="148F4138">
      <w:pPr>
        <w:pStyle w:val="17"/>
        <w:spacing w:line="360" w:lineRule="auto"/>
        <w:outlineLvl w:val="9"/>
        <w:rPr>
          <w:rFonts w:hAnsi="宋体"/>
          <w:sz w:val="24"/>
          <w:szCs w:val="24"/>
        </w:rPr>
      </w:pPr>
      <w:r>
        <w:rPr>
          <w:rFonts w:hAnsi="宋体"/>
          <w:sz w:val="24"/>
          <w:szCs w:val="24"/>
        </w:rPr>
        <w:t>21</w:t>
      </w:r>
      <w:r>
        <w:rPr>
          <w:rFonts w:hint="eastAsia" w:hAnsi="宋体"/>
          <w:sz w:val="24"/>
          <w:szCs w:val="24"/>
        </w:rPr>
        <w:t>.</w:t>
      </w:r>
      <w:r>
        <w:rPr>
          <w:rFonts w:hAnsi="宋体"/>
          <w:sz w:val="24"/>
          <w:szCs w:val="24"/>
        </w:rPr>
        <w:t>4</w:t>
      </w:r>
      <w:r>
        <w:rPr>
          <w:rFonts w:hint="eastAsia" w:hAnsi="宋体"/>
          <w:sz w:val="24"/>
          <w:szCs w:val="24"/>
        </w:rPr>
        <w:t>投标保证金的退回方式：1）以电汇、网银、转账方式缴纳的保证金，以网银对公转账的方式退还到投标人打款账户；2）以支票、汇票及本票等票据方式缴纳的保证金，经财务查账确认后以对公转账的方式退还到投标人开户账户；3）以银行保函或者保证保险方式缴纳的保证金由投标人自行联系出函机构。</w:t>
      </w:r>
    </w:p>
    <w:p w14:paraId="11E7C43C">
      <w:pPr>
        <w:pStyle w:val="17"/>
        <w:spacing w:line="360" w:lineRule="auto"/>
        <w:outlineLvl w:val="9"/>
        <w:rPr>
          <w:rFonts w:hAnsi="宋体"/>
          <w:sz w:val="24"/>
          <w:szCs w:val="24"/>
        </w:rPr>
      </w:pPr>
      <w:r>
        <w:rPr>
          <w:rFonts w:hAnsi="宋体"/>
          <w:sz w:val="24"/>
          <w:szCs w:val="24"/>
        </w:rPr>
        <w:t>21.5保证金交至</w:t>
      </w:r>
      <w:r>
        <w:rPr>
          <w:rFonts w:hAnsi="宋体" w:cs="宋体"/>
          <w:kern w:val="0"/>
          <w:sz w:val="24"/>
          <w:szCs w:val="24"/>
        </w:rPr>
        <w:t>采购代理机构的</w:t>
      </w:r>
      <w:r>
        <w:rPr>
          <w:rFonts w:hint="eastAsia" w:hAnsi="宋体" w:cs="宋体"/>
          <w:kern w:val="0"/>
          <w:sz w:val="24"/>
          <w:szCs w:val="24"/>
        </w:rPr>
        <w:t>，</w:t>
      </w:r>
      <w:r>
        <w:rPr>
          <w:rFonts w:hAnsi="宋体" w:cs="宋体"/>
          <w:kern w:val="0"/>
          <w:sz w:val="24"/>
          <w:szCs w:val="24"/>
        </w:rPr>
        <w:t>逾期退还投标保证金的，除退还投标保证金本金外，还</w:t>
      </w:r>
      <w:r>
        <w:rPr>
          <w:rFonts w:hint="eastAsia" w:hAnsi="宋体" w:cs="宋体"/>
          <w:kern w:val="0"/>
          <w:sz w:val="24"/>
          <w:szCs w:val="24"/>
        </w:rPr>
        <w:t>将</w:t>
      </w:r>
      <w:r>
        <w:rPr>
          <w:rFonts w:hAnsi="宋体" w:cs="宋体"/>
          <w:kern w:val="0"/>
          <w:sz w:val="24"/>
          <w:szCs w:val="24"/>
        </w:rPr>
        <w:t>按中国人民银行同期贷款基准利率上浮20％后的利率支付超期资金占用费，但因投标人自身原因导致无法及时退还的除外。</w:t>
      </w:r>
    </w:p>
    <w:p w14:paraId="0B570AAB">
      <w:pPr>
        <w:pStyle w:val="17"/>
        <w:spacing w:line="360" w:lineRule="auto"/>
        <w:outlineLvl w:val="9"/>
        <w:rPr>
          <w:rFonts w:hAnsi="宋体"/>
          <w:sz w:val="24"/>
          <w:szCs w:val="24"/>
        </w:rPr>
      </w:pPr>
      <w:r>
        <w:rPr>
          <w:rFonts w:hAnsi="宋体"/>
          <w:sz w:val="24"/>
          <w:szCs w:val="24"/>
        </w:rPr>
        <w:t>21</w:t>
      </w:r>
      <w:r>
        <w:rPr>
          <w:rFonts w:hint="eastAsia" w:hAnsi="宋体"/>
          <w:sz w:val="24"/>
          <w:szCs w:val="24"/>
        </w:rPr>
        <w:t>.</w:t>
      </w:r>
      <w:r>
        <w:rPr>
          <w:rFonts w:hAnsi="宋体"/>
          <w:sz w:val="24"/>
          <w:szCs w:val="24"/>
        </w:rPr>
        <w:t>6</w:t>
      </w:r>
      <w:r>
        <w:rPr>
          <w:rFonts w:hint="eastAsia" w:hAnsi="宋体"/>
          <w:sz w:val="24"/>
          <w:szCs w:val="24"/>
        </w:rPr>
        <w:t>下列情况发生时，投标保证金将不予退还</w:t>
      </w:r>
    </w:p>
    <w:p w14:paraId="533D4CA3">
      <w:pPr>
        <w:pStyle w:val="17"/>
        <w:spacing w:line="360" w:lineRule="auto"/>
        <w:ind w:left="359" w:leftChars="171"/>
        <w:outlineLvl w:val="9"/>
        <w:rPr>
          <w:rFonts w:hAnsi="宋体"/>
          <w:sz w:val="24"/>
          <w:szCs w:val="24"/>
        </w:rPr>
      </w:pPr>
      <w:r>
        <w:rPr>
          <w:rFonts w:hint="eastAsia" w:hAnsi="宋体"/>
          <w:sz w:val="24"/>
          <w:szCs w:val="24"/>
        </w:rPr>
        <w:t>（1）投标人在投标有效期内撤销投标的；</w:t>
      </w:r>
    </w:p>
    <w:p w14:paraId="353F40EB">
      <w:pPr>
        <w:spacing w:line="360" w:lineRule="auto"/>
        <w:ind w:firstLine="360" w:firstLineChars="150"/>
        <w:outlineLvl w:val="9"/>
        <w:rPr>
          <w:rFonts w:ascii="宋体" w:hAnsi="宋体"/>
          <w:sz w:val="24"/>
        </w:rPr>
      </w:pPr>
      <w:r>
        <w:rPr>
          <w:rFonts w:hint="eastAsia" w:ascii="宋体" w:hAnsi="宋体"/>
          <w:sz w:val="24"/>
        </w:rPr>
        <w:t>（2）中标人中标后无正当理由不与采购人签订合同的；</w:t>
      </w:r>
      <w:r>
        <w:rPr>
          <w:rFonts w:ascii="宋体" w:hAnsi="宋体"/>
          <w:sz w:val="24"/>
        </w:rPr>
        <w:tab/>
      </w:r>
    </w:p>
    <w:p w14:paraId="697D5226">
      <w:pPr>
        <w:spacing w:line="360" w:lineRule="auto"/>
        <w:ind w:firstLine="360" w:firstLineChars="150"/>
        <w:outlineLvl w:val="9"/>
        <w:rPr>
          <w:rFonts w:ascii="宋体" w:hAnsi="宋体"/>
          <w:sz w:val="24"/>
        </w:rPr>
      </w:pPr>
      <w:r>
        <w:rPr>
          <w:rFonts w:hint="eastAsia" w:ascii="宋体" w:hAnsi="宋体"/>
          <w:sz w:val="24"/>
        </w:rPr>
        <w:t>（3）中标人将中标项目转让给他人，或者在投标文件中未说明，且未经采购人同意，将中标项目分包给他人的；</w:t>
      </w:r>
    </w:p>
    <w:p w14:paraId="3E8598EA">
      <w:pPr>
        <w:pStyle w:val="17"/>
        <w:spacing w:line="360" w:lineRule="auto"/>
        <w:ind w:left="359" w:leftChars="171"/>
        <w:outlineLvl w:val="9"/>
        <w:rPr>
          <w:rFonts w:hAnsi="宋体"/>
          <w:sz w:val="24"/>
          <w:szCs w:val="24"/>
        </w:rPr>
      </w:pPr>
      <w:r>
        <w:rPr>
          <w:rFonts w:hint="eastAsia" w:hAnsi="宋体"/>
          <w:sz w:val="24"/>
          <w:szCs w:val="24"/>
        </w:rPr>
        <w:t>（4）中标人拒绝履行合同义务的。</w:t>
      </w:r>
    </w:p>
    <w:p w14:paraId="294E6B1C">
      <w:pPr>
        <w:tabs>
          <w:tab w:val="left" w:pos="1021"/>
        </w:tabs>
        <w:ind w:left="425" w:firstLine="0"/>
        <w:jc w:val="center"/>
        <w:outlineLvl w:val="9"/>
        <w:rPr>
          <w:rFonts w:ascii="宋体" w:hAnsi="宋体" w:eastAsia="宋体"/>
          <w:sz w:val="30"/>
          <w:szCs w:val="30"/>
        </w:rPr>
      </w:pPr>
      <w:bookmarkStart w:id="57" w:name="_Toc70446107"/>
      <w:r>
        <w:rPr>
          <w:rFonts w:hint="eastAsia" w:ascii="宋体" w:hAnsi="宋体" w:eastAsia="宋体" w:cs="Times New Roman"/>
          <w:b/>
          <w:bCs/>
          <w:sz w:val="36"/>
          <w:szCs w:val="36"/>
        </w:rPr>
        <w:t>四、投标文件的提交</w:t>
      </w:r>
      <w:bookmarkEnd w:id="57"/>
    </w:p>
    <w:p w14:paraId="49621C7A">
      <w:pPr>
        <w:pStyle w:val="17"/>
        <w:spacing w:line="360" w:lineRule="auto"/>
        <w:outlineLvl w:val="9"/>
        <w:rPr>
          <w:rFonts w:hAnsi="宋体"/>
          <w:b/>
          <w:bCs/>
          <w:sz w:val="24"/>
          <w:szCs w:val="24"/>
        </w:rPr>
      </w:pPr>
      <w:r>
        <w:rPr>
          <w:rFonts w:hint="eastAsia" w:hAnsi="宋体"/>
          <w:b/>
          <w:bCs/>
          <w:sz w:val="24"/>
          <w:szCs w:val="24"/>
        </w:rPr>
        <w:t>2</w:t>
      </w:r>
      <w:r>
        <w:rPr>
          <w:rFonts w:hAnsi="宋体"/>
          <w:b/>
          <w:bCs/>
          <w:sz w:val="24"/>
          <w:szCs w:val="24"/>
        </w:rPr>
        <w:t>2</w:t>
      </w:r>
      <w:r>
        <w:rPr>
          <w:rFonts w:hint="eastAsia" w:hAnsi="宋体"/>
          <w:b/>
          <w:bCs/>
          <w:sz w:val="24"/>
          <w:szCs w:val="24"/>
        </w:rPr>
        <w:t>. 投标文件的密封与标记</w:t>
      </w:r>
    </w:p>
    <w:p w14:paraId="577F8699">
      <w:pPr>
        <w:spacing w:line="360" w:lineRule="auto"/>
        <w:outlineLvl w:val="9"/>
        <w:rPr>
          <w:rFonts w:ascii="宋体" w:hAnsi="宋体" w:cs="宋体"/>
          <w:bCs/>
          <w:kern w:val="0"/>
          <w:sz w:val="24"/>
        </w:rPr>
      </w:pPr>
      <w:r>
        <w:rPr>
          <w:rFonts w:hint="eastAsia" w:ascii="宋体" w:hAnsi="宋体" w:cs="宋体"/>
          <w:bCs/>
          <w:kern w:val="0"/>
          <w:sz w:val="24"/>
        </w:rPr>
        <w:t>22.1投标人进行电子交易应安装客户端软件—“政采云电子交易客户端”，并按照招标文件和电子交易平台的要求编制并加密投标文件。投标人未按规定加密的投标文件，电子交易平台将拒收并提示。</w:t>
      </w:r>
    </w:p>
    <w:p w14:paraId="318C1935">
      <w:pPr>
        <w:spacing w:line="360" w:lineRule="auto"/>
        <w:outlineLvl w:val="9"/>
        <w:rPr>
          <w:rFonts w:ascii="宋体" w:hAnsi="宋体" w:cs="宋体"/>
          <w:bCs/>
          <w:kern w:val="0"/>
          <w:sz w:val="24"/>
        </w:rPr>
      </w:pPr>
      <w:r>
        <w:rPr>
          <w:rFonts w:hint="eastAsia" w:ascii="宋体" w:hAnsi="宋体" w:cs="宋体"/>
          <w:bCs/>
          <w:kern w:val="0"/>
          <w:sz w:val="24"/>
        </w:rPr>
        <w:t>22.2使用“政采云电子交易客户端”需要提前申领 CA 数字证书，申领流程见该项目采购公告附件。</w:t>
      </w:r>
    </w:p>
    <w:p w14:paraId="509A7CD0">
      <w:pPr>
        <w:pStyle w:val="17"/>
        <w:spacing w:line="360" w:lineRule="auto"/>
        <w:ind w:left="1"/>
        <w:outlineLvl w:val="9"/>
        <w:rPr>
          <w:rFonts w:hAnsi="宋体"/>
          <w:sz w:val="24"/>
          <w:szCs w:val="24"/>
        </w:rPr>
      </w:pPr>
      <w:r>
        <w:rPr>
          <w:rFonts w:hint="eastAsia" w:hAnsi="宋体" w:cs="宋体"/>
          <w:bCs/>
          <w:kern w:val="0"/>
          <w:sz w:val="24"/>
        </w:rPr>
        <w:t>22.3为确保网上操作合法、有效和安全，供应商应当在投标文件提交截止时间前完成在 “政府采购云平台”的身份认证，确保在电子交易过程中能够对相关数据电文进行加密和使用电子签名。</w:t>
      </w:r>
    </w:p>
    <w:p w14:paraId="0E322EC5">
      <w:pPr>
        <w:spacing w:line="360" w:lineRule="auto"/>
        <w:jc w:val="left"/>
        <w:outlineLvl w:val="9"/>
        <w:rPr>
          <w:rFonts w:ascii="宋体" w:hAnsi="宋体"/>
          <w:b/>
          <w:sz w:val="24"/>
        </w:rPr>
      </w:pPr>
      <w:r>
        <w:rPr>
          <w:rFonts w:hint="eastAsia" w:ascii="宋体" w:hAnsi="宋体"/>
          <w:b/>
          <w:sz w:val="24"/>
        </w:rPr>
        <w:t>2</w:t>
      </w:r>
      <w:r>
        <w:rPr>
          <w:rFonts w:ascii="宋体" w:hAnsi="宋体"/>
          <w:b/>
          <w:sz w:val="24"/>
        </w:rPr>
        <w:t>3</w:t>
      </w:r>
      <w:r>
        <w:rPr>
          <w:rFonts w:hint="eastAsia" w:ascii="宋体" w:hAnsi="宋体"/>
          <w:b/>
          <w:sz w:val="24"/>
        </w:rPr>
        <w:t>. 提交投标文件截止时间和地点</w:t>
      </w:r>
    </w:p>
    <w:p w14:paraId="612B86D3">
      <w:pPr>
        <w:spacing w:line="360" w:lineRule="auto"/>
        <w:jc w:val="left"/>
        <w:outlineLvl w:val="9"/>
        <w:rPr>
          <w:rFonts w:ascii="宋体" w:hAnsi="宋体"/>
          <w:sz w:val="24"/>
        </w:rPr>
      </w:pPr>
      <w:r>
        <w:rPr>
          <w:rFonts w:hint="eastAsia" w:ascii="宋体" w:hAnsi="宋体"/>
          <w:sz w:val="24"/>
        </w:rPr>
        <w:t>23.1投标文件的递交/上传不得迟于“投标人须知前附表”规定的递交投标文件截止时间。逾期送达/上传的投标文件，采购人不予接收。</w:t>
      </w:r>
    </w:p>
    <w:p w14:paraId="665A6477">
      <w:pPr>
        <w:spacing w:line="360" w:lineRule="auto"/>
        <w:jc w:val="left"/>
        <w:outlineLvl w:val="9"/>
        <w:rPr>
          <w:rFonts w:ascii="宋体" w:hAnsi="宋体"/>
          <w:sz w:val="24"/>
        </w:rPr>
      </w:pPr>
      <w:r>
        <w:rPr>
          <w:rFonts w:hint="eastAsia" w:ascii="宋体" w:hAnsi="宋体"/>
          <w:sz w:val="24"/>
        </w:rPr>
        <w:t>23.2投标人必须在规定时间内将投标文件递交/上传到“投标人须知前附表”规定的地点。</w:t>
      </w:r>
    </w:p>
    <w:p w14:paraId="3AC6CB60">
      <w:pPr>
        <w:spacing w:line="360" w:lineRule="auto"/>
        <w:jc w:val="left"/>
        <w:outlineLvl w:val="9"/>
        <w:rPr>
          <w:rFonts w:ascii="宋体" w:hAnsi="宋体"/>
          <w:sz w:val="24"/>
        </w:rPr>
      </w:pPr>
      <w:r>
        <w:rPr>
          <w:rFonts w:hint="eastAsia" w:ascii="宋体" w:hAnsi="宋体"/>
          <w:sz w:val="24"/>
        </w:rPr>
        <w:t>23.3除“投标人须知前附表”另有规定外，投标人所递交的投标文件不予退还。</w:t>
      </w:r>
    </w:p>
    <w:p w14:paraId="7D6FCF40">
      <w:pPr>
        <w:spacing w:line="360" w:lineRule="auto"/>
        <w:jc w:val="left"/>
        <w:outlineLvl w:val="9"/>
        <w:rPr>
          <w:rFonts w:ascii="宋体" w:hAnsi="宋体"/>
          <w:sz w:val="24"/>
        </w:rPr>
      </w:pPr>
      <w:r>
        <w:rPr>
          <w:rFonts w:hint="eastAsia" w:ascii="宋体" w:hAnsi="宋体"/>
          <w:sz w:val="24"/>
        </w:rPr>
        <w:t>23.4在投标截止时间前，投标人可以撤回在网上已递交的投标文件，修改后重新上传，无须书面形式通知采购人。</w:t>
      </w:r>
    </w:p>
    <w:p w14:paraId="37EFFD54">
      <w:pPr>
        <w:spacing w:line="360" w:lineRule="auto"/>
        <w:jc w:val="left"/>
        <w:outlineLvl w:val="9"/>
        <w:rPr>
          <w:rFonts w:ascii="宋体" w:hAnsi="宋体"/>
          <w:sz w:val="24"/>
        </w:rPr>
      </w:pPr>
      <w:r>
        <w:rPr>
          <w:rFonts w:hint="eastAsia" w:ascii="宋体" w:hAnsi="宋体"/>
          <w:sz w:val="24"/>
        </w:rPr>
        <w:t>23.5修改的投标文件应按照本章第20款、第22款的要求进行重新编制、加密和递交。</w:t>
      </w:r>
    </w:p>
    <w:p w14:paraId="7ABC3934">
      <w:pPr>
        <w:spacing w:line="360" w:lineRule="auto"/>
        <w:jc w:val="left"/>
        <w:outlineLvl w:val="9"/>
        <w:rPr>
          <w:rFonts w:hAnsi="宋体"/>
          <w:sz w:val="24"/>
          <w:szCs w:val="24"/>
        </w:rPr>
      </w:pPr>
      <w:r>
        <w:rPr>
          <w:rFonts w:hint="eastAsia" w:hAnsi="宋体"/>
          <w:sz w:val="24"/>
        </w:rPr>
        <w:t>23.6在投标截止时间后递交的投标文件不予撤回。</w:t>
      </w:r>
    </w:p>
    <w:p w14:paraId="02FA9FE6">
      <w:pPr>
        <w:tabs>
          <w:tab w:val="left" w:pos="1021"/>
        </w:tabs>
        <w:ind w:left="425" w:firstLine="0"/>
        <w:jc w:val="center"/>
        <w:outlineLvl w:val="9"/>
        <w:rPr>
          <w:rFonts w:ascii="宋体" w:hAnsi="宋体" w:eastAsia="宋体"/>
          <w:sz w:val="30"/>
          <w:szCs w:val="30"/>
        </w:rPr>
      </w:pPr>
      <w:bookmarkStart w:id="58" w:name="_Toc70446108"/>
      <w:r>
        <w:rPr>
          <w:rFonts w:hint="eastAsia" w:ascii="宋体" w:hAnsi="宋体" w:eastAsia="宋体" w:cs="Times New Roman"/>
          <w:b/>
          <w:bCs/>
          <w:sz w:val="36"/>
          <w:szCs w:val="36"/>
        </w:rPr>
        <w:t>五、开标与评标</w:t>
      </w:r>
      <w:bookmarkEnd w:id="58"/>
    </w:p>
    <w:p w14:paraId="593E6F7B">
      <w:pPr>
        <w:spacing w:line="360" w:lineRule="auto"/>
        <w:jc w:val="left"/>
        <w:outlineLvl w:val="9"/>
        <w:rPr>
          <w:rFonts w:ascii="宋体" w:hAnsi="宋体"/>
          <w:b/>
          <w:sz w:val="24"/>
        </w:rPr>
      </w:pPr>
      <w:r>
        <w:rPr>
          <w:rFonts w:hint="eastAsia" w:ascii="宋体" w:hAnsi="宋体"/>
          <w:b/>
          <w:sz w:val="24"/>
        </w:rPr>
        <w:t>2</w:t>
      </w:r>
      <w:r>
        <w:rPr>
          <w:rFonts w:ascii="宋体" w:hAnsi="宋体"/>
          <w:b/>
          <w:sz w:val="24"/>
        </w:rPr>
        <w:t>4</w:t>
      </w:r>
      <w:r>
        <w:rPr>
          <w:rFonts w:hint="eastAsia" w:ascii="宋体" w:hAnsi="宋体"/>
          <w:b/>
          <w:sz w:val="24"/>
        </w:rPr>
        <w:t>. 开标</w:t>
      </w:r>
    </w:p>
    <w:p w14:paraId="45F40B2C">
      <w:pPr>
        <w:pStyle w:val="17"/>
        <w:spacing w:line="360" w:lineRule="auto"/>
        <w:ind w:left="2"/>
        <w:jc w:val="left"/>
        <w:outlineLvl w:val="9"/>
        <w:rPr>
          <w:rFonts w:hint="eastAsia" w:hAnsi="宋体"/>
          <w:sz w:val="24"/>
          <w:szCs w:val="24"/>
        </w:rPr>
      </w:pPr>
      <w:r>
        <w:rPr>
          <w:rFonts w:hint="eastAsia" w:hAnsi="宋体"/>
          <w:sz w:val="24"/>
          <w:szCs w:val="24"/>
        </w:rPr>
        <w:t>24.1采购代理机构将在“投标人须知前附表”规定的时间和地点进行开标，请各投标人代表准时参加线上开标会。如投标人未参加开标的，视同认可开标结果。</w:t>
      </w:r>
    </w:p>
    <w:p w14:paraId="6DB05959">
      <w:pPr>
        <w:pStyle w:val="17"/>
        <w:spacing w:line="360" w:lineRule="auto"/>
        <w:ind w:left="2"/>
        <w:jc w:val="left"/>
        <w:outlineLvl w:val="9"/>
        <w:rPr>
          <w:rFonts w:hint="eastAsia" w:hAnsi="宋体"/>
          <w:sz w:val="24"/>
          <w:szCs w:val="24"/>
        </w:rPr>
      </w:pPr>
      <w:r>
        <w:rPr>
          <w:rFonts w:hint="eastAsia" w:hAnsi="宋体"/>
          <w:sz w:val="24"/>
          <w:szCs w:val="24"/>
        </w:rPr>
        <w:t>24.2投标截止后投标人不足3家的，不得开标。</w:t>
      </w:r>
      <w:r>
        <w:rPr>
          <w:rFonts w:hint="eastAsia" w:hAnsi="宋体"/>
          <w:sz w:val="24"/>
          <w:szCs w:val="24"/>
        </w:rPr>
        <w:tab/>
      </w:r>
    </w:p>
    <w:p w14:paraId="3982E80F">
      <w:pPr>
        <w:pStyle w:val="17"/>
        <w:spacing w:line="360" w:lineRule="auto"/>
        <w:ind w:left="2"/>
        <w:jc w:val="left"/>
        <w:outlineLvl w:val="9"/>
        <w:rPr>
          <w:rFonts w:hint="eastAsia" w:hAnsi="宋体"/>
          <w:sz w:val="24"/>
          <w:szCs w:val="24"/>
        </w:rPr>
      </w:pPr>
      <w:r>
        <w:rPr>
          <w:rFonts w:hint="eastAsia" w:hAnsi="宋体"/>
          <w:sz w:val="24"/>
          <w:szCs w:val="24"/>
        </w:rPr>
        <w:t>24.3开标会：开标会由采购代理机构主持，具体流程如下：</w:t>
      </w:r>
    </w:p>
    <w:p w14:paraId="4021A3FB">
      <w:pPr>
        <w:pStyle w:val="17"/>
        <w:spacing w:line="360" w:lineRule="auto"/>
        <w:ind w:left="2"/>
        <w:jc w:val="left"/>
        <w:outlineLvl w:val="9"/>
        <w:rPr>
          <w:rFonts w:hAnsi="宋体"/>
          <w:sz w:val="24"/>
          <w:szCs w:val="24"/>
        </w:rPr>
      </w:pPr>
      <w:r>
        <w:rPr>
          <w:rFonts w:hint="eastAsia" w:hAnsi="宋体"/>
          <w:sz w:val="24"/>
          <w:szCs w:val="24"/>
        </w:rPr>
        <w:t>（1）采购代理机构依托电子交易平台发起开始解密指令，投标人须使用加密时所用的CA锁按平台提示和招标文件的规定登录到“政采云”平台电子开标大厅签到，并在发起解密指令之时起</w:t>
      </w:r>
      <w:r>
        <w:rPr>
          <w:rFonts w:hint="eastAsia" w:hAnsi="宋体"/>
          <w:sz w:val="24"/>
          <w:szCs w:val="24"/>
          <w:lang w:val="en-US" w:eastAsia="zh-CN"/>
        </w:rPr>
        <w:t>30</w:t>
      </w:r>
      <w:r>
        <w:rPr>
          <w:rFonts w:hint="eastAsia" w:hAnsi="宋体"/>
          <w:sz w:val="24"/>
          <w:szCs w:val="24"/>
        </w:rPr>
        <w:t>分钟内完成对电子投标文件在线解密；投标文件未按时解密的，视为撤回投标文件。</w:t>
      </w:r>
    </w:p>
    <w:p w14:paraId="245F4F92">
      <w:pPr>
        <w:pStyle w:val="17"/>
        <w:spacing w:line="360" w:lineRule="auto"/>
        <w:ind w:left="2"/>
        <w:jc w:val="left"/>
        <w:outlineLvl w:val="9"/>
        <w:rPr>
          <w:rFonts w:hint="eastAsia" w:hAnsi="宋体"/>
          <w:sz w:val="24"/>
          <w:szCs w:val="24"/>
        </w:rPr>
      </w:pPr>
      <w:r>
        <w:rPr>
          <w:rFonts w:hint="eastAsia" w:hAnsi="宋体"/>
          <w:sz w:val="24"/>
          <w:szCs w:val="24"/>
        </w:rPr>
        <w:t>（2）发起解密指令之时起5分钟内投标人还未进行解密的，代理机构可通知投标人，投标人未预留联系方式或预留联系方式无效，导致代理机构无法联系到投标人，所产生的后果由投标人自行承担。</w:t>
      </w:r>
    </w:p>
    <w:p w14:paraId="22275AC9">
      <w:pPr>
        <w:pStyle w:val="17"/>
        <w:spacing w:line="360" w:lineRule="auto"/>
        <w:ind w:left="2"/>
        <w:jc w:val="left"/>
        <w:outlineLvl w:val="9"/>
        <w:rPr>
          <w:rFonts w:hint="eastAsia" w:hAnsi="宋体"/>
          <w:sz w:val="24"/>
          <w:szCs w:val="24"/>
        </w:rPr>
      </w:pPr>
      <w:r>
        <w:rPr>
          <w:rFonts w:hint="eastAsia" w:hAnsi="宋体"/>
          <w:sz w:val="24"/>
          <w:szCs w:val="24"/>
        </w:rPr>
        <w:t>（解密异常情况处理：详见本章28.1电子交易活动的中止） 如投标人成功解密投标文件，但未在“政采云”电子开标大厅参加开标的，视同认可开标过程和结果，由此产生的后果由投标人自行负责。</w:t>
      </w:r>
    </w:p>
    <w:p w14:paraId="30DB5D4B">
      <w:pPr>
        <w:pStyle w:val="17"/>
        <w:spacing w:line="360" w:lineRule="auto"/>
        <w:ind w:left="2"/>
        <w:jc w:val="left"/>
        <w:outlineLvl w:val="9"/>
        <w:rPr>
          <w:rFonts w:hint="eastAsia" w:hAnsi="宋体"/>
          <w:sz w:val="24"/>
          <w:szCs w:val="24"/>
        </w:rPr>
      </w:pPr>
      <w:r>
        <w:rPr>
          <w:rFonts w:hint="eastAsia" w:hAnsi="宋体"/>
          <w:sz w:val="24"/>
          <w:szCs w:val="24"/>
        </w:rPr>
        <w:t>24.4 开标工作人员将做开标记录。</w:t>
      </w:r>
    </w:p>
    <w:p w14:paraId="30C6C847">
      <w:pPr>
        <w:pStyle w:val="17"/>
        <w:spacing w:line="360" w:lineRule="auto"/>
        <w:ind w:left="2"/>
        <w:jc w:val="left"/>
        <w:outlineLvl w:val="9"/>
        <w:rPr>
          <w:rFonts w:hAnsi="宋体"/>
          <w:sz w:val="24"/>
          <w:szCs w:val="24"/>
        </w:rPr>
      </w:pPr>
      <w:r>
        <w:rPr>
          <w:rFonts w:hint="eastAsia" w:hAnsi="宋体"/>
          <w:sz w:val="24"/>
          <w:szCs w:val="24"/>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4D6D5891">
      <w:pPr>
        <w:spacing w:line="360" w:lineRule="auto"/>
        <w:jc w:val="left"/>
        <w:outlineLvl w:val="9"/>
        <w:rPr>
          <w:rFonts w:hint="eastAsia" w:ascii="宋体" w:hAnsi="宋体"/>
          <w:b/>
          <w:sz w:val="24"/>
        </w:rPr>
      </w:pPr>
      <w:r>
        <w:rPr>
          <w:rFonts w:hint="eastAsia" w:ascii="宋体" w:hAnsi="宋体"/>
          <w:b/>
          <w:sz w:val="24"/>
        </w:rPr>
        <w:t>2</w:t>
      </w:r>
      <w:r>
        <w:rPr>
          <w:rFonts w:ascii="宋体" w:hAnsi="宋体"/>
          <w:b/>
          <w:sz w:val="24"/>
        </w:rPr>
        <w:t>5</w:t>
      </w:r>
      <w:r>
        <w:rPr>
          <w:rFonts w:hint="eastAsia" w:ascii="宋体" w:hAnsi="宋体"/>
          <w:b/>
          <w:sz w:val="24"/>
        </w:rPr>
        <w:t>.</w:t>
      </w:r>
      <w:r>
        <w:rPr>
          <w:rFonts w:hint="eastAsia"/>
        </w:rPr>
        <w:t xml:space="preserve"> </w:t>
      </w:r>
      <w:r>
        <w:rPr>
          <w:rFonts w:hint="eastAsia" w:ascii="宋体" w:hAnsi="宋体"/>
          <w:b/>
          <w:sz w:val="24"/>
        </w:rPr>
        <w:t>资格审查</w:t>
      </w:r>
    </w:p>
    <w:p w14:paraId="48A8D758">
      <w:pPr>
        <w:spacing w:line="360" w:lineRule="auto"/>
        <w:jc w:val="left"/>
        <w:outlineLvl w:val="9"/>
        <w:rPr>
          <w:rFonts w:hint="eastAsia" w:ascii="宋体" w:hAnsi="宋体"/>
          <w:sz w:val="24"/>
        </w:rPr>
      </w:pPr>
      <w:r>
        <w:rPr>
          <w:rFonts w:hint="eastAsia" w:hAnsi="宋体"/>
          <w:sz w:val="24"/>
        </w:rPr>
        <w:t>25.1开标结束后，采购代理机构应当按照“第六章 资格评审标准”依法对投标人的资格进行审查，合格投标人不足3家的，不得评标。</w:t>
      </w:r>
    </w:p>
    <w:p w14:paraId="39DFAFDF">
      <w:pPr>
        <w:spacing w:line="360" w:lineRule="auto"/>
        <w:jc w:val="left"/>
        <w:outlineLvl w:val="9"/>
        <w:rPr>
          <w:rFonts w:ascii="宋体" w:hAnsi="宋体"/>
          <w:b/>
          <w:sz w:val="24"/>
        </w:rPr>
      </w:pPr>
      <w:r>
        <w:rPr>
          <w:rFonts w:hint="eastAsia" w:ascii="宋体" w:hAnsi="宋体"/>
          <w:b/>
          <w:sz w:val="24"/>
        </w:rPr>
        <w:t>26.评标</w:t>
      </w:r>
    </w:p>
    <w:p w14:paraId="5437F2CD">
      <w:pPr>
        <w:spacing w:line="360" w:lineRule="auto"/>
        <w:jc w:val="left"/>
        <w:outlineLvl w:val="9"/>
        <w:rPr>
          <w:rFonts w:ascii="宋体" w:hAnsi="宋体"/>
          <w:sz w:val="24"/>
        </w:rPr>
      </w:pPr>
      <w:r>
        <w:rPr>
          <w:rFonts w:hint="eastAsia" w:ascii="宋体" w:hAnsi="宋体"/>
          <w:sz w:val="24"/>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3D964D06">
      <w:pPr>
        <w:spacing w:line="360" w:lineRule="auto"/>
        <w:ind w:firstLine="480" w:firstLineChars="200"/>
        <w:jc w:val="left"/>
        <w:outlineLvl w:val="9"/>
        <w:rPr>
          <w:rFonts w:ascii="宋体" w:hAnsi="宋体"/>
          <w:sz w:val="24"/>
        </w:rPr>
      </w:pPr>
      <w:r>
        <w:rPr>
          <w:rFonts w:hint="eastAsia" w:ascii="宋体" w:hAnsi="宋体"/>
          <w:sz w:val="24"/>
        </w:rPr>
        <w:t>采购人委派代表参加评标委员会的，要向采购代理机构出具授权函。</w:t>
      </w:r>
    </w:p>
    <w:p w14:paraId="5D316E65">
      <w:pPr>
        <w:pStyle w:val="17"/>
        <w:spacing w:line="360" w:lineRule="auto"/>
        <w:outlineLvl w:val="9"/>
        <w:rPr>
          <w:rFonts w:hAnsi="宋体"/>
          <w:bCs/>
          <w:sz w:val="24"/>
          <w:szCs w:val="24"/>
        </w:rPr>
      </w:pPr>
      <w:bookmarkStart w:id="59" w:name="_Toc191374422"/>
      <w:r>
        <w:rPr>
          <w:rFonts w:hint="eastAsia" w:hAnsi="宋体"/>
          <w:bCs/>
          <w:sz w:val="24"/>
          <w:szCs w:val="24"/>
        </w:rPr>
        <w:t>26.2评标原则</w:t>
      </w:r>
      <w:bookmarkEnd w:id="59"/>
      <w:r>
        <w:rPr>
          <w:rFonts w:hint="eastAsia" w:hAnsi="宋体"/>
          <w:bCs/>
          <w:sz w:val="24"/>
          <w:szCs w:val="24"/>
        </w:rPr>
        <w:t>及方法</w:t>
      </w:r>
    </w:p>
    <w:p w14:paraId="4EE72CEF">
      <w:pPr>
        <w:spacing w:line="360" w:lineRule="auto"/>
        <w:jc w:val="left"/>
        <w:outlineLvl w:val="9"/>
        <w:rPr>
          <w:rFonts w:ascii="宋体" w:hAnsi="宋体"/>
          <w:sz w:val="24"/>
        </w:rPr>
      </w:pPr>
      <w:r>
        <w:rPr>
          <w:rFonts w:hint="eastAsia" w:ascii="宋体" w:hAnsi="宋体"/>
          <w:sz w:val="24"/>
        </w:rPr>
        <w:t xml:space="preserve">    评标活动遵循公平、公正、科学和择优的原则。</w:t>
      </w:r>
    </w:p>
    <w:p w14:paraId="5060C0C0">
      <w:pPr>
        <w:pStyle w:val="17"/>
        <w:spacing w:line="360" w:lineRule="auto"/>
        <w:ind w:left="720" w:hanging="720" w:hangingChars="300"/>
        <w:outlineLvl w:val="9"/>
        <w:rPr>
          <w:rFonts w:hAnsi="宋体"/>
          <w:bCs/>
          <w:sz w:val="24"/>
          <w:szCs w:val="24"/>
        </w:rPr>
      </w:pPr>
      <w:r>
        <w:rPr>
          <w:rFonts w:hint="eastAsia" w:hAnsi="宋体"/>
          <w:sz w:val="24"/>
          <w:szCs w:val="24"/>
        </w:rPr>
        <w:t>26.3</w:t>
      </w:r>
      <w:r>
        <w:rPr>
          <w:rFonts w:hint="eastAsia" w:hAnsi="宋体"/>
          <w:bCs/>
          <w:sz w:val="24"/>
          <w:szCs w:val="24"/>
        </w:rPr>
        <w:t>评标方法</w:t>
      </w:r>
    </w:p>
    <w:p w14:paraId="2EA9D29E">
      <w:pPr>
        <w:spacing w:line="360" w:lineRule="auto"/>
        <w:ind w:firstLine="540" w:firstLineChars="225"/>
        <w:jc w:val="left"/>
        <w:outlineLvl w:val="9"/>
        <w:rPr>
          <w:rFonts w:ascii="宋体" w:hAnsi="宋体"/>
          <w:sz w:val="24"/>
        </w:rPr>
      </w:pPr>
      <w:r>
        <w:rPr>
          <w:rFonts w:hint="eastAsia" w:ascii="宋体" w:hAnsi="宋体"/>
          <w:sz w:val="24"/>
        </w:rPr>
        <w:t>本项目按“</w:t>
      </w:r>
      <w:r>
        <w:rPr>
          <w:rFonts w:hint="eastAsia" w:ascii="宋体" w:hAnsi="宋体"/>
          <w:b/>
          <w:bCs/>
          <w:sz w:val="24"/>
        </w:rPr>
        <w:t>投标人须知前附表</w:t>
      </w:r>
      <w:r>
        <w:rPr>
          <w:rFonts w:hint="eastAsia" w:ascii="宋体" w:hAnsi="宋体"/>
          <w:sz w:val="24"/>
        </w:rPr>
        <w:t>”规定的评标方法评标。在评标中，不得改变招标文件中规定的评标标准、方法和中标条件。第七章</w:t>
      </w:r>
      <w:r>
        <w:rPr>
          <w:rFonts w:hint="eastAsia" w:ascii="宋体" w:hAnsi="宋体" w:eastAsia="宋体" w:cs="Times New Roman"/>
          <w:b/>
          <w:bCs/>
          <w:sz w:val="24"/>
        </w:rPr>
        <w:t>“评标方法（综合评分法）”</w:t>
      </w:r>
      <w:r>
        <w:rPr>
          <w:rFonts w:hint="eastAsia" w:ascii="宋体" w:hAnsi="宋体"/>
          <w:sz w:val="24"/>
        </w:rPr>
        <w:t>没有规定的评审因素和标准，不作为评标依据。</w:t>
      </w:r>
    </w:p>
    <w:p w14:paraId="2E06F2AC">
      <w:pPr>
        <w:spacing w:line="360" w:lineRule="auto"/>
        <w:outlineLvl w:val="9"/>
        <w:rPr>
          <w:rFonts w:ascii="宋体" w:hAnsi="宋体"/>
          <w:sz w:val="24"/>
        </w:rPr>
      </w:pPr>
      <w:r>
        <w:rPr>
          <w:rFonts w:hint="eastAsia" w:ascii="宋体" w:hAnsi="宋体"/>
          <w:sz w:val="24"/>
        </w:rPr>
        <w:t>26.4评标应当在严格保密的情况下进行。</w:t>
      </w:r>
      <w:r>
        <w:rPr>
          <w:rFonts w:ascii="宋体" w:hAnsi="宋体"/>
          <w:sz w:val="24"/>
        </w:rPr>
        <w:t xml:space="preserve"> </w:t>
      </w:r>
      <w:r>
        <w:rPr>
          <w:rFonts w:hint="eastAsia" w:ascii="宋体" w:hAnsi="宋体"/>
          <w:sz w:val="24"/>
        </w:rPr>
        <w:t>任何单位和个人不得非法干预、影响评标办法的确定，以及评标过程和结果。</w:t>
      </w:r>
      <w:r>
        <w:rPr>
          <w:rFonts w:ascii="宋体" w:hAnsi="宋体"/>
          <w:sz w:val="24"/>
        </w:rPr>
        <w:t>评标委员会成员和与评标活动有关的人员</w:t>
      </w:r>
      <w:r>
        <w:rPr>
          <w:rFonts w:hint="eastAsia" w:ascii="宋体" w:hAnsi="宋体"/>
          <w:sz w:val="24"/>
        </w:rPr>
        <w:t>在政府采购活动中应严格遵守政府采购评审工作纪律，不得向外界泄露评审情况。</w:t>
      </w:r>
    </w:p>
    <w:p w14:paraId="5DD75D5B">
      <w:pPr>
        <w:spacing w:line="360" w:lineRule="auto"/>
        <w:outlineLvl w:val="9"/>
        <w:rPr>
          <w:rFonts w:ascii="inherit" w:hAnsi="inherit" w:cs="宋体"/>
          <w:kern w:val="0"/>
          <w:sz w:val="24"/>
        </w:rPr>
      </w:pPr>
      <w:r>
        <w:rPr>
          <w:rFonts w:ascii="宋体" w:hAnsi="宋体"/>
          <w:sz w:val="24"/>
        </w:rPr>
        <w:t>★</w:t>
      </w:r>
      <w:r>
        <w:rPr>
          <w:rFonts w:hint="eastAsia" w:ascii="宋体" w:hAnsi="宋体"/>
          <w:sz w:val="24"/>
        </w:rPr>
        <w:t>26.5</w:t>
      </w:r>
      <w:r>
        <w:rPr>
          <w:rFonts w:ascii="inherit" w:hAnsi="inherit" w:cs="宋体"/>
          <w:kern w:val="0"/>
          <w:sz w:val="24"/>
        </w:rPr>
        <w:t>在评标过程中</w:t>
      </w:r>
      <w:r>
        <w:rPr>
          <w:rFonts w:hint="eastAsia" w:ascii="inherit" w:hAnsi="inherit" w:cs="宋体"/>
          <w:kern w:val="0"/>
          <w:sz w:val="24"/>
        </w:rPr>
        <w:t>，</w:t>
      </w:r>
      <w:r>
        <w:rPr>
          <w:rFonts w:ascii="inherit" w:hAnsi="inherit" w:cs="宋体"/>
          <w:kern w:val="0"/>
          <w:sz w:val="24"/>
        </w:rPr>
        <w:t>评标委员会发现投标人有</w:t>
      </w:r>
      <w:r>
        <w:rPr>
          <w:rFonts w:hint="eastAsia" w:ascii="inherit" w:hAnsi="inherit" w:cs="宋体"/>
          <w:kern w:val="0"/>
          <w:sz w:val="24"/>
        </w:rPr>
        <w:t>本须知</w:t>
      </w:r>
      <w:r>
        <w:rPr>
          <w:rFonts w:hint="eastAsia" w:ascii="宋体" w:hAnsi="宋体" w:cs="宋体"/>
          <w:kern w:val="0"/>
          <w:sz w:val="24"/>
        </w:rPr>
        <w:t>19</w:t>
      </w:r>
      <w:r>
        <w:rPr>
          <w:rFonts w:hint="eastAsia" w:ascii="inherit" w:hAnsi="inherit" w:cs="宋体"/>
          <w:kern w:val="0"/>
          <w:sz w:val="24"/>
        </w:rPr>
        <w:t>条款规定的情形</w:t>
      </w:r>
      <w:r>
        <w:rPr>
          <w:rFonts w:ascii="inherit" w:hAnsi="inherit" w:cs="宋体"/>
          <w:kern w:val="0"/>
          <w:sz w:val="24"/>
        </w:rPr>
        <w:t>，应当认定其投标无效，并书面报告本级财政部门。</w:t>
      </w:r>
    </w:p>
    <w:p w14:paraId="51DA1B31">
      <w:pPr>
        <w:spacing w:line="360" w:lineRule="auto"/>
        <w:outlineLvl w:val="9"/>
        <w:rPr>
          <w:rFonts w:ascii="inherit" w:hAnsi="inherit" w:cs="宋体"/>
          <w:kern w:val="0"/>
          <w:sz w:val="24"/>
        </w:rPr>
      </w:pPr>
      <w:r>
        <w:rPr>
          <w:rFonts w:ascii="宋体" w:hAnsi="宋体"/>
          <w:sz w:val="24"/>
        </w:rPr>
        <w:t>★</w:t>
      </w:r>
      <w:r>
        <w:rPr>
          <w:rFonts w:hint="eastAsia" w:ascii="宋体" w:hAnsi="宋体" w:cs="宋体"/>
          <w:kern w:val="0"/>
          <w:sz w:val="24"/>
        </w:rPr>
        <w:t>26.6</w:t>
      </w:r>
      <w:r>
        <w:rPr>
          <w:rFonts w:ascii="inherit" w:hAnsi="inherit" w:cs="宋体"/>
          <w:kern w:val="0"/>
          <w:sz w:val="24"/>
        </w:rPr>
        <w:t>有下列情形之一的，视为投标人串通投标，其投标无效：</w:t>
      </w:r>
    </w:p>
    <w:p w14:paraId="0BE1C13E">
      <w:pPr>
        <w:widowControl/>
        <w:spacing w:line="360" w:lineRule="auto"/>
        <w:jc w:val="left"/>
        <w:textAlignment w:val="baseline"/>
        <w:outlineLvl w:val="9"/>
        <w:rPr>
          <w:rFonts w:hint="eastAsia" w:ascii="inherit" w:hAnsi="inherit" w:cs="宋体"/>
          <w:kern w:val="0"/>
          <w:sz w:val="24"/>
        </w:rPr>
      </w:pPr>
      <w:r>
        <w:rPr>
          <w:rFonts w:ascii="inherit" w:hAnsi="inherit" w:cs="宋体"/>
          <w:kern w:val="0"/>
          <w:sz w:val="24"/>
        </w:rPr>
        <w:t>（一）不同投标人的投标文件由同一单位或者个人编制；</w:t>
      </w:r>
    </w:p>
    <w:p w14:paraId="58CB4B1E">
      <w:pPr>
        <w:widowControl/>
        <w:spacing w:line="360" w:lineRule="auto"/>
        <w:jc w:val="left"/>
        <w:textAlignment w:val="baseline"/>
        <w:outlineLvl w:val="9"/>
        <w:rPr>
          <w:rFonts w:hint="eastAsia" w:ascii="inherit" w:hAnsi="inherit" w:cs="宋体"/>
          <w:kern w:val="0"/>
          <w:sz w:val="24"/>
        </w:rPr>
      </w:pPr>
      <w:r>
        <w:rPr>
          <w:rFonts w:ascii="inherit" w:hAnsi="inherit" w:cs="宋体"/>
          <w:kern w:val="0"/>
          <w:sz w:val="24"/>
        </w:rPr>
        <w:t>（二）不同投标人委托同一单位或者个人办理投标事宜；</w:t>
      </w:r>
    </w:p>
    <w:p w14:paraId="792B263A">
      <w:pPr>
        <w:widowControl/>
        <w:spacing w:line="360" w:lineRule="auto"/>
        <w:jc w:val="left"/>
        <w:textAlignment w:val="baseline"/>
        <w:outlineLvl w:val="9"/>
        <w:rPr>
          <w:rFonts w:hint="eastAsia" w:ascii="inherit" w:hAnsi="inherit" w:cs="宋体"/>
          <w:kern w:val="0"/>
          <w:sz w:val="24"/>
        </w:rPr>
      </w:pPr>
      <w:r>
        <w:rPr>
          <w:rFonts w:ascii="inherit" w:hAnsi="inherit" w:cs="宋体"/>
          <w:kern w:val="0"/>
          <w:sz w:val="24"/>
        </w:rPr>
        <w:t>（三）不同投标人的投标文件载明的项目管理成员或者联系人员为同一人；</w:t>
      </w:r>
    </w:p>
    <w:p w14:paraId="483FA357">
      <w:pPr>
        <w:widowControl/>
        <w:spacing w:line="360" w:lineRule="auto"/>
        <w:jc w:val="left"/>
        <w:textAlignment w:val="baseline"/>
        <w:outlineLvl w:val="9"/>
        <w:rPr>
          <w:rFonts w:hint="eastAsia" w:ascii="inherit" w:hAnsi="inherit" w:cs="宋体"/>
          <w:kern w:val="0"/>
          <w:sz w:val="24"/>
        </w:rPr>
      </w:pPr>
      <w:r>
        <w:rPr>
          <w:rFonts w:ascii="inherit" w:hAnsi="inherit" w:cs="宋体"/>
          <w:kern w:val="0"/>
          <w:sz w:val="24"/>
        </w:rPr>
        <w:t>（四）不同投标人的投标文件异常一致或者投标报价呈规律性差异；</w:t>
      </w:r>
    </w:p>
    <w:p w14:paraId="377612D6">
      <w:pPr>
        <w:widowControl/>
        <w:spacing w:line="360" w:lineRule="auto"/>
        <w:jc w:val="left"/>
        <w:textAlignment w:val="baseline"/>
        <w:outlineLvl w:val="9"/>
        <w:rPr>
          <w:rFonts w:hint="eastAsia" w:ascii="inherit" w:hAnsi="inherit" w:cs="宋体"/>
          <w:kern w:val="0"/>
          <w:sz w:val="24"/>
        </w:rPr>
      </w:pPr>
      <w:r>
        <w:rPr>
          <w:rFonts w:ascii="inherit" w:hAnsi="inherit" w:cs="宋体"/>
          <w:kern w:val="0"/>
          <w:sz w:val="24"/>
        </w:rPr>
        <w:t>（五）不同投标人的投标文件相互混装；</w:t>
      </w:r>
    </w:p>
    <w:p w14:paraId="573E2036">
      <w:pPr>
        <w:widowControl/>
        <w:spacing w:line="360" w:lineRule="auto"/>
        <w:jc w:val="left"/>
        <w:textAlignment w:val="baseline"/>
        <w:outlineLvl w:val="9"/>
        <w:rPr>
          <w:rFonts w:hint="eastAsia" w:ascii="inherit" w:hAnsi="inherit" w:cs="宋体"/>
          <w:kern w:val="0"/>
          <w:sz w:val="24"/>
        </w:rPr>
      </w:pPr>
      <w:r>
        <w:rPr>
          <w:rFonts w:ascii="inherit" w:hAnsi="inherit" w:cs="宋体"/>
          <w:kern w:val="0"/>
          <w:sz w:val="24"/>
        </w:rPr>
        <w:t>（六）不同投标人的投标保证金从同一单位或者个人的账户转出。</w:t>
      </w:r>
    </w:p>
    <w:p w14:paraId="47F015A0">
      <w:pPr>
        <w:pStyle w:val="17"/>
        <w:spacing w:line="360" w:lineRule="auto"/>
        <w:outlineLvl w:val="9"/>
        <w:rPr>
          <w:rFonts w:hAnsi="宋体"/>
          <w:bCs/>
          <w:sz w:val="24"/>
          <w:szCs w:val="24"/>
        </w:rPr>
      </w:pPr>
      <w:r>
        <w:rPr>
          <w:rFonts w:hAnsi="宋体"/>
          <w:bCs/>
          <w:sz w:val="24"/>
          <w:szCs w:val="24"/>
        </w:rPr>
        <w:t>2</w:t>
      </w:r>
      <w:r>
        <w:rPr>
          <w:rFonts w:hint="eastAsia" w:hAnsi="宋体"/>
          <w:bCs/>
          <w:sz w:val="24"/>
          <w:szCs w:val="24"/>
        </w:rPr>
        <w:t xml:space="preserve">7. </w:t>
      </w:r>
      <w:r>
        <w:rPr>
          <w:rFonts w:hint="eastAsia" w:hAnsi="宋体"/>
          <w:b/>
          <w:sz w:val="24"/>
          <w:szCs w:val="24"/>
        </w:rPr>
        <w:t>在招标采购中，出现下列情形之一的，应予废标：</w:t>
      </w:r>
    </w:p>
    <w:p w14:paraId="01AA7130">
      <w:pPr>
        <w:pStyle w:val="17"/>
        <w:spacing w:line="360" w:lineRule="auto"/>
        <w:ind w:left="719" w:leftChars="342" w:hanging="1"/>
        <w:outlineLvl w:val="9"/>
        <w:rPr>
          <w:rFonts w:hAnsi="宋体"/>
          <w:b/>
          <w:sz w:val="24"/>
          <w:szCs w:val="24"/>
        </w:rPr>
      </w:pPr>
      <w:r>
        <w:rPr>
          <w:rFonts w:hint="eastAsia" w:hAnsi="宋体"/>
          <w:b/>
          <w:sz w:val="24"/>
          <w:szCs w:val="24"/>
        </w:rPr>
        <w:t>(1)符合专业条件的投标人或者对招标文件作实质响应的投标人不足3家的；</w:t>
      </w:r>
    </w:p>
    <w:p w14:paraId="44C1DC2E">
      <w:pPr>
        <w:pStyle w:val="17"/>
        <w:spacing w:line="360" w:lineRule="auto"/>
        <w:ind w:left="719" w:leftChars="342" w:hanging="1"/>
        <w:outlineLvl w:val="9"/>
        <w:rPr>
          <w:rFonts w:hAnsi="宋体"/>
          <w:b/>
          <w:sz w:val="24"/>
          <w:szCs w:val="24"/>
        </w:rPr>
      </w:pPr>
      <w:r>
        <w:rPr>
          <w:rFonts w:hint="eastAsia" w:hAnsi="宋体"/>
          <w:b/>
          <w:sz w:val="24"/>
          <w:szCs w:val="24"/>
        </w:rPr>
        <w:t>(2)出现影响采购公正的违法、违规行为的；</w:t>
      </w:r>
    </w:p>
    <w:p w14:paraId="2F28CC48">
      <w:pPr>
        <w:pStyle w:val="17"/>
        <w:spacing w:line="360" w:lineRule="auto"/>
        <w:ind w:left="719" w:leftChars="342" w:hanging="1"/>
        <w:outlineLvl w:val="9"/>
        <w:rPr>
          <w:rFonts w:hAnsi="宋体"/>
          <w:b/>
          <w:sz w:val="24"/>
          <w:szCs w:val="24"/>
        </w:rPr>
      </w:pPr>
      <w:r>
        <w:rPr>
          <w:rFonts w:hint="eastAsia" w:hAnsi="宋体"/>
          <w:b/>
          <w:sz w:val="24"/>
          <w:szCs w:val="24"/>
        </w:rPr>
        <w:t>(3)投标人的报价均超过了采购预算，采购人不能支付的；</w:t>
      </w:r>
    </w:p>
    <w:p w14:paraId="25804BEF">
      <w:pPr>
        <w:pStyle w:val="17"/>
        <w:spacing w:line="360" w:lineRule="auto"/>
        <w:ind w:left="719" w:leftChars="342" w:hanging="1"/>
        <w:outlineLvl w:val="9"/>
        <w:rPr>
          <w:rFonts w:hAnsi="宋体"/>
          <w:b/>
          <w:sz w:val="24"/>
          <w:szCs w:val="24"/>
        </w:rPr>
      </w:pPr>
      <w:r>
        <w:rPr>
          <w:rFonts w:hint="eastAsia" w:hAnsi="宋体"/>
          <w:b/>
          <w:sz w:val="24"/>
          <w:szCs w:val="24"/>
        </w:rPr>
        <w:t>(4)因重大变故，采购任务取消的。</w:t>
      </w:r>
    </w:p>
    <w:p w14:paraId="3F89984F">
      <w:pPr>
        <w:pStyle w:val="17"/>
        <w:spacing w:line="360" w:lineRule="auto"/>
        <w:ind w:firstLine="525"/>
        <w:outlineLvl w:val="9"/>
        <w:rPr>
          <w:rFonts w:hint="eastAsia" w:hAnsi="宋体"/>
          <w:b/>
          <w:sz w:val="24"/>
          <w:szCs w:val="24"/>
        </w:rPr>
      </w:pPr>
      <w:r>
        <w:rPr>
          <w:rFonts w:hint="eastAsia" w:hAnsi="宋体"/>
          <w:b/>
          <w:sz w:val="24"/>
          <w:szCs w:val="24"/>
        </w:rPr>
        <w:t>废标后，采购人应当将废标理由通知所有投标人。</w:t>
      </w:r>
    </w:p>
    <w:p w14:paraId="1AC4EF6D">
      <w:pPr>
        <w:spacing w:line="360" w:lineRule="auto"/>
        <w:jc w:val="left"/>
        <w:outlineLvl w:val="9"/>
        <w:rPr>
          <w:rFonts w:hAnsi="宋体"/>
          <w:b/>
          <w:sz w:val="24"/>
        </w:rPr>
      </w:pPr>
      <w:r>
        <w:rPr>
          <w:rFonts w:hint="eastAsia" w:ascii="宋体" w:hAnsi="宋体"/>
          <w:b/>
          <w:bCs/>
          <w:sz w:val="24"/>
        </w:rPr>
        <w:t>28.电子交易活动的中止</w:t>
      </w:r>
    </w:p>
    <w:p w14:paraId="62B00C10">
      <w:pPr>
        <w:spacing w:line="360" w:lineRule="auto"/>
        <w:jc w:val="left"/>
        <w:outlineLvl w:val="9"/>
        <w:rPr>
          <w:rFonts w:hAnsi="宋体"/>
          <w:sz w:val="24"/>
        </w:rPr>
      </w:pPr>
      <w:r>
        <w:rPr>
          <w:rFonts w:hint="eastAsia" w:hAnsi="宋体"/>
          <w:sz w:val="24"/>
        </w:rPr>
        <w:t>28.1采购过程中出现以下情形，导致电子交易平台无法正常运行，或者无法保证电子交易的公平、公正和安全时，采购代理机构可中止电子交易活动：</w:t>
      </w:r>
    </w:p>
    <w:p w14:paraId="7DE6694E">
      <w:pPr>
        <w:spacing w:line="360" w:lineRule="auto"/>
        <w:ind w:firstLine="540" w:firstLineChars="225"/>
        <w:jc w:val="left"/>
        <w:outlineLvl w:val="9"/>
        <w:rPr>
          <w:rFonts w:hAnsi="宋体"/>
          <w:sz w:val="24"/>
        </w:rPr>
      </w:pPr>
      <w:r>
        <w:rPr>
          <w:rFonts w:hint="eastAsia" w:hAnsi="宋体"/>
          <w:sz w:val="24"/>
        </w:rPr>
        <w:t>（1）电子交易平台发生故障而无法登录访问的；</w:t>
      </w:r>
    </w:p>
    <w:p w14:paraId="6235914A">
      <w:pPr>
        <w:spacing w:line="360" w:lineRule="auto"/>
        <w:ind w:firstLine="540" w:firstLineChars="225"/>
        <w:jc w:val="left"/>
        <w:outlineLvl w:val="9"/>
        <w:rPr>
          <w:rFonts w:hAnsi="宋体"/>
          <w:sz w:val="24"/>
        </w:rPr>
      </w:pPr>
      <w:r>
        <w:rPr>
          <w:rFonts w:hint="eastAsia" w:hAnsi="宋体"/>
          <w:sz w:val="24"/>
        </w:rPr>
        <w:t>（2）电子交易平台应用或数据库出现错误，不能进行正常操作的；</w:t>
      </w:r>
    </w:p>
    <w:p w14:paraId="1D991400">
      <w:pPr>
        <w:spacing w:line="360" w:lineRule="auto"/>
        <w:ind w:firstLine="540" w:firstLineChars="225"/>
        <w:jc w:val="left"/>
        <w:outlineLvl w:val="9"/>
        <w:rPr>
          <w:rFonts w:hAnsi="宋体"/>
          <w:sz w:val="24"/>
        </w:rPr>
      </w:pPr>
      <w:r>
        <w:rPr>
          <w:rFonts w:hint="eastAsia" w:hAnsi="宋体"/>
          <w:sz w:val="24"/>
        </w:rPr>
        <w:t>（3）电子交易平台发现严重安全漏洞，有潜在泄密危险的；</w:t>
      </w:r>
    </w:p>
    <w:p w14:paraId="6CBFB19B">
      <w:pPr>
        <w:spacing w:line="360" w:lineRule="auto"/>
        <w:ind w:firstLine="540" w:firstLineChars="225"/>
        <w:jc w:val="left"/>
        <w:outlineLvl w:val="9"/>
        <w:rPr>
          <w:rFonts w:hAnsi="宋体"/>
          <w:sz w:val="24"/>
        </w:rPr>
      </w:pPr>
      <w:r>
        <w:rPr>
          <w:rFonts w:hint="eastAsia" w:hAnsi="宋体"/>
          <w:sz w:val="24"/>
        </w:rPr>
        <w:t>（4）病毒发作导致不能进行正常操作的；</w:t>
      </w:r>
    </w:p>
    <w:p w14:paraId="0DF1BD57">
      <w:pPr>
        <w:spacing w:line="360" w:lineRule="auto"/>
        <w:ind w:firstLine="540" w:firstLineChars="225"/>
        <w:jc w:val="left"/>
        <w:outlineLvl w:val="9"/>
        <w:rPr>
          <w:rFonts w:hAnsi="宋体"/>
          <w:sz w:val="24"/>
        </w:rPr>
      </w:pPr>
      <w:r>
        <w:rPr>
          <w:rFonts w:hint="eastAsia" w:hAnsi="宋体"/>
          <w:sz w:val="24"/>
        </w:rPr>
        <w:t>（5）其他无法保证电子交易的公平、公正和安全的情况。</w:t>
      </w:r>
    </w:p>
    <w:p w14:paraId="7CC272E8">
      <w:pPr>
        <w:pStyle w:val="17"/>
        <w:spacing w:line="360" w:lineRule="auto"/>
        <w:ind w:firstLine="525"/>
        <w:outlineLvl w:val="9"/>
        <w:rPr>
          <w:rFonts w:hAnsi="宋体"/>
          <w:b/>
          <w:sz w:val="24"/>
          <w:szCs w:val="24"/>
        </w:rPr>
      </w:pPr>
      <w:r>
        <w:rPr>
          <w:rFonts w:hint="eastAsia" w:hAnsi="宋体"/>
          <w:b/>
          <w:sz w:val="24"/>
        </w:rPr>
        <w:t>28.2出现28.1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2259B76D">
      <w:pPr>
        <w:tabs>
          <w:tab w:val="left" w:pos="1021"/>
        </w:tabs>
        <w:ind w:left="425" w:firstLine="0"/>
        <w:jc w:val="center"/>
        <w:outlineLvl w:val="9"/>
        <w:rPr>
          <w:rFonts w:ascii="宋体" w:hAnsi="宋体" w:eastAsia="宋体"/>
          <w:sz w:val="30"/>
          <w:szCs w:val="30"/>
        </w:rPr>
      </w:pPr>
      <w:bookmarkStart w:id="60" w:name="_Toc70446109"/>
      <w:r>
        <w:rPr>
          <w:rFonts w:hint="eastAsia" w:ascii="宋体" w:hAnsi="宋体" w:eastAsia="宋体" w:cs="Times New Roman"/>
          <w:b/>
          <w:bCs/>
          <w:sz w:val="36"/>
          <w:szCs w:val="36"/>
        </w:rPr>
        <w:t>六、中标结果</w:t>
      </w:r>
      <w:bookmarkEnd w:id="60"/>
    </w:p>
    <w:p w14:paraId="5C2B7BA2">
      <w:pPr>
        <w:pStyle w:val="17"/>
        <w:spacing w:line="360" w:lineRule="auto"/>
        <w:outlineLvl w:val="9"/>
        <w:rPr>
          <w:rFonts w:hAnsi="宋体"/>
          <w:b/>
          <w:sz w:val="24"/>
          <w:szCs w:val="24"/>
        </w:rPr>
      </w:pPr>
      <w:r>
        <w:rPr>
          <w:rFonts w:hint="eastAsia" w:hAnsi="宋体"/>
          <w:b/>
          <w:sz w:val="24"/>
          <w:szCs w:val="24"/>
        </w:rPr>
        <w:t>29. 中标人的确定</w:t>
      </w:r>
    </w:p>
    <w:p w14:paraId="6DE2B8E5">
      <w:pPr>
        <w:spacing w:line="360" w:lineRule="auto"/>
        <w:outlineLvl w:val="9"/>
        <w:rPr>
          <w:rFonts w:ascii="宋体" w:hAnsi="宋体"/>
          <w:sz w:val="24"/>
        </w:rPr>
      </w:pPr>
      <w:r>
        <w:rPr>
          <w:rFonts w:hint="eastAsia" w:ascii="宋体" w:hAnsi="宋体"/>
          <w:sz w:val="24"/>
        </w:rPr>
        <w:t>29.1采购代理机构应当在评标结束之日起2个工作日内将评标报告送采购人确认。</w:t>
      </w:r>
    </w:p>
    <w:p w14:paraId="3B1B6F4C">
      <w:pPr>
        <w:pStyle w:val="17"/>
        <w:spacing w:line="360" w:lineRule="auto"/>
        <w:outlineLvl w:val="9"/>
        <w:rPr>
          <w:rFonts w:hAnsi="宋体"/>
          <w:sz w:val="24"/>
          <w:szCs w:val="24"/>
        </w:rPr>
      </w:pPr>
      <w:r>
        <w:rPr>
          <w:rFonts w:hint="eastAsia" w:hAnsi="宋体"/>
          <w:sz w:val="24"/>
          <w:szCs w:val="24"/>
        </w:rPr>
        <w:t>29.2采购人应当在收到评标报告</w:t>
      </w:r>
      <w:r>
        <w:rPr>
          <w:rFonts w:hint="eastAsia" w:hAnsi="宋体"/>
          <w:sz w:val="24"/>
        </w:rPr>
        <w:t>之日起</w:t>
      </w:r>
      <w:r>
        <w:rPr>
          <w:rFonts w:hint="eastAsia" w:hAnsi="宋体"/>
          <w:sz w:val="24"/>
          <w:szCs w:val="24"/>
        </w:rPr>
        <w:t>5个工作日内，在评标报告中推荐的中标候选人中按顺序确定中标人。</w:t>
      </w:r>
    </w:p>
    <w:p w14:paraId="04D7F589">
      <w:pPr>
        <w:pStyle w:val="17"/>
        <w:spacing w:line="360" w:lineRule="auto"/>
        <w:outlineLvl w:val="9"/>
        <w:rPr>
          <w:rFonts w:hAnsi="宋体"/>
          <w:b/>
          <w:bCs/>
          <w:sz w:val="24"/>
          <w:szCs w:val="24"/>
        </w:rPr>
      </w:pPr>
      <w:r>
        <w:rPr>
          <w:rFonts w:hint="eastAsia" w:hAnsi="宋体"/>
          <w:b/>
          <w:bCs/>
          <w:sz w:val="24"/>
          <w:szCs w:val="24"/>
        </w:rPr>
        <w:t>30. 中标通知书</w:t>
      </w:r>
    </w:p>
    <w:p w14:paraId="7FF085B7">
      <w:pPr>
        <w:pStyle w:val="17"/>
        <w:spacing w:line="360" w:lineRule="auto"/>
        <w:outlineLvl w:val="9"/>
        <w:rPr>
          <w:rFonts w:hAnsi="宋体"/>
          <w:sz w:val="24"/>
          <w:szCs w:val="24"/>
        </w:rPr>
      </w:pPr>
      <w:r>
        <w:rPr>
          <w:rFonts w:hint="eastAsia" w:hAnsi="宋体"/>
          <w:sz w:val="24"/>
          <w:szCs w:val="24"/>
        </w:rPr>
        <w:t>30.1</w:t>
      </w:r>
      <w:r>
        <w:rPr>
          <w:rFonts w:hint="eastAsia" w:hAnsi="宋体"/>
          <w:sz w:val="24"/>
        </w:rPr>
        <w:t>中标人确定之日起2个工作日内，</w:t>
      </w:r>
      <w:r>
        <w:rPr>
          <w:rFonts w:hint="eastAsia" w:hAnsi="宋体"/>
          <w:sz w:val="24"/>
          <w:szCs w:val="24"/>
        </w:rPr>
        <w:t>采购代理机构在省级以上</w:t>
      </w:r>
      <w:r>
        <w:rPr>
          <w:rFonts w:hint="eastAsia" w:hAnsi="宋体"/>
          <w:sz w:val="24"/>
        </w:rPr>
        <w:t>财政部门指定的媒体上公告中标结果，中标公告期限为1个工作日，同时</w:t>
      </w:r>
      <w:r>
        <w:rPr>
          <w:rFonts w:hint="eastAsia" w:hAnsi="宋体"/>
          <w:sz w:val="24"/>
          <w:szCs w:val="24"/>
        </w:rPr>
        <w:t>向中标人发出中标通知书。</w:t>
      </w:r>
    </w:p>
    <w:p w14:paraId="477848A4">
      <w:pPr>
        <w:pStyle w:val="17"/>
        <w:spacing w:line="360" w:lineRule="auto"/>
        <w:outlineLvl w:val="9"/>
        <w:rPr>
          <w:rFonts w:hAnsi="宋体"/>
          <w:sz w:val="24"/>
          <w:szCs w:val="24"/>
        </w:rPr>
      </w:pPr>
      <w:r>
        <w:rPr>
          <w:rFonts w:hint="eastAsia" w:hAnsi="宋体"/>
          <w:sz w:val="24"/>
          <w:szCs w:val="24"/>
        </w:rPr>
        <w:t>30.2中标通知书是合同的一个组成部分。</w:t>
      </w:r>
    </w:p>
    <w:p w14:paraId="57D9BFE6">
      <w:pPr>
        <w:pStyle w:val="17"/>
        <w:spacing w:line="360" w:lineRule="auto"/>
        <w:outlineLvl w:val="9"/>
        <w:rPr>
          <w:rFonts w:hAnsi="宋体"/>
          <w:b/>
          <w:bCs/>
          <w:sz w:val="24"/>
          <w:szCs w:val="24"/>
        </w:rPr>
      </w:pPr>
      <w:r>
        <w:rPr>
          <w:rFonts w:hint="eastAsia" w:hAnsi="宋体"/>
          <w:b/>
          <w:bCs/>
          <w:sz w:val="24"/>
          <w:szCs w:val="24"/>
        </w:rPr>
        <w:t>31. 签订合同</w:t>
      </w:r>
    </w:p>
    <w:p w14:paraId="6BD296F0">
      <w:pPr>
        <w:pStyle w:val="17"/>
        <w:spacing w:line="360" w:lineRule="auto"/>
        <w:outlineLvl w:val="9"/>
        <w:rPr>
          <w:rFonts w:hAnsi="宋体"/>
          <w:sz w:val="24"/>
          <w:szCs w:val="24"/>
        </w:rPr>
      </w:pPr>
      <w:r>
        <w:rPr>
          <w:rFonts w:hint="eastAsia" w:hAnsi="宋体"/>
          <w:sz w:val="24"/>
          <w:szCs w:val="24"/>
        </w:rPr>
        <w:t>31.1</w:t>
      </w:r>
      <w:r>
        <w:rPr>
          <w:rFonts w:hAnsi="宋体"/>
          <w:sz w:val="24"/>
          <w:szCs w:val="24"/>
        </w:rPr>
        <w:t>采购人与中标</w:t>
      </w:r>
      <w:r>
        <w:rPr>
          <w:rFonts w:hint="eastAsia" w:hAnsi="宋体"/>
          <w:sz w:val="24"/>
          <w:szCs w:val="24"/>
        </w:rPr>
        <w:t>人</w:t>
      </w:r>
      <w:r>
        <w:rPr>
          <w:rFonts w:hAnsi="宋体"/>
          <w:sz w:val="24"/>
          <w:szCs w:val="24"/>
        </w:rPr>
        <w:t>应当在中标通知书发出之日起</w:t>
      </w:r>
      <w:r>
        <w:rPr>
          <w:rFonts w:hint="eastAsia" w:hAnsi="宋体"/>
          <w:sz w:val="24"/>
          <w:szCs w:val="24"/>
        </w:rPr>
        <w:t>3</w:t>
      </w:r>
      <w:r>
        <w:rPr>
          <w:rFonts w:hAnsi="宋体"/>
          <w:sz w:val="24"/>
          <w:szCs w:val="24"/>
        </w:rPr>
        <w:t>0日内，按照</w:t>
      </w:r>
      <w:r>
        <w:rPr>
          <w:rFonts w:hint="eastAsia" w:hAnsi="宋体"/>
          <w:sz w:val="24"/>
          <w:szCs w:val="24"/>
        </w:rPr>
        <w:t>招标</w:t>
      </w:r>
      <w:r>
        <w:rPr>
          <w:rFonts w:hAnsi="宋体"/>
          <w:sz w:val="24"/>
          <w:szCs w:val="24"/>
        </w:rPr>
        <w:t>文件和中标人投标文件的规定签订政府采购合同。</w:t>
      </w:r>
    </w:p>
    <w:p w14:paraId="4026A0D6">
      <w:pPr>
        <w:pStyle w:val="17"/>
        <w:spacing w:line="360" w:lineRule="auto"/>
        <w:outlineLvl w:val="9"/>
        <w:rPr>
          <w:rFonts w:hAnsi="宋体"/>
          <w:sz w:val="24"/>
          <w:szCs w:val="24"/>
        </w:rPr>
      </w:pPr>
      <w:r>
        <w:rPr>
          <w:rFonts w:hint="eastAsia" w:hAnsi="宋体"/>
          <w:sz w:val="24"/>
          <w:szCs w:val="24"/>
        </w:rPr>
        <w:t>31.2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222D5EA9">
      <w:pPr>
        <w:pStyle w:val="17"/>
        <w:spacing w:line="360" w:lineRule="auto"/>
        <w:outlineLvl w:val="9"/>
        <w:rPr>
          <w:rFonts w:hAnsi="宋体"/>
          <w:sz w:val="24"/>
          <w:szCs w:val="24"/>
        </w:rPr>
      </w:pPr>
      <w:r>
        <w:rPr>
          <w:rFonts w:hint="eastAsia" w:hAnsi="宋体"/>
          <w:sz w:val="24"/>
          <w:szCs w:val="24"/>
        </w:rPr>
        <w:t>31.3政府采购合同履行中，采购人需追加与合同标的相同的货物的，在不改变合同其他条款的前提下，可以与中标人协商签订补充合同，但所有补充合同的采购金额不得超过原合同采购金额的百分之十。</w:t>
      </w:r>
    </w:p>
    <w:p w14:paraId="79A242AA">
      <w:pPr>
        <w:pStyle w:val="17"/>
        <w:spacing w:line="360" w:lineRule="auto"/>
        <w:outlineLvl w:val="9"/>
        <w:rPr>
          <w:rFonts w:hAnsi="宋体"/>
          <w:b/>
          <w:bCs/>
          <w:sz w:val="24"/>
          <w:szCs w:val="24"/>
        </w:rPr>
      </w:pPr>
      <w:r>
        <w:rPr>
          <w:rFonts w:hAnsi="宋体"/>
          <w:b/>
          <w:bCs/>
          <w:sz w:val="24"/>
          <w:szCs w:val="24"/>
        </w:rPr>
        <w:t>3</w:t>
      </w:r>
      <w:r>
        <w:rPr>
          <w:rFonts w:hint="eastAsia" w:hAnsi="宋体"/>
          <w:b/>
          <w:bCs/>
          <w:sz w:val="24"/>
          <w:szCs w:val="24"/>
        </w:rPr>
        <w:t>2. 履约担保</w:t>
      </w:r>
    </w:p>
    <w:p w14:paraId="01F0EE85">
      <w:pPr>
        <w:pStyle w:val="17"/>
        <w:spacing w:line="360" w:lineRule="auto"/>
        <w:outlineLvl w:val="9"/>
        <w:rPr>
          <w:rFonts w:hAnsi="宋体"/>
          <w:sz w:val="24"/>
          <w:szCs w:val="24"/>
        </w:rPr>
      </w:pPr>
      <w:r>
        <w:rPr>
          <w:rFonts w:hint="eastAsia" w:hAnsi="宋体"/>
          <w:sz w:val="24"/>
          <w:szCs w:val="24"/>
        </w:rPr>
        <w:t>32.1签订合同前，中标人应按“投标人须知前附表”上确定的履约担保的金额及形式，向采购人提交履约担保。否则，视为放弃中标项目，投标保证金将不予退还。</w:t>
      </w:r>
    </w:p>
    <w:p w14:paraId="00BB653B">
      <w:pPr>
        <w:tabs>
          <w:tab w:val="left" w:pos="1021"/>
        </w:tabs>
        <w:ind w:left="425" w:firstLine="0"/>
        <w:jc w:val="center"/>
        <w:outlineLvl w:val="9"/>
        <w:rPr>
          <w:rFonts w:ascii="宋体" w:hAnsi="宋体" w:eastAsia="宋体"/>
          <w:sz w:val="30"/>
          <w:szCs w:val="30"/>
        </w:rPr>
      </w:pPr>
      <w:bookmarkStart w:id="61" w:name="_Toc70446110"/>
      <w:r>
        <w:rPr>
          <w:rFonts w:hint="eastAsia" w:ascii="宋体" w:hAnsi="宋体" w:eastAsia="宋体" w:cs="Times New Roman"/>
          <w:b/>
          <w:bCs/>
          <w:sz w:val="36"/>
          <w:szCs w:val="36"/>
        </w:rPr>
        <w:t>七、其他事项</w:t>
      </w:r>
      <w:bookmarkEnd w:id="61"/>
    </w:p>
    <w:p w14:paraId="6611DF8F">
      <w:pPr>
        <w:pStyle w:val="17"/>
        <w:spacing w:line="360" w:lineRule="auto"/>
        <w:outlineLvl w:val="9"/>
        <w:rPr>
          <w:rFonts w:hAnsi="宋体"/>
          <w:b/>
          <w:bCs/>
          <w:sz w:val="24"/>
          <w:szCs w:val="24"/>
        </w:rPr>
      </w:pPr>
      <w:r>
        <w:rPr>
          <w:rFonts w:hint="eastAsia" w:hAnsi="宋体"/>
          <w:b/>
          <w:bCs/>
          <w:sz w:val="24"/>
          <w:szCs w:val="24"/>
        </w:rPr>
        <w:t>33. 采购代理服务费</w:t>
      </w:r>
    </w:p>
    <w:p w14:paraId="1DDE10D4">
      <w:pPr>
        <w:pStyle w:val="17"/>
        <w:spacing w:line="360" w:lineRule="auto"/>
        <w:outlineLvl w:val="9"/>
        <w:rPr>
          <w:rFonts w:hAnsi="宋体"/>
          <w:bCs/>
          <w:sz w:val="24"/>
          <w:szCs w:val="24"/>
        </w:rPr>
      </w:pPr>
      <w:r>
        <w:rPr>
          <w:rFonts w:hint="eastAsia" w:hAnsi="宋体"/>
          <w:bCs/>
          <w:sz w:val="24"/>
          <w:szCs w:val="24"/>
        </w:rPr>
        <w:t>33.1采购代理机构按“投标人须知前附表”中的收费标准向中标人收取招标代理服务费；</w:t>
      </w:r>
    </w:p>
    <w:p w14:paraId="63123B5D">
      <w:pPr>
        <w:pStyle w:val="17"/>
        <w:spacing w:line="360" w:lineRule="auto"/>
        <w:outlineLvl w:val="9"/>
        <w:rPr>
          <w:rFonts w:hAnsi="宋体"/>
          <w:bCs/>
          <w:sz w:val="24"/>
          <w:szCs w:val="24"/>
        </w:rPr>
      </w:pPr>
      <w:r>
        <w:rPr>
          <w:rFonts w:hint="eastAsia" w:hAnsi="宋体"/>
          <w:bCs/>
          <w:sz w:val="24"/>
          <w:szCs w:val="24"/>
        </w:rPr>
        <w:t>33.2中标人应在接受“中标通知书”前向采购代理机构一次付清代理服务费。</w:t>
      </w:r>
    </w:p>
    <w:p w14:paraId="7FB14EE1">
      <w:pPr>
        <w:pStyle w:val="17"/>
        <w:spacing w:line="360" w:lineRule="auto"/>
        <w:outlineLvl w:val="9"/>
        <w:rPr>
          <w:rFonts w:hAnsi="宋体"/>
          <w:b/>
          <w:bCs/>
          <w:sz w:val="24"/>
          <w:szCs w:val="24"/>
        </w:rPr>
      </w:pPr>
      <w:r>
        <w:rPr>
          <w:rFonts w:hint="eastAsia" w:hAnsi="宋体"/>
          <w:b/>
          <w:bCs/>
          <w:sz w:val="24"/>
          <w:szCs w:val="24"/>
        </w:rPr>
        <w:t>34. 招标文件编制依据</w:t>
      </w:r>
    </w:p>
    <w:p w14:paraId="529A143A">
      <w:pPr>
        <w:pStyle w:val="17"/>
        <w:spacing w:line="360" w:lineRule="auto"/>
        <w:outlineLvl w:val="9"/>
        <w:rPr>
          <w:rFonts w:hAnsi="宋体"/>
          <w:sz w:val="24"/>
          <w:szCs w:val="24"/>
        </w:rPr>
      </w:pPr>
      <w:r>
        <w:rPr>
          <w:rFonts w:hint="eastAsia" w:hAnsi="宋体"/>
          <w:sz w:val="24"/>
          <w:szCs w:val="24"/>
        </w:rPr>
        <w:t>34.1本招标文件根据《中华人民共和国政府采购法》及相关法律法规编制。</w:t>
      </w:r>
    </w:p>
    <w:p w14:paraId="21374C87">
      <w:pPr>
        <w:pStyle w:val="17"/>
        <w:spacing w:line="360" w:lineRule="auto"/>
        <w:outlineLvl w:val="9"/>
        <w:rPr>
          <w:rFonts w:hAnsi="宋体"/>
          <w:b/>
          <w:bCs/>
          <w:sz w:val="24"/>
          <w:szCs w:val="24"/>
        </w:rPr>
      </w:pPr>
      <w:r>
        <w:rPr>
          <w:rFonts w:hint="eastAsia" w:hAnsi="宋体"/>
          <w:b/>
          <w:bCs/>
          <w:sz w:val="24"/>
          <w:szCs w:val="24"/>
        </w:rPr>
        <w:t>35.</w:t>
      </w:r>
      <w:r>
        <w:rPr>
          <w:rFonts w:hint="eastAsia" w:hAnsi="宋体"/>
          <w:b/>
          <w:sz w:val="24"/>
          <w:szCs w:val="24"/>
        </w:rPr>
        <w:t>需要补充的其他内容</w:t>
      </w:r>
    </w:p>
    <w:p w14:paraId="4AB77976">
      <w:pPr>
        <w:pStyle w:val="17"/>
        <w:spacing w:line="360" w:lineRule="auto"/>
        <w:outlineLvl w:val="9"/>
        <w:rPr>
          <w:rFonts w:hAnsi="宋体"/>
          <w:sz w:val="24"/>
        </w:rPr>
      </w:pPr>
      <w:r>
        <w:rPr>
          <w:rFonts w:hAnsi="宋体"/>
          <w:sz w:val="24"/>
        </w:rPr>
        <w:t>3</w:t>
      </w:r>
      <w:r>
        <w:rPr>
          <w:rFonts w:hint="eastAsia" w:hAnsi="宋体"/>
          <w:sz w:val="24"/>
        </w:rPr>
        <w:t>5</w:t>
      </w:r>
      <w:r>
        <w:rPr>
          <w:rFonts w:hAnsi="宋体"/>
          <w:sz w:val="24"/>
        </w:rPr>
        <w:t>.1 “</w:t>
      </w:r>
      <w:r>
        <w:rPr>
          <w:rFonts w:hAnsi="宋体"/>
          <w:b/>
          <w:sz w:val="24"/>
        </w:rPr>
        <w:t>投标人须知前附表</w:t>
      </w:r>
      <w:r>
        <w:rPr>
          <w:rFonts w:hAnsi="宋体"/>
          <w:sz w:val="24"/>
        </w:rPr>
        <w:t>”</w:t>
      </w:r>
      <w:r>
        <w:rPr>
          <w:rFonts w:hint="eastAsia" w:hAnsi="宋体"/>
          <w:sz w:val="24"/>
        </w:rPr>
        <w:t>中若</w:t>
      </w:r>
      <w:r>
        <w:rPr>
          <w:rFonts w:hAnsi="宋体"/>
          <w:sz w:val="24"/>
        </w:rPr>
        <w:t>规定</w:t>
      </w:r>
      <w:r>
        <w:rPr>
          <w:rFonts w:hint="eastAsia" w:hAnsi="宋体"/>
          <w:sz w:val="24"/>
        </w:rPr>
        <w:t>可以接受</w:t>
      </w:r>
      <w:r>
        <w:rPr>
          <w:rFonts w:hAnsi="宋体"/>
          <w:sz w:val="24"/>
        </w:rPr>
        <w:t>备选方案</w:t>
      </w:r>
      <w:r>
        <w:rPr>
          <w:rFonts w:hint="eastAsia" w:hAnsi="宋体"/>
          <w:sz w:val="24"/>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775137E5">
      <w:pPr>
        <w:pStyle w:val="17"/>
        <w:spacing w:line="360" w:lineRule="auto"/>
        <w:ind w:firstLine="480" w:firstLineChars="200"/>
        <w:outlineLvl w:val="9"/>
        <w:rPr>
          <w:rFonts w:hAnsi="宋体"/>
          <w:sz w:val="24"/>
        </w:rPr>
      </w:pPr>
      <w:r>
        <w:rPr>
          <w:rFonts w:hint="eastAsia" w:hAnsi="宋体"/>
          <w:sz w:val="24"/>
        </w:rPr>
        <w:t>评标委员会在对有备选方案的投标人进行评审时，应当以</w:t>
      </w:r>
      <w:r>
        <w:rPr>
          <w:rFonts w:hAnsi="宋体"/>
          <w:sz w:val="24"/>
        </w:rPr>
        <w:t>主选方案</w:t>
      </w:r>
      <w:r>
        <w:rPr>
          <w:rFonts w:hint="eastAsia" w:hAnsi="宋体"/>
          <w:sz w:val="24"/>
        </w:rPr>
        <w:t>为准进行</w:t>
      </w:r>
      <w:r>
        <w:rPr>
          <w:rFonts w:hAnsi="宋体"/>
          <w:sz w:val="24"/>
        </w:rPr>
        <w:t>评</w:t>
      </w:r>
      <w:r>
        <w:rPr>
          <w:rFonts w:hint="eastAsia" w:hAnsi="宋体"/>
          <w:sz w:val="24"/>
        </w:rPr>
        <w:t>审，如考虑备选方案的，备选方案必须实质性响应招标文件要求</w:t>
      </w:r>
      <w:r>
        <w:rPr>
          <w:rFonts w:hAnsi="宋体"/>
          <w:sz w:val="24"/>
        </w:rPr>
        <w:t>。</w:t>
      </w:r>
    </w:p>
    <w:p w14:paraId="4219EC3D">
      <w:pPr>
        <w:pStyle w:val="17"/>
        <w:spacing w:line="360" w:lineRule="auto"/>
        <w:outlineLvl w:val="9"/>
        <w:rPr>
          <w:rFonts w:hint="eastAsia" w:hAnsi="宋体"/>
          <w:sz w:val="24"/>
          <w:szCs w:val="24"/>
        </w:rPr>
      </w:pPr>
      <w:r>
        <w:rPr>
          <w:rFonts w:hint="eastAsia" w:hAnsi="宋体"/>
          <w:sz w:val="24"/>
          <w:szCs w:val="24"/>
        </w:rPr>
        <w:t>35.2其它需要补充的其他内容：见“</w:t>
      </w:r>
      <w:r>
        <w:rPr>
          <w:rFonts w:hint="eastAsia" w:hAnsi="宋体"/>
          <w:b/>
          <w:sz w:val="24"/>
          <w:szCs w:val="24"/>
        </w:rPr>
        <w:t>投标人须知前附表</w:t>
      </w:r>
      <w:r>
        <w:rPr>
          <w:rFonts w:hint="eastAsia" w:hAnsi="宋体"/>
          <w:sz w:val="24"/>
          <w:szCs w:val="24"/>
        </w:rPr>
        <w:t>”。</w:t>
      </w:r>
    </w:p>
    <w:p w14:paraId="3ADC2CE7">
      <w:pPr>
        <w:pStyle w:val="17"/>
        <w:spacing w:line="360" w:lineRule="auto"/>
        <w:jc w:val="center"/>
        <w:outlineLvl w:val="0"/>
        <w:rPr>
          <w:rFonts w:ascii="宋体" w:hAnsi="宋体"/>
          <w:bCs/>
          <w:kern w:val="44"/>
          <w:sz w:val="36"/>
          <w:szCs w:val="20"/>
        </w:rPr>
      </w:pPr>
      <w:bookmarkStart w:id="62" w:name="_Toc10205"/>
      <w:bookmarkStart w:id="63" w:name="_Toc70446111"/>
      <w:bookmarkStart w:id="64" w:name="_Toc22087"/>
      <w:bookmarkStart w:id="65" w:name="_Toc213141090"/>
      <w:bookmarkStart w:id="66" w:name="_Toc32369"/>
      <w:r>
        <w:rPr>
          <w:rFonts w:hint="eastAsia" w:ascii="宋体" w:hAnsi="宋体"/>
          <w:bCs/>
          <w:kern w:val="44"/>
          <w:sz w:val="36"/>
          <w:szCs w:val="20"/>
        </w:rPr>
        <w:br w:type="page"/>
      </w:r>
      <w:bookmarkStart w:id="67" w:name="_Toc27296"/>
      <w:r>
        <w:rPr>
          <w:rFonts w:hint="eastAsia" w:ascii="宋体" w:hAnsi="宋体"/>
          <w:b/>
          <w:bCs w:val="0"/>
          <w:kern w:val="44"/>
          <w:sz w:val="36"/>
          <w:szCs w:val="20"/>
        </w:rPr>
        <w:t>第三章 合同书样式及主要条款</w:t>
      </w:r>
      <w:bookmarkEnd w:id="62"/>
      <w:bookmarkEnd w:id="63"/>
      <w:bookmarkEnd w:id="64"/>
      <w:bookmarkEnd w:id="65"/>
      <w:bookmarkEnd w:id="66"/>
      <w:bookmarkEnd w:id="67"/>
    </w:p>
    <w:p w14:paraId="18E7D0CE">
      <w:pPr>
        <w:outlineLvl w:val="9"/>
        <w:rPr>
          <w:rFonts w:ascii="宋体" w:hAnsi="宋体"/>
          <w:b/>
          <w:bCs/>
        </w:rPr>
      </w:pPr>
    </w:p>
    <w:p w14:paraId="462E2142">
      <w:pPr>
        <w:widowControl/>
        <w:tabs>
          <w:tab w:val="left" w:pos="1155"/>
          <w:tab w:val="left" w:pos="2865"/>
          <w:tab w:val="left" w:pos="5307"/>
          <w:tab w:val="left" w:pos="5595"/>
          <w:tab w:val="left" w:pos="6620"/>
          <w:tab w:val="left" w:pos="7940"/>
        </w:tabs>
        <w:spacing w:line="360" w:lineRule="auto"/>
        <w:ind w:right="-109" w:rightChars="-52"/>
        <w:jc w:val="center"/>
        <w:outlineLvl w:val="9"/>
        <w:rPr>
          <w:rFonts w:hint="eastAsia" w:ascii="宋体" w:hAnsi="宋体" w:eastAsia="宋体" w:cs="宋体"/>
          <w:color w:val="auto"/>
          <w:kern w:val="0"/>
          <w:sz w:val="52"/>
          <w:szCs w:val="52"/>
        </w:rPr>
      </w:pPr>
      <w:bookmarkStart w:id="68" w:name="_Toc70446113"/>
      <w:r>
        <w:rPr>
          <w:rFonts w:hint="eastAsia" w:ascii="宋体" w:hAnsi="宋体" w:eastAsia="宋体" w:cs="宋体"/>
          <w:b/>
          <w:bCs/>
          <w:color w:val="auto"/>
          <w:kern w:val="0"/>
          <w:sz w:val="24"/>
          <w:lang w:val="en-US" w:eastAsia="zh-CN"/>
        </w:rPr>
        <w:t>(合同封面格式仅供参考，具体以政府采购云平台系统打印为准）</w:t>
      </w:r>
    </w:p>
    <w:p w14:paraId="7A79F87D">
      <w:pPr>
        <w:autoSpaceDE w:val="0"/>
        <w:autoSpaceDN w:val="0"/>
        <w:adjustRightInd w:val="0"/>
        <w:spacing w:line="360" w:lineRule="auto"/>
        <w:jc w:val="center"/>
        <w:outlineLvl w:val="9"/>
        <w:rPr>
          <w:rFonts w:hint="eastAsia" w:ascii="宋体" w:hAnsi="宋体" w:eastAsia="宋体" w:cs="宋体"/>
          <w:color w:val="auto"/>
          <w:kern w:val="0"/>
          <w:sz w:val="52"/>
          <w:szCs w:val="52"/>
        </w:rPr>
      </w:pPr>
    </w:p>
    <w:tbl>
      <w:tblPr>
        <w:tblStyle w:val="32"/>
        <w:tblW w:w="9750" w:type="dxa"/>
        <w:jc w:val="center"/>
        <w:tblLayout w:type="fixed"/>
        <w:tblCellMar>
          <w:top w:w="0" w:type="dxa"/>
          <w:left w:w="0" w:type="dxa"/>
          <w:bottom w:w="0" w:type="dxa"/>
          <w:right w:w="0" w:type="dxa"/>
        </w:tblCellMar>
      </w:tblPr>
      <w:tblGrid>
        <w:gridCol w:w="9750"/>
      </w:tblGrid>
      <w:tr w14:paraId="490CB286">
        <w:tblPrEx>
          <w:tblCellMar>
            <w:top w:w="0" w:type="dxa"/>
            <w:left w:w="0" w:type="dxa"/>
            <w:bottom w:w="0" w:type="dxa"/>
            <w:right w:w="0" w:type="dxa"/>
          </w:tblCellMar>
        </w:tblPrEx>
        <w:trPr>
          <w:jc w:val="center"/>
        </w:trPr>
        <w:tc>
          <w:tcPr>
            <w:tcW w:w="9750" w:type="dxa"/>
            <w:noWrap w:val="0"/>
            <w:vAlign w:val="center"/>
          </w:tcPr>
          <w:p w14:paraId="20C5DC92">
            <w:pPr>
              <w:pStyle w:val="17"/>
              <w:autoSpaceDE w:val="0"/>
              <w:autoSpaceDN w:val="0"/>
              <w:adjustRightInd w:val="0"/>
              <w:spacing w:line="360" w:lineRule="auto"/>
              <w:ind w:firstLine="630" w:firstLineChars="300"/>
              <w:jc w:val="left"/>
              <w:outlineLvl w:val="9"/>
              <w:rPr>
                <w:rFonts w:hAnsi="宋体" w:cs="宋体"/>
                <w:color w:val="000000"/>
              </w:rPr>
            </w:pPr>
            <w:r>
              <w:rPr>
                <w:rFonts w:hint="eastAsia" w:hAnsi="宋体" w:cs="宋体"/>
                <w:color w:val="000000"/>
              </w:rPr>
              <w:t>合同编号：                         合同自编号：</w:t>
            </w:r>
            <w:r>
              <w:rPr>
                <w:rFonts w:hint="eastAsia" w:hAnsi="宋体" w:cs="宋体"/>
                <w:color w:val="000000"/>
              </w:rPr>
              <w:tab/>
            </w:r>
            <w:r>
              <w:rPr>
                <w:rFonts w:hint="eastAsia" w:hAnsi="宋体" w:cs="宋体"/>
                <w:color w:val="000000"/>
              </w:rPr>
              <w:t xml:space="preserve">                 </w:t>
            </w:r>
          </w:p>
        </w:tc>
      </w:tr>
    </w:tbl>
    <w:p w14:paraId="0DF42920">
      <w:pPr>
        <w:spacing w:after="240"/>
        <w:jc w:val="center"/>
        <w:outlineLvl w:val="9"/>
        <w:rPr>
          <w:rFonts w:ascii="宋体" w:hAnsi="宋体" w:cs="宋体"/>
          <w:color w:val="000000"/>
        </w:rPr>
      </w:pPr>
    </w:p>
    <w:p w14:paraId="0A2C1BC1">
      <w:pPr>
        <w:spacing w:after="240"/>
        <w:outlineLvl w:val="9"/>
        <w:rPr>
          <w:rFonts w:ascii="宋体" w:hAnsi="宋体" w:cs="宋体"/>
          <w:color w:val="000000"/>
        </w:rPr>
      </w:pPr>
      <w:r>
        <w:rPr>
          <w:rFonts w:hint="eastAsia" w:ascii="宋体" w:hAnsi="宋体" w:cs="宋体"/>
          <w:color w:val="000000"/>
        </w:rPr>
        <w:t>●本合同须加盖甲乙双方骑缝章有效</w:t>
      </w:r>
    </w:p>
    <w:p w14:paraId="33C9BC6D">
      <w:pPr>
        <w:pStyle w:val="14"/>
        <w:outlineLvl w:val="9"/>
        <w:rPr>
          <w:color w:val="000000"/>
        </w:rPr>
      </w:pPr>
    </w:p>
    <w:p w14:paraId="772C68FF">
      <w:pPr>
        <w:spacing w:line="360" w:lineRule="auto"/>
        <w:ind w:firstLine="318" w:firstLineChars="177"/>
        <w:jc w:val="center"/>
        <w:outlineLvl w:val="9"/>
        <w:rPr>
          <w:rFonts w:ascii="宋体" w:hAnsi="宋体" w:cs="宋体"/>
          <w:color w:val="000000"/>
          <w:sz w:val="18"/>
          <w:szCs w:val="18"/>
        </w:rPr>
      </w:pPr>
    </w:p>
    <w:p w14:paraId="7AAB8FF1">
      <w:pPr>
        <w:pStyle w:val="14"/>
        <w:outlineLvl w:val="9"/>
        <w:rPr>
          <w:color w:val="000000"/>
        </w:rPr>
      </w:pPr>
    </w:p>
    <w:p w14:paraId="796D464C">
      <w:pPr>
        <w:pStyle w:val="14"/>
        <w:outlineLvl w:val="9"/>
        <w:rPr>
          <w:color w:val="000000"/>
        </w:rPr>
      </w:pPr>
    </w:p>
    <w:p w14:paraId="14AB9166">
      <w:pPr>
        <w:pStyle w:val="14"/>
        <w:outlineLvl w:val="9"/>
        <w:rPr>
          <w:color w:val="000000"/>
        </w:rPr>
      </w:pPr>
    </w:p>
    <w:p w14:paraId="4C607783">
      <w:pPr>
        <w:spacing w:after="240"/>
        <w:jc w:val="center"/>
        <w:outlineLvl w:val="9"/>
        <w:rPr>
          <w:rFonts w:ascii="宋体" w:hAnsi="宋体" w:cs="宋体"/>
          <w:color w:val="000000"/>
          <w:sz w:val="18"/>
          <w:szCs w:val="18"/>
        </w:rPr>
      </w:pPr>
      <w:r>
        <w:rPr>
          <w:rFonts w:hint="eastAsia" w:ascii="宋体" w:hAnsi="宋体" w:cs="宋体"/>
          <w:color w:val="000000"/>
          <w:sz w:val="63"/>
          <w:szCs w:val="63"/>
        </w:rPr>
        <w:t>合</w:t>
      </w:r>
      <w:r>
        <w:rPr>
          <w:rFonts w:hint="eastAsia" w:ascii="宋体" w:hAnsi="宋体" w:cs="宋体"/>
          <w:color w:val="000000"/>
          <w:sz w:val="18"/>
          <w:szCs w:val="18"/>
        </w:rPr>
        <w:t xml:space="preserve"> </w:t>
      </w:r>
    </w:p>
    <w:p w14:paraId="69719A5B">
      <w:pPr>
        <w:spacing w:after="240"/>
        <w:jc w:val="center"/>
        <w:outlineLvl w:val="9"/>
        <w:rPr>
          <w:rFonts w:ascii="宋体" w:hAnsi="宋体" w:cs="宋体"/>
          <w:color w:val="000000"/>
          <w:sz w:val="18"/>
          <w:szCs w:val="18"/>
        </w:rPr>
      </w:pPr>
      <w:r>
        <w:rPr>
          <w:rFonts w:hint="eastAsia" w:ascii="宋体" w:hAnsi="宋体" w:cs="宋体"/>
          <w:color w:val="000000"/>
          <w:sz w:val="63"/>
          <w:szCs w:val="63"/>
        </w:rPr>
        <w:t>同</w:t>
      </w:r>
    </w:p>
    <w:p w14:paraId="05FF17D7">
      <w:pPr>
        <w:spacing w:after="240"/>
        <w:jc w:val="center"/>
        <w:outlineLvl w:val="9"/>
        <w:rPr>
          <w:rFonts w:ascii="宋体" w:hAnsi="宋体" w:cs="宋体"/>
          <w:color w:val="000000"/>
          <w:sz w:val="18"/>
          <w:szCs w:val="18"/>
        </w:rPr>
      </w:pPr>
      <w:r>
        <w:rPr>
          <w:rFonts w:hint="eastAsia" w:ascii="宋体" w:hAnsi="宋体" w:cs="宋体"/>
          <w:color w:val="000000"/>
          <w:sz w:val="63"/>
          <w:szCs w:val="63"/>
        </w:rPr>
        <w:t>书</w:t>
      </w:r>
      <w:r>
        <w:rPr>
          <w:rFonts w:hint="eastAsia" w:ascii="宋体" w:hAnsi="宋体" w:cs="宋体"/>
          <w:color w:val="000000"/>
          <w:sz w:val="18"/>
          <w:szCs w:val="18"/>
        </w:rPr>
        <w:t xml:space="preserve"> </w:t>
      </w:r>
    </w:p>
    <w:p w14:paraId="6DD2D49D">
      <w:pPr>
        <w:pStyle w:val="14"/>
        <w:outlineLvl w:val="9"/>
        <w:rPr>
          <w:color w:val="000000"/>
        </w:rPr>
      </w:pPr>
    </w:p>
    <w:p w14:paraId="42780DE5">
      <w:pPr>
        <w:spacing w:after="240"/>
        <w:jc w:val="center"/>
        <w:outlineLvl w:val="9"/>
        <w:rPr>
          <w:rFonts w:ascii="宋体" w:hAnsi="宋体" w:cs="宋体"/>
          <w:color w:val="000000"/>
          <w:sz w:val="40"/>
          <w:szCs w:val="40"/>
        </w:rPr>
      </w:pPr>
      <w:r>
        <w:rPr>
          <w:rFonts w:hint="eastAsia" w:ascii="宋体" w:hAnsi="宋体" w:cs="宋体"/>
          <w:color w:val="000000"/>
          <w:sz w:val="40"/>
          <w:szCs w:val="40"/>
        </w:rPr>
        <w:t>（罪</w:t>
      </w:r>
      <w:r>
        <w:rPr>
          <w:rFonts w:hint="eastAsia" w:ascii="宋体" w:hAnsi="宋体" w:eastAsia="宋体" w:cs="宋体"/>
          <w:color w:val="000000"/>
          <w:sz w:val="40"/>
          <w:szCs w:val="40"/>
        </w:rPr>
        <w:t>犯</w:t>
      </w:r>
      <w:r>
        <w:rPr>
          <w:rFonts w:hint="eastAsia" w:ascii="宋体" w:hAnsi="宋体" w:eastAsia="宋体" w:cs="宋体"/>
          <w:color w:val="000000"/>
          <w:sz w:val="40"/>
          <w:szCs w:val="40"/>
          <w:lang w:eastAsia="zh-CN"/>
        </w:rPr>
        <w:t>配餐中心</w:t>
      </w:r>
      <w:r>
        <w:rPr>
          <w:rFonts w:hint="eastAsia" w:ascii="宋体" w:hAnsi="宋体" w:cs="宋体"/>
          <w:color w:val="000000"/>
          <w:sz w:val="40"/>
          <w:szCs w:val="40"/>
        </w:rPr>
        <w:t>生活物资采购合同仅作参考）</w:t>
      </w:r>
    </w:p>
    <w:p w14:paraId="17B7B986">
      <w:pPr>
        <w:pStyle w:val="10"/>
        <w:ind w:left="0" w:leftChars="0" w:firstLine="0" w:firstLineChars="0"/>
        <w:outlineLvl w:val="9"/>
        <w:rPr>
          <w:rFonts w:ascii="宋体" w:hAnsi="宋体" w:cs="宋体"/>
          <w:color w:val="000000"/>
        </w:rPr>
      </w:pPr>
    </w:p>
    <w:p w14:paraId="315E60AB">
      <w:pPr>
        <w:pStyle w:val="10"/>
        <w:outlineLvl w:val="9"/>
        <w:rPr>
          <w:rFonts w:ascii="宋体" w:hAnsi="宋体" w:cs="宋体"/>
          <w:color w:val="000000"/>
        </w:rPr>
      </w:pPr>
    </w:p>
    <w:p w14:paraId="6F4AC035">
      <w:pPr>
        <w:pStyle w:val="10"/>
        <w:ind w:firstLine="0"/>
        <w:outlineLvl w:val="9"/>
        <w:rPr>
          <w:rFonts w:ascii="宋体" w:hAnsi="宋体" w:cs="宋体"/>
          <w:color w:val="000000"/>
        </w:rPr>
      </w:pPr>
    </w:p>
    <w:p w14:paraId="041A01DF">
      <w:pPr>
        <w:pStyle w:val="10"/>
        <w:outlineLvl w:val="9"/>
        <w:rPr>
          <w:rFonts w:ascii="宋体" w:hAnsi="宋体" w:cs="宋体"/>
          <w:color w:val="000000"/>
        </w:rPr>
      </w:pPr>
    </w:p>
    <w:p w14:paraId="03038AAB">
      <w:pPr>
        <w:spacing w:after="240"/>
        <w:jc w:val="center"/>
        <w:outlineLvl w:val="9"/>
        <w:rPr>
          <w:rFonts w:ascii="宋体" w:hAnsi="宋体" w:cs="宋体"/>
          <w:color w:val="000000"/>
          <w:sz w:val="16"/>
          <w:szCs w:val="18"/>
        </w:rPr>
      </w:pPr>
      <w:r>
        <w:rPr>
          <w:rFonts w:hint="eastAsia" w:ascii="宋体" w:hAnsi="宋体" w:cs="宋体"/>
          <w:b/>
          <w:bCs/>
          <w:color w:val="000000"/>
          <w:sz w:val="24"/>
          <w:szCs w:val="27"/>
        </w:rPr>
        <w:t>签订地点：</w:t>
      </w:r>
      <w:r>
        <w:rPr>
          <w:rFonts w:hint="eastAsia" w:ascii="宋体" w:hAnsi="宋体" w:cs="宋体"/>
          <w:b/>
          <w:bCs/>
          <w:color w:val="000000"/>
          <w:sz w:val="24"/>
          <w:szCs w:val="27"/>
          <w:lang w:eastAsia="zh-CN"/>
        </w:rPr>
        <w:t>云南省玉溪监狱</w:t>
      </w:r>
      <w:r>
        <w:rPr>
          <w:rFonts w:hint="eastAsia" w:ascii="宋体" w:hAnsi="宋体" w:cs="宋体"/>
          <w:color w:val="000000"/>
          <w:sz w:val="16"/>
          <w:szCs w:val="18"/>
        </w:rPr>
        <w:t xml:space="preserve"> </w:t>
      </w:r>
    </w:p>
    <w:p w14:paraId="78233F72">
      <w:pPr>
        <w:pStyle w:val="14"/>
        <w:outlineLvl w:val="9"/>
        <w:rPr>
          <w:color w:val="000000"/>
        </w:rPr>
      </w:pPr>
    </w:p>
    <w:p w14:paraId="12EAB2BE">
      <w:pPr>
        <w:spacing w:after="240"/>
        <w:jc w:val="center"/>
        <w:outlineLvl w:val="9"/>
        <w:rPr>
          <w:rFonts w:hint="eastAsia" w:ascii="宋体" w:hAnsi="宋体" w:cs="宋体"/>
          <w:b/>
          <w:bCs/>
          <w:color w:val="000000"/>
          <w:sz w:val="27"/>
          <w:szCs w:val="27"/>
        </w:rPr>
      </w:pPr>
      <w:r>
        <w:rPr>
          <w:rFonts w:hint="eastAsia" w:ascii="宋体" w:hAnsi="宋体" w:cs="宋体"/>
          <w:b/>
          <w:bCs/>
          <w:color w:val="000000"/>
          <w:sz w:val="24"/>
          <w:szCs w:val="27"/>
        </w:rPr>
        <w:t>签订日期：</w:t>
      </w:r>
      <w:r>
        <w:rPr>
          <w:rFonts w:hint="eastAsia" w:ascii="宋体" w:hAnsi="宋体" w:cs="宋体"/>
          <w:b/>
          <w:bCs/>
          <w:color w:val="000000"/>
          <w:sz w:val="24"/>
          <w:szCs w:val="27"/>
          <w:lang w:val="en-US" w:eastAsia="zh-CN"/>
        </w:rPr>
        <w:t>2026</w:t>
      </w:r>
      <w:r>
        <w:rPr>
          <w:rFonts w:hint="eastAsia" w:ascii="宋体" w:hAnsi="宋体" w:cs="宋体"/>
          <w:b/>
          <w:bCs/>
          <w:color w:val="000000"/>
          <w:sz w:val="24"/>
          <w:szCs w:val="27"/>
        </w:rPr>
        <w:t>年 月 日</w:t>
      </w:r>
      <w:r>
        <w:rPr>
          <w:rFonts w:hint="eastAsia" w:ascii="宋体" w:hAnsi="宋体" w:cs="宋体"/>
          <w:b/>
          <w:bCs/>
          <w:color w:val="000000"/>
          <w:sz w:val="27"/>
          <w:szCs w:val="27"/>
        </w:rPr>
        <w:t xml:space="preserve"> </w:t>
      </w:r>
    </w:p>
    <w:p w14:paraId="31A8EFF6">
      <w:pPr>
        <w:keepNext w:val="0"/>
        <w:keepLines w:val="0"/>
        <w:pageBreakBefore/>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32"/>
          <w:szCs w:val="32"/>
          <w:highlight w:val="none"/>
        </w:rPr>
        <w:t>云南省玉溪监狱</w:t>
      </w:r>
      <w:r>
        <w:rPr>
          <w:rFonts w:hint="eastAsia" w:ascii="宋体" w:hAnsi="宋体" w:eastAsia="宋体" w:cs="宋体"/>
          <w:b/>
          <w:color w:val="000000"/>
          <w:sz w:val="32"/>
          <w:szCs w:val="32"/>
          <w:highlight w:val="none"/>
          <w:lang w:val="en-US" w:eastAsia="zh-CN"/>
        </w:rPr>
        <w:t>年至年</w:t>
      </w:r>
      <w:r>
        <w:rPr>
          <w:rFonts w:hint="eastAsia" w:ascii="宋体" w:hAnsi="宋体" w:eastAsia="宋体" w:cs="宋体"/>
          <w:b/>
          <w:color w:val="000000"/>
          <w:sz w:val="32"/>
          <w:szCs w:val="32"/>
          <w:highlight w:val="none"/>
        </w:rPr>
        <w:t>罪犯</w:t>
      </w:r>
      <w:r>
        <w:rPr>
          <w:rFonts w:hint="eastAsia" w:ascii="宋体" w:hAnsi="宋体" w:eastAsia="宋体" w:cs="宋体"/>
          <w:b/>
          <w:color w:val="000000"/>
          <w:sz w:val="32"/>
          <w:szCs w:val="32"/>
          <w:highlight w:val="none"/>
          <w:lang w:val="en-US" w:eastAsia="zh-CN"/>
        </w:rPr>
        <w:t>配餐中心</w:t>
      </w:r>
      <w:r>
        <w:rPr>
          <w:rFonts w:hint="eastAsia" w:ascii="宋体" w:hAnsi="宋体" w:eastAsia="宋体" w:cs="宋体"/>
          <w:b/>
          <w:color w:val="000000"/>
          <w:sz w:val="32"/>
          <w:szCs w:val="32"/>
          <w:highlight w:val="none"/>
        </w:rPr>
        <w:t>生活物资</w:t>
      </w:r>
      <w:r>
        <w:rPr>
          <w:rFonts w:hint="eastAsia" w:ascii="宋体" w:hAnsi="宋体" w:eastAsia="宋体" w:cs="宋体"/>
          <w:b/>
          <w:color w:val="000000"/>
          <w:sz w:val="32"/>
          <w:szCs w:val="32"/>
          <w:highlight w:val="none"/>
          <w:lang w:val="en-US" w:eastAsia="zh-CN"/>
        </w:rPr>
        <w:t>（猪肉类）采购合同</w:t>
      </w:r>
    </w:p>
    <w:p w14:paraId="3C17B163">
      <w:pPr>
        <w:pStyle w:val="13"/>
        <w:bidi w:val="0"/>
        <w:rPr>
          <w:rFonts w:hint="eastAsia"/>
        </w:rPr>
      </w:pPr>
    </w:p>
    <w:p w14:paraId="46A75229">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甲方</w:t>
      </w:r>
      <w:r>
        <w:rPr>
          <w:rFonts w:hint="eastAsia" w:ascii="宋体" w:hAnsi="宋体" w:eastAsia="宋体" w:cs="宋体"/>
          <w:b/>
          <w:color w:val="000000"/>
          <w:sz w:val="24"/>
          <w:szCs w:val="24"/>
          <w:highlight w:val="none"/>
          <w:u w:val="none"/>
        </w:rPr>
        <w:t>：</w:t>
      </w:r>
      <w:r>
        <w:rPr>
          <w:rFonts w:hint="eastAsia" w:ascii="宋体" w:hAnsi="宋体" w:eastAsia="宋体" w:cs="宋体"/>
          <w:b/>
          <w:color w:val="000000"/>
          <w:sz w:val="24"/>
          <w:szCs w:val="24"/>
          <w:highlight w:val="none"/>
          <w:u w:val="single"/>
        </w:rPr>
        <w:t>云南省玉溪监狱</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(以下简称甲方)</w:t>
      </w:r>
    </w:p>
    <w:p w14:paraId="2397A4BE">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乙方：</w:t>
      </w:r>
      <w:r>
        <w:rPr>
          <w:rFonts w:hint="eastAsia" w:ascii="宋体" w:hAnsi="宋体"/>
          <w:b/>
          <w:color w:val="000000"/>
          <w:sz w:val="24"/>
          <w:highlight w:val="none"/>
          <w:u w:val="single"/>
          <w:lang w:val="en-US" w:eastAsia="zh-CN"/>
        </w:rPr>
        <w:t xml:space="preserve">    </w:t>
      </w:r>
      <w:r>
        <w:rPr>
          <w:rFonts w:hint="eastAsia" w:ascii="宋体" w:hAnsi="宋体" w:eastAsia="宋体" w:cs="宋体"/>
          <w:b/>
          <w:color w:val="000000"/>
          <w:sz w:val="24"/>
          <w:szCs w:val="24"/>
          <w:highlight w:val="none"/>
        </w:rPr>
        <w:t>(以下简称乙方)</w:t>
      </w:r>
    </w:p>
    <w:p w14:paraId="786126AF">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甲方因日常需要，根据《中华人民共和国民法典》及相关法律法规的规定，于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日</w:t>
      </w:r>
      <w:r>
        <w:rPr>
          <w:rFonts w:hint="eastAsia" w:ascii="宋体" w:hAnsi="宋体" w:eastAsia="宋体" w:cs="宋体"/>
          <w:sz w:val="24"/>
          <w:szCs w:val="24"/>
          <w:highlight w:val="none"/>
        </w:rPr>
        <w:t>在</w:t>
      </w:r>
      <w:r>
        <w:rPr>
          <w:rFonts w:hint="eastAsia" w:ascii="宋体" w:hAnsi="宋体" w:eastAsia="宋体" w:cs="宋体"/>
          <w:sz w:val="24"/>
          <w:szCs w:val="24"/>
          <w:highlight w:val="none"/>
          <w:lang w:eastAsia="zh-CN"/>
        </w:rPr>
        <w:t>“政采云”平台</w:t>
      </w:r>
      <w:r>
        <w:rPr>
          <w:rFonts w:hint="eastAsia" w:ascii="宋体" w:hAnsi="宋体" w:eastAsia="宋体" w:cs="宋体"/>
          <w:sz w:val="24"/>
          <w:szCs w:val="24"/>
          <w:highlight w:val="none"/>
        </w:rPr>
        <w:t>，按公开招标采购程序，确定为</w:t>
      </w:r>
      <w:r>
        <w:rPr>
          <w:rFonts w:hint="eastAsia" w:ascii="宋体" w:hAnsi="宋体" w:eastAsia="宋体" w:cs="宋体"/>
          <w:color w:val="000000"/>
          <w:sz w:val="24"/>
          <w:szCs w:val="24"/>
          <w:highlight w:val="none"/>
        </w:rPr>
        <w:t>甲方罪犯配餐中心</w:t>
      </w:r>
      <w:r>
        <w:rPr>
          <w:rFonts w:hint="eastAsia" w:ascii="宋体" w:hAnsi="宋体" w:eastAsia="宋体" w:cs="宋体"/>
          <w:color w:val="000000"/>
          <w:sz w:val="24"/>
          <w:szCs w:val="24"/>
          <w:highlight w:val="none"/>
          <w:lang w:val="en-US" w:eastAsia="zh-CN"/>
        </w:rPr>
        <w:t>猪肉</w:t>
      </w:r>
      <w:r>
        <w:rPr>
          <w:rFonts w:hint="eastAsia" w:ascii="宋体" w:hAnsi="宋体" w:eastAsia="宋体" w:cs="宋体"/>
          <w:color w:val="000000"/>
          <w:sz w:val="24"/>
          <w:szCs w:val="24"/>
          <w:highlight w:val="none"/>
          <w:lang w:eastAsia="zh-CN"/>
        </w:rPr>
        <w:t>类</w:t>
      </w:r>
      <w:r>
        <w:rPr>
          <w:rFonts w:hint="eastAsia" w:ascii="宋体" w:hAnsi="宋体" w:eastAsia="宋体" w:cs="宋体"/>
          <w:color w:val="000000"/>
          <w:sz w:val="24"/>
          <w:szCs w:val="24"/>
          <w:highlight w:val="none"/>
        </w:rPr>
        <w:t>的供货商，甲乙双方本着平等自愿、公平公正、遵守国家法律及相关规定的原则，经甲乙双方平等协商，一致同意按照以下条款签订本合同。</w:t>
      </w:r>
    </w:p>
    <w:p w14:paraId="305B9FCB">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一、甲方责任、义务</w:t>
      </w:r>
    </w:p>
    <w:p w14:paraId="05072BF6">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负责</w:t>
      </w:r>
      <w:r>
        <w:rPr>
          <w:rFonts w:hint="eastAsia" w:ascii="宋体" w:hAnsi="宋体" w:eastAsia="宋体" w:cs="宋体"/>
          <w:color w:val="000000"/>
          <w:sz w:val="24"/>
          <w:szCs w:val="24"/>
          <w:highlight w:val="none"/>
          <w:lang w:eastAsia="zh-CN"/>
        </w:rPr>
        <w:t>完成</w:t>
      </w:r>
      <w:r>
        <w:rPr>
          <w:rFonts w:hint="eastAsia" w:ascii="宋体" w:hAnsi="宋体" w:eastAsia="宋体" w:cs="宋体"/>
          <w:color w:val="000000"/>
          <w:sz w:val="24"/>
          <w:szCs w:val="24"/>
          <w:highlight w:val="none"/>
        </w:rPr>
        <w:t>合同签订后</w:t>
      </w:r>
      <w:r>
        <w:rPr>
          <w:rFonts w:hint="eastAsia" w:ascii="宋体" w:hAnsi="宋体" w:eastAsia="宋体" w:cs="宋体"/>
          <w:color w:val="000000"/>
          <w:sz w:val="24"/>
          <w:szCs w:val="24"/>
          <w:highlight w:val="none"/>
          <w:lang w:eastAsia="zh-CN"/>
        </w:rPr>
        <w:t>本</w:t>
      </w:r>
      <w:r>
        <w:rPr>
          <w:rFonts w:hint="eastAsia" w:ascii="宋体" w:hAnsi="宋体" w:eastAsia="宋体" w:cs="宋体"/>
          <w:color w:val="000000"/>
          <w:sz w:val="24"/>
          <w:szCs w:val="24"/>
          <w:highlight w:val="none"/>
        </w:rPr>
        <w:t>项目实施的</w:t>
      </w:r>
      <w:r>
        <w:rPr>
          <w:rFonts w:hint="eastAsia" w:ascii="宋体" w:hAnsi="宋体" w:eastAsia="宋体" w:cs="宋体"/>
          <w:color w:val="000000"/>
          <w:sz w:val="24"/>
          <w:szCs w:val="24"/>
          <w:highlight w:val="none"/>
          <w:lang w:eastAsia="zh-CN"/>
        </w:rPr>
        <w:t>相关</w:t>
      </w:r>
      <w:r>
        <w:rPr>
          <w:rFonts w:hint="eastAsia" w:ascii="宋体" w:hAnsi="宋体" w:eastAsia="宋体" w:cs="宋体"/>
          <w:color w:val="000000"/>
          <w:sz w:val="24"/>
          <w:szCs w:val="24"/>
          <w:highlight w:val="none"/>
        </w:rPr>
        <w:t>工作</w:t>
      </w:r>
      <w:r>
        <w:rPr>
          <w:rFonts w:hint="eastAsia" w:ascii="宋体" w:hAnsi="宋体" w:eastAsia="宋体" w:cs="宋体"/>
          <w:color w:val="000000"/>
          <w:sz w:val="24"/>
          <w:szCs w:val="24"/>
          <w:highlight w:val="none"/>
          <w:lang w:eastAsia="zh-CN"/>
        </w:rPr>
        <w:t>（如与乙方的具体联系，采购计划的制定和将采购计划告知乙方等）</w:t>
      </w:r>
      <w:r>
        <w:rPr>
          <w:rFonts w:hint="eastAsia" w:ascii="宋体" w:hAnsi="宋体" w:eastAsia="宋体" w:cs="宋体"/>
          <w:color w:val="000000"/>
          <w:sz w:val="24"/>
          <w:szCs w:val="24"/>
          <w:highlight w:val="none"/>
        </w:rPr>
        <w:t>；</w:t>
      </w:r>
    </w:p>
    <w:p w14:paraId="72BDC745">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2.货物送到后，甲方负责及时验收</w:t>
      </w:r>
      <w:r>
        <w:rPr>
          <w:rFonts w:hint="eastAsia" w:ascii="宋体" w:hAnsi="宋体" w:eastAsia="宋体" w:cs="宋体"/>
          <w:color w:val="000000"/>
          <w:sz w:val="24"/>
          <w:szCs w:val="24"/>
          <w:highlight w:val="none"/>
          <w:lang w:val="en-US" w:eastAsia="zh-CN"/>
        </w:rPr>
        <w:t>猪肉</w:t>
      </w:r>
      <w:r>
        <w:rPr>
          <w:rFonts w:hint="eastAsia" w:ascii="宋体" w:hAnsi="宋体" w:eastAsia="宋体" w:cs="宋体"/>
          <w:color w:val="000000"/>
          <w:sz w:val="24"/>
          <w:szCs w:val="24"/>
          <w:highlight w:val="none"/>
          <w:lang w:eastAsia="zh-CN"/>
        </w:rPr>
        <w:t>类</w:t>
      </w:r>
      <w:r>
        <w:rPr>
          <w:rFonts w:hint="eastAsia" w:ascii="宋体" w:hAnsi="宋体" w:eastAsia="宋体" w:cs="宋体"/>
          <w:color w:val="000000"/>
          <w:sz w:val="24"/>
          <w:szCs w:val="24"/>
          <w:highlight w:val="none"/>
        </w:rPr>
        <w:t>食品的数量、质量；</w:t>
      </w:r>
    </w:p>
    <w:p w14:paraId="35079AD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3.验收后因甲方保管不善，造成变质、过期等责任由甲方负责；</w:t>
      </w:r>
    </w:p>
    <w:p w14:paraId="4B9463C4">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4.甲方定期（一般为每月</w:t>
      </w:r>
      <w:r>
        <w:rPr>
          <w:rFonts w:hint="eastAsia" w:ascii="宋体" w:hAnsi="宋体" w:eastAsia="宋体" w:cs="宋体"/>
          <w:color w:val="000000"/>
          <w:sz w:val="24"/>
          <w:szCs w:val="24"/>
          <w:highlight w:val="none"/>
          <w:lang w:eastAsia="zh-CN"/>
        </w:rPr>
        <w:t>或按约定周期</w:t>
      </w:r>
      <w:r>
        <w:rPr>
          <w:rFonts w:hint="eastAsia" w:ascii="宋体" w:hAnsi="宋体" w:eastAsia="宋体" w:cs="宋体"/>
          <w:color w:val="000000"/>
          <w:sz w:val="24"/>
          <w:szCs w:val="24"/>
          <w:highlight w:val="none"/>
        </w:rPr>
        <w:t>）与乙方结算，及时支付款项。</w:t>
      </w:r>
    </w:p>
    <w:p w14:paraId="294C58E5">
      <w:pPr>
        <w:spacing w:line="360" w:lineRule="auto"/>
        <w:ind w:firstLine="480" w:firstLineChars="20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二、</w:t>
      </w:r>
      <w:r>
        <w:rPr>
          <w:rFonts w:hint="eastAsia" w:ascii="宋体" w:hAnsi="宋体" w:eastAsia="宋体" w:cs="宋体"/>
          <w:b/>
          <w:color w:val="000000"/>
          <w:sz w:val="24"/>
          <w:szCs w:val="24"/>
          <w:highlight w:val="none"/>
        </w:rPr>
        <w:t>乙方责任、义务</w:t>
      </w:r>
    </w:p>
    <w:p w14:paraId="4AD017EA">
      <w:pPr>
        <w:spacing w:line="360" w:lineRule="auto"/>
        <w:ind w:firstLine="360" w:firstLineChars="150"/>
        <w:jc w:val="both"/>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1.乙方必须具备长期、稳定的货源，甲方向乙方提出采购计划后，乙方要保证</w:t>
      </w:r>
      <w:r>
        <w:rPr>
          <w:rFonts w:hint="eastAsia" w:ascii="宋体" w:hAnsi="宋体" w:cs="宋体"/>
          <w:color w:val="000000"/>
          <w:sz w:val="24"/>
          <w:szCs w:val="24"/>
          <w:highlight w:val="none"/>
          <w:lang w:val="en-US" w:eastAsia="zh-CN"/>
        </w:rPr>
        <w:t>能在</w:t>
      </w:r>
      <w:r>
        <w:rPr>
          <w:rFonts w:hint="eastAsia" w:ascii="宋体" w:hAnsi="宋体" w:eastAsia="宋体" w:cs="宋体"/>
          <w:color w:val="000000"/>
          <w:sz w:val="24"/>
          <w:szCs w:val="24"/>
          <w:highlight w:val="none"/>
          <w:u w:val="single"/>
        </w:rPr>
        <w:t>24</w:t>
      </w:r>
      <w:r>
        <w:rPr>
          <w:rFonts w:hint="eastAsia" w:ascii="宋体" w:hAnsi="宋体" w:eastAsia="宋体" w:cs="宋体"/>
          <w:color w:val="000000"/>
          <w:sz w:val="24"/>
          <w:szCs w:val="24"/>
          <w:highlight w:val="none"/>
        </w:rPr>
        <w:t>小时内保质保量为甲方提供所需的</w:t>
      </w:r>
      <w:r>
        <w:rPr>
          <w:rFonts w:hint="eastAsia" w:ascii="宋体" w:hAnsi="宋体" w:cs="宋体"/>
          <w:color w:val="000000"/>
          <w:sz w:val="24"/>
          <w:szCs w:val="24"/>
          <w:highlight w:val="none"/>
          <w:lang w:val="en-US" w:eastAsia="zh-CN"/>
        </w:rPr>
        <w:t>猪肉类物资</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特殊情况保证能在</w:t>
      </w:r>
      <w:r>
        <w:rPr>
          <w:rFonts w:hint="eastAsia" w:ascii="宋体" w:hAnsi="宋体" w:cs="宋体"/>
          <w:color w:val="000000"/>
          <w:sz w:val="24"/>
          <w:szCs w:val="24"/>
          <w:highlight w:val="none"/>
          <w:u w:val="single"/>
          <w:lang w:val="en-US" w:eastAsia="zh-CN"/>
        </w:rPr>
        <w:t>12</w:t>
      </w:r>
      <w:r>
        <w:rPr>
          <w:rFonts w:hint="eastAsia" w:ascii="宋体" w:hAnsi="宋体" w:cs="宋体"/>
          <w:color w:val="000000"/>
          <w:sz w:val="24"/>
          <w:szCs w:val="24"/>
          <w:highlight w:val="none"/>
          <w:lang w:val="en-US" w:eastAsia="zh-CN"/>
        </w:rPr>
        <w:t>小时内供货，在上述原则下，具体以甲方的要求为准；</w:t>
      </w:r>
    </w:p>
    <w:p w14:paraId="40C206F2">
      <w:pPr>
        <w:spacing w:line="360" w:lineRule="auto"/>
        <w:ind w:firstLine="360" w:firstLineChars="150"/>
        <w:jc w:val="both"/>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乙方必须按甲方指定的地点送货，在送货过程中要保证货物有防止污染的可靠措施，运输途中的安全、卫生、费用、缺失、损坏等风险由乙方自行负责。乙方送货过程中发生的任何交通意外，由乙方自行全权负责，甲方概不负责；</w:t>
      </w:r>
    </w:p>
    <w:p w14:paraId="44C4CFDF">
      <w:pPr>
        <w:spacing w:line="360" w:lineRule="auto"/>
        <w:ind w:firstLine="360" w:firstLineChars="150"/>
        <w:jc w:val="both"/>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3.乙方所供的货物以甲乙双方验收签字为准。甲方验收时发现猪肉类物资质量不符合甲方的要求，有权拒绝接收，退货由乙方自行装卸及运走，由此造成的损失由乙方自行承担；</w:t>
      </w:r>
    </w:p>
    <w:p w14:paraId="64987BDC">
      <w:pPr>
        <w:spacing w:line="360" w:lineRule="auto"/>
        <w:ind w:firstLine="360" w:firstLineChars="150"/>
        <w:jc w:val="both"/>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4.需要补充货物的，乙方须在甲方要求的时间内补充货物并经甲方验收合格，否则甲方有权另行组织采购且由乙方承担产生的法律后果；</w:t>
      </w:r>
    </w:p>
    <w:p w14:paraId="1ADC1B55">
      <w:pPr>
        <w:keepNext w:val="0"/>
        <w:keepLines w:val="0"/>
        <w:pageBreakBefore w:val="0"/>
        <w:widowControl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5.因乙方所送</w:t>
      </w:r>
      <w:r>
        <w:rPr>
          <w:rFonts w:hint="eastAsia" w:ascii="宋体" w:hAnsi="宋体" w:eastAsia="宋体" w:cs="宋体"/>
          <w:color w:val="000000"/>
          <w:sz w:val="24"/>
          <w:szCs w:val="24"/>
          <w:highlight w:val="none"/>
          <w:lang w:val="en-US" w:eastAsia="zh-CN"/>
        </w:rPr>
        <w:t>猪肉</w:t>
      </w:r>
      <w:r>
        <w:rPr>
          <w:rFonts w:hint="eastAsia" w:ascii="宋体" w:hAnsi="宋体" w:eastAsia="宋体" w:cs="宋体"/>
          <w:color w:val="000000"/>
          <w:sz w:val="24"/>
          <w:szCs w:val="24"/>
          <w:highlight w:val="none"/>
          <w:lang w:eastAsia="zh-CN"/>
        </w:rPr>
        <w:t>类</w:t>
      </w:r>
      <w:r>
        <w:rPr>
          <w:rFonts w:hint="eastAsia" w:ascii="宋体" w:hAnsi="宋体" w:eastAsia="宋体" w:cs="宋体"/>
          <w:color w:val="000000"/>
          <w:sz w:val="24"/>
          <w:szCs w:val="24"/>
          <w:highlight w:val="none"/>
        </w:rPr>
        <w:t>食品存在质量问题，造成相关部门处罚及赔偿的，由乙方承担法律等一切责任；</w:t>
      </w:r>
    </w:p>
    <w:p w14:paraId="0A076F41">
      <w:pPr>
        <w:keepNext w:val="0"/>
        <w:keepLines w:val="0"/>
        <w:pageBreakBefore w:val="0"/>
        <w:widowControl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6.乙方所供的</w:t>
      </w:r>
      <w:r>
        <w:rPr>
          <w:rFonts w:hint="eastAsia" w:ascii="宋体" w:hAnsi="宋体" w:eastAsia="宋体" w:cs="宋体"/>
          <w:color w:val="000000"/>
          <w:sz w:val="24"/>
          <w:szCs w:val="24"/>
          <w:highlight w:val="none"/>
          <w:lang w:val="en-US" w:eastAsia="zh-CN"/>
        </w:rPr>
        <w:t>猪肉</w:t>
      </w:r>
      <w:r>
        <w:rPr>
          <w:rFonts w:hint="eastAsia" w:ascii="宋体" w:hAnsi="宋体" w:eastAsia="宋体" w:cs="宋体"/>
          <w:color w:val="000000"/>
          <w:sz w:val="24"/>
          <w:szCs w:val="24"/>
          <w:highlight w:val="none"/>
          <w:lang w:eastAsia="zh-CN"/>
        </w:rPr>
        <w:t>类</w:t>
      </w:r>
      <w:r>
        <w:rPr>
          <w:rFonts w:hint="eastAsia" w:ascii="宋体" w:hAnsi="宋体" w:eastAsia="宋体" w:cs="宋体"/>
          <w:color w:val="000000"/>
          <w:sz w:val="24"/>
          <w:szCs w:val="24"/>
          <w:highlight w:val="none"/>
        </w:rPr>
        <w:t>食品必须严格保证质量，满足《中华人民共和国食品安全法》及有关国家标准，保障食品安全，禁止提供品质不达标的</w:t>
      </w:r>
      <w:r>
        <w:rPr>
          <w:rFonts w:hint="eastAsia" w:ascii="宋体" w:hAnsi="宋体" w:eastAsia="宋体" w:cs="宋体"/>
          <w:color w:val="000000"/>
          <w:sz w:val="24"/>
          <w:szCs w:val="24"/>
          <w:highlight w:val="none"/>
          <w:lang w:val="en-US" w:eastAsia="zh-CN"/>
        </w:rPr>
        <w:t>猪肉</w:t>
      </w:r>
      <w:r>
        <w:rPr>
          <w:rFonts w:hint="eastAsia" w:ascii="宋体" w:hAnsi="宋体" w:eastAsia="宋体" w:cs="宋体"/>
          <w:color w:val="000000"/>
          <w:sz w:val="24"/>
          <w:szCs w:val="24"/>
          <w:highlight w:val="none"/>
          <w:lang w:eastAsia="zh-CN"/>
        </w:rPr>
        <w:t>类</w:t>
      </w:r>
      <w:r>
        <w:rPr>
          <w:rFonts w:hint="eastAsia" w:ascii="宋体" w:hAnsi="宋体" w:eastAsia="宋体" w:cs="宋体"/>
          <w:color w:val="000000"/>
          <w:sz w:val="24"/>
          <w:szCs w:val="24"/>
          <w:highlight w:val="none"/>
        </w:rPr>
        <w:t>食品；</w:t>
      </w:r>
    </w:p>
    <w:p w14:paraId="62E60B11">
      <w:pPr>
        <w:spacing w:line="500" w:lineRule="exact"/>
        <w:ind w:firstLine="360" w:firstLineChars="150"/>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7.</w:t>
      </w:r>
      <w:r>
        <w:rPr>
          <w:rFonts w:hint="eastAsia" w:ascii="宋体" w:hAnsi="宋体" w:eastAsia="宋体" w:cs="宋体"/>
          <w:color w:val="auto"/>
          <w:sz w:val="24"/>
          <w:szCs w:val="24"/>
          <w:highlight w:val="none"/>
        </w:rPr>
        <w:t>乙方所供</w:t>
      </w:r>
      <w:r>
        <w:rPr>
          <w:rFonts w:hint="eastAsia" w:ascii="宋体" w:hAnsi="宋体" w:eastAsia="宋体" w:cs="宋体"/>
          <w:color w:val="auto"/>
          <w:sz w:val="24"/>
          <w:szCs w:val="24"/>
          <w:highlight w:val="none"/>
          <w:lang w:val="en-US" w:eastAsia="zh-CN"/>
        </w:rPr>
        <w:t>猪肉必须新鲜洁净、无腐烂、无变质、无虫害、无油脂酸败、无污秽不洁，且不混有异物或其他异常感官性状异物；不得提供种猪、老母猪、病猪、未经检疫、注水、来源不明、违禁药物残留等不符合食品安全标准的猪肉，严格遵守《中华人民共和国食品安全法》国家食品卫生安全法的相关要求标准，并</w:t>
      </w:r>
      <w:r>
        <w:rPr>
          <w:rFonts w:hint="eastAsia" w:ascii="宋体" w:hAnsi="宋体" w:eastAsia="宋体" w:cs="宋体"/>
          <w:color w:val="0000FF"/>
          <w:sz w:val="24"/>
          <w:szCs w:val="24"/>
          <w:highlight w:val="none"/>
          <w:lang w:val="en-US" w:eastAsia="zh-CN"/>
        </w:rPr>
        <w:t>符合 GB 2707-2016《鲜、冻畜肉卫生标准》、GB/T 9959.1-2019、GB/T 9959.3-2019、GB/T 9959.4-2019 等国家标准</w:t>
      </w:r>
      <w:r>
        <w:rPr>
          <w:rFonts w:hint="eastAsia" w:ascii="宋体" w:hAnsi="宋体" w:eastAsia="宋体" w:cs="宋体"/>
          <w:color w:val="auto"/>
          <w:sz w:val="24"/>
          <w:szCs w:val="24"/>
          <w:highlight w:val="none"/>
          <w:lang w:val="en-US" w:eastAsia="zh-CN"/>
        </w:rPr>
        <w:t>，保障食品安全，禁止供应品质不合格的猪肉产品。每次供货须随货提供当前批次猪肉品品质检验合格证和动物检疫证明，猪肉按部位分类包装。分割及预处理要求：净瘦肉：切为3-5cm 可以使用绞肉机磨的小块；带皮三线肉：清洗处理，切为2-3cm适合红烧的小块；排骨：斩切成可直接烹饪的小块；肥肉：切为 3-5cm小块；板油：切为3-5cm小块；猪脚：清洗处理，斩切成可直接烹饪的小块。</w:t>
      </w:r>
      <w:r>
        <w:rPr>
          <w:rFonts w:hint="eastAsia" w:ascii="宋体" w:hAnsi="宋体" w:cs="宋体"/>
          <w:b/>
          <w:bCs/>
          <w:color w:val="auto"/>
          <w:sz w:val="24"/>
          <w:szCs w:val="24"/>
          <w:highlight w:val="none"/>
          <w:lang w:val="en-US" w:eastAsia="zh-CN"/>
        </w:rPr>
        <w:t>以上执行标准如有更新，按最新标准执行。</w:t>
      </w:r>
    </w:p>
    <w:p w14:paraId="01BAF934">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三、供应品种及价格</w:t>
      </w:r>
    </w:p>
    <w:p w14:paraId="6645B1B6">
      <w:pPr>
        <w:spacing w:line="360" w:lineRule="auto"/>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乙方向甲方提供</w:t>
      </w:r>
      <w:r>
        <w:rPr>
          <w:rFonts w:hint="eastAsia" w:ascii="宋体" w:hAnsi="宋体" w:eastAsia="宋体" w:cs="宋体"/>
          <w:color w:val="000000"/>
          <w:sz w:val="24"/>
          <w:szCs w:val="24"/>
          <w:highlight w:val="none"/>
          <w:lang w:val="en-US" w:eastAsia="zh-CN"/>
        </w:rPr>
        <w:t>的猪肉必须</w:t>
      </w:r>
      <w:r>
        <w:rPr>
          <w:rFonts w:hint="eastAsia" w:ascii="宋体" w:hAnsi="宋体" w:eastAsia="宋体" w:cs="宋体"/>
          <w:color w:val="auto"/>
          <w:sz w:val="24"/>
          <w:szCs w:val="24"/>
          <w:highlight w:val="none"/>
          <w:lang w:val="en-US" w:eastAsia="zh-CN"/>
        </w:rPr>
        <w:t>新鲜洁净、无腐烂、无变质、无虫害、无油脂酸败、无污秽不洁，且不混有异物或其他异常感官性状异物；不得提供种猪、老母猪、病猪、未经检疫、注水、来源不明、违禁药物残留等不符合食品安全标准的猪肉</w:t>
      </w:r>
      <w:r>
        <w:rPr>
          <w:rFonts w:hint="eastAsia" w:ascii="宋体" w:hAnsi="宋体" w:eastAsia="宋体" w:cs="宋体"/>
          <w:color w:val="000000"/>
          <w:sz w:val="24"/>
          <w:szCs w:val="24"/>
          <w:highlight w:val="none"/>
        </w:rPr>
        <w:t>。</w:t>
      </w:r>
    </w:p>
    <w:p w14:paraId="5EB85F49">
      <w:pPr>
        <w:spacing w:line="360" w:lineRule="auto"/>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乙方供应产品名称规格及价格（中标价）：</w:t>
      </w:r>
    </w:p>
    <w:tbl>
      <w:tblPr>
        <w:tblStyle w:val="32"/>
        <w:tblW w:w="10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575"/>
        <w:gridCol w:w="2438"/>
        <w:gridCol w:w="1725"/>
        <w:gridCol w:w="1215"/>
        <w:gridCol w:w="1563"/>
        <w:gridCol w:w="1563"/>
      </w:tblGrid>
      <w:tr w14:paraId="1948E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3" w:hRule="atLeast"/>
          <w:jc w:val="center"/>
        </w:trPr>
        <w:tc>
          <w:tcPr>
            <w:tcW w:w="752" w:type="dxa"/>
            <w:noWrap w:val="0"/>
            <w:vAlign w:val="center"/>
          </w:tcPr>
          <w:p w14:paraId="558D6B62">
            <w:pPr>
              <w:spacing w:line="360" w:lineRule="auto"/>
              <w:ind w:left="0" w:leftChars="0" w:right="0" w:rightChars="0" w:firstLine="0" w:firstLineChars="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序号</w:t>
            </w:r>
          </w:p>
        </w:tc>
        <w:tc>
          <w:tcPr>
            <w:tcW w:w="1575" w:type="dxa"/>
            <w:noWrap w:val="0"/>
            <w:vAlign w:val="center"/>
          </w:tcPr>
          <w:p w14:paraId="3B99432B">
            <w:pPr>
              <w:spacing w:line="360" w:lineRule="auto"/>
              <w:ind w:left="0" w:leftChars="0" w:right="0" w:rightChars="0" w:firstLine="0" w:firstLineChars="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产品</w:t>
            </w:r>
            <w:r>
              <w:rPr>
                <w:rFonts w:hint="eastAsia" w:ascii="宋体" w:hAnsi="宋体" w:eastAsia="宋体" w:cs="宋体"/>
                <w:bCs/>
                <w:color w:val="000000"/>
                <w:sz w:val="24"/>
                <w:szCs w:val="24"/>
                <w:highlight w:val="none"/>
              </w:rPr>
              <w:t>名称</w:t>
            </w:r>
          </w:p>
        </w:tc>
        <w:tc>
          <w:tcPr>
            <w:tcW w:w="2438" w:type="dxa"/>
            <w:noWrap w:val="0"/>
            <w:vAlign w:val="center"/>
          </w:tcPr>
          <w:p w14:paraId="47DA11B8">
            <w:pPr>
              <w:spacing w:line="360" w:lineRule="auto"/>
              <w:ind w:left="0" w:leftChars="0" w:right="0" w:rightChars="0" w:firstLine="0" w:firstLineChars="0"/>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规格</w:t>
            </w:r>
          </w:p>
        </w:tc>
        <w:tc>
          <w:tcPr>
            <w:tcW w:w="1725" w:type="dxa"/>
            <w:noWrap w:val="0"/>
            <w:vAlign w:val="center"/>
          </w:tcPr>
          <w:p w14:paraId="3DA8C371">
            <w:pPr>
              <w:spacing w:line="360" w:lineRule="auto"/>
              <w:ind w:left="0" w:leftChars="0" w:right="0" w:rightChars="0" w:firstLine="0" w:firstLineChars="0"/>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生产企业</w:t>
            </w:r>
          </w:p>
        </w:tc>
        <w:tc>
          <w:tcPr>
            <w:tcW w:w="1215" w:type="dxa"/>
            <w:noWrap w:val="0"/>
            <w:vAlign w:val="center"/>
          </w:tcPr>
          <w:p w14:paraId="677732F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预计数量</w:t>
            </w:r>
          </w:p>
          <w:p w14:paraId="4C3C31B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（千克）</w:t>
            </w:r>
          </w:p>
        </w:tc>
        <w:tc>
          <w:tcPr>
            <w:tcW w:w="1563" w:type="dxa"/>
            <w:noWrap w:val="0"/>
            <w:vAlign w:val="center"/>
          </w:tcPr>
          <w:p w14:paraId="542246C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中标单价</w:t>
            </w:r>
          </w:p>
          <w:p w14:paraId="41DE65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（元</w:t>
            </w:r>
            <w:r>
              <w:rPr>
                <w:rFonts w:hint="eastAsia" w:ascii="宋体" w:hAnsi="宋体" w:eastAsia="宋体" w:cs="宋体"/>
                <w:bCs/>
                <w:color w:val="000000"/>
                <w:sz w:val="24"/>
                <w:szCs w:val="24"/>
                <w:highlight w:val="none"/>
                <w:lang w:val="en-US" w:eastAsia="zh-CN"/>
              </w:rPr>
              <w:t>/千克</w:t>
            </w:r>
            <w:r>
              <w:rPr>
                <w:rFonts w:hint="eastAsia" w:ascii="宋体" w:hAnsi="宋体" w:eastAsia="宋体" w:cs="宋体"/>
                <w:bCs/>
                <w:color w:val="000000"/>
                <w:sz w:val="24"/>
                <w:szCs w:val="24"/>
                <w:highlight w:val="none"/>
              </w:rPr>
              <w:t>）</w:t>
            </w:r>
          </w:p>
        </w:tc>
        <w:tc>
          <w:tcPr>
            <w:tcW w:w="1563" w:type="dxa"/>
            <w:noWrap w:val="0"/>
            <w:vAlign w:val="center"/>
          </w:tcPr>
          <w:p w14:paraId="26EA669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下浮率</w:t>
            </w:r>
            <w:r>
              <w:rPr>
                <w:rFonts w:hint="eastAsia" w:ascii="宋体" w:hAnsi="宋体" w:eastAsia="宋体" w:cs="宋体"/>
                <w:bCs/>
                <w:color w:val="000000"/>
                <w:sz w:val="24"/>
                <w:szCs w:val="24"/>
                <w:highlight w:val="none"/>
                <w:lang w:val="en-US" w:eastAsia="zh-CN"/>
              </w:rPr>
              <w:t>%</w:t>
            </w:r>
          </w:p>
        </w:tc>
      </w:tr>
      <w:tr w14:paraId="69DB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752" w:type="dxa"/>
            <w:noWrap w:val="0"/>
            <w:vAlign w:val="center"/>
          </w:tcPr>
          <w:p w14:paraId="1630F209">
            <w:pPr>
              <w:spacing w:line="360" w:lineRule="auto"/>
              <w:ind w:left="0" w:leftChars="0" w:right="0" w:rightChars="0" w:firstLine="0" w:firstLineChars="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1575" w:type="dxa"/>
            <w:noWrap w:val="0"/>
            <w:vAlign w:val="center"/>
          </w:tcPr>
          <w:p w14:paraId="0C48B526">
            <w:pPr>
              <w:shd w:val="clear" w:color="auto" w:fill="auto"/>
              <w:spacing w:line="360" w:lineRule="auto"/>
              <w:ind w:left="0" w:leftChars="0" w:right="0" w:rightChars="0" w:firstLine="0" w:firstLineChars="0"/>
              <w:jc w:val="center"/>
              <w:rPr>
                <w:rFonts w:hint="eastAsia" w:ascii="宋体" w:hAnsi="宋体" w:eastAsia="宋体" w:cs="宋体"/>
                <w:color w:val="000000"/>
                <w:sz w:val="24"/>
                <w:szCs w:val="24"/>
                <w:highlight w:val="none"/>
                <w:lang w:eastAsia="zh-CN"/>
              </w:rPr>
            </w:pPr>
          </w:p>
        </w:tc>
        <w:tc>
          <w:tcPr>
            <w:tcW w:w="2438" w:type="dxa"/>
            <w:noWrap w:val="0"/>
            <w:vAlign w:val="center"/>
          </w:tcPr>
          <w:p w14:paraId="2F0ACC32">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color w:val="000000"/>
                <w:kern w:val="2"/>
                <w:sz w:val="24"/>
                <w:szCs w:val="24"/>
                <w:highlight w:val="none"/>
                <w:lang w:val="en-US" w:eastAsia="zh-CN" w:bidi="ar-SA"/>
              </w:rPr>
            </w:pPr>
          </w:p>
        </w:tc>
        <w:tc>
          <w:tcPr>
            <w:tcW w:w="1725" w:type="dxa"/>
            <w:noWrap w:val="0"/>
            <w:vAlign w:val="center"/>
          </w:tcPr>
          <w:p w14:paraId="7A2F3DC4">
            <w:pPr>
              <w:spacing w:line="36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215" w:type="dxa"/>
            <w:noWrap w:val="0"/>
            <w:vAlign w:val="center"/>
          </w:tcPr>
          <w:p w14:paraId="1DDC9F14">
            <w:pPr>
              <w:keepNext w:val="0"/>
              <w:keepLines w:val="0"/>
              <w:widowControl/>
              <w:suppressLineNumbers w:val="0"/>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c>
          <w:tcPr>
            <w:tcW w:w="1563" w:type="dxa"/>
            <w:noWrap w:val="0"/>
            <w:vAlign w:val="center"/>
          </w:tcPr>
          <w:p w14:paraId="399ABD34">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p>
        </w:tc>
        <w:tc>
          <w:tcPr>
            <w:tcW w:w="1563" w:type="dxa"/>
            <w:noWrap w:val="0"/>
            <w:vAlign w:val="center"/>
          </w:tcPr>
          <w:p w14:paraId="553CAEA3">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p>
        </w:tc>
      </w:tr>
      <w:tr w14:paraId="35C48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2" w:type="dxa"/>
            <w:noWrap w:val="0"/>
            <w:vAlign w:val="center"/>
          </w:tcPr>
          <w:p w14:paraId="6738D0F6">
            <w:pPr>
              <w:spacing w:line="360" w:lineRule="auto"/>
              <w:ind w:left="0" w:leftChars="0" w:right="0" w:rightChars="0" w:firstLine="0" w:firstLineChars="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p>
        </w:tc>
        <w:tc>
          <w:tcPr>
            <w:tcW w:w="1575" w:type="dxa"/>
            <w:noWrap w:val="0"/>
            <w:vAlign w:val="center"/>
          </w:tcPr>
          <w:p w14:paraId="7DF8AB83">
            <w:pPr>
              <w:shd w:val="clear" w:color="auto" w:fill="auto"/>
              <w:spacing w:line="36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2438" w:type="dxa"/>
            <w:noWrap w:val="0"/>
            <w:vAlign w:val="center"/>
          </w:tcPr>
          <w:p w14:paraId="3F1BD260">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color w:val="000000"/>
                <w:kern w:val="2"/>
                <w:sz w:val="24"/>
                <w:szCs w:val="24"/>
                <w:highlight w:val="none"/>
                <w:lang w:val="en-US" w:eastAsia="zh-CN" w:bidi="ar-SA"/>
              </w:rPr>
            </w:pPr>
          </w:p>
        </w:tc>
        <w:tc>
          <w:tcPr>
            <w:tcW w:w="1725" w:type="dxa"/>
            <w:noWrap w:val="0"/>
            <w:vAlign w:val="center"/>
          </w:tcPr>
          <w:p w14:paraId="38FC719C">
            <w:pPr>
              <w:spacing w:line="36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215" w:type="dxa"/>
            <w:noWrap w:val="0"/>
            <w:vAlign w:val="center"/>
          </w:tcPr>
          <w:p w14:paraId="51850DBF">
            <w:pPr>
              <w:keepNext w:val="0"/>
              <w:keepLines w:val="0"/>
              <w:widowControl/>
              <w:suppressLineNumbers w:val="0"/>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c>
          <w:tcPr>
            <w:tcW w:w="1563" w:type="dxa"/>
            <w:noWrap w:val="0"/>
            <w:vAlign w:val="center"/>
          </w:tcPr>
          <w:p w14:paraId="05CE993C">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p>
        </w:tc>
        <w:tc>
          <w:tcPr>
            <w:tcW w:w="1563" w:type="dxa"/>
            <w:noWrap w:val="0"/>
            <w:vAlign w:val="center"/>
          </w:tcPr>
          <w:p w14:paraId="153B6C29">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p>
        </w:tc>
      </w:tr>
      <w:tr w14:paraId="46A6D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2" w:type="dxa"/>
            <w:noWrap w:val="0"/>
            <w:vAlign w:val="center"/>
          </w:tcPr>
          <w:p w14:paraId="6CC31D46">
            <w:pPr>
              <w:spacing w:line="360" w:lineRule="auto"/>
              <w:ind w:left="0" w:leftChars="0" w:right="0" w:rightChars="0" w:firstLine="0" w:firstLineChars="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p>
        </w:tc>
        <w:tc>
          <w:tcPr>
            <w:tcW w:w="1575" w:type="dxa"/>
            <w:noWrap w:val="0"/>
            <w:vAlign w:val="center"/>
          </w:tcPr>
          <w:p w14:paraId="4C0A49DE">
            <w:pPr>
              <w:shd w:val="clear" w:color="auto" w:fill="auto"/>
              <w:spacing w:line="36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2438" w:type="dxa"/>
            <w:noWrap w:val="0"/>
            <w:vAlign w:val="center"/>
          </w:tcPr>
          <w:p w14:paraId="4CAAA4AB">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color w:val="000000"/>
                <w:kern w:val="2"/>
                <w:sz w:val="24"/>
                <w:szCs w:val="24"/>
                <w:highlight w:val="none"/>
                <w:lang w:val="en-US" w:eastAsia="zh-CN" w:bidi="ar-SA"/>
              </w:rPr>
            </w:pPr>
          </w:p>
        </w:tc>
        <w:tc>
          <w:tcPr>
            <w:tcW w:w="1725" w:type="dxa"/>
            <w:noWrap w:val="0"/>
            <w:vAlign w:val="center"/>
          </w:tcPr>
          <w:p w14:paraId="1EC7387F">
            <w:pPr>
              <w:spacing w:line="36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215" w:type="dxa"/>
            <w:noWrap w:val="0"/>
            <w:vAlign w:val="center"/>
          </w:tcPr>
          <w:p w14:paraId="46649FA4">
            <w:pPr>
              <w:keepNext w:val="0"/>
              <w:keepLines w:val="0"/>
              <w:widowControl/>
              <w:suppressLineNumbers w:val="0"/>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c>
          <w:tcPr>
            <w:tcW w:w="1563" w:type="dxa"/>
            <w:noWrap w:val="0"/>
            <w:vAlign w:val="center"/>
          </w:tcPr>
          <w:p w14:paraId="635F5E4E">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p>
        </w:tc>
        <w:tc>
          <w:tcPr>
            <w:tcW w:w="1563" w:type="dxa"/>
            <w:noWrap w:val="0"/>
            <w:vAlign w:val="center"/>
          </w:tcPr>
          <w:p w14:paraId="3A7A689F">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p>
        </w:tc>
      </w:tr>
      <w:tr w14:paraId="41325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2" w:type="dxa"/>
            <w:noWrap w:val="0"/>
            <w:vAlign w:val="center"/>
          </w:tcPr>
          <w:p w14:paraId="6B93186E">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p>
        </w:tc>
        <w:tc>
          <w:tcPr>
            <w:tcW w:w="1575" w:type="dxa"/>
            <w:noWrap w:val="0"/>
            <w:vAlign w:val="center"/>
          </w:tcPr>
          <w:p w14:paraId="59F07090">
            <w:pPr>
              <w:shd w:val="clear" w:color="auto" w:fill="auto"/>
              <w:spacing w:line="360" w:lineRule="auto"/>
              <w:ind w:left="0" w:leftChars="0" w:right="0" w:rightChars="0" w:firstLine="0" w:firstLineChars="0"/>
              <w:jc w:val="center"/>
              <w:rPr>
                <w:rFonts w:hint="eastAsia" w:ascii="宋体" w:hAnsi="宋体" w:eastAsia="宋体" w:cs="宋体"/>
                <w:bCs/>
                <w:color w:val="000000"/>
                <w:sz w:val="24"/>
                <w:szCs w:val="24"/>
                <w:highlight w:val="none"/>
              </w:rPr>
            </w:pPr>
          </w:p>
        </w:tc>
        <w:tc>
          <w:tcPr>
            <w:tcW w:w="2438" w:type="dxa"/>
            <w:noWrap w:val="0"/>
            <w:vAlign w:val="center"/>
          </w:tcPr>
          <w:p w14:paraId="5504E5B3">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color w:val="000000"/>
                <w:kern w:val="0"/>
                <w:sz w:val="24"/>
                <w:szCs w:val="24"/>
                <w:highlight w:val="none"/>
                <w:lang w:bidi="ar"/>
              </w:rPr>
            </w:pPr>
          </w:p>
        </w:tc>
        <w:tc>
          <w:tcPr>
            <w:tcW w:w="1725" w:type="dxa"/>
            <w:noWrap w:val="0"/>
            <w:vAlign w:val="center"/>
          </w:tcPr>
          <w:p w14:paraId="5ABA44BD">
            <w:pPr>
              <w:spacing w:line="360" w:lineRule="auto"/>
              <w:ind w:left="0" w:leftChars="0" w:right="0" w:rightChars="0" w:firstLine="0" w:firstLineChars="0"/>
              <w:jc w:val="center"/>
              <w:rPr>
                <w:rFonts w:hint="eastAsia" w:ascii="宋体" w:hAnsi="宋体" w:eastAsia="宋体" w:cs="宋体"/>
                <w:color w:val="000000"/>
                <w:sz w:val="24"/>
                <w:szCs w:val="24"/>
                <w:highlight w:val="none"/>
                <w:lang w:val="en-US" w:eastAsia="zh-CN"/>
              </w:rPr>
            </w:pPr>
          </w:p>
        </w:tc>
        <w:tc>
          <w:tcPr>
            <w:tcW w:w="1215" w:type="dxa"/>
            <w:noWrap w:val="0"/>
            <w:vAlign w:val="center"/>
          </w:tcPr>
          <w:p w14:paraId="55C35D74">
            <w:pPr>
              <w:keepNext w:val="0"/>
              <w:keepLines w:val="0"/>
              <w:widowControl/>
              <w:suppressLineNumbers w:val="0"/>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c>
          <w:tcPr>
            <w:tcW w:w="1563" w:type="dxa"/>
            <w:noWrap w:val="0"/>
            <w:vAlign w:val="center"/>
          </w:tcPr>
          <w:p w14:paraId="52770F96">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p>
        </w:tc>
        <w:tc>
          <w:tcPr>
            <w:tcW w:w="1563" w:type="dxa"/>
            <w:noWrap w:val="0"/>
            <w:vAlign w:val="center"/>
          </w:tcPr>
          <w:p w14:paraId="379D3CE9">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p>
        </w:tc>
      </w:tr>
      <w:tr w14:paraId="46E4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2" w:type="dxa"/>
            <w:noWrap w:val="0"/>
            <w:vAlign w:val="center"/>
          </w:tcPr>
          <w:p w14:paraId="42A2ADB2">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1575" w:type="dxa"/>
            <w:noWrap w:val="0"/>
            <w:vAlign w:val="center"/>
          </w:tcPr>
          <w:p w14:paraId="0370FF22">
            <w:pPr>
              <w:shd w:val="clear" w:color="auto" w:fill="auto"/>
              <w:spacing w:line="36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2438" w:type="dxa"/>
            <w:noWrap w:val="0"/>
            <w:vAlign w:val="center"/>
          </w:tcPr>
          <w:p w14:paraId="452AFFD1">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color w:val="000000"/>
                <w:kern w:val="2"/>
                <w:sz w:val="24"/>
                <w:szCs w:val="24"/>
                <w:highlight w:val="none"/>
                <w:lang w:val="en-US" w:eastAsia="zh-CN" w:bidi="ar-SA"/>
              </w:rPr>
            </w:pPr>
          </w:p>
        </w:tc>
        <w:tc>
          <w:tcPr>
            <w:tcW w:w="1725" w:type="dxa"/>
            <w:noWrap w:val="0"/>
            <w:vAlign w:val="center"/>
          </w:tcPr>
          <w:p w14:paraId="2BAF8030">
            <w:pPr>
              <w:spacing w:line="36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215" w:type="dxa"/>
            <w:noWrap w:val="0"/>
            <w:vAlign w:val="center"/>
          </w:tcPr>
          <w:p w14:paraId="1F1CC3D6">
            <w:pPr>
              <w:keepNext w:val="0"/>
              <w:keepLines w:val="0"/>
              <w:widowControl/>
              <w:suppressLineNumbers w:val="0"/>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c>
          <w:tcPr>
            <w:tcW w:w="1563" w:type="dxa"/>
            <w:noWrap w:val="0"/>
            <w:vAlign w:val="center"/>
          </w:tcPr>
          <w:p w14:paraId="3DAE2F9D">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p>
        </w:tc>
        <w:tc>
          <w:tcPr>
            <w:tcW w:w="1563" w:type="dxa"/>
            <w:noWrap w:val="0"/>
            <w:vAlign w:val="center"/>
          </w:tcPr>
          <w:p w14:paraId="54FAB313">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p>
        </w:tc>
      </w:tr>
      <w:tr w14:paraId="60E3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2" w:type="dxa"/>
            <w:noWrap w:val="0"/>
            <w:vAlign w:val="center"/>
          </w:tcPr>
          <w:p w14:paraId="08237883">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p>
        </w:tc>
        <w:tc>
          <w:tcPr>
            <w:tcW w:w="1575" w:type="dxa"/>
            <w:noWrap w:val="0"/>
            <w:vAlign w:val="center"/>
          </w:tcPr>
          <w:p w14:paraId="45CC8505">
            <w:pPr>
              <w:shd w:val="clear" w:color="auto" w:fill="auto"/>
              <w:spacing w:line="36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2438" w:type="dxa"/>
            <w:noWrap w:val="0"/>
            <w:vAlign w:val="center"/>
          </w:tcPr>
          <w:p w14:paraId="455ADD16">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color w:val="000000"/>
                <w:kern w:val="2"/>
                <w:sz w:val="24"/>
                <w:szCs w:val="24"/>
                <w:highlight w:val="none"/>
                <w:lang w:val="en-US" w:eastAsia="zh-CN" w:bidi="ar-SA"/>
              </w:rPr>
            </w:pPr>
          </w:p>
        </w:tc>
        <w:tc>
          <w:tcPr>
            <w:tcW w:w="1725" w:type="dxa"/>
            <w:noWrap w:val="0"/>
            <w:vAlign w:val="center"/>
          </w:tcPr>
          <w:p w14:paraId="5E37D9F1">
            <w:pPr>
              <w:spacing w:line="36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215" w:type="dxa"/>
            <w:noWrap w:val="0"/>
            <w:vAlign w:val="center"/>
          </w:tcPr>
          <w:p w14:paraId="67A4A3D2">
            <w:pPr>
              <w:keepNext w:val="0"/>
              <w:keepLines w:val="0"/>
              <w:widowControl/>
              <w:suppressLineNumbers w:val="0"/>
              <w:spacing w:line="360" w:lineRule="auto"/>
              <w:jc w:val="center"/>
              <w:textAlignment w:val="center"/>
              <w:rPr>
                <w:rFonts w:hint="default" w:ascii="宋体" w:hAnsi="宋体" w:eastAsia="宋体" w:cs="宋体"/>
                <w:color w:val="000000"/>
                <w:sz w:val="24"/>
                <w:szCs w:val="24"/>
                <w:highlight w:val="none"/>
                <w:lang w:val="en-US" w:eastAsia="zh-CN"/>
              </w:rPr>
            </w:pPr>
          </w:p>
        </w:tc>
        <w:tc>
          <w:tcPr>
            <w:tcW w:w="1563" w:type="dxa"/>
            <w:noWrap w:val="0"/>
            <w:vAlign w:val="center"/>
          </w:tcPr>
          <w:p w14:paraId="197F0E6E">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p>
        </w:tc>
        <w:tc>
          <w:tcPr>
            <w:tcW w:w="1563" w:type="dxa"/>
            <w:noWrap w:val="0"/>
            <w:vAlign w:val="center"/>
          </w:tcPr>
          <w:p w14:paraId="4716728F">
            <w:pPr>
              <w:spacing w:line="360" w:lineRule="auto"/>
              <w:ind w:left="0" w:leftChars="0" w:right="0" w:rightChars="0" w:firstLine="0" w:firstLineChars="0"/>
              <w:jc w:val="center"/>
              <w:rPr>
                <w:rFonts w:hint="default" w:ascii="宋体" w:hAnsi="宋体" w:eastAsia="宋体" w:cs="宋体"/>
                <w:color w:val="000000"/>
                <w:sz w:val="24"/>
                <w:szCs w:val="24"/>
                <w:highlight w:val="none"/>
                <w:lang w:val="en-US" w:eastAsia="zh-CN"/>
              </w:rPr>
            </w:pPr>
          </w:p>
        </w:tc>
      </w:tr>
    </w:tbl>
    <w:p w14:paraId="2C13275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注：1.上述价格为到甲方指定交货地的含税开票价；</w:t>
      </w:r>
      <w:r>
        <w:rPr>
          <w:rFonts w:hint="eastAsia" w:ascii="宋体" w:hAnsi="宋体" w:cs="宋体"/>
          <w:color w:val="000000"/>
          <w:sz w:val="24"/>
          <w:szCs w:val="24"/>
          <w:highlight w:val="none"/>
          <w:lang w:val="en-US" w:eastAsia="zh-CN"/>
        </w:rPr>
        <w:t>价格</w:t>
      </w:r>
      <w:r>
        <w:rPr>
          <w:rFonts w:hint="eastAsia" w:ascii="宋体" w:hAnsi="宋体" w:cs="宋体"/>
          <w:color w:val="000000"/>
          <w:sz w:val="24"/>
          <w:szCs w:val="24"/>
          <w:highlight w:val="none"/>
          <w:lang w:eastAsia="zh-CN"/>
        </w:rPr>
        <w:t>已经包含</w:t>
      </w:r>
      <w:r>
        <w:rPr>
          <w:rFonts w:hint="eastAsia" w:hAnsi="宋体"/>
          <w:color w:val="000000"/>
          <w:sz w:val="24"/>
          <w:szCs w:val="24"/>
          <w:highlight w:val="none"/>
          <w:lang w:val="en-US" w:eastAsia="zh-CN"/>
        </w:rPr>
        <w:t>甲方</w:t>
      </w:r>
      <w:r>
        <w:rPr>
          <w:rFonts w:hint="eastAsia" w:ascii="宋体" w:hAnsi="宋体" w:cs="宋体"/>
          <w:color w:val="000000"/>
          <w:sz w:val="24"/>
          <w:szCs w:val="24"/>
          <w:highlight w:val="none"/>
          <w:lang w:eastAsia="zh-CN"/>
        </w:rPr>
        <w:t>因监管区门禁管理及其他为保证监管安全而采用的一切措施，是</w:t>
      </w:r>
      <w:r>
        <w:rPr>
          <w:rFonts w:hint="eastAsia" w:ascii="宋体" w:hAnsi="宋体" w:cs="宋体"/>
          <w:color w:val="000000"/>
          <w:sz w:val="24"/>
          <w:szCs w:val="24"/>
          <w:highlight w:val="none"/>
          <w:lang w:val="en-US" w:eastAsia="zh-CN"/>
        </w:rPr>
        <w:t>乙方</w:t>
      </w:r>
      <w:r>
        <w:rPr>
          <w:rFonts w:hint="eastAsia" w:ascii="宋体" w:hAnsi="宋体" w:cs="宋体"/>
          <w:color w:val="000000"/>
          <w:sz w:val="24"/>
          <w:szCs w:val="24"/>
          <w:highlight w:val="none"/>
          <w:lang w:eastAsia="zh-CN"/>
        </w:rPr>
        <w:t>综合考虑本项目所采购的货物的市场价格、人工费、配送车辆的使用费、运杂费、堆放食材的仓库使用费、二次装卸费&lt;如遇疫情等特殊情况，可能会产生二次装卸人工费&gt;、堆放食材的仓库使用费、食品安全质量必备检测费、疫情防控费用、利润、税金等完成履行合同所需的全部费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并提供</w:t>
      </w:r>
      <w:r>
        <w:rPr>
          <w:rFonts w:hint="eastAsia" w:ascii="宋体" w:hAnsi="宋体" w:eastAsia="宋体" w:cs="宋体"/>
          <w:color w:val="000000"/>
          <w:sz w:val="24"/>
          <w:szCs w:val="24"/>
          <w:highlight w:val="none"/>
          <w:lang w:eastAsia="zh-CN"/>
        </w:rPr>
        <w:t>符合甲方要求的正式发票</w:t>
      </w:r>
      <w:r>
        <w:rPr>
          <w:rFonts w:hint="eastAsia" w:ascii="宋体" w:hAnsi="宋体" w:eastAsia="宋体" w:cs="宋体"/>
          <w:color w:val="000000"/>
          <w:sz w:val="24"/>
          <w:szCs w:val="24"/>
          <w:highlight w:val="none"/>
        </w:rPr>
        <w:t>，甲方不再另行支付其他费用。</w:t>
      </w:r>
    </w:p>
    <w:p w14:paraId="201EC56C">
      <w:pPr>
        <w:pStyle w:val="20"/>
        <w:spacing w:line="360" w:lineRule="auto"/>
        <w:ind w:firstLine="482" w:firstLineChars="20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全年</w:t>
      </w:r>
      <w:r>
        <w:rPr>
          <w:rFonts w:hint="eastAsia" w:ascii="宋体" w:hAnsi="宋体" w:eastAsia="宋体" w:cs="宋体"/>
          <w:b/>
          <w:bCs/>
          <w:color w:val="000000"/>
          <w:sz w:val="24"/>
          <w:szCs w:val="24"/>
          <w:highlight w:val="none"/>
        </w:rPr>
        <w:t>预计采购总金额：¥</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，(大写)</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；甲乙双方根据实际采购品种、数量结算。</w:t>
      </w:r>
    </w:p>
    <w:p w14:paraId="312D29B7">
      <w:pPr>
        <w:pStyle w:val="20"/>
        <w:spacing w:line="360" w:lineRule="auto"/>
        <w:ind w:firstLine="482" w:firstLineChars="200"/>
        <w:jc w:val="left"/>
        <w:rPr>
          <w:rFonts w:hint="eastAsia" w:ascii="宋体" w:hAnsi="宋体" w:eastAsia="宋体" w:cs="宋体"/>
          <w:b w:val="0"/>
          <w:bCs/>
          <w:color w:val="000000"/>
          <w:sz w:val="24"/>
          <w:szCs w:val="24"/>
          <w:highlight w:val="none"/>
        </w:rPr>
      </w:pPr>
      <w:r>
        <w:rPr>
          <w:rFonts w:hint="eastAsia" w:ascii="宋体" w:hAnsi="宋体" w:cs="宋体"/>
          <w:b/>
          <w:bCs/>
          <w:color w:val="000000"/>
          <w:sz w:val="24"/>
          <w:highlight w:val="none"/>
          <w:lang w:val="en-US" w:eastAsia="zh-CN"/>
        </w:rPr>
        <w:t>表中所有供应品种数量为暂(预)估数量，具体以实际采购量结算，因影响实际采购数量的因素多且复杂，暂(预)估数量与实际采购数量的差异乙方应予以认可，不视为甲方违约，不作为甲方过错而受到投诉、质疑和承担任何责任。</w:t>
      </w:r>
      <w:r>
        <w:rPr>
          <w:rFonts w:hint="eastAsia" w:ascii="宋体" w:hAnsi="宋体" w:eastAsia="宋体" w:cs="宋体"/>
          <w:b/>
          <w:color w:val="000000"/>
          <w:sz w:val="24"/>
          <w:szCs w:val="24"/>
          <w:highlight w:val="none"/>
        </w:rPr>
        <w:t>中标单价在供货期内不做调整。</w:t>
      </w:r>
    </w:p>
    <w:p w14:paraId="5132463C">
      <w:pPr>
        <w:pStyle w:val="20"/>
        <w:spacing w:line="360" w:lineRule="auto"/>
        <w:ind w:firstLine="482" w:firstLineChars="200"/>
        <w:jc w:val="left"/>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2、调价机制：</w:t>
      </w:r>
    </w:p>
    <w:p w14:paraId="20C97A6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（1）自合同签订次月首日起，三个月内执行中标单价，不做调价。</w:t>
      </w:r>
    </w:p>
    <w:p w14:paraId="1E9F89A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（2）甲方每月对玉溪市红塔区的猪肉类物资进行一次市场询价，根据市场询价结果，自合同签订次月首日起每三个月即将结束时可以协商调价一次，同时满足以下条件可启动调价机制：</w:t>
      </w:r>
    </w:p>
    <w:p w14:paraId="21274B1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市场波动条件：自合同签订次月首日起，甲方每三个月的市场询价平均价格与合同签订当月甲方的市场询价价格相比，波动达到±15%以上（保留两位小数，不含本数）。已调整过合同执行价的，则调价后甲方每三个月的市场询价平均价格与最新一次调价主要参照的市场询价当月（自合同签订次月首日起，第三、六、九个月）的市场询价价格相比，波动达到±15%以上（保留两位小数，不含本数）。</w:t>
      </w:r>
    </w:p>
    <w:p w14:paraId="57F8083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②市场询价价格与合同执行价格偏离条件：自合同签订次月首日起每三个月的市场询价价格平均值与合同执行价格偏离±15％以上（不含本数）。</w:t>
      </w:r>
    </w:p>
    <w:p w14:paraId="52FB323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上述①②项偏离值需同向变化即同时为正偏离或同时为负偏离时方可启动调价机制。若一个为正偏离，一个为负偏离，则不进行调价。</w:t>
      </w:r>
    </w:p>
    <w:p w14:paraId="61B20A5A">
      <w:pPr>
        <w:numPr>
          <w:ilvl w:val="0"/>
          <w:numId w:val="0"/>
        </w:num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kern w:val="2"/>
          <w:sz w:val="24"/>
          <w:szCs w:val="24"/>
          <w:lang w:val="en-US" w:eastAsia="zh-CN" w:bidi="ar-SA"/>
        </w:rPr>
        <w:t>（3）</w:t>
      </w:r>
      <w:r>
        <w:rPr>
          <w:rFonts w:hint="eastAsia" w:ascii="宋体" w:hAnsi="宋体" w:cs="宋体"/>
          <w:color w:val="auto"/>
          <w:sz w:val="24"/>
          <w:szCs w:val="24"/>
          <w:highlight w:val="none"/>
          <w:lang w:val="en-US" w:eastAsia="zh-CN"/>
        </w:rPr>
        <w:t>拟调整的价格以自合同签订次月首日起每三个月最后一个月的市场询价情况为主要参照（即自合同签订次月首日起，第三、六、九个月玉溪市红塔区内所询价格为准）。双方协商一致的情况下，确定调价方案，签订调价协议，新的价格自调价执行之日起执行到下一次调价。</w:t>
      </w:r>
    </w:p>
    <w:p w14:paraId="40BD35D3">
      <w:pPr>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四、</w:t>
      </w:r>
      <w:r>
        <w:rPr>
          <w:rFonts w:hint="eastAsia" w:ascii="宋体" w:hAnsi="宋体" w:eastAsia="宋体" w:cs="宋体"/>
          <w:b/>
          <w:color w:val="000000"/>
          <w:sz w:val="24"/>
          <w:szCs w:val="24"/>
          <w:highlight w:val="none"/>
          <w:lang w:eastAsia="zh-CN"/>
        </w:rPr>
        <w:t>交货相关要求及验收</w:t>
      </w:r>
    </w:p>
    <w:p w14:paraId="41440D9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1.交货要求：乙方按照甲方需求，分批次送货；</w:t>
      </w:r>
    </w:p>
    <w:p w14:paraId="2270B0DF">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2.交货地点：云南省玉溪监狱配餐中心及甲方指定地点；</w:t>
      </w:r>
    </w:p>
    <w:p w14:paraId="1959BB8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.交货时间：乙方按照甲方需求按时送达；</w:t>
      </w:r>
    </w:p>
    <w:p w14:paraId="2E04783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val="en-US" w:eastAsia="zh-CN"/>
        </w:rPr>
        <w:t>猪肉</w:t>
      </w:r>
      <w:r>
        <w:rPr>
          <w:rFonts w:hint="eastAsia" w:ascii="宋体" w:hAnsi="宋体" w:eastAsia="宋体" w:cs="宋体"/>
          <w:color w:val="000000"/>
          <w:sz w:val="24"/>
          <w:szCs w:val="24"/>
          <w:highlight w:val="none"/>
          <w:lang w:eastAsia="zh-CN"/>
        </w:rPr>
        <w:t>类</w:t>
      </w:r>
      <w:r>
        <w:rPr>
          <w:rFonts w:hint="eastAsia" w:ascii="宋体" w:hAnsi="宋体" w:eastAsia="宋体" w:cs="宋体"/>
          <w:color w:val="000000"/>
          <w:sz w:val="24"/>
          <w:szCs w:val="24"/>
          <w:highlight w:val="none"/>
        </w:rPr>
        <w:t>食品在运输过程中发生的损坏由乙方负责承担；</w:t>
      </w:r>
    </w:p>
    <w:p w14:paraId="743A49B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lang w:eastAsia="zh-CN"/>
        </w:rPr>
        <w:t>.验收由甲乙双方每次对</w:t>
      </w:r>
      <w:r>
        <w:rPr>
          <w:rFonts w:hint="eastAsia" w:ascii="宋体" w:hAnsi="宋体" w:eastAsia="宋体" w:cs="宋体"/>
          <w:color w:val="000000"/>
          <w:sz w:val="24"/>
          <w:szCs w:val="24"/>
          <w:highlight w:val="none"/>
          <w:lang w:val="en-US" w:eastAsia="zh-CN"/>
        </w:rPr>
        <w:t>猪肉</w:t>
      </w:r>
      <w:r>
        <w:rPr>
          <w:rFonts w:hint="eastAsia" w:ascii="宋体" w:hAnsi="宋体" w:eastAsia="宋体" w:cs="宋体"/>
          <w:color w:val="000000"/>
          <w:sz w:val="24"/>
          <w:szCs w:val="24"/>
          <w:highlight w:val="none"/>
          <w:lang w:eastAsia="zh-CN"/>
        </w:rPr>
        <w:t>类物资</w:t>
      </w:r>
      <w:r>
        <w:rPr>
          <w:rFonts w:hint="eastAsia" w:ascii="宋体" w:hAnsi="宋体" w:eastAsia="宋体" w:cs="宋体"/>
          <w:color w:val="000000"/>
          <w:sz w:val="24"/>
          <w:szCs w:val="24"/>
          <w:highlight w:val="none"/>
          <w:lang w:val="en-US" w:eastAsia="zh-CN"/>
        </w:rPr>
        <w:t>种类</w:t>
      </w:r>
      <w:r>
        <w:rPr>
          <w:rFonts w:hint="eastAsia" w:ascii="宋体" w:hAnsi="宋体" w:eastAsia="宋体" w:cs="宋体"/>
          <w:color w:val="000000"/>
          <w:sz w:val="24"/>
          <w:szCs w:val="24"/>
          <w:highlight w:val="none"/>
          <w:lang w:eastAsia="zh-CN"/>
        </w:rPr>
        <w:t>、质量、数量按如下标准进行验收：</w:t>
      </w:r>
      <w:r>
        <w:rPr>
          <w:rFonts w:hint="eastAsia" w:ascii="宋体" w:hAnsi="宋体" w:eastAsia="宋体" w:cs="宋体"/>
          <w:color w:val="000000"/>
          <w:sz w:val="24"/>
          <w:szCs w:val="24"/>
          <w:highlight w:val="none"/>
          <w:lang w:val="en-US" w:eastAsia="zh-CN"/>
        </w:rPr>
        <w:t>猪肉</w:t>
      </w:r>
      <w:r>
        <w:rPr>
          <w:rFonts w:hint="eastAsia" w:ascii="宋体" w:hAnsi="宋体" w:eastAsia="宋体" w:cs="宋体"/>
          <w:color w:val="000000"/>
          <w:sz w:val="24"/>
          <w:szCs w:val="24"/>
          <w:highlight w:val="none"/>
          <w:lang w:eastAsia="zh-CN"/>
        </w:rPr>
        <w:t>类</w:t>
      </w:r>
      <w:r>
        <w:rPr>
          <w:rFonts w:hint="eastAsia" w:ascii="宋体" w:hAnsi="宋体" w:eastAsia="宋体" w:cs="宋体"/>
          <w:color w:val="000000"/>
          <w:sz w:val="24"/>
          <w:szCs w:val="24"/>
          <w:highlight w:val="none"/>
          <w:lang w:val="en-US" w:eastAsia="zh-CN"/>
        </w:rPr>
        <w:t>种类</w:t>
      </w:r>
      <w:r>
        <w:rPr>
          <w:rFonts w:hint="eastAsia" w:ascii="宋体" w:hAnsi="宋体" w:eastAsia="宋体" w:cs="宋体"/>
          <w:color w:val="000000"/>
          <w:sz w:val="24"/>
          <w:szCs w:val="24"/>
          <w:highlight w:val="none"/>
          <w:lang w:eastAsia="zh-CN"/>
        </w:rPr>
        <w:t>、数量按甲方的采购计划进行验收；</w:t>
      </w:r>
      <w:r>
        <w:rPr>
          <w:rFonts w:hint="eastAsia" w:ascii="宋体" w:hAnsi="宋体" w:eastAsia="宋体" w:cs="宋体"/>
          <w:color w:val="000000"/>
          <w:sz w:val="24"/>
          <w:szCs w:val="24"/>
          <w:highlight w:val="none"/>
          <w:lang w:val="en-US" w:eastAsia="zh-CN"/>
        </w:rPr>
        <w:t>猪肉</w:t>
      </w:r>
      <w:r>
        <w:rPr>
          <w:rFonts w:hint="eastAsia" w:ascii="宋体" w:hAnsi="宋体" w:eastAsia="宋体" w:cs="宋体"/>
          <w:color w:val="000000"/>
          <w:sz w:val="24"/>
          <w:szCs w:val="24"/>
          <w:highlight w:val="none"/>
          <w:lang w:eastAsia="zh-CN"/>
        </w:rPr>
        <w:t>类的质量按照</w:t>
      </w:r>
      <w:r>
        <w:rPr>
          <w:rFonts w:hint="eastAsia" w:ascii="宋体" w:hAnsi="宋体" w:eastAsia="宋体" w:cs="宋体"/>
          <w:color w:val="000000"/>
          <w:sz w:val="24"/>
          <w:szCs w:val="24"/>
          <w:highlight w:val="none"/>
          <w:lang w:val="en-US" w:eastAsia="zh-CN"/>
        </w:rPr>
        <w:t>投标承诺和</w:t>
      </w:r>
      <w:r>
        <w:rPr>
          <w:rFonts w:hint="eastAsia" w:ascii="宋体" w:hAnsi="宋体" w:eastAsia="宋体" w:cs="宋体"/>
          <w:color w:val="000000"/>
          <w:sz w:val="24"/>
          <w:szCs w:val="24"/>
          <w:highlight w:val="none"/>
          <w:lang w:eastAsia="zh-CN"/>
        </w:rPr>
        <w:t>乙方所提供的样品（或样品照片）进行验收，每次送货的货品质量不能低于</w:t>
      </w:r>
      <w:r>
        <w:rPr>
          <w:rFonts w:hint="eastAsia" w:ascii="宋体" w:hAnsi="宋体" w:eastAsia="宋体" w:cs="宋体"/>
          <w:color w:val="000000"/>
          <w:sz w:val="24"/>
          <w:szCs w:val="24"/>
          <w:highlight w:val="none"/>
          <w:lang w:val="en-US" w:eastAsia="zh-CN"/>
        </w:rPr>
        <w:t>投标承诺和</w:t>
      </w:r>
      <w:r>
        <w:rPr>
          <w:rFonts w:hint="eastAsia" w:ascii="宋体" w:hAnsi="宋体" w:eastAsia="宋体" w:cs="宋体"/>
          <w:color w:val="000000"/>
          <w:sz w:val="24"/>
          <w:szCs w:val="24"/>
          <w:highlight w:val="none"/>
          <w:lang w:eastAsia="zh-CN"/>
        </w:rPr>
        <w:t>乙方所提供的样品（或样品照片）品质。验收合格后双方在送货单据上签字认可（乙方</w:t>
      </w:r>
      <w:r>
        <w:rPr>
          <w:rFonts w:hint="eastAsia" w:ascii="宋体" w:hAnsi="宋体" w:eastAsia="宋体" w:cs="宋体"/>
          <w:color w:val="000000"/>
          <w:sz w:val="24"/>
          <w:szCs w:val="24"/>
          <w:highlight w:val="none"/>
          <w:lang w:val="en-US" w:eastAsia="zh-CN"/>
        </w:rPr>
        <w:t>参与</w:t>
      </w:r>
      <w:r>
        <w:rPr>
          <w:rFonts w:hint="eastAsia" w:ascii="宋体" w:hAnsi="宋体" w:eastAsia="宋体" w:cs="宋体"/>
          <w:color w:val="000000"/>
          <w:sz w:val="24"/>
          <w:szCs w:val="24"/>
          <w:highlight w:val="none"/>
          <w:lang w:eastAsia="zh-CN"/>
        </w:rPr>
        <w:t>验收的人若不是</w:t>
      </w:r>
      <w:r>
        <w:rPr>
          <w:rFonts w:hint="eastAsia" w:ascii="宋体" w:hAnsi="宋体" w:eastAsia="宋体" w:cs="宋体"/>
          <w:color w:val="000000"/>
          <w:sz w:val="24"/>
          <w:szCs w:val="24"/>
          <w:highlight w:val="none"/>
          <w:lang w:val="en-US" w:eastAsia="zh-CN"/>
        </w:rPr>
        <w:t>法定代表人</w:t>
      </w:r>
      <w:r>
        <w:rPr>
          <w:rFonts w:hint="eastAsia" w:ascii="宋体" w:hAnsi="宋体" w:eastAsia="宋体" w:cs="宋体"/>
          <w:color w:val="000000"/>
          <w:sz w:val="24"/>
          <w:szCs w:val="24"/>
          <w:highlight w:val="none"/>
          <w:lang w:eastAsia="zh-CN"/>
        </w:rPr>
        <w:t>必须提供</w:t>
      </w:r>
      <w:r>
        <w:rPr>
          <w:rFonts w:hint="eastAsia" w:ascii="宋体" w:hAnsi="宋体" w:eastAsia="宋体" w:cs="宋体"/>
          <w:color w:val="000000"/>
          <w:sz w:val="24"/>
          <w:szCs w:val="24"/>
          <w:highlight w:val="none"/>
          <w:lang w:val="en-US" w:eastAsia="zh-CN"/>
        </w:rPr>
        <w:t>法定代表人</w:t>
      </w:r>
      <w:r>
        <w:rPr>
          <w:rFonts w:hint="eastAsia" w:ascii="宋体" w:hAnsi="宋体" w:eastAsia="宋体" w:cs="宋体"/>
          <w:color w:val="000000"/>
          <w:sz w:val="24"/>
          <w:szCs w:val="24"/>
          <w:highlight w:val="none"/>
          <w:lang w:eastAsia="zh-CN"/>
        </w:rPr>
        <w:t>授权委托书</w:t>
      </w:r>
      <w:r>
        <w:rPr>
          <w:rFonts w:hint="eastAsia" w:ascii="宋体" w:hAnsi="宋体" w:eastAsia="宋体" w:cs="宋体"/>
          <w:color w:val="000000"/>
          <w:sz w:val="24"/>
          <w:szCs w:val="24"/>
          <w:highlight w:val="none"/>
          <w:lang w:val="en-US" w:eastAsia="zh-CN"/>
        </w:rPr>
        <w:t>加盖公章扫描件或复印件</w:t>
      </w:r>
      <w:r>
        <w:rPr>
          <w:rFonts w:hint="eastAsia" w:ascii="宋体" w:hAnsi="宋体" w:eastAsia="宋体" w:cs="宋体"/>
          <w:color w:val="000000"/>
          <w:sz w:val="24"/>
          <w:szCs w:val="24"/>
          <w:highlight w:val="none"/>
          <w:lang w:eastAsia="zh-CN"/>
        </w:rPr>
        <w:t>）。但是</w:t>
      </w:r>
      <w:r>
        <w:rPr>
          <w:rFonts w:hint="eastAsia" w:ascii="宋体" w:hAnsi="宋体" w:eastAsia="宋体" w:cs="宋体"/>
          <w:color w:val="000000"/>
          <w:sz w:val="24"/>
          <w:szCs w:val="24"/>
          <w:highlight w:val="none"/>
          <w:lang w:val="en-US" w:eastAsia="zh-CN"/>
        </w:rPr>
        <w:t>猪肉</w:t>
      </w:r>
      <w:r>
        <w:rPr>
          <w:rFonts w:hint="eastAsia" w:ascii="宋体" w:hAnsi="宋体" w:eastAsia="宋体" w:cs="宋体"/>
          <w:color w:val="000000"/>
          <w:sz w:val="24"/>
          <w:szCs w:val="24"/>
          <w:highlight w:val="none"/>
          <w:lang w:eastAsia="zh-CN"/>
        </w:rPr>
        <w:t>类物资日后才显现出的质量问题不受此签字验收合格的限</w:t>
      </w:r>
      <w:r>
        <w:rPr>
          <w:rFonts w:hint="eastAsia" w:ascii="宋体" w:hAnsi="宋体" w:eastAsia="宋体" w:cs="宋体"/>
          <w:color w:val="000000"/>
          <w:sz w:val="24"/>
          <w:szCs w:val="24"/>
          <w:highlight w:val="none"/>
        </w:rPr>
        <w:t>制，以第三方鉴定为准。</w:t>
      </w:r>
    </w:p>
    <w:p w14:paraId="1683DEE0">
      <w:pPr>
        <w:spacing w:line="360" w:lineRule="auto"/>
        <w:ind w:firstLine="359" w:firstLineChars="14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五、</w:t>
      </w:r>
      <w:r>
        <w:rPr>
          <w:rFonts w:hint="eastAsia" w:ascii="宋体" w:hAnsi="宋体" w:eastAsia="宋体" w:cs="宋体"/>
          <w:b/>
          <w:color w:val="000000"/>
          <w:sz w:val="24"/>
          <w:szCs w:val="24"/>
          <w:highlight w:val="none"/>
        </w:rPr>
        <w:t>货款结算方式</w:t>
      </w:r>
    </w:p>
    <w:p w14:paraId="7B2BF066">
      <w:pPr>
        <w:spacing w:line="360" w:lineRule="auto"/>
        <w:ind w:firstLine="360" w:firstLineChars="1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1．合同签订后，如无质量和其他问题，甲、乙双方根据实际情况，在供货产品验收合格后按月</w:t>
      </w:r>
      <w:r>
        <w:rPr>
          <w:rFonts w:hint="eastAsia" w:ascii="宋体" w:hAnsi="宋体" w:cs="宋体"/>
          <w:sz w:val="24"/>
          <w:szCs w:val="24"/>
          <w:highlight w:val="none"/>
          <w:lang w:eastAsia="zh-CN"/>
        </w:rPr>
        <w:t>（或约定的结算周期）</w:t>
      </w:r>
      <w:r>
        <w:rPr>
          <w:rFonts w:hint="eastAsia" w:ascii="宋体" w:hAnsi="宋体" w:eastAsia="宋体" w:cs="宋体"/>
          <w:color w:val="000000"/>
          <w:sz w:val="24"/>
          <w:szCs w:val="24"/>
          <w:highlight w:val="none"/>
          <w:lang w:eastAsia="zh-CN"/>
        </w:rPr>
        <w:t>结算。乙方提供符合甲方要求的正式发票，甲方收到发票并审核无误后及时结算付款，特殊情况经双方协商后顺延。（其中12月份的货物发票须在</w:t>
      </w:r>
      <w:r>
        <w:rPr>
          <w:rFonts w:hint="eastAsia" w:ascii="宋体" w:hAnsi="宋体" w:eastAsia="宋体" w:cs="宋体"/>
          <w:color w:val="000000"/>
          <w:sz w:val="24"/>
          <w:szCs w:val="24"/>
          <w:highlight w:val="none"/>
          <w:lang w:val="en-US" w:eastAsia="zh-CN"/>
        </w:rPr>
        <w:t>12月</w:t>
      </w:r>
      <w:r>
        <w:rPr>
          <w:rFonts w:hint="eastAsia" w:ascii="宋体" w:hAnsi="宋体" w:eastAsia="宋体" w:cs="宋体"/>
          <w:color w:val="000000"/>
          <w:sz w:val="24"/>
          <w:szCs w:val="24"/>
          <w:highlight w:val="none"/>
          <w:lang w:eastAsia="zh-CN"/>
        </w:rPr>
        <w:t>25日前将发票提交甲方）。</w:t>
      </w:r>
    </w:p>
    <w:p w14:paraId="144BC284">
      <w:pPr>
        <w:spacing w:line="360" w:lineRule="auto"/>
        <w:ind w:firstLine="360" w:firstLineChars="1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 合同标的价格均为含税价格，付款方式为银行对公转账支付。</w:t>
      </w:r>
    </w:p>
    <w:p w14:paraId="7A76B12A">
      <w:pPr>
        <w:spacing w:line="360" w:lineRule="auto"/>
        <w:ind w:firstLine="360" w:firstLineChars="1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 本合同执行先开票后付款的方式，乙方未提供发票给甲方或提供的发票不符合规定的，甲方有权拒绝付款。</w:t>
      </w:r>
    </w:p>
    <w:p w14:paraId="2D29D610">
      <w:pPr>
        <w:spacing w:line="360" w:lineRule="auto"/>
        <w:ind w:firstLine="360" w:firstLineChars="150"/>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4.特殊情况，双方协商一致执行。</w:t>
      </w:r>
    </w:p>
    <w:p w14:paraId="7FBBB1AB">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六、违约责任</w:t>
      </w:r>
    </w:p>
    <w:p w14:paraId="121F20F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乙方出现下列任一违约行为的，甲方有权要求乙方进行整改并支付相应违约金，违约金甲方有权从履约保证金中直接扣除（如递交银行保函（或保证保险）的，则单独提交对应金额的违约金），出现第一次扣除5000.00元，第二次扣除10000.00元，第三次扣除15000.00元，如累计出现第四次，乙方除须支付20000.00元违约金外，甲方有权单方解除合同，并要求乙方承担因此造成的一切损失：</w:t>
      </w:r>
    </w:p>
    <w:p w14:paraId="200A91B0">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 产品质量明显低于</w:t>
      </w:r>
      <w:r>
        <w:rPr>
          <w:rFonts w:hint="eastAsia" w:ascii="宋体" w:hAnsi="宋体" w:eastAsia="宋体" w:cs="宋体"/>
          <w:color w:val="auto"/>
          <w:sz w:val="24"/>
          <w:szCs w:val="24"/>
          <w:highlight w:val="none"/>
          <w:lang w:val="en-US" w:eastAsia="zh-CN"/>
        </w:rPr>
        <w:t>样品</w:t>
      </w:r>
      <w:r>
        <w:rPr>
          <w:rFonts w:hint="eastAsia" w:ascii="宋体" w:hAnsi="宋体" w:eastAsia="宋体" w:cs="宋体"/>
          <w:color w:val="000000"/>
          <w:sz w:val="24"/>
          <w:szCs w:val="24"/>
          <w:highlight w:val="none"/>
        </w:rPr>
        <w:t>、低于投标承诺或低于正常认知标准的；</w:t>
      </w:r>
    </w:p>
    <w:p w14:paraId="3C9218A2">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 出现需要退、换、补货情形，但未按甲方要求时限完成的；</w:t>
      </w:r>
    </w:p>
    <w:p w14:paraId="6B0B5E6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 未经甲方书面同意，擅自更换产品品牌、规格或产地的；</w:t>
      </w:r>
    </w:p>
    <w:p w14:paraId="53710F9E">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 供应产品数量不足，且未按甲方要求时限补足的；</w:t>
      </w:r>
    </w:p>
    <w:p w14:paraId="272FAC9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 未按甲方要求的时限或地点供货，造成不良后果的；</w:t>
      </w:r>
    </w:p>
    <w:p w14:paraId="24FAF27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 包装方式或保质期不符合合同约定（剩余保质期少于包装保质期二分之一以上）的。</w:t>
      </w:r>
    </w:p>
    <w:p w14:paraId="2A29D0C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（二）如乙方出现下列任一情形的，视为乙方严重违约，甲方有权立即解除合同，甲方有权要求乙方支付50000.00元违约金，也可以从履约保证金中扣除，同时承担因此给甲方造成的一切损失：</w:t>
      </w:r>
    </w:p>
    <w:p w14:paraId="20D0634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 向甲方提供发霉变质、“三无”产品或过期产品的；</w:t>
      </w:r>
    </w:p>
    <w:p w14:paraId="4AA885B5">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 产品卫生或安全检测不达标，存在重大安全隐患的（包括但不限于致病菌、农药残留、非法添加物等超标）；</w:t>
      </w:r>
    </w:p>
    <w:p w14:paraId="4266EFC4">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 当批次供货中，存在质量问题的产品品种数或数量占比达到50%及以上。</w:t>
      </w:r>
    </w:p>
    <w:p w14:paraId="365E7056">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（三）合同履行过程中，乙方不得将本项目转让（转包）或者分解（分包）给他人，否则乙方应承担由此给甲方造成的所有损失，且甲方有权解除合同，乙方缴纳的履约保证金不予退还。</w:t>
      </w:r>
    </w:p>
    <w:p w14:paraId="6F497F9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乙方向甲方提供的货物因质量引发食品安全问题导致甲方损失或罪犯遭受人身损害，由乙方承担全部责任，并赔偿甲方因此造成的一切损失，且甲方有权解除合同。若因此导致甲方承担相应赔偿责任的，甲方有权向乙方追偿。</w:t>
      </w:r>
    </w:p>
    <w:p w14:paraId="2F25B9D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（五）本条所约定的甲方损失包括但不限于另行采购的差价损失、因断供造成的供餐损失、第三方索赔、行政部门处罚等；如损失难以量化时，甲方可视情况要求乙方赔偿5万-10万元。</w:t>
      </w:r>
    </w:p>
    <w:p w14:paraId="5249C74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（六）甲方有权直接从履约保证金中扣除本条约定的违约金及损失赔偿，不足部分甲方保留继续追偿的权利，且违约金及损失赔偿不影响甲方依法主张并追究乙方所造成的经济、民事、刑事等一切法律责任。</w:t>
      </w:r>
    </w:p>
    <w:p w14:paraId="08E2A148">
      <w:pPr>
        <w:pStyle w:val="31"/>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七）合同期限内，如遇甲方上级相关部门的要求或其它不可抗拒性因素导致合作不能继续的，甲乙双方均有权协商解除本合同且不视为任何一方违约。同时，合同因此解除后，甲、乙双方本着合法、公平、友好协商的原则办理货款结算等善后事宜。</w:t>
      </w:r>
    </w:p>
    <w:p w14:paraId="765B95DA">
      <w:pPr>
        <w:pStyle w:val="31"/>
        <w:spacing w:line="360" w:lineRule="auto"/>
        <w:ind w:left="0" w:leftChars="0" w:firstLine="480" w:firstLineChars="200"/>
        <w:rPr>
          <w:rFonts w:hint="eastAsia"/>
          <w:lang w:val="en-US" w:eastAsia="zh-CN"/>
        </w:rPr>
      </w:pPr>
      <w:r>
        <w:rPr>
          <w:rFonts w:hint="eastAsia" w:ascii="宋体" w:hAnsi="宋体" w:eastAsia="宋体" w:cs="宋体"/>
          <w:color w:val="000000"/>
          <w:kern w:val="2"/>
          <w:sz w:val="24"/>
          <w:szCs w:val="24"/>
          <w:highlight w:val="none"/>
          <w:lang w:val="en-US" w:eastAsia="zh-CN" w:bidi="ar-SA"/>
        </w:rPr>
        <w:t>（八）因不可抗力原因致使本合同不能履行或造成的损失，双方互不承担违约责任。</w:t>
      </w:r>
    </w:p>
    <w:p w14:paraId="7E5899D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eastAsia="宋体" w:cs="宋体"/>
          <w:b/>
          <w:color w:val="000000"/>
          <w:sz w:val="24"/>
          <w:szCs w:val="24"/>
          <w:highlight w:val="none"/>
        </w:rPr>
        <w:t>七、履约保证金</w:t>
      </w:r>
    </w:p>
    <w:p w14:paraId="3905D977">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yellow"/>
          <w:lang w:val="en-US" w:eastAsia="zh-CN"/>
        </w:rPr>
      </w:pPr>
      <w:r>
        <w:rPr>
          <w:rFonts w:hint="eastAsia" w:ascii="宋体" w:hAnsi="宋体" w:cs="宋体"/>
          <w:b w:val="0"/>
          <w:bCs w:val="0"/>
          <w:color w:val="auto"/>
          <w:spacing w:val="-2"/>
          <w:kern w:val="2"/>
          <w:sz w:val="24"/>
          <w:szCs w:val="24"/>
          <w:highlight w:val="none"/>
          <w:lang w:val="zh-CN" w:eastAsia="zh-CN"/>
        </w:rPr>
        <w:t>1、</w:t>
      </w:r>
      <w:r>
        <w:rPr>
          <w:rFonts w:hint="eastAsia" w:ascii="宋体" w:hAnsi="宋体" w:cs="宋体"/>
          <w:b w:val="0"/>
          <w:bCs w:val="0"/>
          <w:color w:val="auto"/>
          <w:spacing w:val="-2"/>
          <w:kern w:val="2"/>
          <w:sz w:val="24"/>
          <w:szCs w:val="24"/>
          <w:highlight w:val="none"/>
          <w:lang w:val="en-US" w:eastAsia="zh-CN"/>
        </w:rPr>
        <w:t>乙方在签订合同前向甲方缴纳履约保证金，标准按合同总金额（即预算金额）的</w:t>
      </w:r>
      <w:r>
        <w:rPr>
          <w:rFonts w:hint="eastAsia" w:ascii="宋体" w:hAnsi="宋体" w:cs="宋体"/>
          <w:b w:val="0"/>
          <w:bCs w:val="0"/>
          <w:color w:val="auto"/>
          <w:spacing w:val="-2"/>
          <w:kern w:val="2"/>
          <w:sz w:val="24"/>
          <w:szCs w:val="24"/>
          <w:highlight w:val="none"/>
          <w:u w:val="single"/>
          <w:lang w:val="en-US" w:eastAsia="zh-CN"/>
        </w:rPr>
        <w:t>8%</w:t>
      </w:r>
      <w:r>
        <w:rPr>
          <w:rFonts w:hint="eastAsia" w:ascii="宋体" w:hAnsi="宋体" w:cs="宋体"/>
          <w:b w:val="0"/>
          <w:bCs w:val="0"/>
          <w:color w:val="auto"/>
          <w:spacing w:val="-2"/>
          <w:kern w:val="2"/>
          <w:sz w:val="24"/>
          <w:szCs w:val="24"/>
          <w:highlight w:val="none"/>
          <w:lang w:val="en-US" w:eastAsia="zh-CN"/>
        </w:rPr>
        <w:t>缴纳，</w:t>
      </w:r>
      <w:r>
        <w:rPr>
          <w:rFonts w:hint="eastAsia" w:ascii="宋体" w:hAnsi="宋体" w:cs="宋体"/>
          <w:kern w:val="0"/>
          <w:sz w:val="24"/>
          <w:szCs w:val="24"/>
          <w:highlight w:val="none"/>
          <w:lang w:val="zh-CN"/>
        </w:rPr>
        <w:t>即人民币小写：¥</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u w:val="single"/>
          <w:lang w:val="en-US" w:eastAsia="zh-CN"/>
        </w:rPr>
        <w:t xml:space="preserve">      </w:t>
      </w:r>
      <w:r>
        <w:rPr>
          <w:rFonts w:hint="eastAsia" w:ascii="宋体" w:hAnsi="宋体" w:cs="宋体"/>
          <w:kern w:val="0"/>
          <w:sz w:val="24"/>
          <w:szCs w:val="24"/>
          <w:highlight w:val="none"/>
        </w:rPr>
        <w:t>元，大写：</w:t>
      </w:r>
      <w:r>
        <w:rPr>
          <w:rFonts w:hint="eastAsia" w:ascii="宋体" w:hAnsi="宋体" w:cs="宋体"/>
          <w:kern w:val="0"/>
          <w:sz w:val="24"/>
          <w:szCs w:val="24"/>
          <w:highlight w:val="none"/>
          <w:u w:val="single"/>
          <w:lang w:val="en-US" w:eastAsia="zh-CN"/>
        </w:rPr>
        <w:t xml:space="preserve">            </w:t>
      </w:r>
      <w:r>
        <w:rPr>
          <w:rFonts w:hint="eastAsia" w:ascii="宋体" w:hAnsi="宋体" w:cs="宋体"/>
          <w:b w:val="0"/>
          <w:bCs w:val="0"/>
          <w:color w:val="auto"/>
          <w:spacing w:val="-2"/>
          <w:kern w:val="2"/>
          <w:sz w:val="24"/>
          <w:szCs w:val="24"/>
          <w:highlight w:val="none"/>
          <w:lang w:val="en-US" w:eastAsia="zh-CN"/>
        </w:rPr>
        <w:t>（不计算银行同期利息）</w:t>
      </w:r>
      <w:r>
        <w:rPr>
          <w:rFonts w:hint="eastAsia" w:ascii="宋体" w:hAnsi="宋体" w:eastAsia="宋体" w:cs="宋体"/>
          <w:b w:val="0"/>
          <w:bCs w:val="0"/>
          <w:color w:val="auto"/>
          <w:spacing w:val="-2"/>
          <w:kern w:val="2"/>
          <w:sz w:val="24"/>
          <w:szCs w:val="24"/>
          <w:highlight w:val="none"/>
          <w:lang w:val="en-US" w:eastAsia="zh-CN"/>
        </w:rPr>
        <w:t>，如乙方未按要求提交履约保证金的，依照《中华人民共和国政府采购法实施条例》相关规定处理。</w:t>
      </w:r>
    </w:p>
    <w:p w14:paraId="65B05AFE">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2、合同期内，乙方的工作人员不遵守采购人各项管理规定未造成不良后果或如果货品质量存在问题(包括不合格或以次充好)，采购人有权扣除履约保证金:第一次5000.00元，第二次10000.00元，第三次15000.00元，以此类推，直至扣完为止(也可采用缴纳方式，如递交银行保函(或保证保险)的，则单独提交对应金额的违约金)，同时采购人有权解除合同和追究所造成的经济、民事、刑事等一切法律责任和后果。乙方应赔偿甲方其他损失，损失难于量化时应赔偿甲方违约金5万-10万元(也可由甲方从履约保证金中扣除)，并承担由此造成的一切不良后果。</w:t>
      </w:r>
    </w:p>
    <w:p w14:paraId="50C9F251">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3、因乙方不按时按质按量供货影响到采购人正常罪犯伙食需求，造成监管安全事故等严重后果的，乙方要承担采购人损失，承担相应法律责任，采购人有权扣除50%的履约保证金(如递交银行保函(或保证保险)的，则每次提交50%履约保证金的现金违约金)、有权终止合同。</w:t>
      </w:r>
    </w:p>
    <w:p w14:paraId="72AAD61C">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4、乙方的工作人员不遵守采购人各项管理规定造成不良后果或泄漏采购人工作秘密的，采购人有权每次扣除20%的履约保证金（如递交银行保函的，则每次提交20%履约保证金的现金违约金，5个工作日内缴清，逾期不缴的，不予支付货款或用货款抵扣相应金额），造成严重后果或社会不良影响的，采购人有权每次扣除50%的履约保证金（如递交银行保函的，则每次提交50%履约保证金的现金违约金）。发生上述情形，采购人有权解除合同并根据情节追究相关法律责任。</w:t>
      </w:r>
    </w:p>
    <w:p w14:paraId="2DBCE71D">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5、如在合同执行期间，因乙方违约导致履约保证金(采取银行转账)部分扣除的，乙方须在5个工作日内将扣除的履约保证金补齐，延迟一个工作日增加延迟费用1000.00元/工作日，以此类推，直至扣完为止；乙方拒不缴纳补齐的，采购人有权终止合同；如乙方递交银行保函的，则在每次发生违约后5个工作日内提交规定违约金至采购人指定账号，逾期不缴的，不予支付货款或用货款抵扣相应金额，延迟一个工作日增加延迟费用1000.00元/工作日，以此类推，直至延迟费达到对应的履约保证金全额；乙方拒不缴纳的，采购人有权终止合同。</w:t>
      </w:r>
    </w:p>
    <w:p w14:paraId="5F49606F">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6、若乙方在合同执行过程中单方面终止合同的，采购人有权不予退还履约保证金（如乙方递交银行保函的，则乙方须在合同终止次日起5个工作日缴纳同等金额的违约金至采购人指定账号，同时采购人退回银行保函，逾期不缴的，不予支付货款或用货款抵扣相应金额），同时乙方承担由此造成的一切损失和不良后果，甚至是法律责任。</w:t>
      </w:r>
    </w:p>
    <w:p w14:paraId="431174D3">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7、乙方所供货物不得来源于国外境外、疫情中高风险地区；配送人员、车辆相对固定，按照采购人不同时期的疫情防控要求，配合采购人做好疫情防控工作。若出现所供货物来源于国外境外、疫情中高风险地区或配送人员不遵守采购人疫情防控要求的，采购人有权每次扣除20%的履约保证金（如递交银行保函的，则每次提交20%履约保证金的现金违约金，5个工作日内缴清，逾期不缴的，不予支付货款或用货款抵扣相应金额），乙方承担由此带来的一切不良后果。</w:t>
      </w:r>
    </w:p>
    <w:p w14:paraId="6B4848ED">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ascii="宋体" w:hAnsi="宋体" w:cs="宋体"/>
          <w:color w:val="auto"/>
          <w:kern w:val="0"/>
          <w:sz w:val="24"/>
          <w:szCs w:val="24"/>
          <w:highlight w:val="none"/>
          <w:lang w:val="zh-CN"/>
        </w:rPr>
      </w:pPr>
      <w:r>
        <w:rPr>
          <w:rFonts w:hint="eastAsia" w:ascii="宋体" w:hAnsi="宋体" w:cs="宋体"/>
          <w:b w:val="0"/>
          <w:bCs w:val="0"/>
          <w:color w:val="auto"/>
          <w:spacing w:val="-2"/>
          <w:kern w:val="2"/>
          <w:sz w:val="24"/>
          <w:szCs w:val="24"/>
          <w:highlight w:val="none"/>
          <w:lang w:val="en-US" w:eastAsia="zh-CN"/>
        </w:rPr>
        <w:t>8、若合同终止，采购人有权选择其他投标人或其他供应商供货，合同期满时没有发生违约的，采购人将保证金全额无息退还乙方。合同期满时，若乙方在合同履行期间发生违约行为被采购人扣除违约金而乙方又未补齐的，由采购人将剩余履约保证金（履约保证金总额-违反规定扣除的部分）退换给乙方；提交银行保函的退还银行保函。</w:t>
      </w:r>
    </w:p>
    <w:p w14:paraId="4CAEA284">
      <w:pPr>
        <w:spacing w:line="360" w:lineRule="auto"/>
        <w:ind w:firstLine="361" w:firstLineChars="150"/>
        <w:rPr>
          <w:rFonts w:hint="eastAsia" w:ascii="宋体" w:hAnsi="宋体" w:eastAsia="宋体" w:cs="宋体"/>
          <w:b/>
          <w:color w:val="auto"/>
          <w:sz w:val="24"/>
          <w:szCs w:val="24"/>
          <w:highlight w:val="none"/>
        </w:rPr>
      </w:pPr>
      <w:r>
        <w:rPr>
          <w:rFonts w:hint="eastAsia" w:ascii="宋体" w:hAnsi="宋体" w:eastAsia="宋体" w:cs="宋体"/>
          <w:b/>
          <w:sz w:val="24"/>
          <w:szCs w:val="24"/>
          <w:highlight w:val="none"/>
        </w:rPr>
        <w:t xml:space="preserve"> 八</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如发生纠纷双方协商解决，经协商不能达成一致时，可在合同签署地（即甲方所在地）人民法院诉讼，违约方、侵权方承担守约方、受损方</w:t>
      </w:r>
      <w:r>
        <w:rPr>
          <w:rFonts w:hint="eastAsia" w:ascii="宋体" w:hAnsi="宋体" w:eastAsia="宋体" w:cs="宋体"/>
          <w:b/>
          <w:color w:val="auto"/>
          <w:sz w:val="24"/>
          <w:szCs w:val="24"/>
          <w:highlight w:val="none"/>
          <w:lang w:val="en-US" w:eastAsia="zh-CN"/>
        </w:rPr>
        <w:t>因维权产生的诉讼费、保全保险费、差旅费、保全费、</w:t>
      </w:r>
      <w:r>
        <w:rPr>
          <w:rFonts w:hint="eastAsia" w:ascii="宋体" w:hAnsi="宋体" w:eastAsia="宋体" w:cs="宋体"/>
          <w:b/>
          <w:color w:val="auto"/>
          <w:sz w:val="24"/>
          <w:szCs w:val="24"/>
          <w:highlight w:val="none"/>
        </w:rPr>
        <w:t>律师费</w:t>
      </w:r>
      <w:r>
        <w:rPr>
          <w:rFonts w:hint="eastAsia" w:ascii="宋体" w:hAnsi="宋体" w:eastAsia="宋体" w:cs="宋体"/>
          <w:b/>
          <w:color w:val="auto"/>
          <w:sz w:val="24"/>
          <w:szCs w:val="24"/>
          <w:highlight w:val="none"/>
          <w:lang w:val="en-US" w:eastAsia="zh-CN"/>
        </w:rPr>
        <w:t>等费用</w:t>
      </w:r>
      <w:r>
        <w:rPr>
          <w:rFonts w:hint="eastAsia" w:ascii="宋体" w:hAnsi="宋体" w:eastAsia="宋体" w:cs="宋体"/>
          <w:b/>
          <w:color w:val="auto"/>
          <w:sz w:val="24"/>
          <w:szCs w:val="24"/>
          <w:highlight w:val="none"/>
        </w:rPr>
        <w:t>。</w:t>
      </w:r>
    </w:p>
    <w:p w14:paraId="0A62D7B3">
      <w:pPr>
        <w:spacing w:line="360" w:lineRule="auto"/>
        <w:ind w:firstLine="361" w:firstLineChars="15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九、合同期限</w:t>
      </w:r>
    </w:p>
    <w:p w14:paraId="5D481ABF">
      <w:pPr>
        <w:spacing w:line="360" w:lineRule="auto"/>
        <w:ind w:firstLine="360" w:firstLineChars="150"/>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rPr>
        <w:t xml:space="preserve"> 本合同合同履行期限自</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日</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日</w:t>
      </w:r>
      <w:r>
        <w:rPr>
          <w:rFonts w:hint="eastAsia" w:ascii="宋体" w:hAnsi="宋体" w:eastAsia="宋体" w:cs="宋体"/>
          <w:color w:val="auto"/>
          <w:sz w:val="24"/>
          <w:szCs w:val="24"/>
          <w:highlight w:val="none"/>
        </w:rPr>
        <w:t>或合同总金额执行完毕</w:t>
      </w:r>
      <w:r>
        <w:rPr>
          <w:rFonts w:hint="eastAsia" w:ascii="宋体" w:hAnsi="宋体" w:eastAsia="宋体" w:cs="宋体"/>
          <w:sz w:val="24"/>
          <w:szCs w:val="24"/>
          <w:highlight w:val="none"/>
        </w:rPr>
        <w:t>，双方签字盖章生效，如有未尽事宜，须双方共同协商作出补充协议，补充协议与本合同具有相同法律效力。</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val="en-US" w:eastAsia="zh-CN"/>
        </w:rPr>
        <w:t xml:space="preserve"> </w:t>
      </w:r>
    </w:p>
    <w:p w14:paraId="1D44D52C">
      <w:pPr>
        <w:spacing w:line="360" w:lineRule="auto"/>
        <w:ind w:firstLine="359" w:firstLineChars="149"/>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十、其它</w:t>
      </w:r>
    </w:p>
    <w:p w14:paraId="5198E032">
      <w:pPr>
        <w:pStyle w:val="10"/>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1.合同履行期间所提供货物须与投标文件承诺和封存样品或样品图片标准一致或优于样品</w:t>
      </w:r>
      <w:r>
        <w:rPr>
          <w:rFonts w:hint="eastAsia" w:ascii="宋体" w:hAnsi="宋体" w:eastAsia="宋体" w:cs="宋体"/>
          <w:color w:val="auto"/>
          <w:sz w:val="24"/>
          <w:szCs w:val="24"/>
          <w:highlight w:val="none"/>
          <w:lang w:val="en-US" w:eastAsia="zh-CN"/>
        </w:rPr>
        <w:t>。</w:t>
      </w:r>
    </w:p>
    <w:p w14:paraId="28058962">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车辆和人员进入监管区必须严格遵守监狱的相关规定，严禁私自和罪犯接触;严禁为罪犯传递信件和物品;严禁把手机、烟、酒、刃具等违规品、违禁品带入监管区内或遗落在货物中。否则视为严重影响甲方安全稳定，甲方有权扣除乙方所交履约保证金5万-10万元(如递交银行保函(或保证保险)的，则乙方提交5万-10万元违约金)或立即解除合同，也有权既扣除履约保证金5万-10万元(如递交银行保函(或保证保险)的，则乙方提交5万-10万元违约金)又解除合同，造成严重后果的，交由司法机关处理。</w:t>
      </w:r>
    </w:p>
    <w:p w14:paraId="63E8724F">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textAlignment w:val="auto"/>
        <w:rPr>
          <w:rFonts w:ascii="宋体" w:hAnsi="宋体" w:eastAsia="宋体" w:cs="宋体"/>
          <w:b/>
          <w:bCs/>
          <w:sz w:val="24"/>
          <w:szCs w:val="24"/>
          <w:highlight w:val="none"/>
        </w:rPr>
      </w:pPr>
      <w:r>
        <w:rPr>
          <w:rFonts w:hint="eastAsia" w:ascii="宋体" w:hAnsi="宋体" w:eastAsia="宋体" w:cs="宋体"/>
          <w:b/>
          <w:bCs/>
          <w:sz w:val="24"/>
          <w:szCs w:val="24"/>
          <w:highlight w:val="none"/>
        </w:rPr>
        <w:t>3.招标文件与投标文件内容不一致时，以招标文件为准；若投标文件中的做法（标准）高于招标文件的，可以以投标文件为准；也可以通过协商、澄清或仲裁等方式来解决。</w:t>
      </w:r>
    </w:p>
    <w:p w14:paraId="6E9D1D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.本合同一式柒份，甲方</w:t>
      </w:r>
      <w:r>
        <w:rPr>
          <w:rFonts w:hint="eastAsia" w:ascii="宋体" w:hAnsi="宋体" w:eastAsia="宋体" w:cs="宋体"/>
          <w:color w:val="000000"/>
          <w:sz w:val="24"/>
          <w:szCs w:val="24"/>
          <w:highlight w:val="none"/>
          <w:lang w:eastAsia="zh-CN"/>
        </w:rPr>
        <w:t>伍</w:t>
      </w:r>
      <w:r>
        <w:rPr>
          <w:rFonts w:hint="eastAsia" w:ascii="宋体" w:hAnsi="宋体" w:eastAsia="宋体" w:cs="宋体"/>
          <w:color w:val="000000"/>
          <w:sz w:val="24"/>
          <w:szCs w:val="24"/>
          <w:highlight w:val="none"/>
        </w:rPr>
        <w:t>份，乙方贰份；</w:t>
      </w:r>
    </w:p>
    <w:p w14:paraId="151CEA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本合同履行地为云南省玉溪市红塔区春和街道黑村</w:t>
      </w:r>
      <w:r>
        <w:rPr>
          <w:rFonts w:hint="eastAsia" w:ascii="宋体" w:hAnsi="宋体" w:eastAsia="宋体" w:cs="宋体"/>
          <w:color w:val="000000"/>
          <w:sz w:val="24"/>
          <w:szCs w:val="24"/>
          <w:highlight w:val="none"/>
          <w:lang w:eastAsia="zh-CN"/>
        </w:rPr>
        <w:t>。</w:t>
      </w:r>
    </w:p>
    <w:p w14:paraId="35D2B721">
      <w:pPr>
        <w:spacing w:after="240"/>
        <w:jc w:val="center"/>
        <w:outlineLvl w:val="9"/>
        <w:rPr>
          <w:rFonts w:hint="eastAsia" w:ascii="宋体" w:hAnsi="宋体" w:cs="宋体"/>
          <w:b/>
          <w:bCs/>
          <w:color w:val="000000"/>
          <w:sz w:val="27"/>
          <w:szCs w:val="27"/>
        </w:rPr>
      </w:pPr>
    </w:p>
    <w:p w14:paraId="7FB0E5AD">
      <w:pPr>
        <w:ind w:firstLine="3120" w:firstLineChars="600"/>
        <w:jc w:val="both"/>
        <w:rPr>
          <w:rFonts w:hint="eastAsia" w:ascii="宋体" w:hAnsi="宋体"/>
          <w:sz w:val="18"/>
          <w:szCs w:val="18"/>
          <w:highlight w:val="none"/>
        </w:rPr>
      </w:pPr>
      <w:bookmarkStart w:id="69" w:name="OLE_LINK45"/>
      <w:bookmarkStart w:id="70" w:name="_Toc15056"/>
      <w:bookmarkStart w:id="71" w:name="_Toc28638"/>
      <w:bookmarkStart w:id="72" w:name="_Toc923"/>
      <w:r>
        <w:rPr>
          <w:rFonts w:hint="eastAsia" w:ascii="方正小标宋_GBK" w:hAnsi="宋体" w:eastAsia="方正小标宋_GBK"/>
          <w:sz w:val="52"/>
          <w:szCs w:val="52"/>
          <w:highlight w:val="none"/>
        </w:rPr>
        <w:br w:type="page"/>
      </w:r>
      <w:r>
        <w:rPr>
          <w:rFonts w:hint="eastAsia" w:ascii="方正小标宋_GBK" w:hAnsi="宋体" w:eastAsia="方正小标宋_GBK"/>
          <w:sz w:val="52"/>
          <w:szCs w:val="52"/>
          <w:highlight w:val="none"/>
        </w:rPr>
        <w:t>廉 政 合 同</w:t>
      </w:r>
    </w:p>
    <w:p w14:paraId="0966B2F2">
      <w:pPr>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云南省玉溪监狱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
    <w:p w14:paraId="3CB680D9">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p>
    <w:p w14:paraId="3975059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为促进甲乙双方廉洁高效合作，确保甲乙双方工作人员做到廉洁自律，按照《</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》和国家有关法律法规及廉政规定，经甲乙双方协商一致，签订以下廉政合同。</w:t>
      </w:r>
    </w:p>
    <w:p w14:paraId="048D4393">
      <w:pPr>
        <w:spacing w:line="500" w:lineRule="exact"/>
        <w:ind w:firstLine="63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第一条 </w:t>
      </w:r>
      <w:r>
        <w:rPr>
          <w:rFonts w:hint="eastAsia" w:ascii="宋体" w:hAnsi="宋体" w:eastAsia="宋体" w:cs="宋体"/>
          <w:color w:val="auto"/>
          <w:sz w:val="24"/>
          <w:szCs w:val="24"/>
          <w:highlight w:val="none"/>
        </w:rPr>
        <w:t>甲、乙双方的权利和义务</w:t>
      </w:r>
    </w:p>
    <w:p w14:paraId="6D8144B3">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（一）甲、乙双方应共同严格遵守党和国家有关法律法规和党风廉政建设的各项规定。</w:t>
      </w:r>
    </w:p>
    <w:p w14:paraId="4BBE16B9">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）甲、乙双方的业务活动均应坚持公平、公开、公正、诚实守信的原则,严禁搞损害国家和集体利益的不正当交易。</w:t>
      </w:r>
    </w:p>
    <w:p w14:paraId="2246D8CC">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）甲、乙双方有对本方人员开展廉政告知、廉政教育和职业道德教育的义务。</w:t>
      </w:r>
    </w:p>
    <w:p w14:paraId="5822EBBC">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）甲、乙双方应加强对本方人员廉政监督、建立健全廉政制度，认真查处本方人员违纪违法行为。</w:t>
      </w:r>
    </w:p>
    <w:p w14:paraId="2888775A">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）甲、乙双方如发现对方人员在业务活动中有不廉洁行为，应及时提醒对方并督促其纠正，或直接向对方</w:t>
      </w:r>
      <w:r>
        <w:rPr>
          <w:rFonts w:hint="eastAsia" w:ascii="宋体" w:hAnsi="宋体" w:cs="宋体"/>
          <w:color w:val="auto"/>
          <w:sz w:val="24"/>
          <w:szCs w:val="24"/>
          <w:highlight w:val="none"/>
          <w:lang w:eastAsia="zh-CN"/>
        </w:rPr>
        <w:t>法定代表</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、纪检监察部门或向检察机关如实反映情况，并认真查处本方人员违纪违法行为。</w:t>
      </w:r>
    </w:p>
    <w:p w14:paraId="44D58165">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z w:val="24"/>
          <w:szCs w:val="24"/>
          <w:highlight w:val="none"/>
        </w:rPr>
        <w:t>）对诬陷、诋毁对方名声的行为有法律追究权。</w:t>
      </w:r>
    </w:p>
    <w:p w14:paraId="2D5F81CD">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第二条 </w:t>
      </w:r>
      <w:r>
        <w:rPr>
          <w:rFonts w:hint="eastAsia" w:ascii="宋体" w:hAnsi="宋体" w:eastAsia="宋体" w:cs="宋体"/>
          <w:color w:val="auto"/>
          <w:sz w:val="24"/>
          <w:szCs w:val="24"/>
          <w:highlight w:val="none"/>
        </w:rPr>
        <w:t>甲方的义务</w:t>
      </w:r>
    </w:p>
    <w:p w14:paraId="1F96883A">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（一）甲方工作人员及其亲友不得参与乙方安排的可能对公正执行公务有影响的宴请、各类休闲娱乐和旅游活动。</w:t>
      </w:r>
    </w:p>
    <w:p w14:paraId="47464DC4">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（二）甲方及其工作人员不得接受或索要乙方的礼品、礼金和各类有价证券、信用卡</w:t>
      </w:r>
      <w:r>
        <w:rPr>
          <w:rFonts w:hint="eastAsia" w:ascii="宋体" w:hAnsi="宋体" w:cs="宋体"/>
          <w:color w:val="auto"/>
          <w:sz w:val="24"/>
          <w:szCs w:val="24"/>
          <w:highlight w:val="none"/>
          <w:lang w:eastAsia="zh-CN"/>
        </w:rPr>
        <w:t>及其他</w:t>
      </w:r>
      <w:r>
        <w:rPr>
          <w:rFonts w:hint="eastAsia" w:ascii="宋体" w:hAnsi="宋体" w:eastAsia="宋体" w:cs="宋体"/>
          <w:color w:val="auto"/>
          <w:sz w:val="24"/>
          <w:szCs w:val="24"/>
          <w:highlight w:val="none"/>
        </w:rPr>
        <w:t>支付凭证；不得向乙方报销任何应由甲方和个人支付的费用。</w:t>
      </w:r>
    </w:p>
    <w:p w14:paraId="3EA60D9F">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（三）甲方及其工作人员不得以任何形式向乙方索要或收受好处费。</w:t>
      </w:r>
    </w:p>
    <w:p w14:paraId="7B2C2388">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（四）甲方及其工作人员不得接受或长期借用乙方提供的通信工具、交通工具等贵重物品。</w:t>
      </w:r>
    </w:p>
    <w:p w14:paraId="4E3CF060">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（五）甲方工作人员的配偶、子女，不得从事乙方提供的劳务经济活动。</w:t>
      </w:r>
    </w:p>
    <w:p w14:paraId="14819D43">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（六）甲方及其工作人员不得在家里接待乙方有关商品采购相关事项的询访。</w:t>
      </w:r>
    </w:p>
    <w:p w14:paraId="7428228A">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第三条 </w:t>
      </w:r>
      <w:r>
        <w:rPr>
          <w:rFonts w:hint="eastAsia" w:ascii="宋体" w:hAnsi="宋体" w:eastAsia="宋体" w:cs="宋体"/>
          <w:color w:val="auto"/>
          <w:sz w:val="24"/>
          <w:szCs w:val="24"/>
          <w:highlight w:val="none"/>
        </w:rPr>
        <w:t>乙方的义务</w:t>
      </w:r>
    </w:p>
    <w:p w14:paraId="682BC0F9">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（一）乙方不得以任何理由安排甲方工作人员或其亲友吃喝玩和各类休闲娱乐活动。</w:t>
      </w:r>
    </w:p>
    <w:p w14:paraId="7156DB3E">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（二）乙方不得以任何理由向甲方工作人员行贿或馈赠礼品、礼金和各种有价证券、信用卡和其他支付凭证。</w:t>
      </w:r>
    </w:p>
    <w:p w14:paraId="4BCC3836">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（三）乙方不得以任何理由或名义向甲方及其工作人员报销应由甲方或个人支付的费用。</w:t>
      </w:r>
    </w:p>
    <w:p w14:paraId="3B88B23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（四）乙方不得为甲方及其工作人员购置或提供通讯工具、交通工具等贵重物品。</w:t>
      </w:r>
    </w:p>
    <w:p w14:paraId="3D836098">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（五）乙方不得以任何理由到甲方及其工作人员家里进行有关商品采购相关事项的询访。</w:t>
      </w:r>
    </w:p>
    <w:p w14:paraId="2B72CA8B">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（六）乙方及其工作人员必须严格按照有关规程办事，不得</w:t>
      </w:r>
      <w:r>
        <w:rPr>
          <w:rFonts w:hint="eastAsia" w:ascii="宋体" w:hAnsi="宋体" w:eastAsia="宋体" w:cs="宋体"/>
          <w:color w:val="auto"/>
          <w:sz w:val="24"/>
          <w:szCs w:val="24"/>
          <w:highlight w:val="none"/>
          <w:lang w:eastAsia="zh-CN"/>
        </w:rPr>
        <w:t>与</w:t>
      </w:r>
      <w:r>
        <w:rPr>
          <w:rFonts w:hint="eastAsia" w:ascii="宋体" w:hAnsi="宋体" w:eastAsia="宋体" w:cs="宋体"/>
          <w:color w:val="auto"/>
          <w:sz w:val="24"/>
          <w:szCs w:val="24"/>
          <w:highlight w:val="none"/>
        </w:rPr>
        <w:t>其他单位互相串通，损害甲方利益。</w:t>
      </w:r>
    </w:p>
    <w:p w14:paraId="10A6F97A">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第四条</w:t>
      </w:r>
      <w:r>
        <w:rPr>
          <w:rFonts w:hint="eastAsia" w:ascii="宋体" w:hAnsi="宋体" w:eastAsia="宋体" w:cs="宋体"/>
          <w:color w:val="auto"/>
          <w:sz w:val="24"/>
          <w:szCs w:val="24"/>
          <w:highlight w:val="none"/>
        </w:rPr>
        <w:t xml:space="preserve"> 违约责任</w:t>
      </w:r>
    </w:p>
    <w:p w14:paraId="754D2B97">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（一）甲方及其工作人员违反本合同第一、二条，按管理权限，依据有关规定给予党纪、政务或组织处理；涉嫌犯罪的，移送司法机关追究刑事责任；给乙方单位造成经济损失的，应予以赔偿。</w:t>
      </w:r>
    </w:p>
    <w:p w14:paraId="190945A8">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（二）乙方若违反本合同第一、三条，对违法违纪人员，由乙方主管部门依据有关规定查处或停止承接业务处理，给甲方造成的损失，按有关规定予以赔偿。</w:t>
      </w:r>
    </w:p>
    <w:p w14:paraId="011B137E">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本合同有效期与经济合同期限同。</w:t>
      </w:r>
    </w:p>
    <w:p w14:paraId="3045996E">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本合同为</w:t>
      </w:r>
      <w:r>
        <w:rPr>
          <w:rFonts w:hint="eastAsia" w:ascii="宋体" w:hAnsi="宋体" w:eastAsia="宋体" w:cs="宋体"/>
          <w:color w:val="auto"/>
          <w:sz w:val="24"/>
          <w:szCs w:val="24"/>
          <w:highlight w:val="none"/>
          <w:lang w:eastAsia="zh-CN"/>
        </w:rPr>
        <w:t>云南省玉溪监狱与签订的《云南省玉溪监狱</w:t>
      </w:r>
      <w:r>
        <w:rPr>
          <w:rFonts w:hint="eastAsia" w:ascii="宋体" w:hAnsi="宋体" w:eastAsia="宋体" w:cs="宋体"/>
          <w:color w:val="auto"/>
          <w:sz w:val="24"/>
          <w:szCs w:val="24"/>
          <w:highlight w:val="none"/>
          <w:lang w:val="en-US" w:eastAsia="zh-CN"/>
        </w:rPr>
        <w:t>年至年</w:t>
      </w:r>
      <w:r>
        <w:rPr>
          <w:rFonts w:hint="eastAsia" w:ascii="宋体" w:hAnsi="宋体" w:eastAsia="宋体" w:cs="宋体"/>
          <w:color w:val="auto"/>
          <w:sz w:val="24"/>
          <w:szCs w:val="24"/>
          <w:highlight w:val="none"/>
          <w:lang w:eastAsia="zh-CN"/>
        </w:rPr>
        <w:t>罪犯</w:t>
      </w:r>
      <w:r>
        <w:rPr>
          <w:rFonts w:hint="eastAsia" w:ascii="宋体" w:hAnsi="宋体" w:eastAsia="宋体" w:cs="宋体"/>
          <w:color w:val="auto"/>
          <w:sz w:val="24"/>
          <w:szCs w:val="24"/>
          <w:highlight w:val="none"/>
          <w:lang w:val="en-US" w:eastAsia="zh-CN"/>
        </w:rPr>
        <w:t>配餐中心</w:t>
      </w:r>
      <w:r>
        <w:rPr>
          <w:rFonts w:hint="eastAsia" w:ascii="宋体" w:hAnsi="宋体" w:eastAsia="宋体" w:cs="宋体"/>
          <w:color w:val="auto"/>
          <w:sz w:val="24"/>
          <w:szCs w:val="24"/>
          <w:highlight w:val="none"/>
          <w:lang w:eastAsia="zh-CN"/>
        </w:rPr>
        <w:t>生活物资</w:t>
      </w:r>
      <w:r>
        <w:rPr>
          <w:rFonts w:hint="eastAsia" w:ascii="宋体" w:hAnsi="宋体" w:eastAsia="宋体" w:cs="宋体"/>
          <w:color w:val="auto"/>
          <w:sz w:val="24"/>
          <w:szCs w:val="24"/>
          <w:highlight w:val="none"/>
          <w:lang w:val="en-US" w:eastAsia="zh-CN"/>
        </w:rPr>
        <w:t>（猪肉类）采购合同</w:t>
      </w:r>
      <w:r>
        <w:rPr>
          <w:rFonts w:hint="eastAsia" w:ascii="宋体" w:hAnsi="宋体" w:eastAsia="宋体" w:cs="宋体"/>
          <w:color w:val="auto"/>
          <w:sz w:val="24"/>
          <w:szCs w:val="24"/>
          <w:highlight w:val="none"/>
          <w:lang w:eastAsia="zh-CN"/>
        </w:rPr>
        <w:t>》配套廉政合同，与云南省玉溪监狱与签订的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《云南省玉溪监狱</w:t>
      </w:r>
      <w:r>
        <w:rPr>
          <w:rFonts w:hint="eastAsia" w:ascii="宋体" w:hAnsi="宋体" w:eastAsia="宋体" w:cs="宋体"/>
          <w:color w:val="auto"/>
          <w:sz w:val="24"/>
          <w:szCs w:val="24"/>
          <w:highlight w:val="none"/>
          <w:lang w:val="en-US" w:eastAsia="zh-CN"/>
        </w:rPr>
        <w:t>年至年</w:t>
      </w:r>
      <w:r>
        <w:rPr>
          <w:rFonts w:hint="eastAsia" w:ascii="宋体" w:hAnsi="宋体" w:eastAsia="宋体" w:cs="宋体"/>
          <w:color w:val="auto"/>
          <w:sz w:val="24"/>
          <w:szCs w:val="24"/>
          <w:highlight w:val="none"/>
          <w:lang w:eastAsia="zh-CN"/>
        </w:rPr>
        <w:t>罪犯</w:t>
      </w:r>
      <w:r>
        <w:rPr>
          <w:rFonts w:hint="eastAsia" w:ascii="宋体" w:hAnsi="宋体" w:eastAsia="宋体" w:cs="宋体"/>
          <w:color w:val="auto"/>
          <w:sz w:val="24"/>
          <w:szCs w:val="24"/>
          <w:highlight w:val="none"/>
          <w:lang w:val="en-US" w:eastAsia="zh-CN"/>
        </w:rPr>
        <w:t>配餐中心</w:t>
      </w:r>
      <w:r>
        <w:rPr>
          <w:rFonts w:hint="eastAsia" w:ascii="宋体" w:hAnsi="宋体" w:eastAsia="宋体" w:cs="宋体"/>
          <w:color w:val="auto"/>
          <w:sz w:val="24"/>
          <w:szCs w:val="24"/>
          <w:highlight w:val="none"/>
          <w:lang w:eastAsia="zh-CN"/>
        </w:rPr>
        <w:t>生活物资</w:t>
      </w:r>
      <w:r>
        <w:rPr>
          <w:rFonts w:hint="eastAsia" w:ascii="宋体" w:hAnsi="宋体" w:eastAsia="宋体" w:cs="宋体"/>
          <w:color w:val="auto"/>
          <w:sz w:val="24"/>
          <w:szCs w:val="24"/>
          <w:highlight w:val="none"/>
          <w:lang w:val="en-US" w:eastAsia="zh-CN"/>
        </w:rPr>
        <w:t>（猪肉类）采购合同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具有同等法律效力，甲乙双方签署后立即生效。</w:t>
      </w:r>
    </w:p>
    <w:p w14:paraId="26479C64">
      <w:pPr>
        <w:spacing w:line="500" w:lineRule="exact"/>
        <w:ind w:firstLine="63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第七条</w:t>
      </w:r>
      <w:r>
        <w:rPr>
          <w:rFonts w:hint="eastAsia" w:ascii="宋体" w:hAnsi="宋体" w:eastAsia="宋体" w:cs="宋体"/>
          <w:color w:val="auto"/>
          <w:sz w:val="24"/>
          <w:szCs w:val="24"/>
          <w:highlight w:val="none"/>
        </w:rPr>
        <w:t xml:space="preserve"> 本合同一式三份：甲乙双方各一份，甲方纪检监察部门一份。</w:t>
      </w:r>
    </w:p>
    <w:p w14:paraId="0F67B3B2">
      <w:pPr>
        <w:spacing w:line="500" w:lineRule="exact"/>
        <w:ind w:firstLine="630"/>
        <w:rPr>
          <w:rFonts w:hint="eastAsia" w:ascii="宋体" w:hAnsi="宋体" w:eastAsia="宋体" w:cs="宋体"/>
          <w:color w:val="auto"/>
          <w:sz w:val="24"/>
          <w:szCs w:val="24"/>
          <w:highlight w:val="none"/>
        </w:rPr>
      </w:pPr>
    </w:p>
    <w:p w14:paraId="50A91AA8">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甲方单位：（公章）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乙方单位：（公章）</w:t>
      </w:r>
    </w:p>
    <w:p w14:paraId="4F9F6026">
      <w:pPr>
        <w:spacing w:line="500" w:lineRule="exact"/>
        <w:ind w:firstLine="630"/>
        <w:rPr>
          <w:rFonts w:hint="eastAsia" w:ascii="宋体" w:hAnsi="宋体" w:eastAsia="宋体" w:cs="宋体"/>
          <w:color w:val="auto"/>
          <w:sz w:val="24"/>
          <w:szCs w:val="24"/>
          <w:highlight w:val="none"/>
        </w:rPr>
      </w:pPr>
    </w:p>
    <w:p w14:paraId="1B97E5D4">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乙方代表：</w:t>
      </w:r>
    </w:p>
    <w:p w14:paraId="4FB554E9">
      <w:pPr>
        <w:spacing w:line="500" w:lineRule="exact"/>
        <w:ind w:firstLine="630"/>
        <w:rPr>
          <w:rFonts w:hint="eastAsia" w:ascii="宋体" w:hAnsi="宋体" w:eastAsia="宋体" w:cs="宋体"/>
          <w:color w:val="auto"/>
          <w:sz w:val="24"/>
          <w:szCs w:val="24"/>
          <w:highlight w:val="none"/>
        </w:rPr>
      </w:pPr>
    </w:p>
    <w:p w14:paraId="6A2051ED">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纪委：（公章）</w:t>
      </w:r>
    </w:p>
    <w:p w14:paraId="39F9FB00">
      <w:pPr>
        <w:rPr>
          <w:color w:val="auto"/>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w:t>
      </w:r>
    </w:p>
    <w:p w14:paraId="06203D55">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outlineLvl w:val="9"/>
        <w:rPr>
          <w:rFonts w:hint="eastAsia" w:ascii="宋体" w:hAnsi="宋体" w:eastAsia="宋体" w:cs="宋体"/>
          <w:sz w:val="24"/>
          <w:szCs w:val="24"/>
          <w:highlight w:val="none"/>
        </w:rPr>
      </w:pPr>
      <w:r>
        <w:rPr>
          <w:rFonts w:hint="eastAsia" w:ascii="宋体" w:hAnsi="宋体" w:cs="宋体"/>
          <w:color w:val="auto"/>
          <w:highlight w:val="none"/>
        </w:rPr>
        <w:br w:type="page"/>
      </w:r>
    </w:p>
    <w:tbl>
      <w:tblPr>
        <w:tblStyle w:val="32"/>
        <w:tblW w:w="9750" w:type="dxa"/>
        <w:jc w:val="center"/>
        <w:tblLayout w:type="fixed"/>
        <w:tblCellMar>
          <w:top w:w="0" w:type="dxa"/>
          <w:left w:w="0" w:type="dxa"/>
          <w:bottom w:w="0" w:type="dxa"/>
          <w:right w:w="0" w:type="dxa"/>
        </w:tblCellMar>
      </w:tblPr>
      <w:tblGrid>
        <w:gridCol w:w="9750"/>
      </w:tblGrid>
      <w:tr w14:paraId="6A82185A">
        <w:tblPrEx>
          <w:tblCellMar>
            <w:top w:w="0" w:type="dxa"/>
            <w:left w:w="0" w:type="dxa"/>
            <w:bottom w:w="0" w:type="dxa"/>
            <w:right w:w="0" w:type="dxa"/>
          </w:tblCellMar>
        </w:tblPrEx>
        <w:trPr>
          <w:jc w:val="center"/>
        </w:trPr>
        <w:tc>
          <w:tcPr>
            <w:tcW w:w="9750" w:type="dxa"/>
            <w:noWrap w:val="0"/>
            <w:vAlign w:val="center"/>
          </w:tcPr>
          <w:p w14:paraId="6061F240">
            <w:pPr>
              <w:pStyle w:val="17"/>
              <w:autoSpaceDE w:val="0"/>
              <w:autoSpaceDN w:val="0"/>
              <w:adjustRightInd w:val="0"/>
              <w:spacing w:line="360" w:lineRule="auto"/>
              <w:ind w:firstLine="630" w:firstLineChars="300"/>
              <w:jc w:val="left"/>
              <w:outlineLvl w:val="9"/>
              <w:rPr>
                <w:rFonts w:hAnsi="宋体" w:cs="宋体"/>
                <w:color w:val="000000"/>
              </w:rPr>
            </w:pPr>
            <w:r>
              <w:rPr>
                <w:rFonts w:hint="eastAsia" w:hAnsi="宋体" w:cs="宋体"/>
                <w:color w:val="000000"/>
              </w:rPr>
              <w:t>合同编号：                         合同自编号：</w:t>
            </w:r>
            <w:r>
              <w:rPr>
                <w:rFonts w:hint="eastAsia" w:hAnsi="宋体" w:cs="宋体"/>
                <w:color w:val="000000"/>
              </w:rPr>
              <w:tab/>
            </w:r>
            <w:r>
              <w:rPr>
                <w:rFonts w:hint="eastAsia" w:hAnsi="宋体" w:cs="宋体"/>
                <w:color w:val="000000"/>
              </w:rPr>
              <w:t xml:space="preserve">                 </w:t>
            </w:r>
          </w:p>
        </w:tc>
      </w:tr>
    </w:tbl>
    <w:p w14:paraId="6B031C8D">
      <w:pPr>
        <w:spacing w:after="240"/>
        <w:jc w:val="center"/>
        <w:outlineLvl w:val="9"/>
        <w:rPr>
          <w:rFonts w:ascii="宋体" w:hAnsi="宋体" w:cs="宋体"/>
          <w:color w:val="000000"/>
        </w:rPr>
      </w:pPr>
    </w:p>
    <w:p w14:paraId="58D83517">
      <w:pPr>
        <w:spacing w:after="240"/>
        <w:outlineLvl w:val="9"/>
        <w:rPr>
          <w:rFonts w:ascii="宋体" w:hAnsi="宋体" w:cs="宋体"/>
          <w:color w:val="000000"/>
        </w:rPr>
      </w:pPr>
      <w:r>
        <w:rPr>
          <w:rFonts w:hint="eastAsia" w:ascii="宋体" w:hAnsi="宋体" w:cs="宋体"/>
          <w:color w:val="000000"/>
        </w:rPr>
        <w:t>●本合同须加盖甲乙双方骑缝章有效</w:t>
      </w:r>
    </w:p>
    <w:p w14:paraId="7CCBE430">
      <w:pPr>
        <w:pStyle w:val="14"/>
        <w:outlineLvl w:val="9"/>
        <w:rPr>
          <w:color w:val="000000"/>
        </w:rPr>
      </w:pPr>
    </w:p>
    <w:p w14:paraId="5231E3DF">
      <w:pPr>
        <w:spacing w:line="360" w:lineRule="auto"/>
        <w:ind w:firstLine="318" w:firstLineChars="177"/>
        <w:jc w:val="center"/>
        <w:outlineLvl w:val="9"/>
        <w:rPr>
          <w:rFonts w:ascii="宋体" w:hAnsi="宋体" w:cs="宋体"/>
          <w:color w:val="000000"/>
          <w:sz w:val="18"/>
          <w:szCs w:val="18"/>
        </w:rPr>
      </w:pPr>
    </w:p>
    <w:p w14:paraId="332629A4">
      <w:pPr>
        <w:pStyle w:val="14"/>
        <w:outlineLvl w:val="9"/>
        <w:rPr>
          <w:color w:val="000000"/>
        </w:rPr>
      </w:pPr>
    </w:p>
    <w:p w14:paraId="21846871">
      <w:pPr>
        <w:pStyle w:val="14"/>
        <w:outlineLvl w:val="9"/>
        <w:rPr>
          <w:color w:val="000000"/>
        </w:rPr>
      </w:pPr>
    </w:p>
    <w:p w14:paraId="47B861F8">
      <w:pPr>
        <w:spacing w:after="240"/>
        <w:outlineLvl w:val="9"/>
        <w:rPr>
          <w:rFonts w:ascii="宋体" w:hAnsi="宋体" w:cs="宋体"/>
          <w:color w:val="000000"/>
          <w:sz w:val="18"/>
          <w:szCs w:val="18"/>
        </w:rPr>
      </w:pPr>
    </w:p>
    <w:p w14:paraId="387D2D25">
      <w:pPr>
        <w:spacing w:after="240"/>
        <w:jc w:val="center"/>
        <w:outlineLvl w:val="9"/>
        <w:rPr>
          <w:rFonts w:ascii="宋体" w:hAnsi="宋体" w:cs="宋体"/>
          <w:color w:val="000000"/>
          <w:sz w:val="18"/>
          <w:szCs w:val="18"/>
        </w:rPr>
      </w:pPr>
    </w:p>
    <w:p w14:paraId="5B361CE7">
      <w:pPr>
        <w:pStyle w:val="14"/>
        <w:outlineLvl w:val="9"/>
        <w:rPr>
          <w:color w:val="000000"/>
        </w:rPr>
      </w:pPr>
    </w:p>
    <w:p w14:paraId="0F342E94">
      <w:pPr>
        <w:pStyle w:val="14"/>
        <w:outlineLvl w:val="9"/>
        <w:rPr>
          <w:color w:val="000000"/>
        </w:rPr>
      </w:pPr>
    </w:p>
    <w:p w14:paraId="392E40DB">
      <w:pPr>
        <w:spacing w:after="240"/>
        <w:jc w:val="center"/>
        <w:outlineLvl w:val="9"/>
        <w:rPr>
          <w:rFonts w:ascii="宋体" w:hAnsi="宋体" w:cs="宋体"/>
          <w:color w:val="000000"/>
          <w:sz w:val="18"/>
          <w:szCs w:val="18"/>
        </w:rPr>
      </w:pPr>
      <w:r>
        <w:rPr>
          <w:rFonts w:hint="eastAsia" w:ascii="宋体" w:hAnsi="宋体" w:cs="宋体"/>
          <w:color w:val="000000"/>
          <w:sz w:val="63"/>
          <w:szCs w:val="63"/>
        </w:rPr>
        <w:t>合</w:t>
      </w:r>
      <w:r>
        <w:rPr>
          <w:rFonts w:hint="eastAsia" w:ascii="宋体" w:hAnsi="宋体" w:cs="宋体"/>
          <w:color w:val="000000"/>
          <w:sz w:val="18"/>
          <w:szCs w:val="18"/>
        </w:rPr>
        <w:t xml:space="preserve"> </w:t>
      </w:r>
    </w:p>
    <w:p w14:paraId="6F6572BD">
      <w:pPr>
        <w:spacing w:after="240"/>
        <w:jc w:val="center"/>
        <w:outlineLvl w:val="9"/>
        <w:rPr>
          <w:rFonts w:ascii="宋体" w:hAnsi="宋体" w:cs="宋体"/>
          <w:color w:val="000000"/>
          <w:sz w:val="18"/>
          <w:szCs w:val="18"/>
        </w:rPr>
      </w:pPr>
      <w:r>
        <w:rPr>
          <w:rFonts w:hint="eastAsia" w:ascii="宋体" w:hAnsi="宋体" w:cs="宋体"/>
          <w:color w:val="000000"/>
          <w:sz w:val="63"/>
          <w:szCs w:val="63"/>
        </w:rPr>
        <w:t>同</w:t>
      </w:r>
    </w:p>
    <w:p w14:paraId="49C7C425">
      <w:pPr>
        <w:spacing w:after="240"/>
        <w:jc w:val="center"/>
        <w:outlineLvl w:val="9"/>
        <w:rPr>
          <w:rFonts w:ascii="宋体" w:hAnsi="宋体" w:cs="宋体"/>
          <w:color w:val="000000"/>
          <w:sz w:val="18"/>
          <w:szCs w:val="18"/>
        </w:rPr>
      </w:pPr>
      <w:r>
        <w:rPr>
          <w:rFonts w:hint="eastAsia" w:ascii="宋体" w:hAnsi="宋体" w:cs="宋体"/>
          <w:color w:val="000000"/>
          <w:sz w:val="63"/>
          <w:szCs w:val="63"/>
        </w:rPr>
        <w:t>书</w:t>
      </w:r>
      <w:r>
        <w:rPr>
          <w:rFonts w:hint="eastAsia" w:ascii="宋体" w:hAnsi="宋体" w:cs="宋体"/>
          <w:color w:val="000000"/>
          <w:sz w:val="18"/>
          <w:szCs w:val="18"/>
        </w:rPr>
        <w:t xml:space="preserve"> </w:t>
      </w:r>
    </w:p>
    <w:p w14:paraId="04BE0ECA">
      <w:pPr>
        <w:pStyle w:val="14"/>
        <w:outlineLvl w:val="9"/>
        <w:rPr>
          <w:color w:val="000000"/>
        </w:rPr>
      </w:pPr>
    </w:p>
    <w:p w14:paraId="030BC867">
      <w:pPr>
        <w:spacing w:after="240"/>
        <w:jc w:val="center"/>
        <w:outlineLvl w:val="9"/>
        <w:rPr>
          <w:rFonts w:ascii="宋体" w:hAnsi="宋体" w:cs="宋体"/>
          <w:color w:val="000000"/>
          <w:sz w:val="40"/>
          <w:szCs w:val="40"/>
        </w:rPr>
      </w:pPr>
      <w:r>
        <w:rPr>
          <w:rFonts w:hint="eastAsia" w:ascii="宋体" w:hAnsi="宋体" w:cs="宋体"/>
          <w:color w:val="000000"/>
          <w:sz w:val="40"/>
          <w:szCs w:val="40"/>
        </w:rPr>
        <w:t>（罪</w:t>
      </w:r>
      <w:r>
        <w:rPr>
          <w:rFonts w:hint="eastAsia" w:ascii="宋体" w:hAnsi="宋体" w:eastAsia="宋体" w:cs="宋体"/>
          <w:color w:val="000000"/>
          <w:sz w:val="40"/>
          <w:szCs w:val="40"/>
        </w:rPr>
        <w:t>犯</w:t>
      </w:r>
      <w:r>
        <w:rPr>
          <w:rFonts w:hint="eastAsia" w:ascii="宋体" w:hAnsi="宋体" w:eastAsia="宋体" w:cs="宋体"/>
          <w:color w:val="000000"/>
          <w:sz w:val="40"/>
          <w:szCs w:val="40"/>
          <w:lang w:eastAsia="zh-CN"/>
        </w:rPr>
        <w:t>配餐中心</w:t>
      </w:r>
      <w:r>
        <w:rPr>
          <w:rFonts w:hint="eastAsia" w:ascii="宋体" w:hAnsi="宋体" w:eastAsia="宋体" w:cs="宋体"/>
          <w:color w:val="000000"/>
          <w:sz w:val="40"/>
          <w:szCs w:val="40"/>
        </w:rPr>
        <w:t>生活物资采购合同仅作参</w:t>
      </w:r>
      <w:r>
        <w:rPr>
          <w:rFonts w:hint="eastAsia" w:ascii="宋体" w:hAnsi="宋体" w:cs="宋体"/>
          <w:color w:val="000000"/>
          <w:sz w:val="40"/>
          <w:szCs w:val="40"/>
        </w:rPr>
        <w:t>考）</w:t>
      </w:r>
    </w:p>
    <w:p w14:paraId="09D6F7CB">
      <w:pPr>
        <w:spacing w:after="240"/>
        <w:jc w:val="center"/>
        <w:outlineLvl w:val="9"/>
        <w:rPr>
          <w:rFonts w:ascii="宋体" w:hAnsi="宋体" w:cs="宋体"/>
          <w:color w:val="000000"/>
          <w:sz w:val="18"/>
          <w:szCs w:val="18"/>
        </w:rPr>
      </w:pPr>
    </w:p>
    <w:p w14:paraId="711E173D">
      <w:pPr>
        <w:pStyle w:val="10"/>
        <w:ind w:left="0" w:leftChars="0" w:firstLine="0" w:firstLineChars="0"/>
        <w:outlineLvl w:val="9"/>
        <w:rPr>
          <w:rFonts w:ascii="宋体" w:hAnsi="宋体" w:cs="宋体"/>
          <w:color w:val="000000"/>
        </w:rPr>
      </w:pPr>
    </w:p>
    <w:p w14:paraId="6BF3221E">
      <w:pPr>
        <w:pStyle w:val="10"/>
        <w:ind w:firstLine="0"/>
        <w:outlineLvl w:val="9"/>
        <w:rPr>
          <w:rFonts w:ascii="宋体" w:hAnsi="宋体" w:cs="宋体"/>
          <w:color w:val="000000"/>
        </w:rPr>
      </w:pPr>
    </w:p>
    <w:p w14:paraId="2A72C9CD">
      <w:pPr>
        <w:pStyle w:val="10"/>
        <w:outlineLvl w:val="9"/>
        <w:rPr>
          <w:rFonts w:ascii="宋体" w:hAnsi="宋体" w:cs="宋体"/>
          <w:color w:val="000000"/>
        </w:rPr>
      </w:pPr>
    </w:p>
    <w:p w14:paraId="4DC1887A">
      <w:pPr>
        <w:spacing w:after="240"/>
        <w:jc w:val="center"/>
        <w:outlineLvl w:val="9"/>
        <w:rPr>
          <w:rFonts w:ascii="宋体" w:hAnsi="宋体" w:cs="宋体"/>
          <w:color w:val="000000"/>
          <w:sz w:val="16"/>
          <w:szCs w:val="18"/>
        </w:rPr>
      </w:pPr>
      <w:r>
        <w:rPr>
          <w:rFonts w:hint="eastAsia" w:ascii="宋体" w:hAnsi="宋体" w:cs="宋体"/>
          <w:b/>
          <w:bCs/>
          <w:color w:val="000000"/>
          <w:sz w:val="24"/>
          <w:szCs w:val="27"/>
        </w:rPr>
        <w:t>签订地点：</w:t>
      </w:r>
      <w:r>
        <w:rPr>
          <w:rFonts w:hint="eastAsia" w:ascii="宋体" w:hAnsi="宋体" w:cs="宋体"/>
          <w:b/>
          <w:bCs/>
          <w:color w:val="000000"/>
          <w:sz w:val="24"/>
          <w:szCs w:val="27"/>
          <w:lang w:eastAsia="zh-CN"/>
        </w:rPr>
        <w:t>云南省玉溪监狱</w:t>
      </w:r>
      <w:r>
        <w:rPr>
          <w:rFonts w:hint="eastAsia" w:ascii="宋体" w:hAnsi="宋体" w:cs="宋体"/>
          <w:color w:val="000000"/>
          <w:sz w:val="16"/>
          <w:szCs w:val="18"/>
        </w:rPr>
        <w:t xml:space="preserve"> </w:t>
      </w:r>
    </w:p>
    <w:p w14:paraId="39724FD4">
      <w:pPr>
        <w:pStyle w:val="14"/>
        <w:outlineLvl w:val="9"/>
        <w:rPr>
          <w:color w:val="000000"/>
        </w:rPr>
      </w:pPr>
    </w:p>
    <w:p w14:paraId="40FD4FC7">
      <w:pPr>
        <w:spacing w:after="240"/>
        <w:jc w:val="center"/>
        <w:outlineLvl w:val="9"/>
        <w:rPr>
          <w:rFonts w:ascii="宋体" w:hAnsi="宋体" w:cs="宋体"/>
          <w:b/>
          <w:bCs/>
          <w:color w:val="000000"/>
          <w:sz w:val="27"/>
          <w:szCs w:val="27"/>
        </w:rPr>
      </w:pPr>
      <w:r>
        <w:rPr>
          <w:rFonts w:hint="eastAsia" w:ascii="宋体" w:hAnsi="宋体" w:cs="宋体"/>
          <w:b/>
          <w:bCs/>
          <w:color w:val="000000"/>
          <w:sz w:val="24"/>
          <w:szCs w:val="27"/>
        </w:rPr>
        <w:t>签订日期：</w:t>
      </w:r>
      <w:r>
        <w:rPr>
          <w:rFonts w:hint="eastAsia" w:ascii="宋体" w:hAnsi="宋体" w:cs="宋体"/>
          <w:b/>
          <w:bCs/>
          <w:color w:val="000000"/>
          <w:sz w:val="24"/>
          <w:szCs w:val="27"/>
          <w:lang w:val="en-US" w:eastAsia="zh-CN"/>
        </w:rPr>
        <w:t>2026</w:t>
      </w:r>
      <w:r>
        <w:rPr>
          <w:rFonts w:hint="eastAsia" w:ascii="宋体" w:hAnsi="宋体" w:cs="宋体"/>
          <w:b/>
          <w:bCs/>
          <w:color w:val="000000"/>
          <w:sz w:val="24"/>
          <w:szCs w:val="27"/>
        </w:rPr>
        <w:t>年 月 日</w:t>
      </w:r>
      <w:r>
        <w:rPr>
          <w:rFonts w:hint="eastAsia" w:ascii="宋体" w:hAnsi="宋体" w:cs="宋体"/>
          <w:b/>
          <w:bCs/>
          <w:color w:val="000000"/>
          <w:sz w:val="27"/>
          <w:szCs w:val="27"/>
        </w:rPr>
        <w:t xml:space="preserve"> </w:t>
      </w:r>
    </w:p>
    <w:p w14:paraId="39AFC62E">
      <w:pPr>
        <w:pStyle w:val="10"/>
        <w:ind w:firstLine="0"/>
        <w:outlineLvl w:val="9"/>
        <w:rPr>
          <w:rFonts w:ascii="宋体" w:hAnsi="宋体" w:cs="宋体"/>
          <w:color w:val="000000"/>
        </w:rPr>
      </w:pPr>
    </w:p>
    <w:p w14:paraId="59D5463A">
      <w:pPr>
        <w:jc w:val="center"/>
        <w:rPr>
          <w:rFonts w:hint="eastAsia" w:ascii="宋体" w:hAnsi="宋体"/>
          <w:b w:val="0"/>
          <w:bCs/>
          <w:color w:val="943734"/>
          <w:sz w:val="32"/>
          <w:szCs w:val="32"/>
          <w:highlight w:val="none"/>
          <w:u w:val="single"/>
          <w:lang w:val="en-US" w:eastAsia="zh-CN"/>
        </w:rPr>
      </w:pPr>
      <w:r>
        <w:rPr>
          <w:rFonts w:hint="eastAsia" w:ascii="宋体" w:hAnsi="宋体"/>
          <w:b/>
          <w:color w:val="auto"/>
          <w:sz w:val="44"/>
          <w:szCs w:val="44"/>
          <w:highlight w:val="none"/>
          <w:lang w:eastAsia="zh-CN"/>
        </w:rPr>
        <w:t>云南省玉溪监狱年至年罪犯配餐中心生活物资（</w:t>
      </w:r>
      <w:r>
        <w:rPr>
          <w:rFonts w:hint="eastAsia" w:ascii="宋体" w:hAnsi="宋体"/>
          <w:b/>
          <w:color w:val="auto"/>
          <w:sz w:val="44"/>
          <w:szCs w:val="44"/>
          <w:highlight w:val="none"/>
          <w:lang w:val="en-US" w:eastAsia="zh-CN"/>
        </w:rPr>
        <w:t>鸡肉类冻品类</w:t>
      </w:r>
      <w:r>
        <w:rPr>
          <w:rFonts w:hint="eastAsia" w:ascii="宋体" w:hAnsi="宋体"/>
          <w:b/>
          <w:color w:val="auto"/>
          <w:sz w:val="44"/>
          <w:szCs w:val="44"/>
          <w:highlight w:val="none"/>
          <w:lang w:eastAsia="zh-CN"/>
        </w:rPr>
        <w:t>）采购</w:t>
      </w:r>
      <w:r>
        <w:rPr>
          <w:rFonts w:hint="eastAsia" w:ascii="宋体" w:hAnsi="宋体"/>
          <w:b/>
          <w:color w:val="auto"/>
          <w:sz w:val="44"/>
          <w:szCs w:val="44"/>
          <w:highlight w:val="none"/>
          <w:lang w:val="en-US" w:eastAsia="zh-CN"/>
        </w:rPr>
        <w:t>合同</w:t>
      </w:r>
    </w:p>
    <w:p w14:paraId="19D30983">
      <w:pPr>
        <w:keepNext w:val="0"/>
        <w:keepLines w:val="0"/>
        <w:pageBreakBefore w:val="0"/>
        <w:widowControl/>
        <w:tabs>
          <w:tab w:val="left" w:pos="2980"/>
        </w:tabs>
        <w:kinsoku/>
        <w:wordWrap/>
        <w:overflowPunct/>
        <w:topLinePunct w:val="0"/>
        <w:autoSpaceDE/>
        <w:autoSpaceDN/>
        <w:bidi w:val="0"/>
        <w:adjustRightInd/>
        <w:snapToGrid/>
        <w:spacing w:line="560" w:lineRule="exact"/>
        <w:textAlignment w:val="auto"/>
        <w:rPr>
          <w:rFonts w:ascii="仿宋_GB2312" w:hAnsi="仿宋_GB2312" w:eastAsia="仿宋_GB2312" w:cs="仿宋_GB2312"/>
          <w:b w:val="0"/>
          <w:bCs/>
          <w:color w:val="943734"/>
          <w:sz w:val="32"/>
          <w:szCs w:val="32"/>
          <w:highlight w:val="none"/>
          <w:u w:val="single"/>
        </w:rPr>
      </w:pPr>
    </w:p>
    <w:p w14:paraId="5BAAEEEE">
      <w:pPr>
        <w:keepNext w:val="0"/>
        <w:keepLines w:val="0"/>
        <w:pageBreakBefore w:val="0"/>
        <w:widowControl/>
        <w:kinsoku/>
        <w:wordWrap/>
        <w:overflowPunct/>
        <w:topLinePunct w:val="0"/>
        <w:autoSpaceDE/>
        <w:autoSpaceDN/>
        <w:bidi w:val="0"/>
        <w:spacing w:line="560" w:lineRule="exact"/>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甲方：</w:t>
      </w:r>
      <w:r>
        <w:rPr>
          <w:rFonts w:hint="eastAsia" w:ascii="宋体" w:hAnsi="宋体" w:eastAsia="宋体" w:cs="宋体"/>
          <w:b/>
          <w:sz w:val="24"/>
          <w:szCs w:val="24"/>
          <w:highlight w:val="none"/>
          <w:u w:val="single"/>
        </w:rPr>
        <w:t xml:space="preserve">云南省玉溪监狱 </w:t>
      </w:r>
      <w:r>
        <w:rPr>
          <w:rFonts w:hint="eastAsia" w:ascii="宋体" w:hAnsi="宋体" w:cs="宋体"/>
          <w:b/>
          <w:sz w:val="24"/>
          <w:szCs w:val="24"/>
          <w:highlight w:val="none"/>
          <w:u w:val="single"/>
          <w:lang w:val="en-US" w:eastAsia="zh-CN"/>
        </w:rPr>
        <w:t xml:space="preserve">            </w:t>
      </w:r>
      <w:r>
        <w:rPr>
          <w:rFonts w:hint="eastAsia" w:ascii="宋体" w:hAnsi="宋体" w:eastAsia="宋体" w:cs="宋体"/>
          <w:b/>
          <w:sz w:val="24"/>
          <w:szCs w:val="24"/>
          <w:highlight w:val="none"/>
        </w:rPr>
        <w:t>(以下简称甲方)</w:t>
      </w:r>
    </w:p>
    <w:p w14:paraId="094753D8">
      <w:pPr>
        <w:keepNext w:val="0"/>
        <w:keepLines w:val="0"/>
        <w:pageBreakBefore w:val="0"/>
        <w:widowControl/>
        <w:kinsoku/>
        <w:wordWrap/>
        <w:overflowPunct/>
        <w:topLinePunct w:val="0"/>
        <w:autoSpaceDE/>
        <w:autoSpaceDN/>
        <w:bidi w:val="0"/>
        <w:adjustRightInd w:val="0"/>
        <w:snapToGrid w:val="0"/>
        <w:spacing w:after="200" w:line="560" w:lineRule="exac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乙方：</w:t>
      </w:r>
      <w:r>
        <w:rPr>
          <w:rFonts w:hint="eastAsia" w:ascii="宋体" w:hAnsi="宋体" w:cs="宋体"/>
          <w:b/>
          <w:sz w:val="24"/>
          <w:szCs w:val="24"/>
          <w:highlight w:val="none"/>
          <w:u w:val="single"/>
          <w:lang w:val="en-US" w:eastAsia="zh-CN"/>
        </w:rPr>
        <w:t xml:space="preserve">                          </w:t>
      </w:r>
      <w:r>
        <w:rPr>
          <w:rFonts w:hint="eastAsia" w:ascii="宋体" w:hAnsi="宋体" w:eastAsia="宋体" w:cs="宋体"/>
          <w:b/>
          <w:sz w:val="24"/>
          <w:szCs w:val="24"/>
          <w:highlight w:val="none"/>
          <w:u w:val="single"/>
          <w:lang w:val="zh-CN" w:eastAsia="zh-CN"/>
        </w:rPr>
        <w:t>（</w:t>
      </w:r>
      <w:r>
        <w:rPr>
          <w:rFonts w:hint="eastAsia" w:ascii="宋体" w:hAnsi="宋体" w:eastAsia="宋体" w:cs="宋体"/>
          <w:b/>
          <w:sz w:val="24"/>
          <w:szCs w:val="24"/>
          <w:highlight w:val="none"/>
        </w:rPr>
        <w:t>以下简称乙方)</w:t>
      </w:r>
    </w:p>
    <w:p w14:paraId="3A700C90">
      <w:pPr>
        <w:keepNext w:val="0"/>
        <w:keepLines w:val="0"/>
        <w:pageBreakBefore w:val="0"/>
        <w:widowControl/>
        <w:kinsoku/>
        <w:wordWrap/>
        <w:overflowPunct/>
        <w:topLinePunct w:val="0"/>
        <w:autoSpaceDE/>
        <w:autoSpaceDN/>
        <w:bidi w:val="0"/>
        <w:spacing w:line="560" w:lineRule="exact"/>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甲方因日常需要，根据《中华人民共和国民法典》及相关法律法规的规定，于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日</w:t>
      </w:r>
      <w:r>
        <w:rPr>
          <w:rFonts w:hint="eastAsia" w:ascii="宋体" w:hAnsi="宋体" w:eastAsia="宋体" w:cs="宋体"/>
          <w:sz w:val="24"/>
          <w:szCs w:val="24"/>
          <w:highlight w:val="none"/>
        </w:rPr>
        <w:t>在</w:t>
      </w:r>
      <w:r>
        <w:rPr>
          <w:rFonts w:hint="eastAsia" w:ascii="宋体" w:hAnsi="宋体" w:eastAsia="宋体" w:cs="宋体"/>
          <w:sz w:val="24"/>
          <w:szCs w:val="24"/>
          <w:highlight w:val="none"/>
          <w:lang w:eastAsia="zh-CN"/>
        </w:rPr>
        <w:t>“政采云”平台</w:t>
      </w:r>
      <w:r>
        <w:rPr>
          <w:rFonts w:hint="eastAsia" w:ascii="宋体" w:hAnsi="宋体" w:eastAsia="宋体" w:cs="宋体"/>
          <w:sz w:val="24"/>
          <w:szCs w:val="24"/>
          <w:highlight w:val="none"/>
        </w:rPr>
        <w:t>，按公开招标采购程序，确定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为甲方罪犯配餐中心的</w:t>
      </w:r>
      <w:r>
        <w:rPr>
          <w:rFonts w:hint="eastAsia" w:ascii="宋体" w:hAnsi="宋体" w:eastAsia="宋体" w:cs="宋体"/>
          <w:sz w:val="24"/>
          <w:szCs w:val="24"/>
          <w:highlight w:val="none"/>
          <w:lang w:val="en-US" w:eastAsia="zh-CN"/>
        </w:rPr>
        <w:t>鸡肉类冻品类</w:t>
      </w:r>
      <w:r>
        <w:rPr>
          <w:rFonts w:hint="eastAsia" w:ascii="宋体" w:hAnsi="宋体" w:eastAsia="宋体" w:cs="宋体"/>
          <w:sz w:val="24"/>
          <w:szCs w:val="24"/>
          <w:highlight w:val="none"/>
        </w:rPr>
        <w:t>供货商，甲乙双方本着平等自愿、公平公正、遵守国家法律及相关规定的原则，经甲乙双方平等协商，一致同意按照以下条款签订本合同。</w:t>
      </w:r>
    </w:p>
    <w:p w14:paraId="5A6CD707">
      <w:pPr>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sz w:val="24"/>
          <w:szCs w:val="24"/>
          <w:highlight w:val="none"/>
        </w:rPr>
        <w:t>一、甲方责任、义务</w:t>
      </w:r>
    </w:p>
    <w:p w14:paraId="18AEE61E">
      <w:pPr>
        <w:spacing w:line="500" w:lineRule="exact"/>
        <w:ind w:firstLine="360" w:firstLineChars="1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1.</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负责</w:t>
      </w:r>
      <w:r>
        <w:rPr>
          <w:rFonts w:hint="eastAsia" w:ascii="宋体" w:hAnsi="宋体" w:eastAsia="宋体" w:cs="宋体"/>
          <w:sz w:val="24"/>
          <w:szCs w:val="24"/>
          <w:highlight w:val="none"/>
          <w:lang w:eastAsia="zh-CN"/>
        </w:rPr>
        <w:t>完成</w:t>
      </w:r>
      <w:r>
        <w:rPr>
          <w:rFonts w:hint="eastAsia" w:ascii="宋体" w:hAnsi="宋体" w:eastAsia="宋体" w:cs="宋体"/>
          <w:sz w:val="24"/>
          <w:szCs w:val="24"/>
          <w:highlight w:val="none"/>
        </w:rPr>
        <w:t>合同签订后</w:t>
      </w:r>
      <w:r>
        <w:rPr>
          <w:rFonts w:hint="eastAsia" w:ascii="宋体" w:hAnsi="宋体" w:eastAsia="宋体" w:cs="宋体"/>
          <w:sz w:val="24"/>
          <w:szCs w:val="24"/>
          <w:highlight w:val="none"/>
          <w:lang w:eastAsia="zh-CN"/>
        </w:rPr>
        <w:t>本</w:t>
      </w:r>
      <w:r>
        <w:rPr>
          <w:rFonts w:hint="eastAsia" w:ascii="宋体" w:hAnsi="宋体" w:eastAsia="宋体" w:cs="宋体"/>
          <w:sz w:val="24"/>
          <w:szCs w:val="24"/>
          <w:highlight w:val="none"/>
        </w:rPr>
        <w:t>项目实施的</w:t>
      </w:r>
      <w:r>
        <w:rPr>
          <w:rFonts w:hint="eastAsia" w:ascii="宋体" w:hAnsi="宋体" w:eastAsia="宋体" w:cs="宋体"/>
          <w:sz w:val="24"/>
          <w:szCs w:val="24"/>
          <w:highlight w:val="none"/>
          <w:lang w:eastAsia="zh-CN"/>
        </w:rPr>
        <w:t>相关</w:t>
      </w:r>
      <w:r>
        <w:rPr>
          <w:rFonts w:hint="eastAsia" w:ascii="宋体" w:hAnsi="宋体" w:eastAsia="宋体" w:cs="宋体"/>
          <w:sz w:val="24"/>
          <w:szCs w:val="24"/>
          <w:highlight w:val="none"/>
        </w:rPr>
        <w:t>工作</w:t>
      </w:r>
      <w:r>
        <w:rPr>
          <w:rFonts w:hint="eastAsia" w:ascii="宋体" w:hAnsi="宋体" w:eastAsia="宋体" w:cs="宋体"/>
          <w:sz w:val="24"/>
          <w:szCs w:val="24"/>
          <w:highlight w:val="none"/>
          <w:lang w:eastAsia="zh-CN"/>
        </w:rPr>
        <w:t>（如与乙方的具体联系，采购计划的制定和将采购计划告知乙方等）</w:t>
      </w:r>
      <w:r>
        <w:rPr>
          <w:rFonts w:hint="eastAsia" w:ascii="宋体" w:hAnsi="宋体" w:cs="宋体"/>
          <w:sz w:val="24"/>
          <w:szCs w:val="24"/>
          <w:highlight w:val="none"/>
          <w:lang w:eastAsia="zh-CN"/>
        </w:rPr>
        <w:t>。</w:t>
      </w:r>
    </w:p>
    <w:p w14:paraId="0A682357">
      <w:pPr>
        <w:spacing w:line="500" w:lineRule="exact"/>
        <w:ind w:firstLine="360" w:firstLineChars="1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2.货物送到后，甲方负责及时验收</w:t>
      </w:r>
      <w:r>
        <w:rPr>
          <w:rFonts w:hint="eastAsia" w:ascii="宋体" w:hAnsi="宋体" w:cs="宋体"/>
          <w:sz w:val="24"/>
          <w:szCs w:val="24"/>
          <w:highlight w:val="none"/>
          <w:lang w:val="en-US" w:eastAsia="zh-CN"/>
        </w:rPr>
        <w:t>鸡肉类冻品类物资</w:t>
      </w:r>
      <w:r>
        <w:rPr>
          <w:rFonts w:hint="eastAsia" w:ascii="宋体" w:hAnsi="宋体" w:eastAsia="宋体" w:cs="宋体"/>
          <w:sz w:val="24"/>
          <w:szCs w:val="24"/>
          <w:highlight w:val="none"/>
        </w:rPr>
        <w:t>的数量、质量</w:t>
      </w:r>
      <w:r>
        <w:rPr>
          <w:rFonts w:hint="eastAsia" w:ascii="宋体" w:hAnsi="宋体" w:cs="宋体"/>
          <w:sz w:val="24"/>
          <w:szCs w:val="24"/>
          <w:highlight w:val="none"/>
          <w:lang w:eastAsia="zh-CN"/>
        </w:rPr>
        <w:t>。</w:t>
      </w:r>
    </w:p>
    <w:p w14:paraId="6979F588">
      <w:pPr>
        <w:spacing w:line="500" w:lineRule="exact"/>
        <w:ind w:firstLine="360" w:firstLineChars="1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3.验收后因甲方保管不善，造成变质、过期等责任由甲方负责</w:t>
      </w:r>
      <w:r>
        <w:rPr>
          <w:rFonts w:hint="eastAsia" w:ascii="宋体" w:hAnsi="宋体" w:cs="宋体"/>
          <w:sz w:val="24"/>
          <w:szCs w:val="24"/>
          <w:highlight w:val="none"/>
          <w:lang w:eastAsia="zh-CN"/>
        </w:rPr>
        <w:t>。</w:t>
      </w:r>
    </w:p>
    <w:p w14:paraId="471FE5B3">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4.甲方定期（一般为每月</w:t>
      </w:r>
      <w:r>
        <w:rPr>
          <w:rFonts w:hint="eastAsia" w:ascii="宋体" w:hAnsi="宋体" w:cs="宋体"/>
          <w:sz w:val="24"/>
          <w:szCs w:val="24"/>
          <w:highlight w:val="none"/>
          <w:lang w:eastAsia="zh-CN"/>
        </w:rPr>
        <w:t>或按约定周期</w:t>
      </w:r>
      <w:r>
        <w:rPr>
          <w:rFonts w:hint="eastAsia" w:ascii="宋体" w:hAnsi="宋体" w:eastAsia="宋体" w:cs="宋体"/>
          <w:sz w:val="24"/>
          <w:szCs w:val="24"/>
          <w:highlight w:val="none"/>
        </w:rPr>
        <w:t>）与乙方结算，及时支付款项。</w:t>
      </w:r>
    </w:p>
    <w:p w14:paraId="57C79865">
      <w:pPr>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b/>
          <w:sz w:val="24"/>
          <w:szCs w:val="24"/>
          <w:highlight w:val="none"/>
        </w:rPr>
        <w:t>乙方责任、义务</w:t>
      </w:r>
    </w:p>
    <w:p w14:paraId="3798358C">
      <w:pPr>
        <w:spacing w:line="500" w:lineRule="exact"/>
        <w:ind w:firstLine="360" w:firstLineChars="150"/>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1.乙方必须具备长期、稳定的货源，甲方向乙方提出采购计划后，乙方要保证24小时内保质保量为甲方提供所需的</w:t>
      </w:r>
      <w:r>
        <w:rPr>
          <w:rFonts w:hint="eastAsia" w:ascii="宋体" w:hAnsi="宋体" w:cs="宋体"/>
          <w:sz w:val="24"/>
          <w:szCs w:val="24"/>
          <w:highlight w:val="none"/>
          <w:lang w:val="en-US" w:eastAsia="zh-CN"/>
        </w:rPr>
        <w:t>鸡肉类冻品类</w:t>
      </w:r>
      <w:r>
        <w:rPr>
          <w:rFonts w:hint="eastAsia" w:ascii="宋体" w:hAnsi="宋体" w:cs="宋体"/>
          <w:sz w:val="24"/>
          <w:szCs w:val="24"/>
          <w:highlight w:val="none"/>
          <w:lang w:eastAsia="zh-CN"/>
        </w:rPr>
        <w:t>物资，</w:t>
      </w:r>
      <w:r>
        <w:rPr>
          <w:rFonts w:hint="eastAsia" w:ascii="宋体" w:hAnsi="宋体" w:cs="宋体"/>
          <w:color w:val="000000"/>
          <w:sz w:val="24"/>
          <w:szCs w:val="24"/>
          <w:highlight w:val="none"/>
          <w:lang w:val="en-US" w:eastAsia="zh-CN"/>
        </w:rPr>
        <w:t>特殊情况保证能在12小时内供货，在上述原则下，具体以甲方的要求为准</w:t>
      </w:r>
      <w:r>
        <w:rPr>
          <w:rFonts w:hint="eastAsia" w:ascii="宋体" w:hAnsi="宋体" w:cs="宋体"/>
          <w:color w:val="000000"/>
          <w:sz w:val="24"/>
          <w:szCs w:val="24"/>
          <w:highlight w:val="none"/>
          <w:lang w:eastAsia="zh-CN"/>
        </w:rPr>
        <w:t>。</w:t>
      </w:r>
    </w:p>
    <w:p w14:paraId="5CDD65F1">
      <w:pPr>
        <w:spacing w:line="500" w:lineRule="exact"/>
        <w:ind w:firstLine="360" w:firstLineChars="1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2.乙方必须按甲方指定的地点送货，</w:t>
      </w:r>
      <w:r>
        <w:rPr>
          <w:rFonts w:hint="eastAsia" w:ascii="宋体" w:hAnsi="宋体" w:cs="宋体"/>
          <w:sz w:val="24"/>
          <w:szCs w:val="24"/>
          <w:highlight w:val="none"/>
          <w:lang w:eastAsia="zh-CN"/>
        </w:rPr>
        <w:t>在送货过程中要</w:t>
      </w:r>
      <w:r>
        <w:rPr>
          <w:rFonts w:hint="eastAsia" w:ascii="宋体" w:hAnsi="宋体" w:cs="宋体"/>
          <w:sz w:val="24"/>
          <w:szCs w:val="24"/>
          <w:highlight w:val="none"/>
          <w:lang w:val="en-US" w:eastAsia="zh-CN"/>
        </w:rPr>
        <w:t>保证货物</w:t>
      </w:r>
      <w:r>
        <w:rPr>
          <w:rFonts w:hint="eastAsia" w:ascii="宋体" w:hAnsi="宋体" w:cs="宋体"/>
          <w:sz w:val="24"/>
          <w:szCs w:val="24"/>
          <w:highlight w:val="none"/>
          <w:lang w:eastAsia="zh-CN"/>
        </w:rPr>
        <w:t>有防止污染的可靠措施，运输途中的安全、卫生、费用、缺失、损坏等风险由乙方自行负责。乙方送货过程中发生的任何交通意外，由乙方自行全权负责，甲方概不负责。</w:t>
      </w:r>
    </w:p>
    <w:p w14:paraId="6728914A">
      <w:pPr>
        <w:spacing w:line="500" w:lineRule="exact"/>
        <w:ind w:firstLine="360" w:firstLineChars="1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3.乙方提供的货物以甲方验收签字为准。甲方验收时发现</w:t>
      </w:r>
      <w:r>
        <w:rPr>
          <w:rFonts w:hint="eastAsia" w:ascii="宋体" w:hAnsi="宋体" w:cs="宋体"/>
          <w:sz w:val="24"/>
          <w:szCs w:val="24"/>
          <w:highlight w:val="none"/>
          <w:lang w:val="en-US" w:eastAsia="zh-CN"/>
        </w:rPr>
        <w:t>鸡肉类冻品类物资</w:t>
      </w:r>
      <w:r>
        <w:rPr>
          <w:rFonts w:hint="eastAsia" w:ascii="宋体" w:hAnsi="宋体" w:eastAsia="宋体" w:cs="宋体"/>
          <w:sz w:val="24"/>
          <w:szCs w:val="24"/>
          <w:highlight w:val="none"/>
        </w:rPr>
        <w:t>质量不符合甲方的要求，有权拒绝接收，退货由乙方自行</w:t>
      </w:r>
      <w:r>
        <w:rPr>
          <w:rFonts w:hint="eastAsia" w:ascii="宋体" w:hAnsi="宋体" w:eastAsia="宋体" w:cs="宋体"/>
          <w:sz w:val="24"/>
          <w:szCs w:val="24"/>
          <w:highlight w:val="none"/>
          <w:lang w:val="en-US" w:eastAsia="zh-CN"/>
        </w:rPr>
        <w:t>装卸及运走</w:t>
      </w:r>
      <w:r>
        <w:rPr>
          <w:rFonts w:hint="eastAsia" w:ascii="宋体" w:hAnsi="宋体" w:eastAsia="宋体" w:cs="宋体"/>
          <w:sz w:val="24"/>
          <w:szCs w:val="24"/>
          <w:highlight w:val="none"/>
        </w:rPr>
        <w:t>，由此造成的损失由乙方自行承担</w:t>
      </w:r>
      <w:r>
        <w:rPr>
          <w:rFonts w:hint="eastAsia" w:ascii="宋体" w:hAnsi="宋体" w:cs="宋体"/>
          <w:sz w:val="24"/>
          <w:szCs w:val="24"/>
          <w:highlight w:val="none"/>
          <w:lang w:eastAsia="zh-CN"/>
        </w:rPr>
        <w:t>。</w:t>
      </w:r>
    </w:p>
    <w:p w14:paraId="3C9DCF0B">
      <w:pPr>
        <w:spacing w:line="50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4.需要补充货物的，乙方须在甲方要求的时间内补充货物并经甲方验收合格，否则甲方有权另行组织采购且</w:t>
      </w:r>
      <w:r>
        <w:rPr>
          <w:rFonts w:hint="eastAsia" w:ascii="宋体" w:hAnsi="宋体" w:eastAsia="宋体" w:cs="宋体"/>
          <w:sz w:val="24"/>
          <w:szCs w:val="24"/>
          <w:highlight w:val="none"/>
          <w:lang w:eastAsia="zh-CN"/>
        </w:rPr>
        <w:t>由</w:t>
      </w:r>
      <w:r>
        <w:rPr>
          <w:rFonts w:hint="eastAsia" w:ascii="宋体" w:hAnsi="宋体" w:eastAsia="宋体" w:cs="宋体"/>
          <w:sz w:val="24"/>
          <w:szCs w:val="24"/>
          <w:highlight w:val="none"/>
        </w:rPr>
        <w:t>乙方承担</w:t>
      </w:r>
      <w:r>
        <w:rPr>
          <w:rFonts w:hint="eastAsia" w:ascii="宋体" w:hAnsi="宋体" w:eastAsia="宋体" w:cs="宋体"/>
          <w:sz w:val="24"/>
          <w:szCs w:val="24"/>
          <w:highlight w:val="none"/>
          <w:lang w:val="en-US" w:eastAsia="zh-CN"/>
        </w:rPr>
        <w:t>产生的法律</w:t>
      </w:r>
      <w:r>
        <w:rPr>
          <w:rFonts w:hint="eastAsia" w:ascii="宋体" w:hAnsi="宋体" w:eastAsia="宋体" w:cs="宋体"/>
          <w:sz w:val="24"/>
          <w:szCs w:val="24"/>
          <w:highlight w:val="none"/>
        </w:rPr>
        <w:t>后</w:t>
      </w:r>
      <w:r>
        <w:rPr>
          <w:rFonts w:hint="eastAsia" w:ascii="宋体" w:hAnsi="宋体" w:eastAsia="宋体" w:cs="宋体"/>
          <w:color w:val="auto"/>
          <w:sz w:val="24"/>
          <w:szCs w:val="24"/>
          <w:highlight w:val="none"/>
        </w:rPr>
        <w:t>果</w:t>
      </w:r>
      <w:r>
        <w:rPr>
          <w:rFonts w:hint="eastAsia" w:ascii="宋体" w:hAnsi="宋体" w:eastAsia="宋体" w:cs="宋体"/>
          <w:sz w:val="24"/>
          <w:szCs w:val="24"/>
          <w:highlight w:val="none"/>
        </w:rPr>
        <w:t>。</w:t>
      </w:r>
    </w:p>
    <w:p w14:paraId="69EF6A2F">
      <w:pPr>
        <w:spacing w:line="500" w:lineRule="exact"/>
        <w:ind w:firstLine="360" w:firstLineChars="1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5.因乙方所送</w:t>
      </w:r>
      <w:r>
        <w:rPr>
          <w:rFonts w:hint="eastAsia" w:ascii="宋体" w:hAnsi="宋体" w:cs="宋体"/>
          <w:sz w:val="24"/>
          <w:szCs w:val="24"/>
          <w:highlight w:val="none"/>
          <w:lang w:val="en-US" w:eastAsia="zh-CN"/>
        </w:rPr>
        <w:t>鸡肉类冻品类物资</w:t>
      </w:r>
      <w:r>
        <w:rPr>
          <w:rFonts w:hint="eastAsia" w:ascii="宋体" w:hAnsi="宋体" w:eastAsia="宋体" w:cs="宋体"/>
          <w:sz w:val="24"/>
          <w:szCs w:val="24"/>
          <w:highlight w:val="none"/>
        </w:rPr>
        <w:t>存在质量问题，造成相关部门处罚及赔偿的，由乙方承担法律等一切责任</w:t>
      </w:r>
      <w:r>
        <w:rPr>
          <w:rFonts w:hint="eastAsia" w:ascii="宋体" w:hAnsi="宋体" w:cs="宋体"/>
          <w:sz w:val="24"/>
          <w:szCs w:val="24"/>
          <w:highlight w:val="none"/>
          <w:lang w:eastAsia="zh-CN"/>
        </w:rPr>
        <w:t>。</w:t>
      </w:r>
    </w:p>
    <w:p w14:paraId="1DC6596A">
      <w:pPr>
        <w:spacing w:line="500" w:lineRule="exact"/>
        <w:ind w:firstLine="360" w:firstLineChars="1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6.乙方所提供的</w:t>
      </w:r>
      <w:r>
        <w:rPr>
          <w:rFonts w:hint="eastAsia" w:ascii="宋体" w:hAnsi="宋体" w:cs="宋体"/>
          <w:sz w:val="24"/>
          <w:szCs w:val="24"/>
          <w:highlight w:val="none"/>
          <w:lang w:val="en-US" w:eastAsia="zh-CN"/>
        </w:rPr>
        <w:t>鸡肉类冻品类物资</w:t>
      </w:r>
      <w:r>
        <w:rPr>
          <w:rFonts w:hint="eastAsia" w:ascii="宋体" w:hAnsi="宋体" w:eastAsia="宋体" w:cs="宋体"/>
          <w:sz w:val="24"/>
          <w:szCs w:val="24"/>
          <w:highlight w:val="none"/>
        </w:rPr>
        <w:t>必须严格保证质量，满足《中华人民共和国食品安全法》及有关国家标准，保障食品安全，禁止提供未经检测及品质不达标的</w:t>
      </w:r>
      <w:r>
        <w:rPr>
          <w:rFonts w:hint="eastAsia" w:ascii="宋体" w:hAnsi="宋体" w:cs="宋体"/>
          <w:sz w:val="24"/>
          <w:szCs w:val="24"/>
          <w:highlight w:val="none"/>
          <w:lang w:val="en-US" w:eastAsia="zh-CN"/>
        </w:rPr>
        <w:t>鸡肉类冻品类</w:t>
      </w:r>
      <w:r>
        <w:rPr>
          <w:rFonts w:hint="eastAsia" w:ascii="宋体" w:hAnsi="宋体" w:cs="宋体"/>
          <w:sz w:val="24"/>
          <w:szCs w:val="24"/>
          <w:highlight w:val="none"/>
          <w:lang w:eastAsia="zh-CN"/>
        </w:rPr>
        <w:t>物资。</w:t>
      </w:r>
    </w:p>
    <w:p w14:paraId="3D771465">
      <w:pPr>
        <w:spacing w:line="500" w:lineRule="exact"/>
        <w:ind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7.</w:t>
      </w:r>
      <w:r>
        <w:rPr>
          <w:rFonts w:hint="eastAsia" w:ascii="宋体" w:hAnsi="宋体" w:eastAsia="宋体" w:cs="宋体"/>
          <w:color w:val="auto"/>
          <w:sz w:val="24"/>
          <w:szCs w:val="24"/>
          <w:highlight w:val="none"/>
        </w:rPr>
        <w:t>乙方所供</w:t>
      </w:r>
      <w:r>
        <w:rPr>
          <w:rFonts w:hint="eastAsia" w:ascii="宋体" w:hAnsi="宋体" w:cs="宋体"/>
          <w:color w:val="auto"/>
          <w:sz w:val="24"/>
          <w:szCs w:val="24"/>
          <w:highlight w:val="none"/>
          <w:lang w:val="en-US" w:eastAsia="zh-CN"/>
        </w:rPr>
        <w:t>鸡肉类</w:t>
      </w:r>
      <w:r>
        <w:rPr>
          <w:rFonts w:hint="eastAsia" w:ascii="宋体" w:hAnsi="宋体" w:eastAsia="宋体" w:cs="宋体"/>
          <w:color w:val="auto"/>
          <w:sz w:val="24"/>
          <w:szCs w:val="24"/>
          <w:highlight w:val="none"/>
          <w:lang w:eastAsia="zh-CN"/>
        </w:rPr>
        <w:t>必须保证新鲜，肌肉色泽正常、有光泽，组织状态致密、有弹性，外表微干或微湿润、不粘手，气味正常；无腐败、无变质、无异味、无生虫、无油脂酸败、无污秽不洁、无淤血、无病变、无注水、不能混有异物或者其它感官性状异物，且符合《食品安全国家标准 鲜（冻）畜、禽产品》（GB 2707-2016）的相关要求。鸡肉须来自合法定点屠宰企业，来源可追溯；每次送货必须随货提供有效的动物检疫合格证明，证明需真实、完整、在有效期内，</w:t>
      </w:r>
      <w:r>
        <w:rPr>
          <w:rFonts w:hint="eastAsia" w:ascii="宋体" w:hAnsi="宋体" w:eastAsia="宋体" w:cs="宋体"/>
          <w:color w:val="auto"/>
          <w:sz w:val="24"/>
          <w:szCs w:val="24"/>
          <w:highlight w:val="none"/>
          <w:lang w:val="en-US" w:eastAsia="zh-CN"/>
        </w:rPr>
        <w:t>鲜宰肉鸡，去毛去内脏，按要求分割成均匀小块。每次送货时，鸡头、鸡脚、鸡脖子等部位需单独分篮（或袋）装</w:t>
      </w:r>
      <w:r>
        <w:rPr>
          <w:rFonts w:hint="eastAsia" w:ascii="宋体" w:hAnsi="宋体" w:eastAsia="宋体" w:cs="宋体"/>
          <w:color w:val="auto"/>
          <w:sz w:val="24"/>
          <w:szCs w:val="24"/>
          <w:highlight w:val="none"/>
          <w:lang w:eastAsia="zh-CN"/>
        </w:rPr>
        <w:t>。</w:t>
      </w:r>
    </w:p>
    <w:p w14:paraId="4303BFE4">
      <w:pPr>
        <w:spacing w:line="500" w:lineRule="exact"/>
        <w:ind w:firstLine="360" w:firstLineChars="150"/>
        <w:rPr>
          <w:rFonts w:hint="eastAsia" w:ascii="宋体" w:hAnsi="宋体" w:eastAsia="宋体" w:cs="宋体"/>
          <w:color w:val="auto"/>
          <w:sz w:val="48"/>
          <w:szCs w:val="48"/>
          <w:highlight w:val="none"/>
          <w:lang w:eastAsia="zh-CN"/>
        </w:rPr>
      </w:pPr>
      <w:r>
        <w:rPr>
          <w:rFonts w:hint="eastAsia" w:ascii="宋体" w:hAnsi="宋体" w:eastAsia="宋体" w:cs="宋体"/>
          <w:color w:val="auto"/>
          <w:sz w:val="24"/>
          <w:szCs w:val="24"/>
          <w:highlight w:val="none"/>
          <w:lang w:val="en-US" w:eastAsia="zh-CN"/>
        </w:rPr>
        <w:t>乙方所供冻品类产品为国产非进口淡水鱼虾类动物性水产品，包含冻虾丸、冻虾仁、冻巴沙鱼片等品类，全部产品须为预包装食品，甲方不接受任何形式的散装食品；产品需同时符合以下现行有效食品安全国家标准及国家相关法规规定，</w:t>
      </w:r>
      <w:r>
        <w:rPr>
          <w:rFonts w:hint="eastAsia" w:ascii="宋体" w:hAnsi="宋体" w:eastAsia="宋体" w:cs="宋体"/>
          <w:color w:val="0000FF"/>
          <w:sz w:val="24"/>
          <w:szCs w:val="24"/>
          <w:highlight w:val="none"/>
          <w:lang w:val="en-US" w:eastAsia="zh-CN"/>
        </w:rPr>
        <w:t>若合同履行期内相关标准更新换代，需自动执行最新版标准《食品安全国家标准 鲜、冻动物性水产品》（GB 2733-2015）、《食品安全国家标准 速冻食品生产和经营卫生规范》（GB 31646-2018）、 《食品安全国家标准 预包装食品标签通则》（GB 7718-2011）、《冷冻水产品冰衣限量》（SC/T 3054-2020）、冻虾丸等速冻调制食品，还需符合《食品安全国家标准 速冻面米与调制食品》（GB 19295-2021），冰冻食品（</w:t>
      </w:r>
      <w:r>
        <w:rPr>
          <w:rFonts w:hint="eastAsia" w:ascii="宋体" w:hAnsi="宋体" w:cs="宋体"/>
          <w:color w:val="0000FF"/>
          <w:sz w:val="24"/>
          <w:szCs w:val="24"/>
          <w:highlight w:val="none"/>
          <w:lang w:val="en-US" w:eastAsia="zh-CN"/>
        </w:rPr>
        <w:t>冻</w:t>
      </w:r>
      <w:r>
        <w:rPr>
          <w:rFonts w:hint="eastAsia" w:ascii="宋体" w:hAnsi="宋体" w:eastAsia="宋体" w:cs="宋体"/>
          <w:color w:val="0000FF"/>
          <w:sz w:val="24"/>
          <w:szCs w:val="24"/>
          <w:highlight w:val="none"/>
          <w:lang w:val="en-US" w:eastAsia="zh-CN"/>
        </w:rPr>
        <w:t>鱼丸、虾丸、</w:t>
      </w:r>
      <w:r>
        <w:rPr>
          <w:rFonts w:hint="eastAsia" w:ascii="宋体" w:hAnsi="宋体" w:cs="宋体"/>
          <w:color w:val="0000FF"/>
          <w:sz w:val="24"/>
          <w:szCs w:val="24"/>
          <w:highlight w:val="none"/>
          <w:lang w:val="en-US" w:eastAsia="zh-CN"/>
        </w:rPr>
        <w:t>冻</w:t>
      </w:r>
      <w:r>
        <w:rPr>
          <w:rFonts w:hint="eastAsia" w:ascii="宋体" w:hAnsi="宋体" w:eastAsia="宋体" w:cs="宋体"/>
          <w:color w:val="0000FF"/>
          <w:sz w:val="24"/>
          <w:szCs w:val="24"/>
          <w:highlight w:val="none"/>
          <w:lang w:val="en-US" w:eastAsia="zh-CN"/>
        </w:rPr>
        <w:t>虾仁、冻巴沙鱼片类）必须符合国家冰冻类食品的相关规定，冻虾仁、冻巴沙鱼片等鲜冻动物性水产品须符合 GB 2733-2015；冻虾丸等速冻调制食品须同时符合 GB 31646-2018 及《食品安全国家标准 速冻面米与调制食品》（GB 19295-2021 ）等相关标准。产品包装标签须符合 GB 7718 要求，对含有固、液两相且固相为主要原料的产品，必须清晰标注沥干物（固形物）含量；纯固态产品按规定标注净含量（不含冰衣），冻品类产品冰衣含量≤20%（符合 SC/T 3054-2020）；产品标注净含量为去除冰衣后的实际食品重量，冰衣不计入净含量。</w:t>
      </w:r>
      <w:r>
        <w:rPr>
          <w:rFonts w:hint="eastAsia" w:ascii="宋体" w:hAnsi="宋体" w:eastAsia="宋体" w:cs="宋体"/>
          <w:color w:val="auto"/>
          <w:sz w:val="24"/>
          <w:szCs w:val="24"/>
          <w:highlight w:val="none"/>
          <w:lang w:val="en-US" w:eastAsia="zh-CN"/>
        </w:rPr>
        <w:t>鸡肉类和冻品类每年至少提供一次第三方质量检验（检测）报告。如有保质期的剩余保质期为保质期的1/2以上。提供的</w:t>
      </w:r>
      <w:r>
        <w:rPr>
          <w:rFonts w:hint="eastAsia" w:ascii="宋体" w:hAnsi="宋体" w:cs="宋体"/>
          <w:color w:val="auto"/>
          <w:sz w:val="24"/>
          <w:szCs w:val="24"/>
          <w:highlight w:val="none"/>
          <w:lang w:val="en-US" w:eastAsia="zh-CN"/>
        </w:rPr>
        <w:t>鸡肉类冻品类</w:t>
      </w:r>
      <w:r>
        <w:rPr>
          <w:rFonts w:hint="eastAsia" w:ascii="宋体" w:hAnsi="宋体" w:eastAsia="宋体" w:cs="宋体"/>
          <w:color w:val="auto"/>
          <w:sz w:val="24"/>
          <w:szCs w:val="24"/>
          <w:highlight w:val="none"/>
          <w:lang w:val="en-US" w:eastAsia="zh-CN"/>
        </w:rPr>
        <w:t>食品如出现品质不达标等情况甲方将退货，乙方无条件承担所有后果。</w:t>
      </w:r>
    </w:p>
    <w:p w14:paraId="3DB4C3A4">
      <w:pPr>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三、供应品种及价格</w:t>
      </w:r>
    </w:p>
    <w:p w14:paraId="7E219ECD">
      <w:pPr>
        <w:spacing w:line="500" w:lineRule="exact"/>
        <w:ind w:firstLine="360" w:firstLineChars="150"/>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 乙方应向甲方提供安全、卫生、优质的</w:t>
      </w:r>
      <w:r>
        <w:rPr>
          <w:rFonts w:hint="eastAsia" w:ascii="宋体" w:hAnsi="宋体" w:cs="宋体"/>
          <w:color w:val="auto"/>
          <w:sz w:val="24"/>
          <w:szCs w:val="24"/>
          <w:highlight w:val="none"/>
          <w:lang w:val="en-US" w:eastAsia="zh-CN"/>
        </w:rPr>
        <w:t>鸡肉类冻品类物资</w:t>
      </w:r>
      <w:r>
        <w:rPr>
          <w:rFonts w:hint="eastAsia" w:ascii="宋体" w:hAnsi="宋体" w:cs="宋体"/>
          <w:color w:val="auto"/>
          <w:kern w:val="0"/>
          <w:sz w:val="24"/>
          <w:szCs w:val="24"/>
          <w:highlight w:val="none"/>
          <w:lang w:eastAsia="zh-CN"/>
        </w:rPr>
        <w:t>。</w:t>
      </w:r>
      <w:r>
        <w:rPr>
          <w:rFonts w:hint="eastAsia" w:ascii="宋体" w:hAnsi="宋体" w:eastAsia="宋体" w:cs="宋体"/>
          <w:sz w:val="24"/>
          <w:szCs w:val="24"/>
          <w:highlight w:val="none"/>
        </w:rPr>
        <w:t>乙方供应产品名称规格及价格（中标价）：</w:t>
      </w:r>
    </w:p>
    <w:tbl>
      <w:tblPr>
        <w:tblStyle w:val="32"/>
        <w:tblW w:w="9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424"/>
        <w:gridCol w:w="1501"/>
        <w:gridCol w:w="1395"/>
        <w:gridCol w:w="1395"/>
        <w:gridCol w:w="1185"/>
        <w:gridCol w:w="1875"/>
      </w:tblGrid>
      <w:tr w14:paraId="4CA5C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41" w:type="dxa"/>
            <w:noWrap w:val="0"/>
            <w:vAlign w:val="center"/>
          </w:tcPr>
          <w:p w14:paraId="4D5606EB">
            <w:pPr>
              <w:keepNext w:val="0"/>
              <w:keepLines w:val="0"/>
              <w:suppressLineNumbers w:val="0"/>
              <w:spacing w:before="0" w:beforeAutospacing="0" w:after="0" w:afterAutospacing="0" w:line="360" w:lineRule="auto"/>
              <w:ind w:left="0" w:right="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序号</w:t>
            </w:r>
          </w:p>
        </w:tc>
        <w:tc>
          <w:tcPr>
            <w:tcW w:w="1424" w:type="dxa"/>
            <w:noWrap w:val="0"/>
            <w:vAlign w:val="center"/>
          </w:tcPr>
          <w:p w14:paraId="23AEB844">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产品名称</w:t>
            </w:r>
          </w:p>
        </w:tc>
        <w:tc>
          <w:tcPr>
            <w:tcW w:w="1501" w:type="dxa"/>
            <w:noWrap w:val="0"/>
            <w:vAlign w:val="center"/>
          </w:tcPr>
          <w:p w14:paraId="5B6F38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中标单价</w:t>
            </w:r>
            <w:r>
              <w:rPr>
                <w:rFonts w:hint="eastAsia" w:ascii="宋体" w:hAnsi="宋体" w:eastAsia="宋体" w:cs="宋体"/>
                <w:b w:val="0"/>
                <w:bCs/>
                <w:sz w:val="24"/>
                <w:szCs w:val="24"/>
                <w:highlight w:val="none"/>
              </w:rPr>
              <w:t>（元</w:t>
            </w:r>
            <w:r>
              <w:rPr>
                <w:rFonts w:hint="eastAsia" w:ascii="宋体" w:hAnsi="宋体" w:eastAsia="宋体" w:cs="宋体"/>
                <w:b w:val="0"/>
                <w:bCs/>
                <w:sz w:val="24"/>
                <w:szCs w:val="24"/>
                <w:highlight w:val="none"/>
                <w:lang w:val="en-US" w:eastAsia="zh-CN"/>
              </w:rPr>
              <w:t>/公斤</w:t>
            </w:r>
            <w:r>
              <w:rPr>
                <w:rFonts w:hint="eastAsia" w:ascii="宋体" w:hAnsi="宋体" w:eastAsia="宋体" w:cs="宋体"/>
                <w:b w:val="0"/>
                <w:bCs/>
                <w:sz w:val="24"/>
                <w:szCs w:val="24"/>
                <w:highlight w:val="none"/>
              </w:rPr>
              <w:t>）</w:t>
            </w:r>
          </w:p>
        </w:tc>
        <w:tc>
          <w:tcPr>
            <w:tcW w:w="1395" w:type="dxa"/>
            <w:noWrap w:val="0"/>
            <w:vAlign w:val="center"/>
          </w:tcPr>
          <w:p w14:paraId="642CEF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统一下浮率%</w:t>
            </w:r>
          </w:p>
        </w:tc>
        <w:tc>
          <w:tcPr>
            <w:tcW w:w="1395" w:type="dxa"/>
            <w:noWrap w:val="0"/>
            <w:vAlign w:val="center"/>
          </w:tcPr>
          <w:p w14:paraId="0C30EC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strike w:val="0"/>
                <w:dstrike w:val="0"/>
                <w:color w:val="auto"/>
                <w:sz w:val="24"/>
                <w:szCs w:val="24"/>
                <w:highlight w:val="none"/>
                <w:lang w:val="en-US" w:eastAsia="zh-CN"/>
              </w:rPr>
              <w:t>预估数量（公斤）</w:t>
            </w:r>
          </w:p>
        </w:tc>
        <w:tc>
          <w:tcPr>
            <w:tcW w:w="1185" w:type="dxa"/>
            <w:noWrap w:val="0"/>
            <w:vAlign w:val="center"/>
          </w:tcPr>
          <w:p w14:paraId="486F5FE0">
            <w:pPr>
              <w:keepNext w:val="0"/>
              <w:keepLines w:val="0"/>
              <w:suppressLineNumbers w:val="0"/>
              <w:spacing w:before="0" w:beforeAutospacing="0" w:after="0" w:afterAutospacing="0" w:line="360" w:lineRule="auto"/>
              <w:ind w:left="0" w:right="0"/>
              <w:jc w:val="center"/>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生产厂家</w:t>
            </w:r>
            <w:r>
              <w:rPr>
                <w:rFonts w:hint="eastAsia" w:ascii="宋体" w:hAnsi="宋体" w:eastAsia="宋体" w:cs="宋体"/>
                <w:b w:val="0"/>
                <w:bCs/>
                <w:color w:val="auto"/>
                <w:sz w:val="24"/>
                <w:szCs w:val="24"/>
                <w:highlight w:val="none"/>
                <w:lang w:val="en-US" w:eastAsia="zh-CN"/>
              </w:rPr>
              <w:t>/供货商名称</w:t>
            </w:r>
          </w:p>
        </w:tc>
        <w:tc>
          <w:tcPr>
            <w:tcW w:w="1875" w:type="dxa"/>
            <w:noWrap w:val="0"/>
            <w:vAlign w:val="center"/>
          </w:tcPr>
          <w:p w14:paraId="5EF3D6F9">
            <w:pPr>
              <w:pStyle w:val="17"/>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规格</w:t>
            </w:r>
            <w:r>
              <w:rPr>
                <w:rFonts w:hint="eastAsia" w:hAnsi="宋体" w:cs="宋体"/>
                <w:b w:val="0"/>
                <w:bCs/>
                <w:color w:val="auto"/>
                <w:sz w:val="24"/>
                <w:szCs w:val="24"/>
                <w:highlight w:val="none"/>
                <w:lang w:eastAsia="zh-CN"/>
              </w:rPr>
              <w:t>参数</w:t>
            </w:r>
          </w:p>
        </w:tc>
      </w:tr>
      <w:tr w14:paraId="03999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noWrap w:val="0"/>
            <w:vAlign w:val="center"/>
          </w:tcPr>
          <w:p w14:paraId="2D30C156">
            <w:pPr>
              <w:pStyle w:val="17"/>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24" w:type="dxa"/>
            <w:noWrap w:val="0"/>
            <w:vAlign w:val="center"/>
          </w:tcPr>
          <w:p w14:paraId="75DD5CDD">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sz w:val="24"/>
                <w:szCs w:val="24"/>
                <w:highlight w:val="none"/>
                <w:lang w:eastAsia="zh-CN"/>
              </w:rPr>
            </w:pPr>
          </w:p>
        </w:tc>
        <w:tc>
          <w:tcPr>
            <w:tcW w:w="1501" w:type="dxa"/>
            <w:noWrap w:val="0"/>
            <w:vAlign w:val="center"/>
          </w:tcPr>
          <w:p w14:paraId="6B81418D">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sz w:val="24"/>
                <w:szCs w:val="24"/>
                <w:highlight w:val="none"/>
                <w:lang w:val="en-US" w:eastAsia="zh-CN"/>
              </w:rPr>
            </w:pPr>
          </w:p>
        </w:tc>
        <w:tc>
          <w:tcPr>
            <w:tcW w:w="1395" w:type="dxa"/>
            <w:noWrap w:val="0"/>
            <w:vAlign w:val="center"/>
          </w:tcPr>
          <w:p w14:paraId="5E71B2AE">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sz w:val="24"/>
                <w:szCs w:val="24"/>
                <w:highlight w:val="none"/>
                <w:lang w:val="en-US" w:eastAsia="zh-CN"/>
              </w:rPr>
            </w:pPr>
          </w:p>
        </w:tc>
        <w:tc>
          <w:tcPr>
            <w:tcW w:w="1395" w:type="dxa"/>
            <w:noWrap w:val="0"/>
            <w:vAlign w:val="center"/>
          </w:tcPr>
          <w:p w14:paraId="0D5DCD6B">
            <w:pPr>
              <w:pStyle w:val="17"/>
              <w:keepNext w:val="0"/>
              <w:keepLines w:val="0"/>
              <w:suppressLineNumbers w:val="0"/>
              <w:spacing w:before="0" w:beforeAutospacing="0" w:after="0" w:afterAutospacing="0" w:line="360" w:lineRule="auto"/>
              <w:ind w:left="0" w:leftChars="0" w:right="0" w:firstLine="0" w:firstLineChars="0"/>
              <w:jc w:val="center"/>
              <w:rPr>
                <w:rFonts w:hint="default" w:ascii="宋体" w:hAnsi="宋体" w:eastAsia="宋体" w:cs="宋体"/>
                <w:sz w:val="24"/>
                <w:szCs w:val="24"/>
                <w:highlight w:val="none"/>
                <w:lang w:val="en-US" w:eastAsia="zh-CN"/>
              </w:rPr>
            </w:pPr>
          </w:p>
        </w:tc>
        <w:tc>
          <w:tcPr>
            <w:tcW w:w="1185" w:type="dxa"/>
            <w:noWrap w:val="0"/>
            <w:vAlign w:val="center"/>
          </w:tcPr>
          <w:p w14:paraId="6AF530F1">
            <w:pPr>
              <w:pStyle w:val="17"/>
              <w:keepNext w:val="0"/>
              <w:keepLines w:val="0"/>
              <w:suppressLineNumbers w:val="0"/>
              <w:spacing w:before="0" w:beforeAutospacing="0" w:after="0" w:afterAutospacing="0" w:line="360" w:lineRule="auto"/>
              <w:ind w:right="0"/>
              <w:jc w:val="both"/>
              <w:rPr>
                <w:rFonts w:hint="eastAsia" w:ascii="宋体" w:hAnsi="宋体" w:eastAsia="宋体" w:cs="宋体"/>
                <w:sz w:val="24"/>
                <w:szCs w:val="24"/>
                <w:highlight w:val="none"/>
                <w:lang w:val="en-US" w:eastAsia="zh-CN"/>
              </w:rPr>
            </w:pPr>
          </w:p>
        </w:tc>
        <w:tc>
          <w:tcPr>
            <w:tcW w:w="1875" w:type="dxa"/>
            <w:noWrap w:val="0"/>
            <w:vAlign w:val="center"/>
          </w:tcPr>
          <w:p w14:paraId="64090188">
            <w:pPr>
              <w:pStyle w:val="17"/>
              <w:keepNext w:val="0"/>
              <w:keepLines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p>
        </w:tc>
      </w:tr>
      <w:tr w14:paraId="46965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41" w:type="dxa"/>
            <w:noWrap w:val="0"/>
            <w:vAlign w:val="center"/>
          </w:tcPr>
          <w:p w14:paraId="2724E49B">
            <w:pPr>
              <w:pStyle w:val="17"/>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lang w:eastAsia="zh-CN"/>
              </w:rPr>
            </w:pPr>
            <w:r>
              <w:rPr>
                <w:rFonts w:hint="eastAsia" w:hAnsi="宋体" w:cs="宋体"/>
                <w:sz w:val="24"/>
                <w:szCs w:val="24"/>
                <w:highlight w:val="none"/>
                <w:lang w:val="en-US" w:eastAsia="zh-CN"/>
              </w:rPr>
              <w:t>2</w:t>
            </w:r>
          </w:p>
        </w:tc>
        <w:tc>
          <w:tcPr>
            <w:tcW w:w="1424" w:type="dxa"/>
            <w:noWrap w:val="0"/>
            <w:vAlign w:val="center"/>
          </w:tcPr>
          <w:p w14:paraId="60CDF895">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sz w:val="24"/>
                <w:szCs w:val="24"/>
                <w:highlight w:val="none"/>
                <w:lang w:eastAsia="zh-CN"/>
              </w:rPr>
            </w:pPr>
          </w:p>
        </w:tc>
        <w:tc>
          <w:tcPr>
            <w:tcW w:w="1501" w:type="dxa"/>
            <w:noWrap w:val="0"/>
            <w:vAlign w:val="center"/>
          </w:tcPr>
          <w:p w14:paraId="7A193F87">
            <w:pPr>
              <w:keepNext w:val="0"/>
              <w:keepLines w:val="0"/>
              <w:widowControl/>
              <w:suppressLineNumbers w:val="0"/>
              <w:spacing w:before="0" w:beforeAutospacing="0" w:after="0" w:afterAutospacing="0" w:line="360" w:lineRule="auto"/>
              <w:ind w:left="0" w:leftChars="0" w:right="0" w:rightChars="0"/>
              <w:jc w:val="center"/>
              <w:textAlignment w:val="center"/>
              <w:rPr>
                <w:rFonts w:hint="default" w:ascii="宋体" w:hAnsi="宋体" w:eastAsia="宋体" w:cs="宋体"/>
                <w:sz w:val="24"/>
                <w:szCs w:val="24"/>
                <w:highlight w:val="none"/>
                <w:lang w:val="en-US" w:eastAsia="zh-CN"/>
              </w:rPr>
            </w:pPr>
          </w:p>
        </w:tc>
        <w:tc>
          <w:tcPr>
            <w:tcW w:w="1395" w:type="dxa"/>
            <w:noWrap w:val="0"/>
            <w:vAlign w:val="center"/>
          </w:tcPr>
          <w:p w14:paraId="5469425B">
            <w:pPr>
              <w:keepNext w:val="0"/>
              <w:keepLines w:val="0"/>
              <w:widowControl/>
              <w:suppressLineNumbers w:val="0"/>
              <w:spacing w:before="0" w:beforeAutospacing="0" w:after="0" w:afterAutospacing="0" w:line="360" w:lineRule="auto"/>
              <w:ind w:left="0" w:leftChars="0" w:right="0" w:rightChars="0"/>
              <w:jc w:val="center"/>
              <w:textAlignment w:val="center"/>
              <w:rPr>
                <w:rFonts w:hint="eastAsia" w:ascii="宋体" w:hAnsi="宋体" w:eastAsia="宋体" w:cs="宋体"/>
                <w:sz w:val="24"/>
                <w:szCs w:val="24"/>
                <w:highlight w:val="none"/>
                <w:lang w:val="en-US" w:eastAsia="zh-CN"/>
              </w:rPr>
            </w:pPr>
          </w:p>
        </w:tc>
        <w:tc>
          <w:tcPr>
            <w:tcW w:w="1395" w:type="dxa"/>
            <w:noWrap w:val="0"/>
            <w:vAlign w:val="center"/>
          </w:tcPr>
          <w:p w14:paraId="3C34FEA0">
            <w:pPr>
              <w:pStyle w:val="17"/>
              <w:keepNext w:val="0"/>
              <w:keepLines w:val="0"/>
              <w:suppressLineNumbers w:val="0"/>
              <w:spacing w:before="0" w:beforeAutospacing="0" w:after="0" w:afterAutospacing="0" w:line="360" w:lineRule="auto"/>
              <w:ind w:left="0" w:leftChars="0" w:right="0" w:rightChars="0" w:firstLine="0" w:firstLineChars="0"/>
              <w:jc w:val="center"/>
              <w:rPr>
                <w:rFonts w:hint="default" w:ascii="宋体" w:hAnsi="宋体" w:eastAsia="宋体" w:cs="宋体"/>
                <w:sz w:val="24"/>
                <w:szCs w:val="24"/>
                <w:highlight w:val="none"/>
                <w:lang w:val="en-US" w:eastAsia="zh-CN"/>
              </w:rPr>
            </w:pPr>
          </w:p>
        </w:tc>
        <w:tc>
          <w:tcPr>
            <w:tcW w:w="1185" w:type="dxa"/>
            <w:noWrap w:val="0"/>
            <w:vAlign w:val="center"/>
          </w:tcPr>
          <w:p w14:paraId="4B062273">
            <w:pPr>
              <w:pStyle w:val="17"/>
              <w:keepNext w:val="0"/>
              <w:keepLines w:val="0"/>
              <w:suppressLineNumbers w:val="0"/>
              <w:spacing w:before="0" w:beforeAutospacing="0" w:after="0" w:afterAutospacing="0" w:line="360" w:lineRule="auto"/>
              <w:ind w:right="0" w:rightChars="0"/>
              <w:jc w:val="both"/>
              <w:rPr>
                <w:rFonts w:hint="eastAsia" w:ascii="宋体" w:hAnsi="宋体" w:eastAsia="宋体" w:cs="宋体"/>
                <w:sz w:val="24"/>
                <w:szCs w:val="24"/>
                <w:highlight w:val="none"/>
                <w:lang w:eastAsia="zh-CN"/>
              </w:rPr>
            </w:pPr>
          </w:p>
        </w:tc>
        <w:tc>
          <w:tcPr>
            <w:tcW w:w="1875" w:type="dxa"/>
            <w:noWrap w:val="0"/>
            <w:vAlign w:val="center"/>
          </w:tcPr>
          <w:p w14:paraId="61A6955B">
            <w:pPr>
              <w:pStyle w:val="17"/>
              <w:keepNext w:val="0"/>
              <w:keepLines w:val="0"/>
              <w:suppressLineNumbers w:val="0"/>
              <w:spacing w:before="0" w:beforeAutospacing="0" w:after="0" w:afterAutospacing="0" w:line="360" w:lineRule="auto"/>
              <w:ind w:left="0" w:leftChars="0" w:right="0" w:rightChars="0" w:firstLine="0" w:firstLineChars="0"/>
              <w:jc w:val="center"/>
              <w:rPr>
                <w:rFonts w:hint="default" w:ascii="宋体" w:hAnsi="宋体" w:eastAsia="宋体" w:cs="宋体"/>
                <w:sz w:val="24"/>
                <w:szCs w:val="24"/>
                <w:highlight w:val="none"/>
                <w:lang w:val="en-US" w:eastAsia="zh-CN"/>
              </w:rPr>
            </w:pPr>
          </w:p>
        </w:tc>
      </w:tr>
      <w:tr w14:paraId="79DEE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741" w:type="dxa"/>
            <w:noWrap w:val="0"/>
            <w:vAlign w:val="center"/>
          </w:tcPr>
          <w:p w14:paraId="5472274A">
            <w:pPr>
              <w:pStyle w:val="17"/>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lang w:eastAsia="zh-CN"/>
              </w:rPr>
            </w:pPr>
            <w:r>
              <w:rPr>
                <w:rFonts w:hint="eastAsia" w:hAnsi="宋体" w:cs="宋体"/>
                <w:sz w:val="24"/>
                <w:szCs w:val="24"/>
                <w:highlight w:val="none"/>
                <w:lang w:val="en-US" w:eastAsia="zh-CN"/>
              </w:rPr>
              <w:t>3</w:t>
            </w:r>
          </w:p>
        </w:tc>
        <w:tc>
          <w:tcPr>
            <w:tcW w:w="1424" w:type="dxa"/>
            <w:noWrap w:val="0"/>
            <w:vAlign w:val="center"/>
          </w:tcPr>
          <w:p w14:paraId="34A106A7">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sz w:val="24"/>
                <w:szCs w:val="24"/>
                <w:highlight w:val="none"/>
                <w:lang w:eastAsia="zh-CN"/>
              </w:rPr>
            </w:pPr>
          </w:p>
        </w:tc>
        <w:tc>
          <w:tcPr>
            <w:tcW w:w="1501" w:type="dxa"/>
            <w:noWrap w:val="0"/>
            <w:vAlign w:val="center"/>
          </w:tcPr>
          <w:p w14:paraId="4787CA3C">
            <w:pPr>
              <w:keepNext w:val="0"/>
              <w:keepLines w:val="0"/>
              <w:widowControl/>
              <w:suppressLineNumbers w:val="0"/>
              <w:spacing w:before="0" w:beforeAutospacing="0" w:after="0" w:afterAutospacing="0" w:line="360" w:lineRule="auto"/>
              <w:ind w:left="0" w:leftChars="0" w:right="0" w:rightChars="0"/>
              <w:jc w:val="center"/>
              <w:textAlignment w:val="center"/>
              <w:rPr>
                <w:rFonts w:hint="default" w:ascii="宋体" w:hAnsi="宋体" w:eastAsia="宋体" w:cs="宋体"/>
                <w:sz w:val="24"/>
                <w:szCs w:val="24"/>
                <w:highlight w:val="none"/>
                <w:lang w:val="en-US" w:eastAsia="zh-CN"/>
              </w:rPr>
            </w:pPr>
          </w:p>
        </w:tc>
        <w:tc>
          <w:tcPr>
            <w:tcW w:w="1395" w:type="dxa"/>
            <w:noWrap w:val="0"/>
            <w:vAlign w:val="center"/>
          </w:tcPr>
          <w:p w14:paraId="06D1CFAB">
            <w:pPr>
              <w:keepNext w:val="0"/>
              <w:keepLines w:val="0"/>
              <w:widowControl/>
              <w:suppressLineNumbers w:val="0"/>
              <w:spacing w:before="0" w:beforeAutospacing="0" w:after="0" w:afterAutospacing="0" w:line="360" w:lineRule="auto"/>
              <w:ind w:left="0" w:leftChars="0" w:right="0" w:rightChars="0"/>
              <w:jc w:val="center"/>
              <w:textAlignment w:val="center"/>
              <w:rPr>
                <w:rFonts w:hint="eastAsia" w:ascii="宋体" w:hAnsi="宋体" w:eastAsia="宋体" w:cs="宋体"/>
                <w:sz w:val="24"/>
                <w:szCs w:val="24"/>
                <w:highlight w:val="none"/>
                <w:lang w:val="en-US" w:eastAsia="zh-CN"/>
              </w:rPr>
            </w:pPr>
          </w:p>
        </w:tc>
        <w:tc>
          <w:tcPr>
            <w:tcW w:w="1395" w:type="dxa"/>
            <w:noWrap w:val="0"/>
            <w:vAlign w:val="center"/>
          </w:tcPr>
          <w:p w14:paraId="4BB1234C">
            <w:pPr>
              <w:pStyle w:val="17"/>
              <w:keepNext w:val="0"/>
              <w:keepLines w:val="0"/>
              <w:suppressLineNumbers w:val="0"/>
              <w:spacing w:before="0" w:beforeAutospacing="0" w:after="0" w:afterAutospacing="0" w:line="360" w:lineRule="auto"/>
              <w:ind w:left="0" w:leftChars="0" w:right="0" w:rightChars="0" w:firstLine="0" w:firstLineChars="0"/>
              <w:jc w:val="center"/>
              <w:rPr>
                <w:rFonts w:hint="default" w:hAnsi="宋体" w:cs="宋体"/>
                <w:sz w:val="24"/>
                <w:szCs w:val="24"/>
                <w:highlight w:val="none"/>
                <w:lang w:val="en-US" w:eastAsia="zh-CN"/>
              </w:rPr>
            </w:pPr>
          </w:p>
        </w:tc>
        <w:tc>
          <w:tcPr>
            <w:tcW w:w="1185" w:type="dxa"/>
            <w:noWrap w:val="0"/>
            <w:vAlign w:val="center"/>
          </w:tcPr>
          <w:p w14:paraId="7A440D81">
            <w:pPr>
              <w:pStyle w:val="17"/>
              <w:keepNext w:val="0"/>
              <w:keepLines w:val="0"/>
              <w:suppressLineNumbers w:val="0"/>
              <w:spacing w:before="0" w:beforeAutospacing="0" w:after="0" w:afterAutospacing="0" w:line="360" w:lineRule="auto"/>
              <w:ind w:right="0" w:rightChars="0"/>
              <w:jc w:val="both"/>
              <w:rPr>
                <w:rFonts w:hint="eastAsia" w:hAnsi="宋体" w:cs="宋体"/>
                <w:sz w:val="24"/>
                <w:szCs w:val="24"/>
                <w:highlight w:val="none"/>
                <w:lang w:val="en-US" w:eastAsia="zh-CN"/>
              </w:rPr>
            </w:pPr>
          </w:p>
        </w:tc>
        <w:tc>
          <w:tcPr>
            <w:tcW w:w="1875" w:type="dxa"/>
            <w:noWrap w:val="0"/>
            <w:vAlign w:val="center"/>
          </w:tcPr>
          <w:p w14:paraId="0F08C4B3">
            <w:pPr>
              <w:pStyle w:val="17"/>
              <w:keepNext w:val="0"/>
              <w:keepLines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sz w:val="24"/>
                <w:szCs w:val="24"/>
                <w:highlight w:val="none"/>
              </w:rPr>
            </w:pPr>
          </w:p>
        </w:tc>
      </w:tr>
      <w:tr w14:paraId="13C7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741" w:type="dxa"/>
            <w:noWrap w:val="0"/>
            <w:vAlign w:val="center"/>
          </w:tcPr>
          <w:p w14:paraId="2CE5C058">
            <w:pPr>
              <w:pStyle w:val="17"/>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lang w:eastAsia="zh-CN"/>
              </w:rPr>
            </w:pPr>
            <w:r>
              <w:rPr>
                <w:rFonts w:hint="eastAsia" w:hAnsi="宋体" w:cs="宋体"/>
                <w:sz w:val="24"/>
                <w:szCs w:val="24"/>
                <w:highlight w:val="none"/>
                <w:lang w:val="en-US" w:eastAsia="zh-CN"/>
              </w:rPr>
              <w:t>4</w:t>
            </w:r>
          </w:p>
        </w:tc>
        <w:tc>
          <w:tcPr>
            <w:tcW w:w="1424" w:type="dxa"/>
            <w:noWrap w:val="0"/>
            <w:vAlign w:val="center"/>
          </w:tcPr>
          <w:p w14:paraId="21F70A43">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sz w:val="24"/>
                <w:szCs w:val="24"/>
                <w:highlight w:val="none"/>
                <w:lang w:eastAsia="zh-CN"/>
              </w:rPr>
            </w:pPr>
          </w:p>
        </w:tc>
        <w:tc>
          <w:tcPr>
            <w:tcW w:w="1501" w:type="dxa"/>
            <w:noWrap w:val="0"/>
            <w:vAlign w:val="center"/>
          </w:tcPr>
          <w:p w14:paraId="325AA978">
            <w:pPr>
              <w:keepNext w:val="0"/>
              <w:keepLines w:val="0"/>
              <w:widowControl/>
              <w:suppressLineNumbers w:val="0"/>
              <w:spacing w:before="0" w:beforeAutospacing="0" w:after="0" w:afterAutospacing="0" w:line="360" w:lineRule="auto"/>
              <w:ind w:left="0" w:leftChars="0" w:right="0" w:rightChars="0"/>
              <w:jc w:val="center"/>
              <w:textAlignment w:val="center"/>
              <w:rPr>
                <w:rFonts w:hint="default" w:ascii="宋体" w:hAnsi="宋体" w:eastAsia="宋体" w:cs="宋体"/>
                <w:sz w:val="24"/>
                <w:szCs w:val="24"/>
                <w:highlight w:val="none"/>
                <w:lang w:val="en-US" w:eastAsia="zh-CN"/>
              </w:rPr>
            </w:pPr>
          </w:p>
        </w:tc>
        <w:tc>
          <w:tcPr>
            <w:tcW w:w="1395" w:type="dxa"/>
            <w:noWrap w:val="0"/>
            <w:vAlign w:val="center"/>
          </w:tcPr>
          <w:p w14:paraId="6C9B60F4">
            <w:pPr>
              <w:keepNext w:val="0"/>
              <w:keepLines w:val="0"/>
              <w:widowControl/>
              <w:suppressLineNumbers w:val="0"/>
              <w:spacing w:before="0" w:beforeAutospacing="0" w:after="0" w:afterAutospacing="0" w:line="360" w:lineRule="auto"/>
              <w:ind w:left="0" w:leftChars="0" w:right="0" w:rightChars="0"/>
              <w:jc w:val="center"/>
              <w:textAlignment w:val="center"/>
              <w:rPr>
                <w:rFonts w:hint="eastAsia" w:ascii="宋体" w:hAnsi="宋体" w:eastAsia="宋体" w:cs="宋体"/>
                <w:sz w:val="24"/>
                <w:szCs w:val="24"/>
                <w:highlight w:val="none"/>
                <w:lang w:val="en-US" w:eastAsia="zh-CN"/>
              </w:rPr>
            </w:pPr>
          </w:p>
        </w:tc>
        <w:tc>
          <w:tcPr>
            <w:tcW w:w="1395" w:type="dxa"/>
            <w:noWrap w:val="0"/>
            <w:vAlign w:val="center"/>
          </w:tcPr>
          <w:p w14:paraId="06834AB7">
            <w:pPr>
              <w:pStyle w:val="17"/>
              <w:keepNext w:val="0"/>
              <w:keepLines w:val="0"/>
              <w:suppressLineNumbers w:val="0"/>
              <w:spacing w:before="0" w:beforeAutospacing="0" w:after="0" w:afterAutospacing="0" w:line="360" w:lineRule="auto"/>
              <w:ind w:left="0" w:leftChars="0" w:right="0" w:rightChars="0" w:firstLine="0" w:firstLineChars="0"/>
              <w:jc w:val="center"/>
              <w:rPr>
                <w:rFonts w:hint="default" w:hAnsi="宋体" w:cs="宋体"/>
                <w:sz w:val="24"/>
                <w:szCs w:val="24"/>
                <w:highlight w:val="none"/>
                <w:lang w:val="en-US" w:eastAsia="zh-CN"/>
              </w:rPr>
            </w:pPr>
          </w:p>
        </w:tc>
        <w:tc>
          <w:tcPr>
            <w:tcW w:w="1185" w:type="dxa"/>
            <w:noWrap w:val="0"/>
            <w:vAlign w:val="center"/>
          </w:tcPr>
          <w:p w14:paraId="5AFB7BA1">
            <w:pPr>
              <w:pStyle w:val="17"/>
              <w:keepNext w:val="0"/>
              <w:keepLines w:val="0"/>
              <w:suppressLineNumbers w:val="0"/>
              <w:spacing w:before="0" w:beforeAutospacing="0" w:after="0" w:afterAutospacing="0" w:line="360" w:lineRule="auto"/>
              <w:ind w:right="0" w:rightChars="0"/>
              <w:jc w:val="both"/>
              <w:rPr>
                <w:rFonts w:hint="eastAsia" w:ascii="宋体" w:hAnsi="宋体" w:eastAsia="宋体" w:cs="宋体"/>
                <w:sz w:val="24"/>
                <w:szCs w:val="24"/>
                <w:highlight w:val="none"/>
              </w:rPr>
            </w:pPr>
          </w:p>
        </w:tc>
        <w:tc>
          <w:tcPr>
            <w:tcW w:w="1875" w:type="dxa"/>
            <w:noWrap w:val="0"/>
            <w:vAlign w:val="center"/>
          </w:tcPr>
          <w:p w14:paraId="717447BD">
            <w:pPr>
              <w:pStyle w:val="17"/>
              <w:keepNext w:val="0"/>
              <w:keepLines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sz w:val="24"/>
                <w:szCs w:val="24"/>
                <w:highlight w:val="none"/>
              </w:rPr>
            </w:pPr>
          </w:p>
        </w:tc>
      </w:tr>
      <w:tr w14:paraId="17694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741" w:type="dxa"/>
            <w:noWrap w:val="0"/>
            <w:vAlign w:val="center"/>
          </w:tcPr>
          <w:p w14:paraId="662DBD57">
            <w:pPr>
              <w:pStyle w:val="17"/>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lang w:eastAsia="zh-CN"/>
              </w:rPr>
            </w:pPr>
            <w:r>
              <w:rPr>
                <w:rFonts w:hint="eastAsia" w:hAnsi="宋体" w:cs="宋体"/>
                <w:sz w:val="24"/>
                <w:szCs w:val="24"/>
                <w:highlight w:val="none"/>
                <w:lang w:val="en-US" w:eastAsia="zh-CN"/>
              </w:rPr>
              <w:t>5</w:t>
            </w:r>
          </w:p>
        </w:tc>
        <w:tc>
          <w:tcPr>
            <w:tcW w:w="1424" w:type="dxa"/>
            <w:noWrap w:val="0"/>
            <w:vAlign w:val="center"/>
          </w:tcPr>
          <w:p w14:paraId="4C395BDE">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sz w:val="24"/>
                <w:szCs w:val="24"/>
                <w:highlight w:val="none"/>
                <w:lang w:eastAsia="zh-CN"/>
              </w:rPr>
            </w:pPr>
          </w:p>
        </w:tc>
        <w:tc>
          <w:tcPr>
            <w:tcW w:w="1501" w:type="dxa"/>
            <w:noWrap w:val="0"/>
            <w:vAlign w:val="center"/>
          </w:tcPr>
          <w:p w14:paraId="36FD88D7">
            <w:pPr>
              <w:keepNext w:val="0"/>
              <w:keepLines w:val="0"/>
              <w:widowControl/>
              <w:suppressLineNumbers w:val="0"/>
              <w:spacing w:before="0" w:beforeAutospacing="0" w:after="0" w:afterAutospacing="0" w:line="360" w:lineRule="auto"/>
              <w:ind w:left="0" w:leftChars="0" w:right="0" w:rightChars="0"/>
              <w:jc w:val="center"/>
              <w:textAlignment w:val="center"/>
              <w:rPr>
                <w:rFonts w:hint="default" w:ascii="宋体" w:hAnsi="宋体" w:eastAsia="宋体" w:cs="宋体"/>
                <w:sz w:val="24"/>
                <w:szCs w:val="24"/>
                <w:highlight w:val="none"/>
                <w:lang w:val="en-US" w:eastAsia="zh-CN"/>
              </w:rPr>
            </w:pPr>
          </w:p>
        </w:tc>
        <w:tc>
          <w:tcPr>
            <w:tcW w:w="1395" w:type="dxa"/>
            <w:noWrap w:val="0"/>
            <w:vAlign w:val="center"/>
          </w:tcPr>
          <w:p w14:paraId="41C62C78">
            <w:pPr>
              <w:keepNext w:val="0"/>
              <w:keepLines w:val="0"/>
              <w:widowControl/>
              <w:suppressLineNumbers w:val="0"/>
              <w:spacing w:before="0" w:beforeAutospacing="0" w:after="0" w:afterAutospacing="0" w:line="360" w:lineRule="auto"/>
              <w:ind w:left="0" w:leftChars="0" w:right="0" w:rightChars="0"/>
              <w:jc w:val="center"/>
              <w:textAlignment w:val="center"/>
              <w:rPr>
                <w:rFonts w:hint="eastAsia" w:ascii="宋体" w:hAnsi="宋体" w:eastAsia="宋体" w:cs="宋体"/>
                <w:sz w:val="24"/>
                <w:szCs w:val="24"/>
                <w:highlight w:val="none"/>
                <w:lang w:val="en-US" w:eastAsia="zh-CN"/>
              </w:rPr>
            </w:pPr>
          </w:p>
        </w:tc>
        <w:tc>
          <w:tcPr>
            <w:tcW w:w="1395" w:type="dxa"/>
            <w:noWrap w:val="0"/>
            <w:vAlign w:val="center"/>
          </w:tcPr>
          <w:p w14:paraId="1BCDC2C0">
            <w:pPr>
              <w:pStyle w:val="17"/>
              <w:keepNext w:val="0"/>
              <w:keepLines w:val="0"/>
              <w:suppressLineNumbers w:val="0"/>
              <w:spacing w:before="0" w:beforeAutospacing="0" w:after="0" w:afterAutospacing="0" w:line="360" w:lineRule="auto"/>
              <w:ind w:left="0" w:leftChars="0" w:right="0" w:rightChars="0" w:firstLine="0" w:firstLineChars="0"/>
              <w:jc w:val="center"/>
              <w:rPr>
                <w:rFonts w:hint="default" w:hAnsi="宋体" w:cs="宋体"/>
                <w:sz w:val="24"/>
                <w:szCs w:val="24"/>
                <w:highlight w:val="none"/>
                <w:lang w:val="en-US" w:eastAsia="zh-CN"/>
              </w:rPr>
            </w:pPr>
          </w:p>
        </w:tc>
        <w:tc>
          <w:tcPr>
            <w:tcW w:w="1185" w:type="dxa"/>
            <w:noWrap w:val="0"/>
            <w:vAlign w:val="center"/>
          </w:tcPr>
          <w:p w14:paraId="12080417">
            <w:pPr>
              <w:pStyle w:val="17"/>
              <w:keepNext w:val="0"/>
              <w:keepLines w:val="0"/>
              <w:suppressLineNumbers w:val="0"/>
              <w:spacing w:before="0" w:beforeAutospacing="0" w:after="0" w:afterAutospacing="0" w:line="360" w:lineRule="auto"/>
              <w:ind w:right="0" w:rightChars="0"/>
              <w:jc w:val="both"/>
              <w:rPr>
                <w:rFonts w:hint="eastAsia" w:ascii="宋体" w:hAnsi="宋体" w:eastAsia="宋体" w:cs="宋体"/>
                <w:sz w:val="24"/>
                <w:szCs w:val="24"/>
                <w:highlight w:val="none"/>
              </w:rPr>
            </w:pPr>
          </w:p>
        </w:tc>
        <w:tc>
          <w:tcPr>
            <w:tcW w:w="1875" w:type="dxa"/>
            <w:noWrap w:val="0"/>
            <w:vAlign w:val="center"/>
          </w:tcPr>
          <w:p w14:paraId="77B2C16E">
            <w:pPr>
              <w:pStyle w:val="17"/>
              <w:keepNext w:val="0"/>
              <w:keepLines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sz w:val="24"/>
                <w:szCs w:val="24"/>
                <w:highlight w:val="none"/>
              </w:rPr>
            </w:pPr>
          </w:p>
        </w:tc>
      </w:tr>
    </w:tbl>
    <w:p w14:paraId="06EADD6E">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注：1.上述价格为到甲方指定交货地的含税开票价；</w:t>
      </w:r>
      <w:r>
        <w:rPr>
          <w:rFonts w:hint="eastAsia" w:ascii="宋体" w:hAnsi="宋体" w:cs="宋体"/>
          <w:sz w:val="24"/>
          <w:szCs w:val="24"/>
          <w:highlight w:val="none"/>
          <w:lang w:val="en-US" w:eastAsia="zh-CN"/>
        </w:rPr>
        <w:t>价格</w:t>
      </w:r>
      <w:r>
        <w:rPr>
          <w:rFonts w:hint="eastAsia" w:ascii="宋体" w:hAnsi="宋体" w:cs="宋体"/>
          <w:sz w:val="24"/>
          <w:szCs w:val="24"/>
          <w:highlight w:val="none"/>
          <w:lang w:eastAsia="zh-CN"/>
        </w:rPr>
        <w:t>已经包含甲方因监管区门禁管理及其他为保证监管安全而采用的一切措施，是</w:t>
      </w:r>
      <w:r>
        <w:rPr>
          <w:rFonts w:hint="eastAsia" w:ascii="宋体" w:hAnsi="宋体" w:cs="宋体"/>
          <w:sz w:val="24"/>
          <w:szCs w:val="24"/>
          <w:highlight w:val="none"/>
          <w:lang w:val="en-US" w:eastAsia="zh-CN"/>
        </w:rPr>
        <w:t>乙方</w:t>
      </w:r>
      <w:r>
        <w:rPr>
          <w:rFonts w:hint="eastAsia" w:ascii="宋体" w:hAnsi="宋体" w:cs="宋体"/>
          <w:sz w:val="24"/>
          <w:szCs w:val="24"/>
          <w:highlight w:val="none"/>
          <w:lang w:eastAsia="zh-CN"/>
        </w:rPr>
        <w:t>综合考虑本项目所采购的货物的市场价格、人工费、配送车辆的使用费、运杂费、堆放食材的仓库使用费、二次装卸费&lt;如遇疫情等特殊情况，可能会产生二次装卸人工费&gt;、堆放食材的仓库使用费、食品安全质量必备检测费、疫情防控费用、利润、税金等完成履行合同所需的全部费用</w:t>
      </w:r>
      <w:r>
        <w:rPr>
          <w:rFonts w:hint="eastAsia" w:ascii="宋体" w:hAnsi="宋体" w:eastAsia="宋体" w:cs="宋体"/>
          <w:sz w:val="24"/>
          <w:szCs w:val="24"/>
          <w:highlight w:val="none"/>
        </w:rPr>
        <w:t xml:space="preserve">。 </w:t>
      </w:r>
    </w:p>
    <w:p w14:paraId="4A8CECEF">
      <w:pPr>
        <w:pStyle w:val="20"/>
        <w:spacing w:line="50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全年预计采购总金额：¥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元，(大写：</w:t>
      </w:r>
      <w:r>
        <w:rPr>
          <w:rFonts w:hint="eastAsia" w:ascii="宋体" w:hAnsi="宋体" w:eastAsia="宋体" w:cs="宋体"/>
          <w:b/>
          <w:bCs/>
          <w:sz w:val="24"/>
          <w:szCs w:val="24"/>
          <w:highlight w:val="none"/>
          <w:u w:val="single"/>
        </w:rPr>
        <w:t xml:space="preserve"> </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)；甲乙双方根据实际采购品种、数量结算。</w:t>
      </w:r>
    </w:p>
    <w:p w14:paraId="74D12915">
      <w:pPr>
        <w:pStyle w:val="20"/>
        <w:spacing w:line="500" w:lineRule="exact"/>
        <w:ind w:firstLine="482" w:firstLineChars="200"/>
        <w:jc w:val="left"/>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3</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调价机制</w:t>
      </w:r>
    </w:p>
    <w:p w14:paraId="6B6C53C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（1）自合同签订次月首日起，三个月内执行中标单价，不做调价。</w:t>
      </w:r>
    </w:p>
    <w:p w14:paraId="4DFF5CD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（2）甲方每月对玉溪市红塔区的鸡肉类、冻品（鱼虾）类物资进行一次市场询价，根据市场询价结果，自合同签订次月首日起每三个月即将结束时可以协商调价一次，同时满足以下条件可启动调价机制：</w:t>
      </w:r>
    </w:p>
    <w:p w14:paraId="7A79F08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市场波动条件：自合同签订次月首日起，甲方每三个月的市场询价平均价格与合同签订当月甲方的市场询价价格相比，波动达到±15%以上（保留两位小数，不含本数）。已调整过合同执行价的，则调价后甲方每三个月的市场询价平均价格与最新一次调价主要参照的市场询价当月（自合同签订次月首日起，第三、六、九个月）的市场询价价格相比，波动达到±15%以上（保留两位小数，不含本数）。</w:t>
      </w:r>
    </w:p>
    <w:p w14:paraId="534C455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②市场询价价格与合同执行价格偏离条件：自合同签订次月首日起每三个月的市场询价价格平均值与合同执行价格偏离±15％以上（不含本数）。</w:t>
      </w:r>
    </w:p>
    <w:p w14:paraId="070053C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上述①②项偏离值需同向变化即同时为正偏离或同时为负偏离时方可启动调价机制。若一个为正偏离，一个为负偏离，则不进行调价。</w:t>
      </w:r>
    </w:p>
    <w:p w14:paraId="26AB7D54">
      <w:pPr>
        <w:numPr>
          <w:ilvl w:val="0"/>
          <w:numId w:val="0"/>
        </w:num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kern w:val="2"/>
          <w:sz w:val="24"/>
          <w:szCs w:val="24"/>
          <w:lang w:val="en-US" w:eastAsia="zh-CN" w:bidi="ar-SA"/>
        </w:rPr>
        <w:t>（3）</w:t>
      </w:r>
      <w:r>
        <w:rPr>
          <w:rFonts w:hint="eastAsia" w:ascii="宋体" w:hAnsi="宋体" w:cs="宋体"/>
          <w:color w:val="auto"/>
          <w:sz w:val="24"/>
          <w:szCs w:val="24"/>
          <w:highlight w:val="none"/>
          <w:lang w:val="en-US" w:eastAsia="zh-CN"/>
        </w:rPr>
        <w:t>拟调整的价格以自合同签订次月首日起每三个月最后一个月的市场询价情况为主要参照（即自合同签订次月首日起，第三、六、九个月玉溪市红塔区内所询价格为准）。双方协商一致的情况下，确定调价方案，签订调价协议，新的价格自调价执行之日起执行到下一次调价。</w:t>
      </w:r>
    </w:p>
    <w:p w14:paraId="6A9566A8">
      <w:pPr>
        <w:spacing w:line="50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四、运输方式、交货地点、验收方式</w:t>
      </w:r>
    </w:p>
    <w:p w14:paraId="1D35D235">
      <w:pPr>
        <w:spacing w:line="50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1.交货要求：乙方按照甲方需求，分批次送货；</w:t>
      </w:r>
    </w:p>
    <w:p w14:paraId="0FE434B9">
      <w:pPr>
        <w:spacing w:line="50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2.交货地点：云南省玉溪监狱配餐中心及甲方指定地点；</w:t>
      </w:r>
    </w:p>
    <w:p w14:paraId="4F4E0212">
      <w:pPr>
        <w:spacing w:line="50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3.交货时间：乙方按照甲方需求按时送达；</w:t>
      </w:r>
    </w:p>
    <w:p w14:paraId="2D1F0F37">
      <w:pPr>
        <w:spacing w:line="50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cs="宋体"/>
          <w:sz w:val="24"/>
          <w:szCs w:val="24"/>
          <w:highlight w:val="none"/>
          <w:lang w:val="en-US" w:eastAsia="zh-CN"/>
        </w:rPr>
        <w:t>鸡肉类冻品类</w:t>
      </w:r>
      <w:r>
        <w:rPr>
          <w:rFonts w:hint="eastAsia" w:ascii="宋体" w:hAnsi="宋体" w:eastAsia="宋体" w:cs="宋体"/>
          <w:sz w:val="24"/>
          <w:szCs w:val="24"/>
          <w:highlight w:val="none"/>
        </w:rPr>
        <w:t>食品在运输过程中发生的损坏由乙方负责承担；</w:t>
      </w:r>
    </w:p>
    <w:p w14:paraId="3DDA54EB">
      <w:pPr>
        <w:spacing w:line="50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eastAsia="zh-CN"/>
        </w:rPr>
        <w:t>验收由甲乙双方每次对</w:t>
      </w:r>
      <w:r>
        <w:rPr>
          <w:rFonts w:hint="eastAsia" w:ascii="宋体" w:hAnsi="宋体" w:cs="宋体"/>
          <w:sz w:val="24"/>
          <w:szCs w:val="24"/>
          <w:highlight w:val="none"/>
          <w:lang w:val="en-US" w:eastAsia="zh-CN"/>
        </w:rPr>
        <w:t>鸡肉类冻品类</w:t>
      </w:r>
      <w:r>
        <w:rPr>
          <w:rFonts w:hint="eastAsia" w:ascii="宋体" w:hAnsi="宋体" w:cs="宋体"/>
          <w:sz w:val="24"/>
          <w:szCs w:val="24"/>
          <w:highlight w:val="none"/>
          <w:lang w:eastAsia="zh-CN"/>
        </w:rPr>
        <w:t>物资</w:t>
      </w:r>
      <w:r>
        <w:rPr>
          <w:rFonts w:hint="eastAsia" w:ascii="宋体" w:hAnsi="宋体" w:eastAsia="宋体" w:cs="宋体"/>
          <w:sz w:val="24"/>
          <w:szCs w:val="24"/>
          <w:highlight w:val="none"/>
          <w:lang w:eastAsia="zh-CN"/>
        </w:rPr>
        <w:t>品种、质量、数量按如下标准进行验收：</w:t>
      </w:r>
      <w:r>
        <w:rPr>
          <w:rFonts w:hint="eastAsia" w:ascii="宋体" w:hAnsi="宋体" w:cs="宋体"/>
          <w:sz w:val="24"/>
          <w:szCs w:val="24"/>
          <w:highlight w:val="none"/>
          <w:lang w:val="en-US" w:eastAsia="zh-CN"/>
        </w:rPr>
        <w:t>鸡肉类冻品类</w:t>
      </w:r>
      <w:r>
        <w:rPr>
          <w:rFonts w:hint="eastAsia" w:ascii="宋体" w:hAnsi="宋体" w:cs="宋体"/>
          <w:sz w:val="24"/>
          <w:szCs w:val="24"/>
          <w:highlight w:val="none"/>
          <w:lang w:eastAsia="zh-CN"/>
        </w:rPr>
        <w:t>物资</w:t>
      </w:r>
      <w:r>
        <w:rPr>
          <w:rFonts w:hint="eastAsia" w:ascii="宋体" w:hAnsi="宋体" w:eastAsia="宋体" w:cs="宋体"/>
          <w:sz w:val="24"/>
          <w:szCs w:val="24"/>
          <w:highlight w:val="none"/>
          <w:lang w:eastAsia="zh-CN"/>
        </w:rPr>
        <w:t>品种、数量按甲方的采购计划进行验收；</w:t>
      </w:r>
      <w:r>
        <w:rPr>
          <w:rFonts w:hint="eastAsia" w:ascii="宋体" w:hAnsi="宋体" w:cs="宋体"/>
          <w:sz w:val="24"/>
          <w:szCs w:val="24"/>
          <w:highlight w:val="none"/>
          <w:lang w:val="en-US" w:eastAsia="zh-CN"/>
        </w:rPr>
        <w:t>鸡肉类冻品类</w:t>
      </w:r>
      <w:r>
        <w:rPr>
          <w:rFonts w:hint="eastAsia" w:ascii="宋体" w:hAnsi="宋体" w:cs="宋体"/>
          <w:sz w:val="24"/>
          <w:szCs w:val="24"/>
          <w:highlight w:val="none"/>
          <w:lang w:eastAsia="zh-CN"/>
        </w:rPr>
        <w:t>物资</w:t>
      </w:r>
      <w:r>
        <w:rPr>
          <w:rFonts w:hint="eastAsia" w:ascii="宋体" w:hAnsi="宋体" w:cs="宋体"/>
          <w:sz w:val="24"/>
          <w:szCs w:val="24"/>
          <w:highlight w:val="none"/>
          <w:lang w:val="en-US" w:eastAsia="zh-CN"/>
        </w:rPr>
        <w:t>质量按投标文件承诺和封存样品或样品图片标准进行验收，每次送货的货品质量投标文件和封存样品或样品图片标准。</w:t>
      </w:r>
      <w:r>
        <w:rPr>
          <w:rFonts w:hint="eastAsia" w:ascii="宋体" w:hAnsi="宋体" w:eastAsia="宋体" w:cs="宋体"/>
          <w:sz w:val="24"/>
          <w:szCs w:val="24"/>
          <w:highlight w:val="none"/>
          <w:lang w:eastAsia="zh-CN"/>
        </w:rPr>
        <w:t>验收合格后双方在送货单据上签字认可（</w:t>
      </w:r>
      <w:r>
        <w:rPr>
          <w:rFonts w:hint="eastAsia" w:ascii="宋体" w:hAnsi="宋体" w:cs="宋体"/>
          <w:sz w:val="24"/>
          <w:szCs w:val="24"/>
          <w:highlight w:val="none"/>
          <w:lang w:eastAsia="zh-CN"/>
        </w:rPr>
        <w:t>乙方签字人若不是法定代表人必须持有法定代表人授权委托书，授权委托书的法定代表人及授权人处可采用可电子签章或签字，并加盖电子公章或公章</w:t>
      </w:r>
      <w:r>
        <w:rPr>
          <w:rFonts w:hint="eastAsia" w:ascii="宋体" w:hAnsi="宋体" w:eastAsia="宋体" w:cs="宋体"/>
          <w:sz w:val="24"/>
          <w:szCs w:val="24"/>
          <w:highlight w:val="none"/>
          <w:lang w:eastAsia="zh-CN"/>
        </w:rPr>
        <w:t>）。但是</w:t>
      </w:r>
      <w:r>
        <w:rPr>
          <w:rFonts w:hint="eastAsia" w:ascii="宋体" w:hAnsi="宋体" w:cs="宋体"/>
          <w:sz w:val="24"/>
          <w:szCs w:val="24"/>
          <w:highlight w:val="none"/>
          <w:lang w:val="en-US" w:eastAsia="zh-CN"/>
        </w:rPr>
        <w:t>鸡肉类冻品类物资</w:t>
      </w:r>
      <w:r>
        <w:rPr>
          <w:rFonts w:hint="eastAsia" w:ascii="宋体" w:hAnsi="宋体" w:eastAsia="宋体" w:cs="宋体"/>
          <w:sz w:val="24"/>
          <w:szCs w:val="24"/>
          <w:highlight w:val="none"/>
          <w:lang w:eastAsia="zh-CN"/>
        </w:rPr>
        <w:t>日后才显现出的质量问题不受此签字验收合格的限</w:t>
      </w:r>
      <w:r>
        <w:rPr>
          <w:rFonts w:hint="eastAsia" w:ascii="宋体" w:hAnsi="宋体" w:eastAsia="宋体" w:cs="宋体"/>
          <w:sz w:val="24"/>
          <w:szCs w:val="24"/>
          <w:highlight w:val="none"/>
        </w:rPr>
        <w:t>制，以第三方鉴定为准。</w:t>
      </w:r>
    </w:p>
    <w:p w14:paraId="3CEF746B">
      <w:pPr>
        <w:spacing w:line="500" w:lineRule="exact"/>
        <w:ind w:firstLine="359" w:firstLineChars="149"/>
        <w:rPr>
          <w:rFonts w:hint="eastAsia" w:ascii="宋体" w:hAnsi="宋体" w:eastAsia="宋体" w:cs="宋体"/>
          <w:b/>
          <w:sz w:val="24"/>
          <w:szCs w:val="24"/>
          <w:highlight w:val="none"/>
        </w:rPr>
      </w:pPr>
      <w:r>
        <w:rPr>
          <w:rFonts w:hint="eastAsia" w:ascii="宋体" w:hAnsi="宋体" w:eastAsia="宋体" w:cs="宋体"/>
          <w:b/>
          <w:sz w:val="24"/>
          <w:szCs w:val="24"/>
          <w:highlight w:val="none"/>
        </w:rPr>
        <w:t>五</w:t>
      </w:r>
      <w:r>
        <w:rPr>
          <w:rFonts w:hint="eastAsia" w:ascii="宋体" w:hAnsi="宋体" w:cs="宋体"/>
          <w:b/>
          <w:sz w:val="24"/>
          <w:szCs w:val="24"/>
          <w:highlight w:val="none"/>
          <w:lang w:eastAsia="zh-CN"/>
        </w:rPr>
        <w:t>、</w:t>
      </w:r>
      <w:r>
        <w:rPr>
          <w:rFonts w:hint="eastAsia" w:ascii="宋体" w:hAnsi="宋体" w:eastAsia="宋体" w:cs="宋体"/>
          <w:b/>
          <w:sz w:val="24"/>
          <w:szCs w:val="24"/>
          <w:highlight w:val="none"/>
        </w:rPr>
        <w:t>货款结算方式</w:t>
      </w:r>
    </w:p>
    <w:p w14:paraId="2075E316">
      <w:pPr>
        <w:spacing w:line="500" w:lineRule="exact"/>
        <w:ind w:firstLine="360" w:firstLineChars="15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合同签订后，如无质量和其它问题，甲、乙双方根据实际情况，在供货产品验收合格后按月（或约定的结算周期）结算。乙方提供符合甲方要求的正式发票，甲方收到发票并审核无误后及时结算付款，特殊情况经双方协商后顺延（其中12月份的货物发票须在12月25日前将发票提交甲方）</w:t>
      </w:r>
      <w:r>
        <w:rPr>
          <w:rFonts w:hint="eastAsia" w:ascii="宋体" w:hAnsi="宋体" w:eastAsia="宋体" w:cs="宋体"/>
          <w:sz w:val="24"/>
          <w:szCs w:val="24"/>
          <w:highlight w:val="none"/>
        </w:rPr>
        <w:t>。</w:t>
      </w:r>
    </w:p>
    <w:p w14:paraId="1711B1F8">
      <w:pPr>
        <w:spacing w:line="500" w:lineRule="exact"/>
        <w:ind w:firstLine="360" w:firstLineChars="1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 合同标的价格均为含税价格，付款方式为银行对公转账支付。</w:t>
      </w:r>
    </w:p>
    <w:p w14:paraId="168E0F75">
      <w:pPr>
        <w:spacing w:line="500" w:lineRule="exact"/>
        <w:ind w:firstLine="360" w:firstLineChars="150"/>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3. 本合同执行先开票后付款的方式，乙方未提供发票给甲方或提供的发票不符合规定的，甲</w:t>
      </w:r>
      <w:r>
        <w:rPr>
          <w:rFonts w:hint="eastAsia" w:ascii="宋体" w:hAnsi="宋体" w:eastAsia="宋体" w:cs="宋体"/>
          <w:color w:val="000000"/>
          <w:sz w:val="24"/>
          <w:szCs w:val="24"/>
          <w:highlight w:val="none"/>
          <w:lang w:eastAsia="zh-CN"/>
        </w:rPr>
        <w:t>方有权拒绝付款。</w:t>
      </w:r>
    </w:p>
    <w:p w14:paraId="2211471B">
      <w:pPr>
        <w:spacing w:line="500" w:lineRule="exact"/>
        <w:ind w:firstLine="360" w:firstLineChars="15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4.特殊情况，双方协商一致执行。</w:t>
      </w:r>
    </w:p>
    <w:p w14:paraId="0446E7EA">
      <w:pPr>
        <w:spacing w:line="500" w:lineRule="exact"/>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六、违约责任</w:t>
      </w:r>
    </w:p>
    <w:p w14:paraId="46E976AF">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乙方出现下列任一违约行为的，甲方有权要求乙方进行整改并支付相应违约金，违约金甲方有权从履约保证金中直接扣除（如递交银行保函（或保证保险）的，则单独提交对应金额的违约金），出现第一次扣除5000.00元，第二次扣除10000.00元，第三次扣除15000.00元，如累计出现第四次，乙方除须支付20000.00元违约金外，甲方有权单方解除合同，并要求乙方承担因此造成的一切损失：</w:t>
      </w:r>
    </w:p>
    <w:p w14:paraId="7C084A7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 产品质量明显低于</w:t>
      </w:r>
      <w:r>
        <w:rPr>
          <w:rFonts w:hint="eastAsia" w:ascii="宋体" w:hAnsi="宋体" w:eastAsia="宋体" w:cs="宋体"/>
          <w:color w:val="auto"/>
          <w:sz w:val="24"/>
          <w:szCs w:val="24"/>
          <w:highlight w:val="none"/>
          <w:lang w:val="en-US" w:eastAsia="zh-CN"/>
        </w:rPr>
        <w:t>样品</w:t>
      </w:r>
      <w:r>
        <w:rPr>
          <w:rFonts w:hint="eastAsia" w:ascii="宋体" w:hAnsi="宋体" w:eastAsia="宋体" w:cs="宋体"/>
          <w:color w:val="000000"/>
          <w:sz w:val="24"/>
          <w:szCs w:val="24"/>
          <w:highlight w:val="none"/>
        </w:rPr>
        <w:t>、低于投标承诺或低于正常认知标准的；</w:t>
      </w:r>
    </w:p>
    <w:p w14:paraId="58815DD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 出现需要退、换、补货情形，但未按甲方要求时限完成的；</w:t>
      </w:r>
    </w:p>
    <w:p w14:paraId="7396E52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 未经甲方书面同意，擅自更换产品品牌、规格或产地的；</w:t>
      </w:r>
    </w:p>
    <w:p w14:paraId="3609B640">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 供应产品数量不足，且未按甲方要求时限补足的；</w:t>
      </w:r>
    </w:p>
    <w:p w14:paraId="3E2C302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 未按甲方要求的时限或地点供货，造成不良后果的；</w:t>
      </w:r>
    </w:p>
    <w:p w14:paraId="7A87DFD0">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 包装方式或保质期不符合合同约定（剩余保质期少于包装保质期二分之一以上）的。</w:t>
      </w:r>
    </w:p>
    <w:p w14:paraId="56F06D07">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（二）如乙方出现下列任一情形的，视为乙方严重违约，甲方有权立即解除合同，甲方有权要求乙方支付50000.00元违约金，也可以从履约保证金中扣除，同时承担因此给甲方造成的一切损失：</w:t>
      </w:r>
    </w:p>
    <w:p w14:paraId="6A95032F">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 向甲方提供发霉变质、“三无”产品或过期产品的；</w:t>
      </w:r>
    </w:p>
    <w:p w14:paraId="0C09ECC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 产品卫生或安全检测不达标，存在重大安全隐患的（包括但不限于致病菌、农药残留、非法添加物等超标）；</w:t>
      </w:r>
    </w:p>
    <w:p w14:paraId="599D8C3F">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 当批次供货中，存在质量问题的产品品种数或数量占比达到50%及以上。</w:t>
      </w:r>
    </w:p>
    <w:p w14:paraId="4152D0D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（三）合同履行过程中，乙方不得将本项目转让（转包）或者分解（分包）给他人，否则乙方应承担由此给甲方造成的所有损失，且甲方有权解除合同，乙方缴纳的履约保证金不予退还。</w:t>
      </w:r>
    </w:p>
    <w:p w14:paraId="34980934">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乙方向甲方提供的货物因质量引发食品安全问题导致甲方损失或罪犯遭受人身损害，由乙方承担全部责任，并赔偿甲方因此造成的一切损失，且甲方有权解除合同。若因此导致甲方承担相应赔偿责任的，甲方有权向乙方追偿。</w:t>
      </w:r>
    </w:p>
    <w:p w14:paraId="11B1E9CC">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（五）本条所约定的甲方损失包括但不限于另行采购的差价损失、因断供造成的供餐损失、第三方索赔、行政部门处罚等；如损失难以量化时，甲方可视情况要求乙方赔偿5万-10万元。</w:t>
      </w:r>
    </w:p>
    <w:p w14:paraId="7FB1817A">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（六）甲方有权直接从履约保证金中扣除本条约定的违约金及损失赔偿，不足部分甲方保留继续追偿的权利，且违约金及损失赔偿不影响甲方依法主张并追究乙方所造成的经济、民事、刑事等一切法律责任。</w:t>
      </w:r>
    </w:p>
    <w:p w14:paraId="138D8C92">
      <w:pPr>
        <w:pStyle w:val="31"/>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七）合同期限内，如遇甲方上级相关部门的要求或其它不可抗拒性因素导致合作不能继续的，甲乙双方均有权协商解除本合同且不视为任何一方违约。同时，合同因此解除后，甲、乙双方本着合法、公平、友好协商的原则办理货款结算等善后事宜。</w:t>
      </w:r>
    </w:p>
    <w:p w14:paraId="2E470E8B">
      <w:pPr>
        <w:pStyle w:val="31"/>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（八）因不可抗力原因致使本合同不能履行或造成的损失，双方互不承担违约责任。</w:t>
      </w:r>
    </w:p>
    <w:p w14:paraId="0A073421">
      <w:pPr>
        <w:spacing w:line="500" w:lineRule="exact"/>
        <w:ind w:firstLine="482" w:firstLineChars="200"/>
        <w:rPr>
          <w:rFonts w:hint="eastAsia" w:ascii="宋体" w:hAnsi="宋体" w:eastAsia="宋体" w:cs="宋体"/>
          <w:color w:val="000000"/>
          <w:highlight w:val="none"/>
        </w:rPr>
      </w:pPr>
      <w:r>
        <w:rPr>
          <w:rFonts w:hint="eastAsia" w:ascii="宋体" w:hAnsi="宋体" w:eastAsia="宋体" w:cs="宋体"/>
          <w:b/>
          <w:color w:val="000000"/>
          <w:sz w:val="24"/>
          <w:szCs w:val="24"/>
          <w:highlight w:val="none"/>
        </w:rPr>
        <w:t>七、履约保证金</w:t>
      </w:r>
    </w:p>
    <w:p w14:paraId="1A1CA364">
      <w:pPr>
        <w:pStyle w:val="115"/>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firstLine="480"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kern w:val="0"/>
          <w:sz w:val="24"/>
          <w:szCs w:val="24"/>
          <w:highlight w:val="none"/>
          <w:lang w:val="zh-CN"/>
        </w:rPr>
        <w:t>1、</w:t>
      </w:r>
      <w:r>
        <w:rPr>
          <w:rFonts w:hint="eastAsia" w:ascii="宋体" w:hAnsi="宋体" w:cs="宋体"/>
          <w:b w:val="0"/>
          <w:bCs w:val="0"/>
          <w:color w:val="auto"/>
          <w:spacing w:val="-2"/>
          <w:kern w:val="2"/>
          <w:sz w:val="24"/>
          <w:szCs w:val="24"/>
          <w:highlight w:val="none"/>
          <w:lang w:val="en-US" w:eastAsia="zh-CN"/>
        </w:rPr>
        <w:t>乙方在签订合同前向甲方缴纳履约保证金，标准按合同总金额（即预算金额）的</w:t>
      </w:r>
      <w:r>
        <w:rPr>
          <w:rFonts w:hint="eastAsia" w:ascii="宋体" w:hAnsi="宋体" w:cs="宋体"/>
          <w:b w:val="0"/>
          <w:bCs w:val="0"/>
          <w:color w:val="auto"/>
          <w:spacing w:val="-2"/>
          <w:kern w:val="2"/>
          <w:sz w:val="24"/>
          <w:szCs w:val="24"/>
          <w:highlight w:val="none"/>
          <w:u w:val="single"/>
          <w:lang w:val="en-US" w:eastAsia="zh-CN"/>
        </w:rPr>
        <w:t>8%</w:t>
      </w:r>
      <w:r>
        <w:rPr>
          <w:rFonts w:hint="eastAsia" w:ascii="宋体" w:hAnsi="宋体" w:cs="宋体"/>
          <w:b w:val="0"/>
          <w:bCs w:val="0"/>
          <w:color w:val="auto"/>
          <w:spacing w:val="-2"/>
          <w:kern w:val="2"/>
          <w:sz w:val="24"/>
          <w:szCs w:val="24"/>
          <w:highlight w:val="none"/>
          <w:lang w:val="en-US" w:eastAsia="zh-CN"/>
        </w:rPr>
        <w:t>缴纳，</w:t>
      </w:r>
      <w:r>
        <w:rPr>
          <w:rFonts w:hint="eastAsia" w:ascii="宋体" w:hAnsi="宋体" w:cs="宋体"/>
          <w:kern w:val="0"/>
          <w:sz w:val="24"/>
          <w:szCs w:val="24"/>
          <w:highlight w:val="none"/>
          <w:lang w:val="zh-CN"/>
        </w:rPr>
        <w:t>即人民币小写：¥</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u w:val="single"/>
          <w:lang w:val="en-US" w:eastAsia="zh-CN"/>
        </w:rPr>
        <w:t xml:space="preserve">      </w:t>
      </w:r>
      <w:r>
        <w:rPr>
          <w:rFonts w:hint="eastAsia" w:ascii="宋体" w:hAnsi="宋体" w:cs="宋体"/>
          <w:kern w:val="0"/>
          <w:sz w:val="24"/>
          <w:szCs w:val="24"/>
          <w:highlight w:val="none"/>
        </w:rPr>
        <w:t>元，大写：</w:t>
      </w:r>
      <w:r>
        <w:rPr>
          <w:rFonts w:hint="eastAsia" w:ascii="宋体" w:hAnsi="宋体" w:cs="宋体"/>
          <w:kern w:val="0"/>
          <w:sz w:val="24"/>
          <w:szCs w:val="24"/>
          <w:highlight w:val="none"/>
          <w:u w:val="single"/>
          <w:lang w:val="en-US" w:eastAsia="zh-CN"/>
        </w:rPr>
        <w:t xml:space="preserve">            </w:t>
      </w:r>
      <w:r>
        <w:rPr>
          <w:rFonts w:hint="eastAsia" w:ascii="宋体" w:hAnsi="宋体" w:cs="宋体"/>
          <w:b w:val="0"/>
          <w:bCs w:val="0"/>
          <w:color w:val="auto"/>
          <w:spacing w:val="-2"/>
          <w:kern w:val="2"/>
          <w:sz w:val="24"/>
          <w:szCs w:val="24"/>
          <w:highlight w:val="none"/>
          <w:lang w:val="en-US" w:eastAsia="zh-CN"/>
        </w:rPr>
        <w:t>（不计算银行同期利息），</w:t>
      </w:r>
      <w:r>
        <w:rPr>
          <w:rFonts w:hint="eastAsia" w:ascii="宋体" w:hAnsi="宋体" w:eastAsia="宋体" w:cs="宋体"/>
          <w:b w:val="0"/>
          <w:bCs w:val="0"/>
          <w:color w:val="auto"/>
          <w:spacing w:val="-2"/>
          <w:kern w:val="2"/>
          <w:sz w:val="24"/>
          <w:szCs w:val="24"/>
          <w:highlight w:val="none"/>
          <w:lang w:val="en-US" w:eastAsia="zh-CN"/>
        </w:rPr>
        <w:t>如乙方未按要求提交履约保证金的，依照《中华人民共和国政府采购法实施条例》相关规定处理。</w:t>
      </w:r>
    </w:p>
    <w:p w14:paraId="2082372E">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2、合同期内，乙方的工作人员不遵守采购人各项管理规定未造成不良后果或如果货品质量存在问题(包括不合格或以次充好)，采购人有权扣除履约保证金:第一次5000.00元，第二次10000.00元，第三次15000.00元，以此类推，直至扣完为止(也可采用缴纳方式，如递交银行保函(或保证保险)的，则单独提交对应金额的违约金)，同时采购人有权解除合同和追究所造成的经济、民事、刑事等一切法律责任和后果。乙方应赔偿甲方其他损失，损失难于量化时应赔偿甲方违约金5万-10万元(也可由甲方从履约保证金中扣除)，并承担由此造成的一切不良后果。</w:t>
      </w:r>
    </w:p>
    <w:p w14:paraId="1B2CAD11">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3、因乙方不按时按质按量供货影响到采购人正常罪犯伙食需求，造成监管安全事故等严重后果的，乙方要承担采购人损失，承担相应法律责任，采购人有权扣除50%的履约保证金(如递交银行保函(或保证保险)的，则每次提交50%履约保证金的现金违约金)、有权终止合同。</w:t>
      </w:r>
    </w:p>
    <w:p w14:paraId="1F69A17F">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4、乙方的工作人员不遵守采购人各项管理规定造成不良后果或泄漏采购人工作秘密的，采购人有权每次扣除20%的履约保证金（如递交银行保函的，则每次提交20%履约保证金的现金违约金，5个工作日内缴清，逾期不缴的，不予支付货款或用货款抵扣相应金额），造成严重后果或社会不良影响的，采购人有权每次扣除50%的履约保证金（如递交银行保函的，则每次提交50%履约保证金的现金违约金）。发生上述情形，采购人有权解除合同并根据情节追究相关法律责任。</w:t>
      </w:r>
    </w:p>
    <w:p w14:paraId="450108E0">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5、如在合同执行期间，因乙方违约导致履约保证金(采取银行转账)部分扣除的，乙方须在5个工作日内将扣除的履约保证金补齐，延迟一个工作日增加延迟费用1000.00元/工作日，以此类推，直至扣完为止；乙方拒不缴纳补齐的，采购人有权终止合同；如乙方递交银行保函的，则在每次发生违约后5个工作日内提交规定违约金至采购人指定账号，逾期不缴的，不予支付货款或用货款抵扣相应金额，延迟一个工作日增加延迟费用1000.00元/工作日，以此类推，直至延迟费达到对应的履约保证金全额；乙方拒不缴纳的，采购人有权终止合同。</w:t>
      </w:r>
    </w:p>
    <w:p w14:paraId="0A889E39">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6、若乙方在合同执行过程中单方面终止合同的，采购人有权不予退还履约保证金（如乙方递交银行保函的，则乙方须在合同终止次日起5个工作日缴纳同等金额的违约金至采购人指定账号，同时采购人退回银行保函，逾期不缴的，不予支付货款或用货款抵扣相应金额），同时乙方承担由此造成的一切损失和不良后果，甚至是法律责任。</w:t>
      </w:r>
    </w:p>
    <w:p w14:paraId="7A13609C">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cs="宋体"/>
          <w:b w:val="0"/>
          <w:bCs w:val="0"/>
          <w:color w:val="auto"/>
          <w:spacing w:val="-2"/>
          <w:kern w:val="2"/>
          <w:sz w:val="24"/>
          <w:szCs w:val="24"/>
          <w:highlight w:val="none"/>
          <w:lang w:val="en-US" w:eastAsia="zh-CN"/>
        </w:rPr>
      </w:pPr>
      <w:r>
        <w:rPr>
          <w:rFonts w:hint="eastAsia" w:ascii="宋体" w:hAnsi="宋体" w:cs="宋体"/>
          <w:b w:val="0"/>
          <w:bCs w:val="0"/>
          <w:color w:val="auto"/>
          <w:spacing w:val="-2"/>
          <w:kern w:val="2"/>
          <w:sz w:val="24"/>
          <w:szCs w:val="24"/>
          <w:highlight w:val="none"/>
          <w:lang w:val="en-US" w:eastAsia="zh-CN"/>
        </w:rPr>
        <w:t>7、乙方所供货物不得来源于国外境外、疫情中高风险地区；配送人员、车辆相对固定，按照采购人不同时期的疫情防控要求，配合采购人做好疫情防控工作。若出现所供货物来源于国外境外、疫情中高风险地区或配送人员不遵守采购人疫情防控要求的，采购人有权每次扣除20%的履约保证金（如递交银行保函的，则每次提交20%履约保证金的现金违约金，5个工作日内缴清，逾期不缴的，不予支付货款或用货款抵扣相应金额），乙方承担由此带来的一切不良后果。</w:t>
      </w:r>
    </w:p>
    <w:p w14:paraId="7AE8860F">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ascii="宋体" w:hAnsi="宋体" w:cs="宋体"/>
          <w:color w:val="auto"/>
          <w:kern w:val="0"/>
          <w:sz w:val="24"/>
          <w:szCs w:val="24"/>
          <w:highlight w:val="none"/>
          <w:lang w:val="zh-CN"/>
        </w:rPr>
      </w:pPr>
      <w:r>
        <w:rPr>
          <w:rFonts w:hint="eastAsia" w:ascii="宋体" w:hAnsi="宋体" w:cs="宋体"/>
          <w:b w:val="0"/>
          <w:bCs w:val="0"/>
          <w:color w:val="auto"/>
          <w:spacing w:val="-2"/>
          <w:kern w:val="2"/>
          <w:sz w:val="24"/>
          <w:szCs w:val="24"/>
          <w:highlight w:val="none"/>
          <w:lang w:val="en-US" w:eastAsia="zh-CN"/>
        </w:rPr>
        <w:t>8、若合同终止，采购人有权选择其他投标人或其他供应商供货，合同期满时没有发生违约的，采购人将保证金全额无息退还乙方。合同期满时，若乙方在合同履行期间发生违约行为被采购人扣除违约金而乙方又未补齐的，由采购人将剩余履约保证金（履约保证金总额-违反规定扣除的部分）退换给乙方；提交银行保函的退还银行保函。</w:t>
      </w:r>
    </w:p>
    <w:p w14:paraId="0C056BA8">
      <w:pPr>
        <w:spacing w:line="500" w:lineRule="exact"/>
        <w:ind w:firstLine="361" w:firstLineChars="150"/>
        <w:rPr>
          <w:rFonts w:hint="eastAsia" w:ascii="宋体" w:hAnsi="宋体" w:eastAsia="宋体" w:cs="宋体"/>
          <w:b/>
          <w:color w:val="auto"/>
          <w:sz w:val="24"/>
          <w:szCs w:val="24"/>
          <w:highlight w:val="none"/>
        </w:rPr>
      </w:pPr>
      <w:r>
        <w:rPr>
          <w:rFonts w:hint="eastAsia" w:ascii="宋体" w:hAnsi="宋体" w:eastAsia="宋体" w:cs="宋体"/>
          <w:b/>
          <w:sz w:val="24"/>
          <w:szCs w:val="24"/>
          <w:highlight w:val="none"/>
        </w:rPr>
        <w:t xml:space="preserve"> 八</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如发生纠纷双方协商解决，经协商不能达成一致时，可在合同签署地（即甲方所在地）人民法院诉讼，违约方、侵权方承担守约方、受损方</w:t>
      </w:r>
      <w:r>
        <w:rPr>
          <w:rFonts w:hint="eastAsia" w:ascii="宋体" w:hAnsi="宋体" w:eastAsia="宋体" w:cs="宋体"/>
          <w:b/>
          <w:color w:val="auto"/>
          <w:sz w:val="24"/>
          <w:szCs w:val="24"/>
          <w:highlight w:val="none"/>
          <w:lang w:val="en-US" w:eastAsia="zh-CN"/>
        </w:rPr>
        <w:t>因维权产生的诉讼费、保全保险费、差旅费、保全费、</w:t>
      </w:r>
      <w:r>
        <w:rPr>
          <w:rFonts w:hint="eastAsia" w:ascii="宋体" w:hAnsi="宋体" w:eastAsia="宋体" w:cs="宋体"/>
          <w:b/>
          <w:color w:val="auto"/>
          <w:sz w:val="24"/>
          <w:szCs w:val="24"/>
          <w:highlight w:val="none"/>
        </w:rPr>
        <w:t>律师费</w:t>
      </w:r>
      <w:r>
        <w:rPr>
          <w:rFonts w:hint="eastAsia" w:ascii="宋体" w:hAnsi="宋体" w:eastAsia="宋体" w:cs="宋体"/>
          <w:b/>
          <w:color w:val="auto"/>
          <w:sz w:val="24"/>
          <w:szCs w:val="24"/>
          <w:highlight w:val="none"/>
          <w:lang w:val="en-US" w:eastAsia="zh-CN"/>
        </w:rPr>
        <w:t>等费用</w:t>
      </w:r>
      <w:r>
        <w:rPr>
          <w:rFonts w:hint="eastAsia" w:ascii="宋体" w:hAnsi="宋体" w:eastAsia="宋体" w:cs="宋体"/>
          <w:b/>
          <w:color w:val="auto"/>
          <w:sz w:val="24"/>
          <w:szCs w:val="24"/>
          <w:highlight w:val="none"/>
        </w:rPr>
        <w:t>。</w:t>
      </w:r>
    </w:p>
    <w:p w14:paraId="11C531EA">
      <w:pPr>
        <w:spacing w:line="500" w:lineRule="exact"/>
        <w:ind w:firstLine="361" w:firstLineChars="15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九、合同期限</w:t>
      </w:r>
    </w:p>
    <w:p w14:paraId="1A2D2529">
      <w:pPr>
        <w:spacing w:line="500" w:lineRule="exact"/>
        <w:ind w:firstLine="360" w:firstLineChars="150"/>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rPr>
        <w:t xml:space="preserve"> 本合同合同履行期限自</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日至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日</w:t>
      </w:r>
      <w:r>
        <w:rPr>
          <w:rFonts w:hint="eastAsia" w:ascii="宋体" w:hAnsi="宋体" w:eastAsia="宋体" w:cs="宋体"/>
          <w:color w:val="auto"/>
          <w:sz w:val="24"/>
          <w:szCs w:val="24"/>
          <w:highlight w:val="none"/>
        </w:rPr>
        <w:t>或合同总金额执行完毕</w:t>
      </w:r>
      <w:r>
        <w:rPr>
          <w:rFonts w:hint="eastAsia" w:ascii="宋体" w:hAnsi="宋体" w:eastAsia="宋体" w:cs="宋体"/>
          <w:sz w:val="24"/>
          <w:szCs w:val="24"/>
          <w:highlight w:val="none"/>
        </w:rPr>
        <w:t>，双方签字盖章生效，如有未尽事宜，须双方共同协商作出补充协议，补充协议与本合同具有相同法律效力。</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val="en-US" w:eastAsia="zh-CN"/>
        </w:rPr>
        <w:t xml:space="preserve"> </w:t>
      </w:r>
    </w:p>
    <w:p w14:paraId="7621CBDD">
      <w:pPr>
        <w:spacing w:line="500" w:lineRule="exact"/>
        <w:ind w:firstLine="359" w:firstLineChars="149"/>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十、其它</w:t>
      </w:r>
    </w:p>
    <w:p w14:paraId="3FB28107">
      <w:pPr>
        <w:spacing w:line="500" w:lineRule="exact"/>
        <w:ind w:firstLine="360" w:firstLineChars="15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1.合同履行期间所提供货物须与投标文件承诺和封存样品或样品图片标准一致或优于样品。</w:t>
      </w:r>
    </w:p>
    <w:p w14:paraId="316D5DC9">
      <w:pPr>
        <w:pStyle w:val="10"/>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车辆和人员进入监管区必须严格遵守监狱的相关规定，严禁私自和罪犯接触;严禁为罪犯传递信件和物品;严禁把手机、烟、酒、刃具等违规品、违禁品带入监管区内或遗落在货物中。否则视为严重影响甲方安全稳定，甲方有权扣除乙方所交履约保证金5万-10万元(如递交银行保函(或保证保险)的，则乙方提交5万-10万元违约金)或立即解除合同，也有权既扣除履约保证金5万-10万元(如递交银行保函(或保证保险)的，则乙方提交5万-10万元违约金)又解除合同，造成严重后果的，交由司法机关处理。</w:t>
      </w:r>
    </w:p>
    <w:p w14:paraId="740229CA">
      <w:pPr>
        <w:pStyle w:val="10"/>
        <w:keepNext w:val="0"/>
        <w:keepLines w:val="0"/>
        <w:pageBreakBefore w:val="0"/>
        <w:widowControl w:val="0"/>
        <w:kinsoku/>
        <w:wordWrap/>
        <w:overflowPunct/>
        <w:topLinePunct w:val="0"/>
        <w:autoSpaceDE/>
        <w:autoSpaceDN/>
        <w:bidi w:val="0"/>
        <w:adjustRightInd/>
        <w:snapToGrid/>
        <w:spacing w:after="0" w:line="560" w:lineRule="exact"/>
        <w:ind w:left="0" w:leftChars="0" w:firstLine="482" w:firstLineChars="200"/>
        <w:textAlignment w:val="auto"/>
        <w:rPr>
          <w:rFonts w:ascii="宋体" w:hAnsi="宋体" w:eastAsia="宋体" w:cs="宋体"/>
          <w:b/>
          <w:bCs/>
          <w:sz w:val="24"/>
          <w:szCs w:val="24"/>
          <w:highlight w:val="none"/>
        </w:rPr>
      </w:pPr>
      <w:r>
        <w:rPr>
          <w:rFonts w:hint="eastAsia" w:ascii="宋体" w:hAnsi="宋体" w:eastAsia="宋体" w:cs="宋体"/>
          <w:b/>
          <w:bCs/>
          <w:sz w:val="24"/>
          <w:szCs w:val="24"/>
          <w:highlight w:val="none"/>
        </w:rPr>
        <w:t>3.招标文件与投标文件内容不一致时，以招标文件为准；若投标文件中的做法（标准）高于招标文件的，可以以投标文件为准；也可以通过协商、澄清或仲裁等方式来解决。</w:t>
      </w:r>
    </w:p>
    <w:p w14:paraId="22865C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.本合同一式柒份，甲方</w:t>
      </w:r>
      <w:r>
        <w:rPr>
          <w:rFonts w:hint="eastAsia" w:ascii="宋体" w:hAnsi="宋体" w:eastAsia="宋体" w:cs="宋体"/>
          <w:color w:val="000000"/>
          <w:sz w:val="24"/>
          <w:szCs w:val="24"/>
          <w:highlight w:val="none"/>
          <w:lang w:eastAsia="zh-CN"/>
        </w:rPr>
        <w:t>伍</w:t>
      </w:r>
      <w:r>
        <w:rPr>
          <w:rFonts w:hint="eastAsia" w:ascii="宋体" w:hAnsi="宋体" w:eastAsia="宋体" w:cs="宋体"/>
          <w:color w:val="000000"/>
          <w:sz w:val="24"/>
          <w:szCs w:val="24"/>
          <w:highlight w:val="none"/>
        </w:rPr>
        <w:t>份，乙方贰份；</w:t>
      </w:r>
    </w:p>
    <w:p w14:paraId="73A6AF9E">
      <w:pPr>
        <w:spacing w:line="360" w:lineRule="auto"/>
        <w:ind w:firstLine="480" w:firstLineChars="200"/>
        <w:rPr>
          <w:rFonts w:hint="eastAsia" w:ascii="宋体" w:hAnsi="宋体" w:cs="宋体"/>
          <w:color w:val="auto"/>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本合同履行地为云南省玉溪市红塔区春和街道黑村</w:t>
      </w:r>
      <w:r>
        <w:rPr>
          <w:rFonts w:hint="eastAsia" w:ascii="宋体" w:hAnsi="宋体" w:eastAsia="宋体" w:cs="宋体"/>
          <w:color w:val="000000"/>
          <w:sz w:val="24"/>
          <w:szCs w:val="24"/>
          <w:highlight w:val="none"/>
          <w:lang w:eastAsia="zh-CN"/>
        </w:rPr>
        <w:t>。</w:t>
      </w:r>
    </w:p>
    <w:bookmarkEnd w:id="69"/>
    <w:p w14:paraId="4D2E5C32">
      <w:pPr>
        <w:ind w:firstLine="3640" w:firstLineChars="700"/>
        <w:jc w:val="both"/>
        <w:rPr>
          <w:rFonts w:hint="eastAsia" w:ascii="方正小标宋_GBK" w:hAnsi="宋体" w:eastAsia="方正小标宋_GBK" w:cs="Times New Roman"/>
          <w:sz w:val="52"/>
          <w:szCs w:val="52"/>
          <w:highlight w:val="none"/>
        </w:rPr>
      </w:pPr>
      <w:bookmarkStart w:id="73" w:name="_Toc6694"/>
      <w:r>
        <w:rPr>
          <w:rFonts w:hint="eastAsia" w:ascii="方正小标宋_GBK" w:hAnsi="宋体" w:eastAsia="方正小标宋_GBK"/>
          <w:sz w:val="52"/>
          <w:szCs w:val="52"/>
          <w:highlight w:val="none"/>
        </w:rPr>
        <w:br w:type="page"/>
      </w:r>
      <w:r>
        <w:rPr>
          <w:rFonts w:hint="eastAsia" w:ascii="方正小标宋_GBK" w:hAnsi="宋体" w:eastAsia="方正小标宋_GBK" w:cs="Times New Roman"/>
          <w:sz w:val="52"/>
          <w:szCs w:val="52"/>
          <w:highlight w:val="none"/>
        </w:rPr>
        <w:t>廉 政 合 同</w:t>
      </w:r>
    </w:p>
    <w:p w14:paraId="39E93C7C">
      <w:pP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甲方：</w:t>
      </w:r>
      <w:r>
        <w:rPr>
          <w:rFonts w:hint="eastAsia" w:ascii="宋体" w:hAnsi="宋体" w:eastAsia="宋体" w:cs="宋体"/>
          <w:b/>
          <w:color w:val="auto"/>
          <w:sz w:val="24"/>
          <w:szCs w:val="24"/>
          <w:highlight w:val="none"/>
          <w:u w:val="single"/>
        </w:rPr>
        <w:t xml:space="preserve">  云南省玉溪监狱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p>
    <w:p w14:paraId="1C07CC1A">
      <w:pPr>
        <w:spacing w:line="56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p>
    <w:p w14:paraId="6596505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为促进甲乙双方廉洁高效合作，确保甲乙双方工作人员做到廉洁自律，按照《中华人民共和国民法典》和国家有关法律法规及廉政规定，经甲乙双方协商一致，签订以下廉政合同。</w:t>
      </w:r>
    </w:p>
    <w:p w14:paraId="0B57427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甲、乙双方的权利和义务</w:t>
      </w:r>
    </w:p>
    <w:p w14:paraId="6E4C503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（一）甲、乙双方应共同严格遵守党和国家有关法律法规和党风廉政建设的各项规定。</w:t>
      </w:r>
    </w:p>
    <w:p w14:paraId="71CC1F0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（二）甲、乙双方的业务活动均应坚持公平、公开、公正、诚实守信的原则,严禁搞损害国家和集体利益的不正当交易。</w:t>
      </w:r>
    </w:p>
    <w:p w14:paraId="3352150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（三）甲、乙双方有对本方人员开展廉政告知、廉政教育和职业道德教育的义务。</w:t>
      </w:r>
    </w:p>
    <w:p w14:paraId="0943F08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（四）甲、乙双方应加强对本方人员廉政监督、建立健全廉政制度，认真查处本方人员违纪违法行为。</w:t>
      </w:r>
    </w:p>
    <w:p w14:paraId="5E10A15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（五）甲、乙双方如发现对方人员在业务活动中有不廉洁行为，应及时提醒对方并督促其纠正，或直接向对方法</w:t>
      </w:r>
      <w:r>
        <w:rPr>
          <w:rFonts w:hint="eastAsia" w:ascii="宋体" w:hAnsi="宋体" w:eastAsia="宋体" w:cs="宋体"/>
          <w:color w:val="auto"/>
          <w:sz w:val="24"/>
          <w:szCs w:val="24"/>
          <w:highlight w:val="none"/>
          <w:lang w:eastAsia="zh-CN"/>
        </w:rPr>
        <w:t>定</w:t>
      </w:r>
      <w:r>
        <w:rPr>
          <w:rFonts w:hint="eastAsia" w:ascii="宋体" w:hAnsi="宋体" w:eastAsia="宋体" w:cs="宋体"/>
          <w:color w:val="auto"/>
          <w:sz w:val="24"/>
          <w:szCs w:val="24"/>
          <w:highlight w:val="none"/>
        </w:rPr>
        <w:t>代表人、纪检监察部门或向检察机关如实反映情况，并认真查处本方人员违纪违法行为。</w:t>
      </w:r>
    </w:p>
    <w:p w14:paraId="3B634D7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（六）对诬陷、诋毁对方名声的行为有法律追究权。</w:t>
      </w:r>
    </w:p>
    <w:p w14:paraId="5C31F6A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甲方的义务</w:t>
      </w:r>
    </w:p>
    <w:p w14:paraId="259BD22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（一）甲方工作人员及其亲友不得参与乙方安排的可能对公正执行公务有影响的宴请、各类休闲娱乐和旅游活动。</w:t>
      </w:r>
    </w:p>
    <w:p w14:paraId="6FA9647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（二）甲方及其工作人员不得接受或索要乙方的礼品、礼金和各类有价证券、信用卡及其它支付凭证；不得向乙方报销任何应由甲方和个人支付的费用。</w:t>
      </w:r>
    </w:p>
    <w:p w14:paraId="7994526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（三）甲方及其工作人员不得以任何形式向乙方索要或收受好处费。</w:t>
      </w:r>
    </w:p>
    <w:p w14:paraId="1E1A2F4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（四）甲方及其工作人员不得接受或长期借用乙方提供的通信工具、交通工具等贵重物品。</w:t>
      </w:r>
    </w:p>
    <w:p w14:paraId="06CEA2C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（五）甲方工作人员的配偶、子女，不得从事乙方提供的劳务经济活动。</w:t>
      </w:r>
    </w:p>
    <w:p w14:paraId="1A380CA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（六）甲方及其工作人员不得在家里接待乙方有关商品采购相关事项的询访。</w:t>
      </w:r>
    </w:p>
    <w:p w14:paraId="0A13E1E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乙方的义务</w:t>
      </w:r>
    </w:p>
    <w:p w14:paraId="7400DDC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（一）乙方不得以任何理由安排甲方工作人员或其亲友吃喝玩和各类休闲娱乐活动。</w:t>
      </w:r>
    </w:p>
    <w:p w14:paraId="0FA76AE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（二）乙方不得以任何理由向甲方工作人员行贿或馈赠礼品、礼金和各种有价证券、信用卡和其他支付凭证。</w:t>
      </w:r>
    </w:p>
    <w:p w14:paraId="428EA72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（三）乙方不得以任何理由或名义向甲方及其工作人员报销应由甲方或个人支付的费用。</w:t>
      </w:r>
    </w:p>
    <w:p w14:paraId="054365F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（四）乙方不得为甲方及其工作人员购置或提供通讯工具、交通工具等贵重物品。</w:t>
      </w:r>
    </w:p>
    <w:p w14:paraId="0C0F252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（五）乙方不得以任何理由到甲方及其工作人员家里进行有关商品采购相关事项的询访。</w:t>
      </w:r>
    </w:p>
    <w:p w14:paraId="5145E8E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（六）乙方及其工作人员必须严格按照有关规程办事，不得与其他单位互相串通，损害甲方利益。</w:t>
      </w:r>
    </w:p>
    <w:p w14:paraId="574C6EA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违约责任</w:t>
      </w:r>
    </w:p>
    <w:p w14:paraId="31CECA7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（一）甲方及其工作人员违反本合同第一、二条，按管理权限，依据有关规定给予党纪、政务或组织处理；涉嫌犯罪的，移送司法机关追究刑事责任；给乙方单位造成经济损失的，应予以赔偿。</w:t>
      </w:r>
    </w:p>
    <w:p w14:paraId="7B58DF0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（二）乙方若违反本合同第一、三条，对违法违纪人员，由乙方主管部门依据有关规定查处或停止承接业务处理，给甲方造成的损失，按有关规定予以赔偿。</w:t>
      </w:r>
    </w:p>
    <w:p w14:paraId="174A28B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本合同有效期与经济合同期限同。</w:t>
      </w:r>
    </w:p>
    <w:p w14:paraId="4A9BFB14">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本合同为云南省玉溪监狱与签订的《</w:t>
      </w:r>
      <w:r>
        <w:rPr>
          <w:rFonts w:hint="eastAsia" w:ascii="宋体" w:hAnsi="宋体" w:eastAsia="宋体" w:cs="宋体"/>
          <w:color w:val="auto"/>
          <w:sz w:val="24"/>
          <w:szCs w:val="24"/>
          <w:highlight w:val="none"/>
          <w:lang w:eastAsia="zh-CN"/>
        </w:rPr>
        <w:t>云南省玉溪监狱年至年罪犯配餐中心生活物资（</w:t>
      </w:r>
      <w:r>
        <w:rPr>
          <w:rFonts w:hint="eastAsia" w:ascii="宋体" w:hAnsi="宋体" w:eastAsia="宋体" w:cs="宋体"/>
          <w:color w:val="auto"/>
          <w:sz w:val="24"/>
          <w:szCs w:val="24"/>
          <w:highlight w:val="none"/>
          <w:lang w:val="en-US" w:eastAsia="zh-CN"/>
        </w:rPr>
        <w:t>鸡肉类冻品类</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rPr>
        <w:t>》配套廉政合同，与云南省玉溪监狱与签订的 《</w:t>
      </w:r>
      <w:r>
        <w:rPr>
          <w:rFonts w:hint="eastAsia" w:ascii="宋体" w:hAnsi="宋体" w:eastAsia="宋体" w:cs="宋体"/>
          <w:color w:val="auto"/>
          <w:sz w:val="24"/>
          <w:szCs w:val="24"/>
          <w:highlight w:val="none"/>
          <w:lang w:eastAsia="zh-CN"/>
        </w:rPr>
        <w:t>云南省玉溪监狱年至年罪犯配餐中心生活物资（</w:t>
      </w:r>
      <w:r>
        <w:rPr>
          <w:rFonts w:hint="eastAsia" w:ascii="宋体" w:hAnsi="宋体" w:eastAsia="宋体" w:cs="宋体"/>
          <w:color w:val="auto"/>
          <w:sz w:val="24"/>
          <w:szCs w:val="24"/>
          <w:highlight w:val="none"/>
          <w:lang w:val="en-US" w:eastAsia="zh-CN"/>
        </w:rPr>
        <w:t>鸡肉类冻品类</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rPr>
        <w:t>》具有同等法律效力，甲乙双方签署后立即生效。</w:t>
      </w:r>
    </w:p>
    <w:p w14:paraId="5441AE6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第七条 本合同一式三份：甲乙双方各一份，甲方纪检监察部门一份。</w:t>
      </w:r>
    </w:p>
    <w:p w14:paraId="664F13FC">
      <w:pPr>
        <w:spacing w:line="500" w:lineRule="exact"/>
        <w:ind w:firstLine="480" w:firstLineChars="200"/>
        <w:rPr>
          <w:rFonts w:hint="eastAsia" w:ascii="宋体" w:hAnsi="宋体" w:eastAsia="宋体" w:cs="宋体"/>
          <w:color w:val="auto"/>
          <w:sz w:val="24"/>
          <w:szCs w:val="24"/>
          <w:highlight w:val="none"/>
        </w:rPr>
      </w:pPr>
    </w:p>
    <w:p w14:paraId="4BB57F3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甲方单位：（公章）             乙方单位：（公章）</w:t>
      </w:r>
    </w:p>
    <w:p w14:paraId="00AD0E69">
      <w:pPr>
        <w:spacing w:line="500" w:lineRule="exact"/>
        <w:ind w:firstLine="480" w:firstLineChars="200"/>
        <w:rPr>
          <w:rFonts w:hint="eastAsia" w:ascii="宋体" w:hAnsi="宋体" w:eastAsia="宋体" w:cs="宋体"/>
          <w:color w:val="auto"/>
          <w:sz w:val="24"/>
          <w:szCs w:val="24"/>
          <w:highlight w:val="none"/>
        </w:rPr>
      </w:pPr>
    </w:p>
    <w:p w14:paraId="4CCA533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甲方代表：                    乙方代表：</w:t>
      </w:r>
    </w:p>
    <w:p w14:paraId="4D7FA296">
      <w:pPr>
        <w:spacing w:line="500" w:lineRule="exact"/>
        <w:ind w:firstLine="480" w:firstLineChars="200"/>
        <w:rPr>
          <w:rFonts w:hint="eastAsia" w:ascii="宋体" w:hAnsi="宋体" w:eastAsia="宋体" w:cs="宋体"/>
          <w:color w:val="auto"/>
          <w:sz w:val="24"/>
          <w:szCs w:val="24"/>
          <w:highlight w:val="none"/>
        </w:rPr>
      </w:pPr>
    </w:p>
    <w:p w14:paraId="63E80F0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纪委：（公章）</w:t>
      </w:r>
    </w:p>
    <w:p w14:paraId="153D7D24">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w:t>
      </w:r>
    </w:p>
    <w:p w14:paraId="130E9EEE">
      <w:pPr>
        <w:spacing w:line="500" w:lineRule="exact"/>
        <w:ind w:firstLine="480" w:firstLineChars="200"/>
        <w:rPr>
          <w:rFonts w:hint="eastAsia" w:ascii="宋体" w:hAnsi="宋体" w:eastAsia="宋体" w:cs="宋体"/>
          <w:color w:val="auto"/>
          <w:sz w:val="24"/>
          <w:szCs w:val="24"/>
          <w:highlight w:val="none"/>
        </w:rPr>
      </w:pPr>
    </w:p>
    <w:p w14:paraId="032B95D6">
      <w:pPr>
        <w:rPr>
          <w:color w:val="auto"/>
          <w:highlight w:val="none"/>
        </w:rPr>
      </w:pPr>
    </w:p>
    <w:p w14:paraId="76FB1CC7">
      <w:pPr>
        <w:rPr>
          <w:rFonts w:hint="eastAsia" w:ascii="宋体" w:hAnsi="宋体" w:cs="宋体"/>
          <w:color w:val="auto"/>
          <w:highlight w:val="none"/>
        </w:rPr>
      </w:pPr>
      <w:r>
        <w:rPr>
          <w:rFonts w:hint="eastAsia" w:ascii="宋体" w:hAnsi="宋体" w:cs="宋体"/>
          <w:color w:val="auto"/>
          <w:highlight w:val="none"/>
        </w:rPr>
        <w:br w:type="page"/>
      </w:r>
    </w:p>
    <w:p w14:paraId="47A84E5C">
      <w:pPr>
        <w:pStyle w:val="28"/>
        <w:jc w:val="center"/>
        <w:outlineLvl w:val="0"/>
        <w:rPr>
          <w:rFonts w:ascii="宋体" w:hAnsi="宋体"/>
          <w:bCs w:val="0"/>
          <w:kern w:val="44"/>
          <w:sz w:val="36"/>
          <w:szCs w:val="20"/>
        </w:rPr>
      </w:pPr>
      <w:r>
        <w:rPr>
          <w:rFonts w:hint="eastAsia" w:ascii="宋体" w:hAnsi="宋体"/>
          <w:bCs w:val="0"/>
          <w:kern w:val="44"/>
          <w:sz w:val="36"/>
          <w:szCs w:val="20"/>
        </w:rPr>
        <w:t>第四章 投标文件格式</w:t>
      </w:r>
      <w:bookmarkEnd w:id="68"/>
      <w:bookmarkEnd w:id="70"/>
      <w:bookmarkEnd w:id="71"/>
      <w:bookmarkEnd w:id="72"/>
      <w:bookmarkEnd w:id="73"/>
    </w:p>
    <w:p w14:paraId="33C62B0C">
      <w:pPr>
        <w:pStyle w:val="17"/>
        <w:spacing w:line="500" w:lineRule="exact"/>
        <w:outlineLvl w:val="9"/>
        <w:rPr>
          <w:rFonts w:hAnsi="宋体"/>
          <w:szCs w:val="21"/>
        </w:rPr>
      </w:pPr>
    </w:p>
    <w:p w14:paraId="73798C0E">
      <w:pPr>
        <w:outlineLvl w:val="9"/>
      </w:pPr>
    </w:p>
    <w:p w14:paraId="3A5813E2">
      <w:pPr>
        <w:pStyle w:val="17"/>
        <w:spacing w:line="500" w:lineRule="exact"/>
        <w:jc w:val="center"/>
        <w:outlineLvl w:val="9"/>
        <w:rPr>
          <w:rFonts w:hint="default" w:hAnsi="宋体"/>
          <w:b/>
          <w:sz w:val="32"/>
          <w:szCs w:val="32"/>
          <w:lang w:val="en-US"/>
        </w:rPr>
      </w:pPr>
      <w:r>
        <w:rPr>
          <w:rFonts w:hint="eastAsia" w:hAnsi="宋体"/>
          <w:b/>
          <w:bCs/>
          <w:sz w:val="48"/>
          <w:u w:val="none"/>
          <w:lang w:eastAsia="zh-CN"/>
        </w:rPr>
        <w:t>云南省玉溪监狱2026年至2027年罪犯配餐中心生活物资 一 标段(猪肉类；鸡肉类、冻品（鱼虾）类)采购项目</w:t>
      </w:r>
      <w:r>
        <w:rPr>
          <w:rFonts w:hint="eastAsia" w:ascii="宋体" w:hAnsi="宋体" w:eastAsia="宋体" w:cs="Times New Roman"/>
          <w:b/>
          <w:bCs/>
          <w:kern w:val="2"/>
          <w:sz w:val="48"/>
          <w:szCs w:val="20"/>
          <w:u w:val="none"/>
          <w:lang w:val="en-US" w:eastAsia="zh-CN" w:bidi="ar-SA"/>
        </w:rPr>
        <w:t>包</w:t>
      </w:r>
      <w:r>
        <w:rPr>
          <w:rFonts w:hint="eastAsia" w:ascii="宋体" w:hAnsi="宋体" w:eastAsia="宋体" w:cs="Times New Roman"/>
          <w:b/>
          <w:bCs/>
          <w:kern w:val="2"/>
          <w:sz w:val="48"/>
          <w:szCs w:val="20"/>
          <w:u w:val="single"/>
          <w:lang w:val="en-US" w:eastAsia="zh-CN" w:bidi="ar-SA"/>
        </w:rPr>
        <w:t xml:space="preserve">   </w:t>
      </w:r>
      <w:r>
        <w:rPr>
          <w:rFonts w:hint="eastAsia" w:ascii="宋体" w:hAnsi="宋体" w:eastAsia="宋体" w:cs="Times New Roman"/>
          <w:b/>
          <w:bCs/>
          <w:kern w:val="2"/>
          <w:sz w:val="48"/>
          <w:szCs w:val="20"/>
          <w:u w:val="none"/>
          <w:lang w:val="en-US" w:eastAsia="zh-CN" w:bidi="ar-SA"/>
        </w:rPr>
        <w:t>（标包号）</w:t>
      </w:r>
    </w:p>
    <w:p w14:paraId="60F0368D">
      <w:pPr>
        <w:pStyle w:val="17"/>
        <w:spacing w:line="500" w:lineRule="exact"/>
        <w:jc w:val="center"/>
        <w:outlineLvl w:val="9"/>
        <w:rPr>
          <w:rFonts w:hAnsi="宋体"/>
          <w:b/>
          <w:sz w:val="32"/>
          <w:szCs w:val="32"/>
        </w:rPr>
      </w:pPr>
    </w:p>
    <w:p w14:paraId="78D619DD">
      <w:pPr>
        <w:pStyle w:val="17"/>
        <w:spacing w:line="500" w:lineRule="exact"/>
        <w:jc w:val="center"/>
        <w:outlineLvl w:val="9"/>
        <w:rPr>
          <w:rFonts w:hint="eastAsia" w:hAnsi="宋体"/>
          <w:b/>
          <w:sz w:val="32"/>
          <w:szCs w:val="32"/>
        </w:rPr>
      </w:pPr>
    </w:p>
    <w:p w14:paraId="5B01F010">
      <w:pPr>
        <w:pStyle w:val="17"/>
        <w:spacing w:line="500" w:lineRule="exact"/>
        <w:jc w:val="center"/>
        <w:outlineLvl w:val="9"/>
        <w:rPr>
          <w:rFonts w:hint="eastAsia" w:hAnsi="宋体"/>
          <w:b/>
          <w:sz w:val="32"/>
          <w:szCs w:val="32"/>
        </w:rPr>
      </w:pPr>
    </w:p>
    <w:p w14:paraId="409117D4">
      <w:pPr>
        <w:pStyle w:val="17"/>
        <w:spacing w:line="500" w:lineRule="exact"/>
        <w:jc w:val="center"/>
        <w:outlineLvl w:val="9"/>
        <w:rPr>
          <w:rFonts w:hAnsi="宋体"/>
          <w:b/>
          <w:sz w:val="32"/>
          <w:szCs w:val="32"/>
        </w:rPr>
      </w:pPr>
    </w:p>
    <w:p w14:paraId="12148310">
      <w:pPr>
        <w:pStyle w:val="17"/>
        <w:spacing w:line="500" w:lineRule="exact"/>
        <w:jc w:val="center"/>
        <w:outlineLvl w:val="9"/>
        <w:rPr>
          <w:rFonts w:hAnsi="宋体"/>
          <w:b/>
          <w:sz w:val="32"/>
          <w:szCs w:val="32"/>
        </w:rPr>
      </w:pPr>
    </w:p>
    <w:p w14:paraId="0D42C055">
      <w:pPr>
        <w:pStyle w:val="17"/>
        <w:spacing w:line="780" w:lineRule="exact"/>
        <w:jc w:val="center"/>
        <w:outlineLvl w:val="9"/>
        <w:rPr>
          <w:rFonts w:hAnsi="宋体"/>
          <w:b/>
          <w:sz w:val="72"/>
          <w:szCs w:val="72"/>
        </w:rPr>
      </w:pPr>
      <w:r>
        <w:rPr>
          <w:rFonts w:hint="eastAsia" w:hAnsi="宋体"/>
          <w:b/>
          <w:sz w:val="72"/>
          <w:szCs w:val="72"/>
        </w:rPr>
        <w:t>投 标 文 件</w:t>
      </w:r>
    </w:p>
    <w:p w14:paraId="2CDEC0EA">
      <w:pPr>
        <w:pStyle w:val="17"/>
        <w:spacing w:line="500" w:lineRule="exact"/>
        <w:jc w:val="center"/>
        <w:outlineLvl w:val="9"/>
        <w:rPr>
          <w:rFonts w:hAnsi="宋体"/>
          <w:b/>
          <w:sz w:val="72"/>
          <w:szCs w:val="72"/>
        </w:rPr>
      </w:pPr>
    </w:p>
    <w:p w14:paraId="7770FE82">
      <w:pPr>
        <w:pStyle w:val="17"/>
        <w:jc w:val="center"/>
        <w:outlineLvl w:val="9"/>
        <w:rPr>
          <w:rFonts w:hint="eastAsia" w:hAnsi="宋体"/>
          <w:b/>
          <w:bCs/>
          <w:kern w:val="0"/>
          <w:sz w:val="32"/>
          <w:szCs w:val="32"/>
          <w:lang w:val="en-US" w:eastAsia="zh-CN"/>
        </w:rPr>
      </w:pPr>
      <w:bookmarkStart w:id="74" w:name="OLE_LINK9"/>
      <w:r>
        <w:rPr>
          <w:rFonts w:hint="eastAsia" w:hAnsi="宋体"/>
          <w:b/>
          <w:bCs/>
          <w:kern w:val="0"/>
          <w:sz w:val="32"/>
          <w:szCs w:val="32"/>
          <w:lang w:val="en-US" w:eastAsia="zh-CN"/>
        </w:rPr>
        <w:t>项目编号：</w:t>
      </w:r>
      <w:bookmarkEnd w:id="74"/>
      <w:r>
        <w:rPr>
          <w:rFonts w:hint="eastAsia" w:hAnsi="宋体"/>
          <w:b/>
          <w:bCs/>
          <w:kern w:val="0"/>
          <w:sz w:val="32"/>
          <w:szCs w:val="32"/>
          <w:lang w:val="en-US" w:eastAsia="zh-CN"/>
        </w:rPr>
        <w:t>YNGCZBZX(招)字-YX-2026-03-02</w:t>
      </w:r>
    </w:p>
    <w:p w14:paraId="14E511D3">
      <w:pPr>
        <w:pStyle w:val="17"/>
        <w:jc w:val="center"/>
        <w:outlineLvl w:val="9"/>
        <w:rPr>
          <w:rFonts w:hint="eastAsia" w:ascii="宋体" w:hAnsi="宋体" w:eastAsia="宋体" w:cs="Times New Roman"/>
          <w:b/>
          <w:bCs/>
          <w:kern w:val="0"/>
          <w:sz w:val="32"/>
          <w:szCs w:val="32"/>
          <w:highlight w:val="none"/>
          <w:lang w:val="en-US" w:eastAsia="zh-CN"/>
        </w:rPr>
      </w:pPr>
      <w:r>
        <w:rPr>
          <w:rFonts w:hint="eastAsia" w:ascii="宋体" w:hAnsi="宋体" w:eastAsia="宋体" w:cs="Times New Roman"/>
          <w:b/>
          <w:bCs/>
          <w:kern w:val="0"/>
          <w:sz w:val="32"/>
          <w:szCs w:val="32"/>
          <w:highlight w:val="none"/>
          <w:lang w:val="en-US" w:eastAsia="zh-CN"/>
        </w:rPr>
        <w:t xml:space="preserve">政采云项目编号：YNZC2026-G1-01428-GCJC-0001 </w:t>
      </w:r>
    </w:p>
    <w:p w14:paraId="0995CC10">
      <w:pPr>
        <w:pStyle w:val="17"/>
        <w:spacing w:line="500" w:lineRule="exact"/>
        <w:jc w:val="center"/>
        <w:outlineLvl w:val="9"/>
        <w:rPr>
          <w:rFonts w:hint="eastAsia" w:hAnsi="宋体"/>
          <w:b/>
          <w:sz w:val="28"/>
          <w:szCs w:val="28"/>
        </w:rPr>
      </w:pPr>
    </w:p>
    <w:p w14:paraId="03439351">
      <w:pPr>
        <w:pStyle w:val="17"/>
        <w:spacing w:line="500" w:lineRule="exact"/>
        <w:jc w:val="center"/>
        <w:outlineLvl w:val="9"/>
        <w:rPr>
          <w:rFonts w:hAnsi="宋体"/>
          <w:b/>
          <w:sz w:val="72"/>
          <w:szCs w:val="72"/>
        </w:rPr>
      </w:pPr>
    </w:p>
    <w:p w14:paraId="5A380969">
      <w:pPr>
        <w:pStyle w:val="17"/>
        <w:spacing w:line="500" w:lineRule="exact"/>
        <w:jc w:val="center"/>
        <w:outlineLvl w:val="9"/>
        <w:rPr>
          <w:rFonts w:hAnsi="宋体"/>
          <w:b/>
          <w:sz w:val="72"/>
          <w:szCs w:val="72"/>
        </w:rPr>
      </w:pPr>
    </w:p>
    <w:p w14:paraId="7591E5A1">
      <w:pPr>
        <w:pStyle w:val="17"/>
        <w:spacing w:line="500" w:lineRule="exact"/>
        <w:jc w:val="center"/>
        <w:outlineLvl w:val="9"/>
        <w:rPr>
          <w:rFonts w:hAnsi="宋体"/>
          <w:b/>
          <w:sz w:val="72"/>
          <w:szCs w:val="72"/>
        </w:rPr>
      </w:pPr>
    </w:p>
    <w:p w14:paraId="1A1060B3">
      <w:pPr>
        <w:pStyle w:val="17"/>
        <w:spacing w:line="500" w:lineRule="exact"/>
        <w:jc w:val="center"/>
        <w:outlineLvl w:val="9"/>
        <w:rPr>
          <w:rFonts w:hAnsi="宋体"/>
          <w:b/>
          <w:sz w:val="72"/>
          <w:szCs w:val="72"/>
        </w:rPr>
      </w:pPr>
    </w:p>
    <w:p w14:paraId="497AC3A0">
      <w:pPr>
        <w:pStyle w:val="17"/>
        <w:spacing w:line="500" w:lineRule="exact"/>
        <w:outlineLvl w:val="9"/>
        <w:rPr>
          <w:rFonts w:hAnsi="宋体"/>
          <w:b/>
          <w:sz w:val="28"/>
          <w:szCs w:val="28"/>
        </w:rPr>
      </w:pPr>
      <w:r>
        <w:rPr>
          <w:rFonts w:hint="eastAsia" w:hAnsi="宋体"/>
          <w:sz w:val="24"/>
        </w:rPr>
        <w:br w:type="page"/>
      </w:r>
      <w:r>
        <w:rPr>
          <w:rFonts w:hint="eastAsia" w:hAnsi="宋体"/>
          <w:b/>
          <w:sz w:val="28"/>
          <w:szCs w:val="28"/>
        </w:rPr>
        <w:t>格式1：</w:t>
      </w:r>
    </w:p>
    <w:p w14:paraId="79C2E16F">
      <w:pPr>
        <w:spacing w:line="360" w:lineRule="auto"/>
        <w:jc w:val="center"/>
        <w:outlineLvl w:val="9"/>
        <w:rPr>
          <w:rFonts w:hint="eastAsia" w:ascii="宋体" w:hAnsi="宋体" w:eastAsia="宋体" w:cs="Times New Roman"/>
          <w:sz w:val="32"/>
          <w:szCs w:val="32"/>
        </w:rPr>
      </w:pPr>
      <w:bookmarkStart w:id="75" w:name="_Toc213141093"/>
      <w:bookmarkStart w:id="76" w:name="_Toc496122186"/>
      <w:bookmarkStart w:id="77" w:name="_Toc70446114"/>
      <w:r>
        <w:rPr>
          <w:rFonts w:hint="eastAsia" w:ascii="宋体" w:hAnsi="宋体" w:eastAsia="宋体" w:cs="Times New Roman"/>
          <w:sz w:val="32"/>
          <w:szCs w:val="32"/>
        </w:rPr>
        <w:t>开标一览表</w:t>
      </w:r>
      <w:bookmarkEnd w:id="75"/>
      <w:bookmarkEnd w:id="76"/>
      <w:bookmarkEnd w:id="77"/>
    </w:p>
    <w:p w14:paraId="27E7DF71">
      <w:pPr>
        <w:outlineLvl w:val="9"/>
        <w:rPr>
          <w:rFonts w:ascii="宋体" w:hAnsi="宋体"/>
        </w:rPr>
      </w:pPr>
    </w:p>
    <w:p w14:paraId="0374548A">
      <w:pPr>
        <w:pStyle w:val="17"/>
        <w:outlineLvl w:val="9"/>
        <w:rPr>
          <w:rFonts w:hAnsi="宋体"/>
          <w:b/>
          <w:sz w:val="24"/>
          <w:szCs w:val="24"/>
        </w:rPr>
      </w:pPr>
      <w:r>
        <w:rPr>
          <w:rFonts w:hint="eastAsia" w:hAnsi="宋体"/>
          <w:b/>
          <w:sz w:val="24"/>
          <w:szCs w:val="24"/>
        </w:rPr>
        <w:t>项目名称：</w:t>
      </w:r>
      <w:r>
        <w:rPr>
          <w:rFonts w:hint="eastAsia" w:ascii="宋体" w:hAnsi="宋体" w:eastAsia="宋体" w:cs="Times New Roman"/>
          <w:b/>
          <w:sz w:val="24"/>
          <w:szCs w:val="24"/>
          <w:lang w:eastAsia="zh-CN"/>
        </w:rPr>
        <w:t>云南省玉溪监狱2026年至2027年罪犯配餐中心生活物资 一 标段(猪肉类；鸡肉类、冻品（鱼虾）类)采购项目</w:t>
      </w:r>
      <w:r>
        <w:rPr>
          <w:rFonts w:hint="eastAsia" w:ascii="宋体" w:hAnsi="宋体" w:eastAsia="宋体" w:cs="Times New Roman"/>
          <w:b/>
          <w:sz w:val="24"/>
          <w:szCs w:val="24"/>
          <w:lang w:val="en-US" w:eastAsia="zh-CN"/>
        </w:rPr>
        <w:t>包</w:t>
      </w:r>
      <w:r>
        <w:rPr>
          <w:rFonts w:hint="eastAsia" w:ascii="宋体" w:hAnsi="宋体" w:eastAsia="宋体" w:cs="Times New Roman"/>
          <w:b/>
          <w:sz w:val="24"/>
          <w:szCs w:val="24"/>
          <w:u w:val="single"/>
          <w:lang w:eastAsia="zh-CN"/>
        </w:rPr>
        <w:t xml:space="preserve">  </w:t>
      </w:r>
      <w:r>
        <w:rPr>
          <w:rFonts w:hint="eastAsia" w:ascii="宋体" w:hAnsi="宋体" w:eastAsia="宋体" w:cs="Times New Roman"/>
          <w:b/>
          <w:sz w:val="24"/>
          <w:szCs w:val="24"/>
          <w:lang w:val="en-US" w:eastAsia="zh-CN"/>
        </w:rPr>
        <w:t>（标包号）</w:t>
      </w:r>
      <w:r>
        <w:rPr>
          <w:rFonts w:hint="eastAsia" w:hAnsi="宋体"/>
          <w:b/>
          <w:sz w:val="24"/>
          <w:szCs w:val="24"/>
        </w:rPr>
        <w:t xml:space="preserve"> </w:t>
      </w:r>
      <w:r>
        <w:rPr>
          <w:rFonts w:hAnsi="宋体"/>
          <w:b/>
          <w:sz w:val="24"/>
          <w:szCs w:val="24"/>
        </w:rPr>
        <w:t xml:space="preserve"> </w:t>
      </w:r>
    </w:p>
    <w:p w14:paraId="0F915875">
      <w:pPr>
        <w:pStyle w:val="17"/>
        <w:outlineLvl w:val="9"/>
        <w:rPr>
          <w:rFonts w:hAnsi="宋体"/>
          <w:sz w:val="24"/>
          <w:szCs w:val="24"/>
        </w:rPr>
      </w:pPr>
      <w:r>
        <w:rPr>
          <w:rFonts w:hint="eastAsia" w:hAnsi="宋体"/>
          <w:b/>
          <w:sz w:val="24"/>
          <w:szCs w:val="24"/>
          <w:lang w:val="en-US" w:eastAsia="zh-CN"/>
        </w:rPr>
        <w:t>项目</w:t>
      </w:r>
      <w:r>
        <w:rPr>
          <w:rFonts w:hint="eastAsia" w:hAnsi="宋体"/>
          <w:b/>
          <w:sz w:val="24"/>
          <w:szCs w:val="24"/>
        </w:rPr>
        <w:t>编号：</w:t>
      </w:r>
      <w:r>
        <w:rPr>
          <w:rFonts w:hint="eastAsia" w:hAnsi="宋体"/>
          <w:b/>
          <w:bCs/>
          <w:sz w:val="24"/>
          <w:szCs w:val="24"/>
          <w:u w:val="none"/>
          <w:lang w:eastAsia="zh-CN"/>
        </w:rPr>
        <w:t>YNGCZBZX(招)字-YX-2026-03-02</w:t>
      </w:r>
      <w:r>
        <w:rPr>
          <w:rFonts w:hint="eastAsia" w:hAnsi="宋体"/>
          <w:sz w:val="24"/>
          <w:szCs w:val="24"/>
        </w:rPr>
        <w:t xml:space="preserve"> </w:t>
      </w:r>
      <w:r>
        <w:rPr>
          <w:rFonts w:hAnsi="宋体"/>
          <w:sz w:val="24"/>
          <w:szCs w:val="24"/>
        </w:rPr>
        <w:t xml:space="preserve">  </w:t>
      </w:r>
    </w:p>
    <w:p w14:paraId="08D62EBC">
      <w:pPr>
        <w:pStyle w:val="17"/>
        <w:outlineLvl w:val="9"/>
        <w:rPr>
          <w:rFonts w:hint="eastAsia" w:ascii="宋体" w:hAnsi="宋体" w:eastAsia="宋体" w:cs="Times New Roman"/>
          <w:b/>
          <w:bCs/>
          <w:sz w:val="24"/>
          <w:szCs w:val="24"/>
          <w:u w:val="none"/>
          <w:lang w:eastAsia="zh-CN"/>
        </w:rPr>
      </w:pPr>
      <w:r>
        <w:rPr>
          <w:rFonts w:hint="eastAsia" w:ascii="宋体" w:hAnsi="宋体" w:eastAsia="宋体" w:cs="Times New Roman"/>
          <w:b/>
          <w:bCs/>
          <w:sz w:val="24"/>
          <w:szCs w:val="24"/>
          <w:u w:val="none"/>
          <w:lang w:val="en-US" w:eastAsia="zh-CN"/>
        </w:rPr>
        <w:t>政采云项目</w:t>
      </w:r>
      <w:r>
        <w:rPr>
          <w:rFonts w:hint="eastAsia" w:ascii="宋体" w:hAnsi="宋体" w:eastAsia="宋体" w:cs="Times New Roman"/>
          <w:b/>
          <w:bCs/>
          <w:sz w:val="24"/>
          <w:szCs w:val="24"/>
          <w:u w:val="none"/>
          <w:lang w:eastAsia="zh-CN"/>
        </w:rPr>
        <w:t>编号：YNZC2026-G1-01428-GCJC-0001</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5"/>
        <w:gridCol w:w="6756"/>
      </w:tblGrid>
      <w:tr w14:paraId="579C9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3235" w:type="dxa"/>
            <w:noWrap w:val="0"/>
            <w:vAlign w:val="center"/>
          </w:tcPr>
          <w:p w14:paraId="2E0D7B77">
            <w:pPr>
              <w:pStyle w:val="14"/>
              <w:jc w:val="center"/>
              <w:outlineLvl w:val="9"/>
              <w:rPr>
                <w:rFonts w:hint="eastAsia" w:ascii="宋体" w:hAnsi="宋体" w:cs="宋体"/>
                <w:sz w:val="24"/>
                <w:szCs w:val="24"/>
              </w:rPr>
            </w:pPr>
            <w:r>
              <w:rPr>
                <w:rFonts w:hint="eastAsia" w:ascii="宋体" w:hAnsi="宋体" w:cs="宋体"/>
                <w:sz w:val="24"/>
                <w:szCs w:val="24"/>
              </w:rPr>
              <w:t>投标人名称</w:t>
            </w:r>
          </w:p>
        </w:tc>
        <w:tc>
          <w:tcPr>
            <w:tcW w:w="6756" w:type="dxa"/>
            <w:noWrap w:val="0"/>
            <w:vAlign w:val="center"/>
          </w:tcPr>
          <w:p w14:paraId="71CACC76">
            <w:pPr>
              <w:pStyle w:val="14"/>
              <w:outlineLvl w:val="9"/>
              <w:rPr>
                <w:rFonts w:hint="eastAsia" w:ascii="宋体" w:hAnsi="宋体" w:cs="宋体"/>
                <w:sz w:val="24"/>
                <w:szCs w:val="24"/>
              </w:rPr>
            </w:pPr>
          </w:p>
        </w:tc>
      </w:tr>
      <w:tr w14:paraId="22DD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3235" w:type="dxa"/>
            <w:noWrap w:val="0"/>
            <w:vAlign w:val="center"/>
          </w:tcPr>
          <w:p w14:paraId="1332D94D">
            <w:pPr>
              <w:pStyle w:val="14"/>
              <w:ind w:left="1200" w:hanging="1200" w:hangingChars="500"/>
              <w:jc w:val="center"/>
              <w:outlineLvl w:val="9"/>
              <w:rPr>
                <w:rFonts w:hint="eastAsia" w:ascii="宋体" w:hAnsi="宋体" w:cs="宋体"/>
                <w:sz w:val="24"/>
                <w:szCs w:val="24"/>
              </w:rPr>
            </w:pPr>
            <w:bookmarkStart w:id="78" w:name="OLE_LINK37"/>
            <w:bookmarkStart w:id="79" w:name="OLE_LINK20" w:colFirst="0" w:colLast="1"/>
            <w:r>
              <w:rPr>
                <w:rFonts w:hint="eastAsia" w:ascii="宋体" w:hAnsi="宋体" w:cs="宋体"/>
                <w:sz w:val="24"/>
                <w:szCs w:val="24"/>
              </w:rPr>
              <w:t>投标报价</w:t>
            </w:r>
          </w:p>
          <w:bookmarkEnd w:id="78"/>
          <w:p w14:paraId="3C3DBA9E">
            <w:pPr>
              <w:pStyle w:val="14"/>
              <w:ind w:left="1200" w:hanging="1200" w:hangingChars="500"/>
              <w:jc w:val="center"/>
              <w:outlineLvl w:val="9"/>
              <w:rPr>
                <w:rFonts w:ascii="宋体" w:hAnsi="宋体" w:cs="宋体"/>
                <w:sz w:val="24"/>
                <w:szCs w:val="24"/>
              </w:rPr>
            </w:pPr>
            <w:r>
              <w:rPr>
                <w:rFonts w:hint="eastAsia" w:ascii="宋体" w:hAnsi="宋体" w:eastAsia="宋体" w:cs="Times New Roman"/>
                <w:sz w:val="24"/>
                <w:szCs w:val="24"/>
                <w:lang w:val="en-US" w:eastAsia="zh-CN"/>
              </w:rPr>
              <w:t>单价报价统一下浮率</w:t>
            </w:r>
          </w:p>
        </w:tc>
        <w:tc>
          <w:tcPr>
            <w:tcW w:w="6756" w:type="dxa"/>
            <w:noWrap w:val="0"/>
            <w:vAlign w:val="center"/>
          </w:tcPr>
          <w:p w14:paraId="22C7E54D">
            <w:pPr>
              <w:pStyle w:val="14"/>
              <w:outlineLvl w:val="9"/>
              <w:rPr>
                <w:rFonts w:hint="eastAsia" w:ascii="宋体" w:hAnsi="宋体" w:cs="宋体"/>
                <w:sz w:val="24"/>
                <w:szCs w:val="24"/>
              </w:rPr>
            </w:pPr>
            <w:r>
              <w:rPr>
                <w:rFonts w:hint="eastAsia" w:ascii="宋体" w:hAnsi="宋体" w:cs="宋体"/>
                <w:kern w:val="0"/>
                <w:sz w:val="24"/>
                <w:szCs w:val="24"/>
                <w:u w:val="single"/>
              </w:rPr>
              <w:t xml:space="preserve">          %</w:t>
            </w:r>
            <w:r>
              <w:rPr>
                <w:rFonts w:hint="eastAsia" w:ascii="宋体" w:hAnsi="宋体" w:cs="宋体"/>
                <w:kern w:val="0"/>
                <w:sz w:val="24"/>
                <w:szCs w:val="24"/>
              </w:rPr>
              <w:t xml:space="preserve">  </w:t>
            </w:r>
          </w:p>
        </w:tc>
      </w:tr>
      <w:bookmarkEnd w:id="79"/>
      <w:tr w14:paraId="20FB5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3235" w:type="dxa"/>
            <w:noWrap w:val="0"/>
            <w:vAlign w:val="center"/>
          </w:tcPr>
          <w:p w14:paraId="68A3F134">
            <w:pPr>
              <w:pStyle w:val="14"/>
              <w:jc w:val="center"/>
              <w:outlineLvl w:val="9"/>
              <w:rPr>
                <w:rFonts w:hint="eastAsia" w:ascii="宋体" w:hAnsi="宋体" w:cs="宋体"/>
                <w:sz w:val="24"/>
                <w:szCs w:val="24"/>
              </w:rPr>
            </w:pPr>
            <w:bookmarkStart w:id="80" w:name="OLE_LINK95"/>
            <w:r>
              <w:rPr>
                <w:rFonts w:hint="eastAsia" w:ascii="宋体" w:hAnsi="宋体" w:cs="宋体"/>
                <w:sz w:val="24"/>
                <w:szCs w:val="24"/>
              </w:rPr>
              <w:t>合同履行期限</w:t>
            </w:r>
            <w:bookmarkEnd w:id="80"/>
          </w:p>
        </w:tc>
        <w:tc>
          <w:tcPr>
            <w:tcW w:w="6756" w:type="dxa"/>
            <w:noWrap w:val="0"/>
            <w:vAlign w:val="center"/>
          </w:tcPr>
          <w:p w14:paraId="6A1A8013">
            <w:pPr>
              <w:pStyle w:val="14"/>
              <w:outlineLvl w:val="9"/>
              <w:rPr>
                <w:rFonts w:hint="eastAsia" w:ascii="宋体" w:hAnsi="宋体" w:cs="宋体"/>
                <w:sz w:val="24"/>
                <w:szCs w:val="24"/>
              </w:rPr>
            </w:pPr>
          </w:p>
        </w:tc>
      </w:tr>
      <w:tr w14:paraId="76BE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235" w:type="dxa"/>
            <w:noWrap w:val="0"/>
            <w:vAlign w:val="center"/>
          </w:tcPr>
          <w:p w14:paraId="75AC1C22">
            <w:pPr>
              <w:pStyle w:val="14"/>
              <w:jc w:val="center"/>
              <w:outlineLvl w:val="9"/>
              <w:rPr>
                <w:rFonts w:hint="eastAsia" w:ascii="宋体" w:hAnsi="宋体" w:cs="宋体"/>
                <w:sz w:val="24"/>
                <w:szCs w:val="24"/>
              </w:rPr>
            </w:pPr>
            <w:bookmarkStart w:id="81" w:name="OLE_LINK96"/>
            <w:r>
              <w:rPr>
                <w:rFonts w:hint="eastAsia" w:ascii="宋体" w:hAnsi="宋体" w:cs="宋体"/>
                <w:sz w:val="24"/>
                <w:szCs w:val="24"/>
              </w:rPr>
              <w:t>交货期</w:t>
            </w:r>
            <w:bookmarkEnd w:id="81"/>
          </w:p>
        </w:tc>
        <w:tc>
          <w:tcPr>
            <w:tcW w:w="6756" w:type="dxa"/>
            <w:noWrap w:val="0"/>
            <w:vAlign w:val="center"/>
          </w:tcPr>
          <w:p w14:paraId="3AB2B37D">
            <w:pPr>
              <w:pStyle w:val="14"/>
              <w:outlineLvl w:val="9"/>
              <w:rPr>
                <w:rFonts w:hint="eastAsia" w:ascii="宋体" w:hAnsi="宋体" w:cs="宋体"/>
                <w:sz w:val="24"/>
                <w:szCs w:val="24"/>
              </w:rPr>
            </w:pPr>
          </w:p>
        </w:tc>
      </w:tr>
      <w:tr w14:paraId="63823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235" w:type="dxa"/>
            <w:noWrap w:val="0"/>
            <w:vAlign w:val="center"/>
          </w:tcPr>
          <w:p w14:paraId="480419B7">
            <w:pPr>
              <w:pStyle w:val="14"/>
              <w:jc w:val="center"/>
              <w:outlineLvl w:val="9"/>
              <w:rPr>
                <w:rFonts w:hint="eastAsia" w:ascii="宋体" w:hAnsi="宋体" w:cs="宋体"/>
                <w:sz w:val="24"/>
                <w:szCs w:val="24"/>
              </w:rPr>
            </w:pPr>
            <w:bookmarkStart w:id="82" w:name="OLE_LINK97"/>
            <w:r>
              <w:rPr>
                <w:rFonts w:hint="eastAsia" w:ascii="宋体" w:hAnsi="宋体" w:cs="宋体"/>
                <w:sz w:val="24"/>
                <w:szCs w:val="24"/>
              </w:rPr>
              <w:t>交货地点</w:t>
            </w:r>
            <w:bookmarkEnd w:id="82"/>
          </w:p>
        </w:tc>
        <w:tc>
          <w:tcPr>
            <w:tcW w:w="6756" w:type="dxa"/>
            <w:noWrap w:val="0"/>
            <w:vAlign w:val="center"/>
          </w:tcPr>
          <w:p w14:paraId="4E35E06B">
            <w:pPr>
              <w:pStyle w:val="14"/>
              <w:outlineLvl w:val="9"/>
              <w:rPr>
                <w:rFonts w:hint="eastAsia" w:ascii="宋体" w:hAnsi="宋体" w:cs="宋体"/>
                <w:sz w:val="24"/>
                <w:szCs w:val="24"/>
              </w:rPr>
            </w:pPr>
          </w:p>
        </w:tc>
      </w:tr>
      <w:tr w14:paraId="0FFF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3235" w:type="dxa"/>
            <w:noWrap w:val="0"/>
            <w:vAlign w:val="center"/>
          </w:tcPr>
          <w:p w14:paraId="2925A47B">
            <w:pPr>
              <w:pStyle w:val="14"/>
              <w:jc w:val="center"/>
              <w:outlineLvl w:val="9"/>
              <w:rPr>
                <w:rFonts w:hint="eastAsia" w:ascii="宋体" w:hAnsi="宋体" w:cs="宋体"/>
                <w:sz w:val="24"/>
                <w:szCs w:val="24"/>
              </w:rPr>
            </w:pPr>
            <w:bookmarkStart w:id="83" w:name="OLE_LINK98"/>
            <w:r>
              <w:rPr>
                <w:rFonts w:hint="eastAsia" w:ascii="宋体" w:hAnsi="宋体" w:cs="宋体"/>
                <w:sz w:val="24"/>
                <w:szCs w:val="24"/>
              </w:rPr>
              <w:t>质量标准</w:t>
            </w:r>
            <w:bookmarkEnd w:id="83"/>
          </w:p>
        </w:tc>
        <w:tc>
          <w:tcPr>
            <w:tcW w:w="6756" w:type="dxa"/>
            <w:noWrap w:val="0"/>
            <w:vAlign w:val="center"/>
          </w:tcPr>
          <w:p w14:paraId="6F1157A0">
            <w:pPr>
              <w:pStyle w:val="14"/>
              <w:outlineLvl w:val="9"/>
              <w:rPr>
                <w:rFonts w:hint="eastAsia" w:ascii="宋体" w:hAnsi="宋体" w:cs="宋体"/>
                <w:sz w:val="24"/>
                <w:szCs w:val="24"/>
              </w:rPr>
            </w:pPr>
          </w:p>
        </w:tc>
      </w:tr>
      <w:tr w14:paraId="648D5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3235" w:type="dxa"/>
            <w:noWrap w:val="0"/>
            <w:vAlign w:val="center"/>
          </w:tcPr>
          <w:p w14:paraId="0B068356">
            <w:pPr>
              <w:pStyle w:val="14"/>
              <w:jc w:val="center"/>
              <w:outlineLvl w:val="9"/>
              <w:rPr>
                <w:rFonts w:hint="default" w:ascii="宋体" w:hAnsi="宋体" w:eastAsia="宋体" w:cs="宋体"/>
                <w:sz w:val="24"/>
                <w:szCs w:val="24"/>
                <w:lang w:val="en-US" w:eastAsia="zh-CN"/>
              </w:rPr>
            </w:pPr>
            <w:bookmarkStart w:id="84" w:name="OLE_LINK100"/>
            <w:r>
              <w:rPr>
                <w:rFonts w:hint="eastAsia" w:ascii="宋体" w:hAnsi="宋体" w:cs="宋体"/>
                <w:sz w:val="24"/>
                <w:szCs w:val="24"/>
                <w:lang w:val="en-US" w:eastAsia="zh-CN"/>
              </w:rPr>
              <w:t>投标保证金形式</w:t>
            </w:r>
          </w:p>
        </w:tc>
        <w:tc>
          <w:tcPr>
            <w:tcW w:w="6756" w:type="dxa"/>
            <w:noWrap w:val="0"/>
            <w:vAlign w:val="center"/>
          </w:tcPr>
          <w:p w14:paraId="288F458E">
            <w:pPr>
              <w:pStyle w:val="14"/>
              <w:outlineLvl w:val="9"/>
              <w:rPr>
                <w:rFonts w:hint="eastAsia" w:ascii="宋体" w:hAnsi="宋体" w:cs="宋体"/>
                <w:sz w:val="24"/>
                <w:szCs w:val="24"/>
              </w:rPr>
            </w:pPr>
          </w:p>
        </w:tc>
      </w:tr>
      <w:tr w14:paraId="4C07C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3235" w:type="dxa"/>
            <w:noWrap w:val="0"/>
            <w:vAlign w:val="center"/>
          </w:tcPr>
          <w:p w14:paraId="5541AD0C">
            <w:pPr>
              <w:pStyle w:val="14"/>
              <w:jc w:val="center"/>
              <w:outlineLvl w:val="9"/>
              <w:rPr>
                <w:rFonts w:hint="eastAsia" w:ascii="宋体" w:hAnsi="宋体" w:cs="宋体"/>
                <w:sz w:val="24"/>
                <w:szCs w:val="24"/>
              </w:rPr>
            </w:pPr>
            <w:r>
              <w:rPr>
                <w:rFonts w:hint="eastAsia" w:ascii="宋体" w:hAnsi="宋体" w:cs="宋体"/>
                <w:sz w:val="24"/>
                <w:szCs w:val="24"/>
              </w:rPr>
              <w:t>备注</w:t>
            </w:r>
            <w:bookmarkEnd w:id="84"/>
          </w:p>
        </w:tc>
        <w:tc>
          <w:tcPr>
            <w:tcW w:w="6756" w:type="dxa"/>
            <w:noWrap w:val="0"/>
            <w:vAlign w:val="center"/>
          </w:tcPr>
          <w:p w14:paraId="15E21D8D">
            <w:pPr>
              <w:pStyle w:val="14"/>
              <w:outlineLvl w:val="9"/>
              <w:rPr>
                <w:rFonts w:hint="eastAsia" w:ascii="宋体" w:hAnsi="宋体" w:cs="宋体"/>
                <w:sz w:val="24"/>
                <w:szCs w:val="24"/>
              </w:rPr>
            </w:pPr>
          </w:p>
        </w:tc>
      </w:tr>
    </w:tbl>
    <w:p w14:paraId="21D23587">
      <w:pPr>
        <w:pStyle w:val="14"/>
        <w:keepNext w:val="0"/>
        <w:keepLines w:val="0"/>
        <w:pageBreakBefore w:val="0"/>
        <w:widowControl w:val="0"/>
        <w:kinsoku/>
        <w:wordWrap/>
        <w:overflowPunct/>
        <w:topLinePunct w:val="0"/>
        <w:autoSpaceDE/>
        <w:autoSpaceDN/>
        <w:bidi w:val="0"/>
        <w:adjustRightInd/>
        <w:snapToGrid/>
        <w:spacing w:line="500" w:lineRule="exact"/>
        <w:ind w:firstLine="420" w:firstLineChars="200"/>
        <w:jc w:val="both"/>
        <w:textAlignment w:val="auto"/>
        <w:outlineLvl w:val="9"/>
        <w:rPr>
          <w:rFonts w:hAnsi="宋体"/>
          <w:b w:val="0"/>
          <w:bCs/>
          <w:sz w:val="24"/>
          <w:szCs w:val="24"/>
        </w:rPr>
      </w:pPr>
      <w:r>
        <w:rPr>
          <w:rFonts w:hint="eastAsia" w:hAnsi="宋体"/>
          <w:b w:val="0"/>
          <w:bCs/>
        </w:rPr>
        <w:t>注：</w:t>
      </w:r>
      <w:r>
        <w:rPr>
          <w:rFonts w:hint="eastAsia" w:hAnsi="宋体"/>
          <w:b w:val="0"/>
          <w:bCs/>
          <w:sz w:val="24"/>
          <w:szCs w:val="24"/>
        </w:rPr>
        <w:t>表中“</w:t>
      </w:r>
      <w:r>
        <w:rPr>
          <w:rFonts w:hint="eastAsia" w:ascii="宋体" w:hAnsi="宋体" w:cs="宋体"/>
          <w:b w:val="0"/>
          <w:bCs/>
          <w:sz w:val="24"/>
          <w:szCs w:val="24"/>
        </w:rPr>
        <w:t>投标报价</w:t>
      </w:r>
      <w:r>
        <w:rPr>
          <w:rFonts w:hint="eastAsia" w:ascii="宋体" w:hAnsi="宋体" w:eastAsia="宋体" w:cs="Times New Roman"/>
          <w:sz w:val="24"/>
          <w:szCs w:val="24"/>
          <w:lang w:val="en-US" w:eastAsia="zh-CN"/>
        </w:rPr>
        <w:t>单价报价统一下浮率</w:t>
      </w:r>
      <w:r>
        <w:rPr>
          <w:rFonts w:hint="eastAsia" w:hAnsi="宋体"/>
          <w:b w:val="0"/>
          <w:bCs/>
          <w:sz w:val="24"/>
          <w:szCs w:val="24"/>
        </w:rPr>
        <w:t>”应与商务</w:t>
      </w:r>
      <w:r>
        <w:rPr>
          <w:rFonts w:hAnsi="宋体"/>
          <w:b w:val="0"/>
          <w:bCs/>
          <w:sz w:val="24"/>
          <w:szCs w:val="24"/>
        </w:rPr>
        <w:t>部分</w:t>
      </w:r>
      <w:r>
        <w:rPr>
          <w:rFonts w:hint="eastAsia" w:hAnsi="宋体"/>
          <w:b w:val="0"/>
          <w:bCs/>
          <w:sz w:val="24"/>
          <w:szCs w:val="24"/>
        </w:rPr>
        <w:t>格式3 “投标函”中“</w:t>
      </w:r>
      <w:r>
        <w:rPr>
          <w:rFonts w:hint="eastAsia" w:ascii="宋体" w:hAnsi="宋体" w:cs="宋体"/>
          <w:b w:val="0"/>
          <w:bCs/>
          <w:sz w:val="24"/>
          <w:szCs w:val="24"/>
        </w:rPr>
        <w:t>投标报价</w:t>
      </w:r>
      <w:r>
        <w:rPr>
          <w:rFonts w:hint="eastAsia" w:ascii="宋体" w:hAnsi="宋体" w:eastAsia="宋体" w:cs="Times New Roman"/>
          <w:sz w:val="24"/>
          <w:szCs w:val="24"/>
          <w:lang w:val="en-US" w:eastAsia="zh-CN"/>
        </w:rPr>
        <w:t>单价报价统一下浮率</w:t>
      </w:r>
      <w:r>
        <w:rPr>
          <w:rFonts w:hint="eastAsia" w:hAnsi="宋体"/>
          <w:b w:val="0"/>
          <w:bCs/>
          <w:sz w:val="24"/>
          <w:szCs w:val="24"/>
        </w:rPr>
        <w:t>”和格式4</w:t>
      </w:r>
      <w:r>
        <w:rPr>
          <w:rFonts w:hAnsi="宋体"/>
          <w:b w:val="0"/>
          <w:bCs/>
          <w:sz w:val="24"/>
          <w:szCs w:val="24"/>
        </w:rPr>
        <w:t>“投标分项报价表”</w:t>
      </w:r>
      <w:r>
        <w:rPr>
          <w:rFonts w:hint="eastAsia" w:hAnsi="宋体"/>
          <w:b w:val="0"/>
          <w:bCs/>
          <w:sz w:val="24"/>
          <w:szCs w:val="24"/>
        </w:rPr>
        <w:t>中“</w:t>
      </w:r>
      <w:r>
        <w:rPr>
          <w:rFonts w:hint="eastAsia" w:ascii="宋体" w:hAnsi="宋体" w:cs="宋体"/>
          <w:b w:val="0"/>
          <w:bCs/>
          <w:sz w:val="24"/>
          <w:szCs w:val="24"/>
        </w:rPr>
        <w:t>投标报价</w:t>
      </w:r>
      <w:r>
        <w:rPr>
          <w:rFonts w:hint="eastAsia" w:ascii="宋体" w:hAnsi="宋体" w:eastAsia="宋体" w:cs="Times New Roman"/>
          <w:sz w:val="24"/>
          <w:szCs w:val="24"/>
          <w:lang w:val="en-US" w:eastAsia="zh-CN"/>
        </w:rPr>
        <w:t>单价报价统一下浮率</w:t>
      </w:r>
      <w:r>
        <w:rPr>
          <w:rFonts w:hint="eastAsia" w:hAnsi="宋体"/>
          <w:b w:val="0"/>
          <w:bCs/>
          <w:sz w:val="24"/>
          <w:szCs w:val="24"/>
        </w:rPr>
        <w:t>”一致。</w:t>
      </w:r>
    </w:p>
    <w:p w14:paraId="221985F5">
      <w:pPr>
        <w:pStyle w:val="17"/>
        <w:spacing w:line="360" w:lineRule="auto"/>
        <w:outlineLvl w:val="9"/>
        <w:rPr>
          <w:rFonts w:hAnsi="宋体"/>
          <w:sz w:val="24"/>
          <w:szCs w:val="24"/>
          <w:u w:val="single"/>
        </w:rPr>
        <w:sectPr>
          <w:footerReference r:id="rId13" w:type="first"/>
          <w:footerReference r:id="rId12" w:type="default"/>
          <w:pgSz w:w="11906" w:h="16838"/>
          <w:pgMar w:top="794" w:right="746" w:bottom="680" w:left="1134" w:header="720" w:footer="720" w:gutter="0"/>
          <w:pgNumType w:fmt="decimal"/>
          <w:cols w:space="720" w:num="1"/>
          <w:titlePg/>
          <w:docGrid w:type="lines" w:linePitch="331" w:charSpace="0"/>
        </w:sectPr>
      </w:pPr>
      <w:r>
        <w:rPr>
          <w:rFonts w:hint="eastAsia" w:hAnsi="宋体"/>
          <w:sz w:val="24"/>
        </w:rPr>
        <w:t xml:space="preserve">         </w:t>
      </w:r>
    </w:p>
    <w:p w14:paraId="4CE5EC39">
      <w:pPr>
        <w:spacing w:line="360" w:lineRule="auto"/>
        <w:jc w:val="center"/>
        <w:outlineLvl w:val="9"/>
        <w:rPr>
          <w:rFonts w:hint="eastAsia" w:ascii="宋体" w:hAnsi="宋体" w:eastAsia="宋体" w:cs="Times New Roman"/>
          <w:sz w:val="32"/>
          <w:szCs w:val="32"/>
        </w:rPr>
      </w:pPr>
      <w:bookmarkStart w:id="85" w:name="_Toc70446115"/>
      <w:bookmarkStart w:id="86" w:name="_Toc496122187"/>
      <w:r>
        <w:rPr>
          <w:rFonts w:hint="eastAsia" w:ascii="宋体" w:hAnsi="宋体" w:eastAsia="宋体" w:cs="Times New Roman"/>
          <w:sz w:val="32"/>
          <w:szCs w:val="32"/>
        </w:rPr>
        <w:t>一、资格证明文件</w:t>
      </w:r>
      <w:bookmarkEnd w:id="85"/>
      <w:bookmarkEnd w:id="86"/>
    </w:p>
    <w:p w14:paraId="1FC3B716">
      <w:pPr>
        <w:pStyle w:val="17"/>
        <w:outlineLvl w:val="9"/>
        <w:rPr>
          <w:rFonts w:hAnsi="宋体"/>
          <w:sz w:val="24"/>
          <w:szCs w:val="24"/>
        </w:rPr>
      </w:pPr>
    </w:p>
    <w:p w14:paraId="7B09C44F">
      <w:pPr>
        <w:pStyle w:val="17"/>
        <w:numPr>
          <w:ilvl w:val="0"/>
          <w:numId w:val="2"/>
        </w:numPr>
        <w:spacing w:line="360" w:lineRule="auto"/>
        <w:outlineLvl w:val="9"/>
        <w:rPr>
          <w:rFonts w:hAnsi="宋体"/>
          <w:sz w:val="24"/>
          <w:szCs w:val="24"/>
        </w:rPr>
      </w:pPr>
      <w:r>
        <w:rPr>
          <w:rFonts w:hint="eastAsia" w:hAnsi="宋体"/>
          <w:sz w:val="24"/>
          <w:szCs w:val="24"/>
        </w:rPr>
        <w:t>投标人应按所附格式要求填写并提交。</w:t>
      </w:r>
    </w:p>
    <w:p w14:paraId="626B0229">
      <w:pPr>
        <w:pStyle w:val="17"/>
        <w:numPr>
          <w:ilvl w:val="0"/>
          <w:numId w:val="2"/>
        </w:numPr>
        <w:spacing w:line="360" w:lineRule="auto"/>
        <w:outlineLvl w:val="9"/>
        <w:rPr>
          <w:rFonts w:hAnsi="宋体"/>
          <w:sz w:val="24"/>
          <w:szCs w:val="24"/>
        </w:rPr>
      </w:pPr>
      <w:r>
        <w:rPr>
          <w:rFonts w:hint="eastAsia" w:hAnsi="宋体"/>
          <w:sz w:val="24"/>
          <w:szCs w:val="24"/>
        </w:rPr>
        <w:t>资格声明中的签字人应保证全部声明和填写的内容是真实的和正确的。</w:t>
      </w:r>
    </w:p>
    <w:p w14:paraId="1DCC550C">
      <w:pPr>
        <w:pStyle w:val="17"/>
        <w:numPr>
          <w:ilvl w:val="0"/>
          <w:numId w:val="2"/>
        </w:numPr>
        <w:spacing w:line="360" w:lineRule="auto"/>
        <w:outlineLvl w:val="9"/>
        <w:rPr>
          <w:rFonts w:hAnsi="宋体"/>
          <w:sz w:val="24"/>
          <w:szCs w:val="24"/>
        </w:rPr>
      </w:pPr>
      <w:r>
        <w:rPr>
          <w:rFonts w:hint="eastAsia" w:hAnsi="宋体"/>
          <w:sz w:val="24"/>
          <w:szCs w:val="24"/>
        </w:rPr>
        <w:t>投标人提交的材料将被保密，但不退还。</w:t>
      </w:r>
    </w:p>
    <w:p w14:paraId="200A1FF3">
      <w:pPr>
        <w:pStyle w:val="17"/>
        <w:spacing w:line="600" w:lineRule="exact"/>
        <w:outlineLvl w:val="9"/>
        <w:rPr>
          <w:rFonts w:hAnsi="宋体"/>
          <w:sz w:val="24"/>
          <w:szCs w:val="24"/>
        </w:rPr>
      </w:pPr>
    </w:p>
    <w:p w14:paraId="450A7ED7">
      <w:pPr>
        <w:outlineLvl w:val="9"/>
      </w:pPr>
    </w:p>
    <w:p w14:paraId="40AE30A6">
      <w:pPr>
        <w:outlineLvl w:val="9"/>
      </w:pPr>
    </w:p>
    <w:p w14:paraId="2E5D3F0A">
      <w:pPr>
        <w:outlineLvl w:val="9"/>
      </w:pPr>
    </w:p>
    <w:p w14:paraId="35706960">
      <w:pPr>
        <w:outlineLvl w:val="9"/>
      </w:pPr>
    </w:p>
    <w:p w14:paraId="1D50465E">
      <w:pPr>
        <w:outlineLvl w:val="9"/>
      </w:pPr>
    </w:p>
    <w:p w14:paraId="518B5A37">
      <w:pPr>
        <w:outlineLvl w:val="9"/>
      </w:pPr>
    </w:p>
    <w:p w14:paraId="65A5C334">
      <w:pPr>
        <w:outlineLvl w:val="9"/>
      </w:pPr>
    </w:p>
    <w:p w14:paraId="77C8A45E">
      <w:pPr>
        <w:outlineLvl w:val="9"/>
      </w:pPr>
    </w:p>
    <w:p w14:paraId="2D8B1567">
      <w:pPr>
        <w:outlineLvl w:val="9"/>
      </w:pPr>
    </w:p>
    <w:p w14:paraId="6205F099">
      <w:pPr>
        <w:outlineLvl w:val="9"/>
      </w:pPr>
    </w:p>
    <w:p w14:paraId="11B8D225">
      <w:pPr>
        <w:outlineLvl w:val="9"/>
      </w:pPr>
    </w:p>
    <w:p w14:paraId="465236B9">
      <w:pPr>
        <w:outlineLvl w:val="9"/>
      </w:pPr>
    </w:p>
    <w:p w14:paraId="072FDE61">
      <w:pPr>
        <w:outlineLvl w:val="9"/>
      </w:pPr>
    </w:p>
    <w:p w14:paraId="72383AA0">
      <w:pPr>
        <w:outlineLvl w:val="9"/>
      </w:pPr>
    </w:p>
    <w:p w14:paraId="0E7F724A">
      <w:pPr>
        <w:outlineLvl w:val="9"/>
      </w:pPr>
    </w:p>
    <w:p w14:paraId="35DC701E">
      <w:pPr>
        <w:outlineLvl w:val="9"/>
      </w:pPr>
    </w:p>
    <w:p w14:paraId="2E353C2A">
      <w:pPr>
        <w:outlineLvl w:val="9"/>
      </w:pPr>
    </w:p>
    <w:p w14:paraId="5C0CC646">
      <w:pPr>
        <w:outlineLvl w:val="9"/>
      </w:pPr>
    </w:p>
    <w:p w14:paraId="59629083">
      <w:pPr>
        <w:outlineLvl w:val="9"/>
      </w:pPr>
    </w:p>
    <w:p w14:paraId="5FBBE2FB">
      <w:pPr>
        <w:tabs>
          <w:tab w:val="left" w:pos="864"/>
        </w:tabs>
        <w:outlineLvl w:val="9"/>
      </w:pPr>
      <w:r>
        <w:tab/>
      </w:r>
    </w:p>
    <w:p w14:paraId="26026645">
      <w:pPr>
        <w:outlineLvl w:val="9"/>
      </w:pPr>
    </w:p>
    <w:p w14:paraId="7E97B464">
      <w:pPr>
        <w:outlineLvl w:val="9"/>
      </w:pPr>
    </w:p>
    <w:p w14:paraId="2250F8D3">
      <w:pPr>
        <w:outlineLvl w:val="9"/>
      </w:pPr>
    </w:p>
    <w:p w14:paraId="1D1CB83D">
      <w:pPr>
        <w:outlineLvl w:val="9"/>
      </w:pPr>
    </w:p>
    <w:p w14:paraId="61416E60">
      <w:pPr>
        <w:outlineLvl w:val="9"/>
      </w:pPr>
    </w:p>
    <w:p w14:paraId="31B08F3C">
      <w:pPr>
        <w:pStyle w:val="17"/>
        <w:spacing w:line="600" w:lineRule="exact"/>
        <w:outlineLvl w:val="9"/>
        <w:rPr>
          <w:rFonts w:hAnsi="宋体"/>
          <w:b/>
          <w:sz w:val="28"/>
          <w:szCs w:val="28"/>
        </w:rPr>
      </w:pPr>
      <w:r>
        <w:rPr>
          <w:rFonts w:hint="eastAsia"/>
        </w:rPr>
        <w:br w:type="page"/>
      </w:r>
      <w:r>
        <w:rPr>
          <w:rFonts w:hint="eastAsia" w:hAnsi="宋体"/>
          <w:b/>
          <w:sz w:val="28"/>
          <w:szCs w:val="28"/>
        </w:rPr>
        <w:t>格式1：</w:t>
      </w:r>
    </w:p>
    <w:p w14:paraId="3CFAFF31">
      <w:pPr>
        <w:spacing w:line="360" w:lineRule="auto"/>
        <w:jc w:val="center"/>
        <w:outlineLvl w:val="9"/>
        <w:rPr>
          <w:rFonts w:hint="eastAsia" w:ascii="宋体" w:hAnsi="宋体" w:eastAsia="宋体" w:cs="Times New Roman"/>
          <w:sz w:val="32"/>
          <w:szCs w:val="32"/>
        </w:rPr>
      </w:pPr>
      <w:r>
        <w:rPr>
          <w:rFonts w:hint="eastAsia" w:ascii="宋体" w:hAnsi="宋体" w:eastAsia="宋体" w:cs="Times New Roman"/>
          <w:sz w:val="32"/>
          <w:szCs w:val="32"/>
        </w:rPr>
        <w:t>投标人信息表</w:t>
      </w:r>
    </w:p>
    <w:p w14:paraId="5C682554">
      <w:pPr>
        <w:spacing w:line="400" w:lineRule="exact"/>
        <w:jc w:val="center"/>
        <w:outlineLvl w:val="9"/>
        <w:rPr>
          <w:rFonts w:ascii="宋体" w:hAnsi="宋体"/>
          <w:b/>
          <w:sz w:val="24"/>
        </w:rPr>
      </w:pPr>
      <w:r>
        <w:rPr>
          <w:rFonts w:hint="eastAsia" w:ascii="宋体" w:hAnsi="宋体"/>
          <w:b/>
          <w:sz w:val="24"/>
        </w:rPr>
        <w:t>（请投标人如实填写本表信息）</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4CB14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0DC920FB">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投标人名称</w:t>
            </w:r>
          </w:p>
        </w:tc>
        <w:tc>
          <w:tcPr>
            <w:tcW w:w="7457" w:type="dxa"/>
            <w:gridSpan w:val="4"/>
            <w:tcBorders>
              <w:top w:val="single" w:color="auto" w:sz="4" w:space="0"/>
              <w:left w:val="nil"/>
              <w:bottom w:val="single" w:color="auto" w:sz="4" w:space="0"/>
              <w:right w:val="single" w:color="auto" w:sz="4" w:space="0"/>
            </w:tcBorders>
            <w:noWrap w:val="0"/>
            <w:vAlign w:val="center"/>
          </w:tcPr>
          <w:p w14:paraId="47E9B5D6">
            <w:pPr>
              <w:spacing w:line="500" w:lineRule="exact"/>
              <w:jc w:val="center"/>
              <w:outlineLvl w:val="9"/>
              <w:rPr>
                <w:rFonts w:hint="eastAsia" w:ascii="宋体" w:hAnsi="宋体" w:eastAsia="宋体" w:cs="宋体"/>
                <w:sz w:val="24"/>
                <w:szCs w:val="24"/>
              </w:rPr>
            </w:pPr>
          </w:p>
        </w:tc>
      </w:tr>
      <w:tr w14:paraId="2EA9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1566CCF4">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注册资金</w:t>
            </w:r>
          </w:p>
        </w:tc>
        <w:tc>
          <w:tcPr>
            <w:tcW w:w="4071" w:type="dxa"/>
            <w:gridSpan w:val="2"/>
            <w:tcBorders>
              <w:top w:val="single" w:color="auto" w:sz="4" w:space="0"/>
              <w:left w:val="nil"/>
              <w:bottom w:val="single" w:color="auto" w:sz="4" w:space="0"/>
              <w:right w:val="single" w:color="auto" w:sz="4" w:space="0"/>
            </w:tcBorders>
            <w:noWrap w:val="0"/>
            <w:vAlign w:val="center"/>
          </w:tcPr>
          <w:p w14:paraId="4E52D29C">
            <w:pPr>
              <w:spacing w:line="500" w:lineRule="exact"/>
              <w:jc w:val="center"/>
              <w:outlineLvl w:val="9"/>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6FDAF4FE">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成立时间</w:t>
            </w:r>
          </w:p>
        </w:tc>
        <w:tc>
          <w:tcPr>
            <w:tcW w:w="1982" w:type="dxa"/>
            <w:tcBorders>
              <w:top w:val="single" w:color="auto" w:sz="4" w:space="0"/>
              <w:left w:val="nil"/>
              <w:bottom w:val="single" w:color="auto" w:sz="4" w:space="0"/>
              <w:right w:val="single" w:color="auto" w:sz="4" w:space="0"/>
            </w:tcBorders>
            <w:noWrap w:val="0"/>
            <w:vAlign w:val="center"/>
          </w:tcPr>
          <w:p w14:paraId="0E191C66">
            <w:pPr>
              <w:spacing w:line="500" w:lineRule="exact"/>
              <w:jc w:val="center"/>
              <w:outlineLvl w:val="9"/>
              <w:rPr>
                <w:rFonts w:hint="eastAsia" w:ascii="宋体" w:hAnsi="宋体" w:eastAsia="宋体" w:cs="宋体"/>
                <w:sz w:val="24"/>
                <w:szCs w:val="24"/>
              </w:rPr>
            </w:pPr>
          </w:p>
        </w:tc>
      </w:tr>
      <w:tr w14:paraId="10A62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0CFC4839">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注册地址</w:t>
            </w:r>
          </w:p>
        </w:tc>
        <w:tc>
          <w:tcPr>
            <w:tcW w:w="7457" w:type="dxa"/>
            <w:gridSpan w:val="4"/>
            <w:tcBorders>
              <w:top w:val="single" w:color="auto" w:sz="4" w:space="0"/>
              <w:left w:val="nil"/>
              <w:bottom w:val="single" w:color="auto" w:sz="4" w:space="0"/>
              <w:right w:val="single" w:color="auto" w:sz="4" w:space="0"/>
            </w:tcBorders>
            <w:noWrap w:val="0"/>
            <w:vAlign w:val="center"/>
          </w:tcPr>
          <w:p w14:paraId="6C9CF300">
            <w:pPr>
              <w:spacing w:line="500" w:lineRule="exact"/>
              <w:jc w:val="center"/>
              <w:outlineLvl w:val="9"/>
              <w:rPr>
                <w:rFonts w:hint="eastAsia" w:ascii="宋体" w:hAnsi="宋体" w:eastAsia="宋体" w:cs="宋体"/>
                <w:sz w:val="24"/>
                <w:szCs w:val="24"/>
              </w:rPr>
            </w:pPr>
          </w:p>
        </w:tc>
      </w:tr>
      <w:tr w14:paraId="23D7D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46F64563">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邮政编码</w:t>
            </w:r>
          </w:p>
        </w:tc>
        <w:tc>
          <w:tcPr>
            <w:tcW w:w="4071" w:type="dxa"/>
            <w:gridSpan w:val="2"/>
            <w:tcBorders>
              <w:top w:val="single" w:color="auto" w:sz="4" w:space="0"/>
              <w:left w:val="nil"/>
              <w:bottom w:val="single" w:color="auto" w:sz="4" w:space="0"/>
              <w:right w:val="single" w:color="auto" w:sz="4" w:space="0"/>
            </w:tcBorders>
            <w:noWrap w:val="0"/>
            <w:vAlign w:val="center"/>
          </w:tcPr>
          <w:p w14:paraId="5DD83B95">
            <w:pPr>
              <w:spacing w:line="500" w:lineRule="exact"/>
              <w:jc w:val="center"/>
              <w:outlineLvl w:val="9"/>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255AEAD3">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员工总数</w:t>
            </w:r>
          </w:p>
        </w:tc>
        <w:tc>
          <w:tcPr>
            <w:tcW w:w="1982" w:type="dxa"/>
            <w:tcBorders>
              <w:top w:val="single" w:color="auto" w:sz="4" w:space="0"/>
              <w:left w:val="nil"/>
              <w:bottom w:val="single" w:color="auto" w:sz="4" w:space="0"/>
              <w:right w:val="single" w:color="auto" w:sz="4" w:space="0"/>
            </w:tcBorders>
            <w:noWrap w:val="0"/>
            <w:vAlign w:val="center"/>
          </w:tcPr>
          <w:p w14:paraId="0E429269">
            <w:pPr>
              <w:spacing w:line="500" w:lineRule="exact"/>
              <w:jc w:val="center"/>
              <w:outlineLvl w:val="9"/>
              <w:rPr>
                <w:rFonts w:hint="eastAsia" w:ascii="宋体" w:hAnsi="宋体" w:eastAsia="宋体" w:cs="宋体"/>
                <w:sz w:val="24"/>
                <w:szCs w:val="24"/>
              </w:rPr>
            </w:pPr>
          </w:p>
        </w:tc>
      </w:tr>
      <w:tr w14:paraId="06077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restart"/>
            <w:tcBorders>
              <w:top w:val="nil"/>
              <w:left w:val="single" w:color="auto" w:sz="4" w:space="0"/>
              <w:bottom w:val="single" w:color="auto" w:sz="4" w:space="0"/>
              <w:right w:val="single" w:color="auto" w:sz="4" w:space="0"/>
            </w:tcBorders>
            <w:noWrap w:val="0"/>
            <w:vAlign w:val="center"/>
          </w:tcPr>
          <w:p w14:paraId="1ED6D2E4">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联系方式</w:t>
            </w:r>
          </w:p>
        </w:tc>
        <w:tc>
          <w:tcPr>
            <w:tcW w:w="1350" w:type="dxa"/>
            <w:tcBorders>
              <w:top w:val="single" w:color="auto" w:sz="4" w:space="0"/>
              <w:left w:val="nil"/>
              <w:bottom w:val="single" w:color="auto" w:sz="4" w:space="0"/>
              <w:right w:val="single" w:color="auto" w:sz="4" w:space="0"/>
            </w:tcBorders>
            <w:noWrap w:val="0"/>
            <w:vAlign w:val="center"/>
          </w:tcPr>
          <w:p w14:paraId="370DF3F5">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联系人</w:t>
            </w:r>
          </w:p>
        </w:tc>
        <w:tc>
          <w:tcPr>
            <w:tcW w:w="2721" w:type="dxa"/>
            <w:tcBorders>
              <w:top w:val="single" w:color="auto" w:sz="4" w:space="0"/>
              <w:left w:val="nil"/>
              <w:bottom w:val="single" w:color="auto" w:sz="4" w:space="0"/>
              <w:right w:val="single" w:color="auto" w:sz="4" w:space="0"/>
            </w:tcBorders>
            <w:noWrap w:val="0"/>
            <w:vAlign w:val="center"/>
          </w:tcPr>
          <w:p w14:paraId="38252080">
            <w:pPr>
              <w:spacing w:line="500" w:lineRule="exact"/>
              <w:jc w:val="center"/>
              <w:outlineLvl w:val="9"/>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38BA60E7">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电话</w:t>
            </w:r>
          </w:p>
        </w:tc>
        <w:tc>
          <w:tcPr>
            <w:tcW w:w="1982" w:type="dxa"/>
            <w:tcBorders>
              <w:top w:val="single" w:color="auto" w:sz="4" w:space="0"/>
              <w:left w:val="nil"/>
              <w:bottom w:val="single" w:color="auto" w:sz="4" w:space="0"/>
              <w:right w:val="single" w:color="auto" w:sz="4" w:space="0"/>
            </w:tcBorders>
            <w:noWrap w:val="0"/>
            <w:vAlign w:val="center"/>
          </w:tcPr>
          <w:p w14:paraId="74BD2B99">
            <w:pPr>
              <w:spacing w:line="500" w:lineRule="exact"/>
              <w:jc w:val="center"/>
              <w:outlineLvl w:val="9"/>
              <w:rPr>
                <w:rFonts w:hint="eastAsia" w:ascii="宋体" w:hAnsi="宋体" w:eastAsia="宋体" w:cs="宋体"/>
                <w:sz w:val="24"/>
                <w:szCs w:val="24"/>
              </w:rPr>
            </w:pPr>
          </w:p>
        </w:tc>
      </w:tr>
      <w:tr w14:paraId="1F507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continue"/>
            <w:tcBorders>
              <w:top w:val="nil"/>
              <w:left w:val="single" w:color="auto" w:sz="4" w:space="0"/>
              <w:bottom w:val="single" w:color="auto" w:sz="4" w:space="0"/>
              <w:right w:val="single" w:color="auto" w:sz="4" w:space="0"/>
            </w:tcBorders>
            <w:noWrap w:val="0"/>
            <w:vAlign w:val="center"/>
          </w:tcPr>
          <w:p w14:paraId="30595AAB">
            <w:pPr>
              <w:spacing w:line="500" w:lineRule="exact"/>
              <w:jc w:val="center"/>
              <w:outlineLvl w:val="9"/>
              <w:rPr>
                <w:rFonts w:hint="eastAsia" w:ascii="宋体" w:hAnsi="宋体" w:eastAsia="宋体" w:cs="宋体"/>
                <w:sz w:val="24"/>
                <w:szCs w:val="24"/>
              </w:rPr>
            </w:pPr>
          </w:p>
        </w:tc>
        <w:tc>
          <w:tcPr>
            <w:tcW w:w="1350" w:type="dxa"/>
            <w:tcBorders>
              <w:top w:val="single" w:color="auto" w:sz="4" w:space="0"/>
              <w:left w:val="nil"/>
              <w:bottom w:val="single" w:color="auto" w:sz="4" w:space="0"/>
              <w:right w:val="single" w:color="auto" w:sz="4" w:space="0"/>
            </w:tcBorders>
            <w:noWrap w:val="0"/>
            <w:vAlign w:val="center"/>
          </w:tcPr>
          <w:p w14:paraId="46B7BE00">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网址</w:t>
            </w:r>
          </w:p>
        </w:tc>
        <w:tc>
          <w:tcPr>
            <w:tcW w:w="2721" w:type="dxa"/>
            <w:tcBorders>
              <w:top w:val="single" w:color="auto" w:sz="4" w:space="0"/>
              <w:left w:val="nil"/>
              <w:bottom w:val="single" w:color="auto" w:sz="4" w:space="0"/>
              <w:right w:val="single" w:color="auto" w:sz="4" w:space="0"/>
            </w:tcBorders>
            <w:noWrap w:val="0"/>
            <w:vAlign w:val="center"/>
          </w:tcPr>
          <w:p w14:paraId="64A331AE">
            <w:pPr>
              <w:spacing w:line="500" w:lineRule="exact"/>
              <w:jc w:val="center"/>
              <w:outlineLvl w:val="9"/>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54688F4E">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传真</w:t>
            </w:r>
          </w:p>
        </w:tc>
        <w:tc>
          <w:tcPr>
            <w:tcW w:w="1982" w:type="dxa"/>
            <w:tcBorders>
              <w:top w:val="single" w:color="auto" w:sz="4" w:space="0"/>
              <w:left w:val="nil"/>
              <w:bottom w:val="single" w:color="auto" w:sz="4" w:space="0"/>
              <w:right w:val="single" w:color="auto" w:sz="4" w:space="0"/>
            </w:tcBorders>
            <w:noWrap w:val="0"/>
            <w:vAlign w:val="center"/>
          </w:tcPr>
          <w:p w14:paraId="188EB031">
            <w:pPr>
              <w:spacing w:line="500" w:lineRule="exact"/>
              <w:jc w:val="center"/>
              <w:outlineLvl w:val="9"/>
              <w:rPr>
                <w:rFonts w:hint="eastAsia" w:ascii="宋体" w:hAnsi="宋体" w:eastAsia="宋体" w:cs="宋体"/>
                <w:sz w:val="24"/>
                <w:szCs w:val="24"/>
              </w:rPr>
            </w:pPr>
          </w:p>
        </w:tc>
      </w:tr>
      <w:tr w14:paraId="2D668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3E0F82F2">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法定代表人</w:t>
            </w:r>
          </w:p>
        </w:tc>
        <w:tc>
          <w:tcPr>
            <w:tcW w:w="1350" w:type="dxa"/>
            <w:tcBorders>
              <w:top w:val="single" w:color="auto" w:sz="4" w:space="0"/>
              <w:left w:val="nil"/>
              <w:bottom w:val="single" w:color="auto" w:sz="4" w:space="0"/>
              <w:right w:val="single" w:color="auto" w:sz="4" w:space="0"/>
            </w:tcBorders>
            <w:noWrap w:val="0"/>
            <w:vAlign w:val="center"/>
          </w:tcPr>
          <w:p w14:paraId="1C1B2529">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姓名</w:t>
            </w:r>
          </w:p>
        </w:tc>
        <w:tc>
          <w:tcPr>
            <w:tcW w:w="2721" w:type="dxa"/>
            <w:tcBorders>
              <w:top w:val="single" w:color="auto" w:sz="4" w:space="0"/>
              <w:left w:val="nil"/>
              <w:bottom w:val="single" w:color="auto" w:sz="4" w:space="0"/>
              <w:right w:val="single" w:color="auto" w:sz="4" w:space="0"/>
            </w:tcBorders>
            <w:noWrap w:val="0"/>
            <w:vAlign w:val="center"/>
          </w:tcPr>
          <w:p w14:paraId="4F5E6A95">
            <w:pPr>
              <w:spacing w:line="500" w:lineRule="exact"/>
              <w:jc w:val="center"/>
              <w:outlineLvl w:val="9"/>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3F6C1C3E">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电话</w:t>
            </w:r>
          </w:p>
        </w:tc>
        <w:tc>
          <w:tcPr>
            <w:tcW w:w="1982" w:type="dxa"/>
            <w:tcBorders>
              <w:top w:val="single" w:color="auto" w:sz="4" w:space="0"/>
              <w:left w:val="nil"/>
              <w:bottom w:val="single" w:color="auto" w:sz="4" w:space="0"/>
              <w:right w:val="single" w:color="auto" w:sz="4" w:space="0"/>
            </w:tcBorders>
            <w:noWrap w:val="0"/>
            <w:vAlign w:val="center"/>
          </w:tcPr>
          <w:p w14:paraId="32AC0D3A">
            <w:pPr>
              <w:spacing w:line="500" w:lineRule="exact"/>
              <w:jc w:val="center"/>
              <w:outlineLvl w:val="9"/>
              <w:rPr>
                <w:rFonts w:hint="eastAsia" w:ascii="宋体" w:hAnsi="宋体" w:eastAsia="宋体" w:cs="宋体"/>
                <w:sz w:val="24"/>
                <w:szCs w:val="24"/>
              </w:rPr>
            </w:pPr>
          </w:p>
        </w:tc>
      </w:tr>
      <w:tr w14:paraId="5A8C1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6D9ECB1A">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项目负责人</w:t>
            </w:r>
          </w:p>
        </w:tc>
        <w:tc>
          <w:tcPr>
            <w:tcW w:w="1350" w:type="dxa"/>
            <w:tcBorders>
              <w:top w:val="single" w:color="auto" w:sz="4" w:space="0"/>
              <w:left w:val="nil"/>
              <w:bottom w:val="single" w:color="auto" w:sz="4" w:space="0"/>
              <w:right w:val="single" w:color="auto" w:sz="4" w:space="0"/>
            </w:tcBorders>
            <w:noWrap w:val="0"/>
            <w:vAlign w:val="center"/>
          </w:tcPr>
          <w:p w14:paraId="23C2F884">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姓名</w:t>
            </w:r>
          </w:p>
        </w:tc>
        <w:tc>
          <w:tcPr>
            <w:tcW w:w="2721" w:type="dxa"/>
            <w:tcBorders>
              <w:top w:val="single" w:color="auto" w:sz="4" w:space="0"/>
              <w:left w:val="nil"/>
              <w:bottom w:val="single" w:color="auto" w:sz="4" w:space="0"/>
              <w:right w:val="single" w:color="auto" w:sz="4" w:space="0"/>
            </w:tcBorders>
            <w:noWrap w:val="0"/>
            <w:vAlign w:val="center"/>
          </w:tcPr>
          <w:p w14:paraId="78532074">
            <w:pPr>
              <w:spacing w:line="500" w:lineRule="exact"/>
              <w:ind w:firstLine="480" w:firstLineChars="200"/>
              <w:jc w:val="center"/>
              <w:outlineLvl w:val="9"/>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31684BE7">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电话</w:t>
            </w:r>
          </w:p>
        </w:tc>
        <w:tc>
          <w:tcPr>
            <w:tcW w:w="1982" w:type="dxa"/>
            <w:tcBorders>
              <w:top w:val="single" w:color="auto" w:sz="4" w:space="0"/>
              <w:left w:val="nil"/>
              <w:bottom w:val="single" w:color="auto" w:sz="4" w:space="0"/>
              <w:right w:val="single" w:color="auto" w:sz="4" w:space="0"/>
            </w:tcBorders>
            <w:noWrap w:val="0"/>
            <w:vAlign w:val="center"/>
          </w:tcPr>
          <w:p w14:paraId="26DE83EC">
            <w:pPr>
              <w:spacing w:line="500" w:lineRule="exact"/>
              <w:jc w:val="center"/>
              <w:outlineLvl w:val="9"/>
              <w:rPr>
                <w:rFonts w:hint="eastAsia" w:ascii="宋体" w:hAnsi="宋体" w:eastAsia="宋体" w:cs="宋体"/>
                <w:sz w:val="24"/>
                <w:szCs w:val="24"/>
              </w:rPr>
            </w:pPr>
          </w:p>
        </w:tc>
      </w:tr>
      <w:tr w14:paraId="18EBB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5896427C">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投标人须知要求投标人需具有的各类资质证书（若有）</w:t>
            </w:r>
          </w:p>
        </w:tc>
        <w:tc>
          <w:tcPr>
            <w:tcW w:w="7457" w:type="dxa"/>
            <w:gridSpan w:val="4"/>
            <w:tcBorders>
              <w:top w:val="single" w:color="auto" w:sz="4" w:space="0"/>
              <w:left w:val="nil"/>
              <w:bottom w:val="single" w:color="auto" w:sz="4" w:space="0"/>
              <w:right w:val="single" w:color="auto" w:sz="4" w:space="0"/>
            </w:tcBorders>
            <w:noWrap w:val="0"/>
            <w:vAlign w:val="center"/>
          </w:tcPr>
          <w:p w14:paraId="6170C6BB">
            <w:pPr>
              <w:spacing w:line="500" w:lineRule="exact"/>
              <w:jc w:val="center"/>
              <w:outlineLvl w:val="9"/>
              <w:rPr>
                <w:rFonts w:hint="eastAsia" w:ascii="宋体" w:hAnsi="宋体" w:eastAsia="宋体" w:cs="宋体"/>
                <w:sz w:val="24"/>
                <w:szCs w:val="24"/>
              </w:rPr>
            </w:pPr>
          </w:p>
        </w:tc>
      </w:tr>
      <w:tr w14:paraId="5CBED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2411344B">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基本账户开户银行</w:t>
            </w:r>
          </w:p>
        </w:tc>
        <w:tc>
          <w:tcPr>
            <w:tcW w:w="7457" w:type="dxa"/>
            <w:gridSpan w:val="4"/>
            <w:tcBorders>
              <w:top w:val="single" w:color="auto" w:sz="4" w:space="0"/>
              <w:left w:val="nil"/>
              <w:bottom w:val="single" w:color="auto" w:sz="4" w:space="0"/>
              <w:right w:val="single" w:color="auto" w:sz="4" w:space="0"/>
            </w:tcBorders>
            <w:noWrap w:val="0"/>
            <w:vAlign w:val="center"/>
          </w:tcPr>
          <w:p w14:paraId="0BF55BC0">
            <w:pPr>
              <w:spacing w:line="500" w:lineRule="exact"/>
              <w:jc w:val="center"/>
              <w:outlineLvl w:val="9"/>
              <w:rPr>
                <w:rFonts w:hint="eastAsia" w:ascii="宋体" w:hAnsi="宋体" w:eastAsia="宋体" w:cs="宋体"/>
                <w:sz w:val="24"/>
                <w:szCs w:val="24"/>
              </w:rPr>
            </w:pPr>
          </w:p>
        </w:tc>
      </w:tr>
      <w:tr w14:paraId="079A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39DDF9B4">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基本账户银行账号</w:t>
            </w:r>
          </w:p>
        </w:tc>
        <w:tc>
          <w:tcPr>
            <w:tcW w:w="7457" w:type="dxa"/>
            <w:gridSpan w:val="4"/>
            <w:tcBorders>
              <w:top w:val="single" w:color="auto" w:sz="4" w:space="0"/>
              <w:left w:val="nil"/>
              <w:bottom w:val="single" w:color="auto" w:sz="4" w:space="0"/>
              <w:right w:val="single" w:color="auto" w:sz="4" w:space="0"/>
            </w:tcBorders>
            <w:noWrap w:val="0"/>
            <w:vAlign w:val="center"/>
          </w:tcPr>
          <w:p w14:paraId="55E5B813">
            <w:pPr>
              <w:spacing w:line="500" w:lineRule="exact"/>
              <w:jc w:val="center"/>
              <w:outlineLvl w:val="9"/>
              <w:rPr>
                <w:rFonts w:hint="eastAsia" w:ascii="宋体" w:hAnsi="宋体" w:eastAsia="宋体" w:cs="宋体"/>
                <w:sz w:val="24"/>
                <w:szCs w:val="24"/>
              </w:rPr>
            </w:pPr>
          </w:p>
        </w:tc>
      </w:tr>
      <w:tr w14:paraId="39891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122674B2">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投标人关联企业情况（包括但不限于与投标人法定代表人（单位负责人）为同一人或者存在控股、管理关系的不同单位）</w:t>
            </w:r>
          </w:p>
        </w:tc>
        <w:tc>
          <w:tcPr>
            <w:tcW w:w="7457" w:type="dxa"/>
            <w:gridSpan w:val="4"/>
            <w:tcBorders>
              <w:top w:val="single" w:color="auto" w:sz="4" w:space="0"/>
              <w:left w:val="nil"/>
              <w:bottom w:val="single" w:color="auto" w:sz="4" w:space="0"/>
              <w:right w:val="single" w:color="auto" w:sz="4" w:space="0"/>
            </w:tcBorders>
            <w:noWrap w:val="0"/>
            <w:vAlign w:val="center"/>
          </w:tcPr>
          <w:p w14:paraId="6D96DFC9">
            <w:pPr>
              <w:spacing w:line="500" w:lineRule="exact"/>
              <w:jc w:val="center"/>
              <w:outlineLvl w:val="9"/>
              <w:rPr>
                <w:rFonts w:hint="eastAsia" w:ascii="宋体" w:hAnsi="宋体" w:eastAsia="宋体" w:cs="宋体"/>
                <w:sz w:val="24"/>
                <w:szCs w:val="24"/>
              </w:rPr>
            </w:pPr>
          </w:p>
        </w:tc>
      </w:tr>
      <w:tr w14:paraId="475FD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0E6046AF">
            <w:pPr>
              <w:spacing w:line="500" w:lineRule="exact"/>
              <w:jc w:val="center"/>
              <w:outlineLvl w:val="9"/>
              <w:rPr>
                <w:rFonts w:hint="eastAsia" w:ascii="宋体" w:hAnsi="宋体" w:eastAsia="宋体" w:cs="宋体"/>
                <w:sz w:val="24"/>
                <w:szCs w:val="24"/>
              </w:rPr>
            </w:pPr>
            <w:r>
              <w:rPr>
                <w:rFonts w:hint="eastAsia" w:ascii="宋体" w:hAnsi="宋体" w:eastAsia="宋体" w:cs="宋体"/>
                <w:sz w:val="24"/>
                <w:szCs w:val="24"/>
              </w:rPr>
              <w:t>备注</w:t>
            </w:r>
          </w:p>
        </w:tc>
        <w:tc>
          <w:tcPr>
            <w:tcW w:w="7457" w:type="dxa"/>
            <w:gridSpan w:val="4"/>
            <w:tcBorders>
              <w:top w:val="single" w:color="auto" w:sz="4" w:space="0"/>
              <w:left w:val="nil"/>
              <w:bottom w:val="single" w:color="auto" w:sz="4" w:space="0"/>
              <w:right w:val="single" w:color="auto" w:sz="4" w:space="0"/>
            </w:tcBorders>
            <w:noWrap w:val="0"/>
            <w:vAlign w:val="center"/>
          </w:tcPr>
          <w:p w14:paraId="11B6B547">
            <w:pPr>
              <w:spacing w:line="500" w:lineRule="exact"/>
              <w:jc w:val="center"/>
              <w:outlineLvl w:val="9"/>
              <w:rPr>
                <w:rFonts w:hint="eastAsia" w:ascii="宋体" w:hAnsi="宋体" w:eastAsia="宋体" w:cs="宋体"/>
                <w:sz w:val="24"/>
                <w:szCs w:val="24"/>
              </w:rPr>
            </w:pPr>
          </w:p>
        </w:tc>
      </w:tr>
    </w:tbl>
    <w:p w14:paraId="78183210">
      <w:pPr>
        <w:spacing w:line="360" w:lineRule="auto"/>
        <w:outlineLvl w:val="9"/>
        <w:rPr>
          <w:rFonts w:ascii="宋体" w:hAnsi="宋体"/>
          <w:b/>
          <w:sz w:val="24"/>
        </w:rPr>
      </w:pPr>
      <w:r>
        <w:rPr>
          <w:rFonts w:hint="eastAsia" w:ascii="宋体" w:hAnsi="宋体"/>
          <w:b/>
          <w:sz w:val="24"/>
        </w:rPr>
        <w:t>注：1.后附三证合一后的营业执照或</w:t>
      </w:r>
      <w:r>
        <w:rPr>
          <w:rFonts w:ascii="宋体" w:hAnsi="宋体"/>
          <w:b/>
          <w:sz w:val="24"/>
        </w:rPr>
        <w:t>其他</w:t>
      </w:r>
      <w:r>
        <w:rPr>
          <w:rFonts w:hint="eastAsia" w:ascii="宋体" w:hAnsi="宋体"/>
          <w:b/>
          <w:sz w:val="24"/>
          <w:lang w:val="en-US" w:eastAsia="zh-CN"/>
        </w:rPr>
        <w:t>类似法定凭证</w:t>
      </w:r>
      <w:r>
        <w:rPr>
          <w:rFonts w:hint="eastAsia" w:ascii="宋体" w:hAnsi="宋体"/>
          <w:b/>
          <w:sz w:val="24"/>
        </w:rPr>
        <w:t>（扫描件）；</w:t>
      </w:r>
    </w:p>
    <w:p w14:paraId="2D8AE6AB">
      <w:pPr>
        <w:spacing w:line="360" w:lineRule="auto"/>
        <w:ind w:firstLine="472" w:firstLineChars="196"/>
        <w:outlineLvl w:val="9"/>
        <w:rPr>
          <w:rFonts w:ascii="宋体" w:hAnsi="宋体"/>
          <w:b/>
          <w:sz w:val="24"/>
        </w:rPr>
      </w:pPr>
      <w:r>
        <w:rPr>
          <w:rFonts w:hint="eastAsia" w:ascii="宋体" w:hAnsi="宋体"/>
          <w:b/>
          <w:sz w:val="24"/>
        </w:rPr>
        <w:t>2.相关资质证书（扫描件，如有）；</w:t>
      </w:r>
    </w:p>
    <w:p w14:paraId="2F4D4777">
      <w:pPr>
        <w:pStyle w:val="17"/>
        <w:spacing w:line="500" w:lineRule="exact"/>
        <w:jc w:val="center"/>
        <w:outlineLvl w:val="9"/>
        <w:rPr>
          <w:rFonts w:hAnsi="宋体"/>
          <w:sz w:val="24"/>
          <w:szCs w:val="24"/>
        </w:rPr>
      </w:pPr>
      <w:r>
        <w:rPr>
          <w:rFonts w:hint="eastAsia" w:hAnsi="宋体"/>
          <w:b/>
          <w:sz w:val="24"/>
        </w:rPr>
        <w:t xml:space="preserve">    </w:t>
      </w:r>
    </w:p>
    <w:p w14:paraId="7151D502">
      <w:pPr>
        <w:pStyle w:val="17"/>
        <w:spacing w:line="600" w:lineRule="exact"/>
        <w:outlineLvl w:val="9"/>
        <w:rPr>
          <w:rFonts w:hint="eastAsia" w:hAnsi="宋体"/>
          <w:b/>
          <w:sz w:val="28"/>
          <w:szCs w:val="28"/>
        </w:rPr>
      </w:pPr>
      <w:r>
        <w:rPr>
          <w:rFonts w:hAnsi="宋体"/>
        </w:rPr>
        <w:br w:type="page"/>
      </w:r>
      <w:r>
        <w:rPr>
          <w:rFonts w:hint="eastAsia" w:hAnsi="宋体"/>
          <w:b/>
          <w:sz w:val="28"/>
          <w:szCs w:val="28"/>
        </w:rPr>
        <w:t>格式2：</w:t>
      </w:r>
    </w:p>
    <w:p w14:paraId="28A27940">
      <w:pPr>
        <w:spacing w:line="360" w:lineRule="auto"/>
        <w:jc w:val="center"/>
        <w:outlineLvl w:val="9"/>
        <w:rPr>
          <w:rFonts w:hint="eastAsia" w:ascii="宋体" w:hAnsi="宋体" w:eastAsia="宋体" w:cs="Times New Roman"/>
          <w:sz w:val="32"/>
          <w:szCs w:val="32"/>
        </w:rPr>
      </w:pPr>
      <w:bookmarkStart w:id="87" w:name="_Toc496122192"/>
      <w:r>
        <w:rPr>
          <w:rFonts w:hint="eastAsia" w:ascii="宋体" w:hAnsi="宋体" w:eastAsia="宋体" w:cs="Times New Roman"/>
          <w:sz w:val="32"/>
          <w:szCs w:val="32"/>
        </w:rPr>
        <w:t>投标人财务状况</w:t>
      </w:r>
      <w:bookmarkEnd w:id="87"/>
      <w:r>
        <w:rPr>
          <w:rFonts w:hint="eastAsia" w:ascii="宋体" w:hAnsi="宋体" w:eastAsia="宋体" w:cs="Times New Roman"/>
          <w:sz w:val="32"/>
          <w:szCs w:val="32"/>
        </w:rPr>
        <w:t>证明材料</w:t>
      </w:r>
    </w:p>
    <w:p w14:paraId="43FF4778">
      <w:pPr>
        <w:pStyle w:val="17"/>
        <w:spacing w:line="600" w:lineRule="exact"/>
        <w:outlineLvl w:val="9"/>
        <w:rPr>
          <w:rFonts w:hint="eastAsia" w:hAnsi="宋体"/>
          <w:b/>
          <w:sz w:val="28"/>
          <w:szCs w:val="28"/>
        </w:rPr>
      </w:pPr>
      <w:r>
        <w:rPr>
          <w:rFonts w:hAnsi="宋体"/>
          <w:b/>
          <w:sz w:val="28"/>
          <w:szCs w:val="28"/>
        </w:rPr>
        <w:br w:type="page"/>
      </w:r>
      <w:r>
        <w:rPr>
          <w:rFonts w:hint="eastAsia" w:hAnsi="宋体"/>
          <w:b/>
          <w:sz w:val="28"/>
          <w:szCs w:val="28"/>
        </w:rPr>
        <w:t>格式</w:t>
      </w:r>
      <w:r>
        <w:rPr>
          <w:rFonts w:hint="eastAsia" w:hAnsi="宋体"/>
          <w:b/>
          <w:sz w:val="28"/>
          <w:szCs w:val="28"/>
          <w:lang w:val="en-US" w:eastAsia="zh-CN"/>
        </w:rPr>
        <w:t>3</w:t>
      </w:r>
      <w:r>
        <w:rPr>
          <w:rFonts w:hint="eastAsia" w:hAnsi="宋体"/>
          <w:b/>
          <w:sz w:val="28"/>
          <w:szCs w:val="28"/>
        </w:rPr>
        <w:t>：</w:t>
      </w:r>
    </w:p>
    <w:p w14:paraId="5BD33B9C">
      <w:pPr>
        <w:spacing w:line="360" w:lineRule="auto"/>
        <w:jc w:val="center"/>
        <w:outlineLvl w:val="9"/>
        <w:rPr>
          <w:rFonts w:hint="eastAsia" w:ascii="宋体" w:hAnsi="宋体" w:eastAsia="宋体"/>
          <w:sz w:val="32"/>
          <w:szCs w:val="32"/>
        </w:rPr>
      </w:pPr>
      <w:bookmarkStart w:id="88" w:name="_Toc496122195"/>
      <w:r>
        <w:rPr>
          <w:rFonts w:hint="eastAsia" w:ascii="宋体" w:hAnsi="宋体" w:eastAsia="宋体" w:cs="Times New Roman"/>
          <w:sz w:val="32"/>
          <w:szCs w:val="32"/>
        </w:rPr>
        <w:t>投标人具备履行合同所必需的设备和专业技术能力的证明材料</w:t>
      </w:r>
      <w:bookmarkEnd w:id="88"/>
      <w:r>
        <w:rPr>
          <w:rFonts w:hint="eastAsia" w:ascii="宋体" w:hAnsi="宋体" w:eastAsia="宋体" w:cs="Times New Roman"/>
          <w:sz w:val="32"/>
          <w:szCs w:val="32"/>
        </w:rPr>
        <w:t>或相关承诺</w:t>
      </w:r>
    </w:p>
    <w:p w14:paraId="3515372B">
      <w:pPr>
        <w:pStyle w:val="17"/>
        <w:spacing w:line="600" w:lineRule="exact"/>
        <w:outlineLvl w:val="9"/>
        <w:rPr>
          <w:rFonts w:hint="eastAsia" w:hAnsi="宋体"/>
          <w:b/>
          <w:sz w:val="28"/>
          <w:szCs w:val="28"/>
        </w:rPr>
      </w:pPr>
      <w:r>
        <w:rPr>
          <w:rFonts w:hAnsi="宋体"/>
          <w:b/>
          <w:sz w:val="28"/>
          <w:szCs w:val="28"/>
        </w:rPr>
        <w:br w:type="page"/>
      </w: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p>
    <w:p w14:paraId="1FE38212">
      <w:pPr>
        <w:spacing w:line="360" w:lineRule="auto"/>
        <w:jc w:val="center"/>
        <w:outlineLvl w:val="9"/>
        <w:rPr>
          <w:rFonts w:hint="eastAsia" w:ascii="宋体" w:hAnsi="宋体" w:eastAsia="宋体"/>
          <w:sz w:val="32"/>
          <w:szCs w:val="32"/>
        </w:rPr>
      </w:pPr>
      <w:bookmarkStart w:id="89" w:name="_Toc496122193"/>
      <w:r>
        <w:rPr>
          <w:rFonts w:hint="eastAsia" w:ascii="宋体" w:hAnsi="宋体" w:eastAsia="宋体" w:cs="Times New Roman"/>
          <w:sz w:val="32"/>
          <w:szCs w:val="32"/>
        </w:rPr>
        <w:t>投标人依法缴纳税收</w:t>
      </w:r>
      <w:r>
        <w:rPr>
          <w:rFonts w:hint="eastAsia" w:ascii="宋体" w:hAnsi="宋体" w:eastAsia="宋体" w:cs="Times New Roman"/>
          <w:sz w:val="32"/>
          <w:szCs w:val="32"/>
          <w:lang w:val="en-US" w:eastAsia="zh-CN"/>
        </w:rPr>
        <w:t>及</w:t>
      </w:r>
      <w:r>
        <w:rPr>
          <w:rFonts w:hint="eastAsia" w:ascii="宋体" w:hAnsi="宋体" w:eastAsia="宋体" w:cs="Times New Roman"/>
          <w:sz w:val="32"/>
          <w:szCs w:val="32"/>
        </w:rPr>
        <w:t>社会保障资金的证明材料</w:t>
      </w:r>
      <w:bookmarkEnd w:id="89"/>
    </w:p>
    <w:p w14:paraId="2A34E32A">
      <w:pPr>
        <w:tabs>
          <w:tab w:val="left" w:pos="900"/>
          <w:tab w:val="left" w:pos="1588"/>
        </w:tabs>
        <w:jc w:val="both"/>
        <w:outlineLvl w:val="9"/>
        <w:rPr>
          <w:rFonts w:hAnsi="宋体"/>
          <w:b/>
          <w:sz w:val="28"/>
          <w:szCs w:val="28"/>
        </w:rPr>
      </w:pPr>
      <w:r>
        <w:rPr>
          <w:rFonts w:hAnsi="宋体"/>
          <w:b/>
          <w:sz w:val="28"/>
          <w:szCs w:val="28"/>
        </w:rPr>
        <w:br w:type="page"/>
      </w:r>
      <w:r>
        <w:rPr>
          <w:rFonts w:hint="eastAsia" w:hAnsi="宋体"/>
          <w:b/>
          <w:sz w:val="28"/>
          <w:szCs w:val="28"/>
        </w:rPr>
        <w:t>格式</w:t>
      </w:r>
      <w:r>
        <w:rPr>
          <w:rFonts w:hint="eastAsia" w:hAnsi="宋体"/>
          <w:b/>
          <w:sz w:val="28"/>
          <w:szCs w:val="28"/>
          <w:lang w:val="en-US" w:eastAsia="zh-CN"/>
        </w:rPr>
        <w:t>5</w:t>
      </w:r>
      <w:r>
        <w:rPr>
          <w:rFonts w:hint="eastAsia" w:hAnsi="宋体"/>
          <w:b/>
          <w:sz w:val="28"/>
          <w:szCs w:val="28"/>
        </w:rPr>
        <w:t>：</w:t>
      </w:r>
    </w:p>
    <w:p w14:paraId="04DD8B39">
      <w:pPr>
        <w:spacing w:line="360" w:lineRule="auto"/>
        <w:jc w:val="center"/>
        <w:outlineLvl w:val="9"/>
        <w:rPr>
          <w:rFonts w:ascii="宋体" w:hAnsi="宋体" w:eastAsia="宋体"/>
          <w:sz w:val="32"/>
          <w:szCs w:val="32"/>
        </w:rPr>
      </w:pPr>
      <w:bookmarkStart w:id="90" w:name="_Toc496122196"/>
      <w:r>
        <w:rPr>
          <w:rFonts w:hint="eastAsia" w:ascii="宋体" w:hAnsi="宋体" w:eastAsia="宋体" w:cs="Times New Roman"/>
          <w:sz w:val="32"/>
          <w:szCs w:val="32"/>
        </w:rPr>
        <w:t>参加政府采购活动前3年内在经营活动中没有重大违法记录的书面声明</w:t>
      </w:r>
      <w:bookmarkEnd w:id="90"/>
    </w:p>
    <w:p w14:paraId="0DB384FD">
      <w:pPr>
        <w:ind w:firstLine="735" w:firstLineChars="350"/>
        <w:jc w:val="center"/>
        <w:outlineLvl w:val="9"/>
        <w:rPr>
          <w:rFonts w:ascii="宋体" w:hAnsi="宋体"/>
        </w:rPr>
      </w:pPr>
      <w:r>
        <w:rPr>
          <w:rFonts w:hint="eastAsia" w:ascii="宋体" w:hAnsi="宋体"/>
        </w:rPr>
        <w:t>（投标自行承诺及说明，内容自拟）</w:t>
      </w:r>
    </w:p>
    <w:p w14:paraId="2FD08396">
      <w:pPr>
        <w:spacing w:line="360" w:lineRule="auto"/>
        <w:jc w:val="left"/>
        <w:outlineLvl w:val="9"/>
        <w:rPr>
          <w:rFonts w:ascii="宋体" w:hAnsi="宋体"/>
          <w:sz w:val="24"/>
        </w:rPr>
      </w:pPr>
    </w:p>
    <w:p w14:paraId="58EA468C">
      <w:pPr>
        <w:spacing w:line="360" w:lineRule="auto"/>
        <w:jc w:val="left"/>
        <w:outlineLvl w:val="9"/>
        <w:rPr>
          <w:rFonts w:ascii="宋体" w:hAnsi="宋体"/>
          <w:sz w:val="24"/>
        </w:rPr>
      </w:pPr>
    </w:p>
    <w:p w14:paraId="574C621D">
      <w:pPr>
        <w:spacing w:line="360" w:lineRule="auto"/>
        <w:jc w:val="left"/>
        <w:outlineLvl w:val="9"/>
        <w:rPr>
          <w:rFonts w:ascii="宋体" w:hAnsi="宋体"/>
          <w:sz w:val="24"/>
        </w:rPr>
      </w:pPr>
    </w:p>
    <w:p w14:paraId="5F97E7BF">
      <w:pPr>
        <w:spacing w:line="360" w:lineRule="auto"/>
        <w:jc w:val="left"/>
        <w:outlineLvl w:val="9"/>
        <w:rPr>
          <w:rFonts w:ascii="宋体" w:hAnsi="宋体"/>
          <w:sz w:val="24"/>
        </w:rPr>
      </w:pPr>
    </w:p>
    <w:p w14:paraId="5F8ADBC1">
      <w:pPr>
        <w:spacing w:line="360" w:lineRule="auto"/>
        <w:jc w:val="left"/>
        <w:outlineLvl w:val="9"/>
        <w:rPr>
          <w:rFonts w:ascii="宋体" w:hAnsi="宋体"/>
          <w:sz w:val="24"/>
        </w:rPr>
      </w:pPr>
    </w:p>
    <w:p w14:paraId="4C57631C">
      <w:pPr>
        <w:spacing w:line="360" w:lineRule="auto"/>
        <w:jc w:val="left"/>
        <w:outlineLvl w:val="9"/>
        <w:rPr>
          <w:rFonts w:ascii="宋体" w:hAnsi="宋体"/>
          <w:sz w:val="24"/>
        </w:rPr>
      </w:pPr>
    </w:p>
    <w:p w14:paraId="187E355F">
      <w:pPr>
        <w:spacing w:line="360" w:lineRule="auto"/>
        <w:jc w:val="left"/>
        <w:outlineLvl w:val="9"/>
        <w:rPr>
          <w:rFonts w:ascii="宋体" w:hAnsi="宋体"/>
          <w:sz w:val="24"/>
        </w:rPr>
      </w:pPr>
    </w:p>
    <w:p w14:paraId="60735964">
      <w:pPr>
        <w:spacing w:line="440" w:lineRule="exact"/>
        <w:ind w:firstLine="2" w:firstLineChars="1"/>
        <w:outlineLvl w:val="9"/>
        <w:rPr>
          <w:rFonts w:ascii="宋体" w:hAnsi="宋体"/>
          <w:b/>
          <w:sz w:val="24"/>
        </w:rPr>
      </w:pPr>
      <w:r>
        <w:rPr>
          <w:rFonts w:hint="eastAsia" w:ascii="宋体" w:hAnsi="宋体"/>
          <w:b/>
          <w:sz w:val="24"/>
        </w:rPr>
        <w:t>投标人（加盖电子公章）：</w:t>
      </w:r>
      <w:r>
        <w:rPr>
          <w:rFonts w:ascii="宋体" w:hAnsi="宋体"/>
          <w:b/>
          <w:sz w:val="24"/>
          <w:u w:val="single"/>
        </w:rPr>
        <w:t xml:space="preserve">                       </w:t>
      </w:r>
    </w:p>
    <w:p w14:paraId="34FDF435">
      <w:pPr>
        <w:spacing w:line="440" w:lineRule="exact"/>
        <w:ind w:firstLine="2" w:firstLineChars="1"/>
        <w:outlineLvl w:val="9"/>
        <w:rPr>
          <w:rFonts w:ascii="宋体" w:hAnsi="宋体"/>
          <w:b/>
          <w:sz w:val="24"/>
        </w:rPr>
      </w:pPr>
      <w:r>
        <w:rPr>
          <w:rFonts w:ascii="宋体" w:hAnsi="宋体"/>
          <w:b/>
          <w:sz w:val="24"/>
        </w:rPr>
        <w:t>法定代表人</w:t>
      </w:r>
      <w:r>
        <w:rPr>
          <w:rFonts w:hint="eastAsia" w:ascii="宋体" w:hAnsi="宋体"/>
          <w:b/>
          <w:sz w:val="24"/>
        </w:rPr>
        <w:t>（电子签名或签章）</w:t>
      </w:r>
      <w:r>
        <w:rPr>
          <w:rFonts w:ascii="宋体" w:hAnsi="宋体"/>
          <w:b/>
          <w:sz w:val="24"/>
        </w:rPr>
        <w:t>：</w:t>
      </w:r>
      <w:r>
        <w:rPr>
          <w:rFonts w:ascii="宋体" w:hAnsi="宋体"/>
          <w:b/>
          <w:sz w:val="24"/>
          <w:u w:val="single"/>
        </w:rPr>
        <w:t xml:space="preserve">               </w:t>
      </w:r>
      <w:r>
        <w:rPr>
          <w:rFonts w:hint="eastAsia" w:ascii="宋体" w:hAnsi="宋体"/>
          <w:b/>
          <w:sz w:val="24"/>
        </w:rPr>
        <w:t xml:space="preserve"> </w:t>
      </w:r>
    </w:p>
    <w:p w14:paraId="49748306">
      <w:pPr>
        <w:spacing w:line="440" w:lineRule="exact"/>
        <w:ind w:firstLine="2" w:firstLineChars="1"/>
        <w:outlineLvl w:val="9"/>
        <w:rPr>
          <w:rFonts w:ascii="宋体" w:hAnsi="宋体"/>
          <w:b/>
          <w:sz w:val="24"/>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5E754F91">
      <w:pPr>
        <w:spacing w:line="360" w:lineRule="auto"/>
        <w:ind w:firstLine="2125" w:firstLineChars="882"/>
        <w:outlineLvl w:val="9"/>
        <w:rPr>
          <w:rFonts w:ascii="宋体" w:hAnsi="宋体"/>
          <w:b/>
          <w:sz w:val="24"/>
        </w:rPr>
      </w:pPr>
    </w:p>
    <w:p w14:paraId="2A9C94E5">
      <w:pPr>
        <w:spacing w:line="360" w:lineRule="auto"/>
        <w:ind w:left="3541" w:leftChars="1686"/>
        <w:jc w:val="left"/>
        <w:outlineLvl w:val="9"/>
        <w:rPr>
          <w:rFonts w:ascii="宋体" w:hAnsi="宋体"/>
          <w:sz w:val="24"/>
          <w:u w:val="single"/>
        </w:rPr>
      </w:pPr>
    </w:p>
    <w:p w14:paraId="32D810B9">
      <w:pPr>
        <w:spacing w:line="360" w:lineRule="auto"/>
        <w:ind w:left="3541" w:leftChars="1686"/>
        <w:jc w:val="left"/>
        <w:outlineLvl w:val="9"/>
        <w:rPr>
          <w:rFonts w:ascii="宋体" w:hAnsi="宋体"/>
          <w:sz w:val="24"/>
          <w:u w:val="single"/>
        </w:rPr>
      </w:pPr>
    </w:p>
    <w:p w14:paraId="1D657D8E">
      <w:pPr>
        <w:spacing w:line="360" w:lineRule="auto"/>
        <w:jc w:val="left"/>
        <w:outlineLvl w:val="9"/>
        <w:rPr>
          <w:rFonts w:ascii="宋体" w:hAnsi="宋体"/>
          <w:sz w:val="24"/>
        </w:rPr>
      </w:pPr>
    </w:p>
    <w:p w14:paraId="1DE5D29D">
      <w:pPr>
        <w:spacing w:line="360" w:lineRule="auto"/>
        <w:jc w:val="left"/>
        <w:outlineLvl w:val="9"/>
        <w:rPr>
          <w:rFonts w:ascii="宋体" w:hAnsi="宋体"/>
          <w:sz w:val="24"/>
        </w:rPr>
      </w:pPr>
      <w:r>
        <w:rPr>
          <w:rFonts w:hint="eastAsia" w:ascii="宋体" w:hAnsi="宋体"/>
          <w:sz w:val="24"/>
        </w:rPr>
        <w:t>注：</w:t>
      </w:r>
    </w:p>
    <w:p w14:paraId="7FDEF48F">
      <w:pPr>
        <w:spacing w:line="360" w:lineRule="auto"/>
        <w:jc w:val="left"/>
        <w:outlineLvl w:val="9"/>
        <w:rPr>
          <w:rFonts w:ascii="宋体" w:hAnsi="宋体"/>
          <w:sz w:val="24"/>
        </w:rPr>
      </w:pPr>
      <w:r>
        <w:rPr>
          <w:rFonts w:hint="eastAsia" w:ascii="宋体" w:hAnsi="宋体"/>
          <w:sz w:val="24"/>
        </w:rPr>
        <w:t>1、重大违法记录，是指供应商因违法经营受到刑事处罚或者责令停产停业、吊销许可证或者执照、较大数额罚款（指200万元及以上罚款）等行政处罚。</w:t>
      </w:r>
    </w:p>
    <w:p w14:paraId="6753BC82">
      <w:pPr>
        <w:spacing w:line="360" w:lineRule="auto"/>
        <w:jc w:val="left"/>
        <w:outlineLvl w:val="9"/>
        <w:rPr>
          <w:rFonts w:ascii="宋体" w:hAnsi="宋体"/>
          <w:sz w:val="24"/>
        </w:rPr>
      </w:pPr>
    </w:p>
    <w:p w14:paraId="42211DBC">
      <w:pPr>
        <w:pStyle w:val="17"/>
        <w:spacing w:line="600" w:lineRule="exact"/>
        <w:outlineLvl w:val="9"/>
        <w:rPr>
          <w:rFonts w:hAnsi="宋体"/>
          <w:sz w:val="24"/>
        </w:rPr>
      </w:pPr>
    </w:p>
    <w:p w14:paraId="43D9B76C">
      <w:pPr>
        <w:spacing w:line="360" w:lineRule="auto"/>
        <w:ind w:left="3541" w:leftChars="1686"/>
        <w:jc w:val="left"/>
        <w:outlineLvl w:val="9"/>
        <w:rPr>
          <w:rFonts w:ascii="宋体" w:hAnsi="宋体"/>
          <w:sz w:val="24"/>
          <w:u w:val="single"/>
        </w:rPr>
      </w:pPr>
    </w:p>
    <w:p w14:paraId="29BB7ABB">
      <w:pPr>
        <w:spacing w:line="600" w:lineRule="exact"/>
        <w:outlineLvl w:val="9"/>
        <w:rPr>
          <w:rFonts w:hint="eastAsia" w:ascii="宋体" w:hAnsi="宋体"/>
          <w:b/>
          <w:sz w:val="28"/>
          <w:szCs w:val="28"/>
        </w:rPr>
      </w:pPr>
      <w:r>
        <w:rPr>
          <w:rFonts w:hAnsi="宋体"/>
          <w:b/>
          <w:sz w:val="28"/>
          <w:szCs w:val="28"/>
        </w:rPr>
        <w:br w:type="page"/>
      </w:r>
      <w:bookmarkStart w:id="91" w:name="_Toc327190555"/>
      <w:r>
        <w:rPr>
          <w:rFonts w:hint="eastAsia" w:ascii="宋体" w:hAnsi="宋体"/>
          <w:b/>
          <w:sz w:val="28"/>
          <w:szCs w:val="28"/>
        </w:rPr>
        <w:t>格式</w:t>
      </w:r>
      <w:r>
        <w:rPr>
          <w:rFonts w:hint="eastAsia" w:ascii="宋体" w:hAnsi="宋体"/>
          <w:b/>
          <w:sz w:val="28"/>
          <w:szCs w:val="28"/>
          <w:lang w:val="en-US" w:eastAsia="zh-CN"/>
        </w:rPr>
        <w:t>6</w:t>
      </w:r>
      <w:r>
        <w:rPr>
          <w:rFonts w:hint="eastAsia" w:ascii="宋体" w:hAnsi="宋体"/>
          <w:b/>
          <w:sz w:val="28"/>
          <w:szCs w:val="28"/>
        </w:rPr>
        <w:t>：</w:t>
      </w:r>
    </w:p>
    <w:p w14:paraId="65F04E8A">
      <w:pPr>
        <w:spacing w:line="360" w:lineRule="auto"/>
        <w:jc w:val="center"/>
        <w:outlineLvl w:val="9"/>
        <w:rPr>
          <w:rFonts w:hint="eastAsia" w:ascii="宋体" w:hAnsi="宋体" w:eastAsia="宋体" w:cs="Times New Roman"/>
          <w:sz w:val="32"/>
          <w:szCs w:val="32"/>
        </w:rPr>
      </w:pPr>
      <w:r>
        <w:rPr>
          <w:rFonts w:hint="eastAsia" w:ascii="宋体" w:hAnsi="宋体" w:eastAsia="宋体" w:cs="Times New Roman"/>
          <w:sz w:val="32"/>
          <w:szCs w:val="32"/>
        </w:rPr>
        <w:t>其他资格声明函</w:t>
      </w:r>
    </w:p>
    <w:p w14:paraId="41C6B815">
      <w:pPr>
        <w:spacing w:line="440" w:lineRule="exact"/>
        <w:outlineLvl w:val="9"/>
        <w:rPr>
          <w:rFonts w:ascii="宋体" w:hAnsi="宋体"/>
          <w:b/>
          <w:sz w:val="24"/>
        </w:rPr>
      </w:pPr>
      <w:r>
        <w:rPr>
          <w:rFonts w:hint="eastAsia" w:ascii="宋体" w:hAnsi="宋体"/>
          <w:b/>
          <w:sz w:val="24"/>
          <w:lang w:val="en-US" w:eastAsia="zh-CN"/>
        </w:rPr>
        <w:t>云南省玉溪监狱</w:t>
      </w:r>
      <w:r>
        <w:rPr>
          <w:rFonts w:hint="eastAsia" w:ascii="宋体" w:hAnsi="宋体"/>
          <w:b/>
          <w:sz w:val="24"/>
        </w:rPr>
        <w:t>：</w:t>
      </w:r>
    </w:p>
    <w:p w14:paraId="4446CC66">
      <w:pPr>
        <w:spacing w:line="440" w:lineRule="exact"/>
        <w:outlineLvl w:val="9"/>
        <w:rPr>
          <w:rFonts w:ascii="宋体" w:hAnsi="宋体"/>
          <w:b/>
          <w:sz w:val="24"/>
        </w:rPr>
      </w:pPr>
      <w:r>
        <w:rPr>
          <w:rFonts w:hint="eastAsia" w:ascii="宋体" w:hAnsi="宋体"/>
          <w:b/>
          <w:sz w:val="24"/>
        </w:rPr>
        <w:t>一、下述公司负责人与我公司单位负责人为同一人：（如无则本项填写“无”）  </w:t>
      </w:r>
    </w:p>
    <w:p w14:paraId="5C6DF5FC">
      <w:pPr>
        <w:spacing w:line="440" w:lineRule="exact"/>
        <w:outlineLvl w:val="9"/>
        <w:rPr>
          <w:rFonts w:ascii="宋体" w:hAnsi="宋体"/>
          <w:sz w:val="24"/>
        </w:rPr>
      </w:pPr>
      <w:r>
        <w:rPr>
          <w:rFonts w:hint="eastAsia" w:ascii="宋体" w:hAnsi="宋体"/>
          <w:sz w:val="24"/>
        </w:rPr>
        <w:t>1.                              </w:t>
      </w:r>
    </w:p>
    <w:p w14:paraId="03C170A2">
      <w:pPr>
        <w:spacing w:line="440" w:lineRule="exact"/>
        <w:outlineLvl w:val="9"/>
        <w:rPr>
          <w:rFonts w:ascii="宋体" w:hAnsi="宋体"/>
          <w:sz w:val="24"/>
        </w:rPr>
      </w:pPr>
      <w:r>
        <w:rPr>
          <w:rFonts w:hint="eastAsia" w:ascii="宋体" w:hAnsi="宋体"/>
          <w:sz w:val="24"/>
        </w:rPr>
        <w:t>2.                              </w:t>
      </w:r>
    </w:p>
    <w:p w14:paraId="5222BB3D">
      <w:pPr>
        <w:spacing w:line="440" w:lineRule="exact"/>
        <w:outlineLvl w:val="9"/>
        <w:rPr>
          <w:rFonts w:ascii="宋体" w:hAnsi="宋体"/>
          <w:sz w:val="24"/>
        </w:rPr>
      </w:pPr>
      <w:r>
        <w:rPr>
          <w:rFonts w:hint="eastAsia" w:ascii="宋体" w:hAnsi="宋体"/>
          <w:sz w:val="24"/>
        </w:rPr>
        <w:t>……</w:t>
      </w:r>
    </w:p>
    <w:p w14:paraId="5A4E58D1">
      <w:pPr>
        <w:spacing w:line="440" w:lineRule="exact"/>
        <w:outlineLvl w:val="9"/>
        <w:rPr>
          <w:rFonts w:ascii="宋体" w:hAnsi="宋体"/>
          <w:sz w:val="24"/>
        </w:rPr>
      </w:pPr>
      <w:r>
        <w:rPr>
          <w:rFonts w:hint="eastAsia" w:ascii="宋体" w:hAnsi="宋体"/>
          <w:sz w:val="24"/>
        </w:rPr>
        <w:t>（可自行添加）</w:t>
      </w:r>
    </w:p>
    <w:p w14:paraId="0BA7C027">
      <w:pPr>
        <w:spacing w:line="440" w:lineRule="exact"/>
        <w:outlineLvl w:val="9"/>
        <w:rPr>
          <w:rFonts w:ascii="宋体" w:hAnsi="宋体"/>
          <w:b/>
          <w:sz w:val="24"/>
        </w:rPr>
      </w:pPr>
      <w:r>
        <w:rPr>
          <w:rFonts w:hint="eastAsia" w:ascii="宋体" w:hAnsi="宋体"/>
          <w:b/>
          <w:sz w:val="24"/>
        </w:rPr>
        <w:t>二、我公司与下述公司存在直接控股关系：（如无则本项填写“无”） </w:t>
      </w:r>
    </w:p>
    <w:p w14:paraId="2A56D734">
      <w:pPr>
        <w:spacing w:line="440" w:lineRule="exact"/>
        <w:outlineLvl w:val="9"/>
        <w:rPr>
          <w:rFonts w:ascii="宋体" w:hAnsi="宋体"/>
          <w:sz w:val="24"/>
        </w:rPr>
      </w:pPr>
      <w:r>
        <w:rPr>
          <w:rFonts w:hint="eastAsia" w:ascii="宋体" w:hAnsi="宋体"/>
          <w:sz w:val="24"/>
        </w:rPr>
        <w:t>1.                              </w:t>
      </w:r>
    </w:p>
    <w:p w14:paraId="3FCD93CC">
      <w:pPr>
        <w:spacing w:line="440" w:lineRule="exact"/>
        <w:outlineLvl w:val="9"/>
        <w:rPr>
          <w:rFonts w:ascii="宋体" w:hAnsi="宋体"/>
          <w:sz w:val="24"/>
        </w:rPr>
      </w:pPr>
      <w:r>
        <w:rPr>
          <w:rFonts w:hint="eastAsia" w:ascii="宋体" w:hAnsi="宋体"/>
          <w:sz w:val="24"/>
        </w:rPr>
        <w:t>2.                              </w:t>
      </w:r>
    </w:p>
    <w:p w14:paraId="2EF3F0F3">
      <w:pPr>
        <w:spacing w:line="440" w:lineRule="exact"/>
        <w:outlineLvl w:val="9"/>
        <w:rPr>
          <w:rFonts w:ascii="宋体" w:hAnsi="宋体"/>
          <w:sz w:val="24"/>
        </w:rPr>
      </w:pPr>
      <w:r>
        <w:rPr>
          <w:rFonts w:hint="eastAsia" w:ascii="宋体" w:hAnsi="宋体"/>
          <w:sz w:val="24"/>
        </w:rPr>
        <w:t>……</w:t>
      </w:r>
    </w:p>
    <w:p w14:paraId="15832066">
      <w:pPr>
        <w:spacing w:line="440" w:lineRule="exact"/>
        <w:outlineLvl w:val="9"/>
        <w:rPr>
          <w:rFonts w:ascii="宋体" w:hAnsi="宋体"/>
          <w:sz w:val="24"/>
        </w:rPr>
      </w:pPr>
      <w:r>
        <w:rPr>
          <w:rFonts w:hint="eastAsia" w:ascii="宋体" w:hAnsi="宋体"/>
          <w:sz w:val="24"/>
        </w:rPr>
        <w:t>（可自行添加）</w:t>
      </w:r>
    </w:p>
    <w:p w14:paraId="6926F571">
      <w:pPr>
        <w:spacing w:line="440" w:lineRule="exact"/>
        <w:outlineLvl w:val="9"/>
        <w:rPr>
          <w:rFonts w:ascii="宋体" w:hAnsi="宋体"/>
          <w:b/>
          <w:sz w:val="24"/>
        </w:rPr>
      </w:pPr>
      <w:r>
        <w:rPr>
          <w:rFonts w:hint="eastAsia" w:ascii="宋体" w:hAnsi="宋体"/>
          <w:b/>
          <w:sz w:val="24"/>
        </w:rPr>
        <w:t>三、我公司与下述公司存在管理关系：（如无则本项填写“无”） </w:t>
      </w:r>
    </w:p>
    <w:p w14:paraId="5E5F5E38">
      <w:pPr>
        <w:spacing w:line="440" w:lineRule="exact"/>
        <w:outlineLvl w:val="9"/>
        <w:rPr>
          <w:rFonts w:ascii="宋体" w:hAnsi="宋体"/>
          <w:sz w:val="24"/>
        </w:rPr>
      </w:pPr>
      <w:r>
        <w:rPr>
          <w:rFonts w:hint="eastAsia" w:ascii="宋体" w:hAnsi="宋体"/>
          <w:sz w:val="24"/>
        </w:rPr>
        <w:t>1.                              </w:t>
      </w:r>
    </w:p>
    <w:p w14:paraId="664AEADD">
      <w:pPr>
        <w:spacing w:line="440" w:lineRule="exact"/>
        <w:outlineLvl w:val="9"/>
        <w:rPr>
          <w:rFonts w:ascii="宋体" w:hAnsi="宋体"/>
          <w:sz w:val="24"/>
        </w:rPr>
      </w:pPr>
      <w:r>
        <w:rPr>
          <w:rFonts w:hint="eastAsia" w:ascii="宋体" w:hAnsi="宋体"/>
          <w:sz w:val="24"/>
        </w:rPr>
        <w:t>2.                              </w:t>
      </w:r>
    </w:p>
    <w:p w14:paraId="57019CFA">
      <w:pPr>
        <w:spacing w:line="440" w:lineRule="exact"/>
        <w:outlineLvl w:val="9"/>
        <w:rPr>
          <w:rFonts w:ascii="宋体" w:hAnsi="宋体"/>
          <w:sz w:val="24"/>
        </w:rPr>
      </w:pPr>
      <w:r>
        <w:rPr>
          <w:rFonts w:hint="eastAsia" w:ascii="宋体" w:hAnsi="宋体"/>
          <w:sz w:val="24"/>
        </w:rPr>
        <w:t>……</w:t>
      </w:r>
    </w:p>
    <w:p w14:paraId="46A58CD5">
      <w:pPr>
        <w:spacing w:line="440" w:lineRule="exact"/>
        <w:outlineLvl w:val="9"/>
        <w:rPr>
          <w:rFonts w:ascii="宋体" w:hAnsi="宋体"/>
          <w:sz w:val="24"/>
        </w:rPr>
      </w:pPr>
      <w:r>
        <w:rPr>
          <w:rFonts w:hint="eastAsia" w:ascii="宋体" w:hAnsi="宋体"/>
          <w:sz w:val="24"/>
        </w:rPr>
        <w:t>（可自行添加）</w:t>
      </w:r>
    </w:p>
    <w:p w14:paraId="01CDF0E6">
      <w:pPr>
        <w:spacing w:line="440" w:lineRule="exact"/>
        <w:outlineLvl w:val="9"/>
        <w:rPr>
          <w:rFonts w:ascii="宋体" w:hAnsi="宋体"/>
          <w:sz w:val="24"/>
        </w:rPr>
      </w:pPr>
      <w:r>
        <w:rPr>
          <w:rFonts w:hint="eastAsia" w:ascii="宋体" w:hAnsi="宋体"/>
          <w:sz w:val="24"/>
        </w:rPr>
        <w:t xml:space="preserve">    </w:t>
      </w:r>
      <w:r>
        <w:rPr>
          <w:rFonts w:hint="eastAsia" w:ascii="宋体" w:hAnsi="宋体"/>
          <w:b/>
          <w:sz w:val="24"/>
        </w:rPr>
        <w:t xml:space="preserve"> 我单位郑重声明：1.</w:t>
      </w:r>
      <w:r>
        <w:rPr>
          <w:rFonts w:hint="eastAsia" w:ascii="宋体" w:hAnsi="宋体" w:eastAsia="宋体" w:cs="宋体"/>
          <w:color w:val="auto"/>
          <w:kern w:val="0"/>
          <w:sz w:val="24"/>
          <w:szCs w:val="24"/>
        </w:rPr>
        <w:t>单位负责人为同一人或者存在直接控股、管理关系的不同投标人</w:t>
      </w:r>
      <w:r>
        <w:rPr>
          <w:rFonts w:hint="eastAsia" w:ascii="宋体" w:hAnsi="宋体"/>
          <w:sz w:val="24"/>
        </w:rPr>
        <w:t>未参与</w:t>
      </w:r>
      <w:r>
        <w:rPr>
          <w:rFonts w:hint="eastAsia" w:ascii="宋体" w:hAnsi="宋体" w:eastAsia="宋体" w:cs="Times New Roman"/>
          <w:b w:val="0"/>
          <w:bCs/>
          <w:sz w:val="24"/>
          <w:szCs w:val="24"/>
          <w:lang w:eastAsia="zh-CN"/>
        </w:rPr>
        <w:t>云南省玉溪监狱2026年至2027年罪犯配餐中心生活物资 一 标段(猪肉类；鸡肉类、冻品（鱼虾）类)采购项目</w:t>
      </w:r>
      <w:r>
        <w:rPr>
          <w:rFonts w:hint="eastAsia" w:ascii="宋体" w:hAnsi="宋体" w:eastAsia="宋体" w:cs="Times New Roman"/>
          <w:b w:val="0"/>
          <w:bCs/>
          <w:sz w:val="24"/>
          <w:szCs w:val="24"/>
          <w:lang w:val="en-US" w:eastAsia="zh-CN"/>
        </w:rPr>
        <w:t>包</w:t>
      </w:r>
      <w:r>
        <w:rPr>
          <w:rFonts w:hint="eastAsia" w:ascii="宋体" w:hAnsi="宋体" w:eastAsia="宋体" w:cs="Times New Roman"/>
          <w:b w:val="0"/>
          <w:bCs/>
          <w:sz w:val="24"/>
          <w:szCs w:val="24"/>
          <w:u w:val="single"/>
          <w:lang w:eastAsia="zh-CN"/>
        </w:rPr>
        <w:t xml:space="preserve">  </w:t>
      </w:r>
      <w:r>
        <w:rPr>
          <w:rFonts w:hint="eastAsia" w:ascii="宋体" w:hAnsi="宋体" w:eastAsia="宋体" w:cs="Times New Roman"/>
          <w:b w:val="0"/>
          <w:bCs/>
          <w:sz w:val="24"/>
          <w:szCs w:val="24"/>
          <w:lang w:val="en-US" w:eastAsia="zh-CN"/>
        </w:rPr>
        <w:t>（标包号）</w:t>
      </w:r>
      <w:r>
        <w:rPr>
          <w:rFonts w:hint="eastAsia" w:ascii="宋体" w:hAnsi="宋体"/>
          <w:sz w:val="24"/>
        </w:rPr>
        <w:t>同一合同项下的投标。2.我单位不属于</w:t>
      </w:r>
      <w:r>
        <w:rPr>
          <w:rFonts w:hint="eastAsia" w:ascii="宋体" w:hAnsi="宋体" w:eastAsia="宋体" w:cs="Times New Roman"/>
          <w:sz w:val="24"/>
          <w:lang w:val="en-US" w:eastAsia="zh-CN"/>
        </w:rPr>
        <w:t>为采购项目提供整体设计、规范编制或者项目管理、监理、检测等服务的投标人。3.我单位若中标，不以任何形式进行转包。</w:t>
      </w:r>
      <w:r>
        <w:rPr>
          <w:rFonts w:hint="eastAsia" w:ascii="宋体" w:hAnsi="宋体" w:eastAsia="宋体"/>
          <w:sz w:val="24"/>
          <w:lang w:val="en-US" w:eastAsia="zh-CN"/>
        </w:rPr>
        <w:t>4</w:t>
      </w:r>
      <w:r>
        <w:rPr>
          <w:rFonts w:hint="eastAsia" w:ascii="宋体" w:hAnsi="宋体"/>
          <w:sz w:val="24"/>
        </w:rPr>
        <w:t>.</w:t>
      </w:r>
      <w:r>
        <w:rPr>
          <w:rFonts w:hint="eastAsia" w:ascii="宋体" w:hAnsi="宋体"/>
          <w:sz w:val="24"/>
          <w:u w:val="single"/>
        </w:rPr>
        <w:t xml:space="preserve"> 我单位不属于联合体投标</w:t>
      </w:r>
      <w:r>
        <w:rPr>
          <w:rFonts w:hint="eastAsia" w:ascii="宋体" w:hAnsi="宋体"/>
          <w:sz w:val="24"/>
        </w:rPr>
        <w:t>。</w:t>
      </w:r>
      <w:r>
        <w:rPr>
          <w:rFonts w:hint="eastAsia" w:ascii="宋体" w:hAnsi="宋体"/>
          <w:sz w:val="24"/>
          <w:lang w:val="en-US" w:eastAsia="zh-CN"/>
        </w:rPr>
        <w:t>5</w:t>
      </w:r>
      <w:r>
        <w:rPr>
          <w:rFonts w:hint="eastAsia" w:ascii="宋体" w:hAnsi="宋体"/>
          <w:sz w:val="24"/>
        </w:rPr>
        <w:t>.</w:t>
      </w:r>
      <w:r>
        <w:rPr>
          <w:rFonts w:hint="eastAsia" w:ascii="宋体" w:hAnsi="宋体"/>
          <w:sz w:val="24"/>
          <w:u w:val="single"/>
        </w:rPr>
        <w:t xml:space="preserve">       （其他声明，由投标人自行填写）</w:t>
      </w:r>
      <w:r>
        <w:rPr>
          <w:rFonts w:hint="eastAsia" w:ascii="宋体" w:hAnsi="宋体"/>
          <w:sz w:val="24"/>
        </w:rPr>
        <w:t>。</w:t>
      </w:r>
    </w:p>
    <w:p w14:paraId="2302F3FF">
      <w:pPr>
        <w:spacing w:line="440" w:lineRule="exact"/>
        <w:outlineLvl w:val="9"/>
        <w:rPr>
          <w:rFonts w:ascii="宋体" w:hAnsi="宋体"/>
          <w:b/>
          <w:sz w:val="24"/>
        </w:rPr>
      </w:pPr>
      <w:r>
        <w:rPr>
          <w:rFonts w:hint="eastAsia" w:ascii="宋体" w:hAnsi="宋体"/>
          <w:b/>
          <w:sz w:val="24"/>
        </w:rPr>
        <w:t>我单位保证上述声明真实、有效、可查。 </w:t>
      </w:r>
    </w:p>
    <w:p w14:paraId="3C2578E6">
      <w:pPr>
        <w:spacing w:line="440" w:lineRule="exact"/>
        <w:outlineLvl w:val="9"/>
        <w:rPr>
          <w:rFonts w:ascii="宋体" w:hAnsi="宋体"/>
          <w:b/>
          <w:sz w:val="24"/>
        </w:rPr>
      </w:pPr>
      <w:r>
        <w:rPr>
          <w:rFonts w:hint="eastAsia" w:ascii="宋体" w:hAnsi="宋体"/>
          <w:b/>
          <w:sz w:val="24"/>
        </w:rPr>
        <w:t>特此声明。 </w:t>
      </w:r>
    </w:p>
    <w:p w14:paraId="30006C77">
      <w:pPr>
        <w:spacing w:line="440" w:lineRule="exact"/>
        <w:ind w:firstLine="2" w:firstLineChars="1"/>
        <w:outlineLvl w:val="9"/>
        <w:rPr>
          <w:sz w:val="24"/>
          <w:szCs w:val="21"/>
        </w:rPr>
      </w:pPr>
    </w:p>
    <w:p w14:paraId="09C041B0">
      <w:pPr>
        <w:keepNext w:val="0"/>
        <w:keepLines w:val="0"/>
        <w:pageBreakBefore w:val="0"/>
        <w:widowControl w:val="0"/>
        <w:kinsoku/>
        <w:wordWrap/>
        <w:overflowPunct/>
        <w:topLinePunct w:val="0"/>
        <w:autoSpaceDE/>
        <w:autoSpaceDN/>
        <w:bidi w:val="0"/>
        <w:adjustRightInd/>
        <w:snapToGrid/>
        <w:spacing w:line="500" w:lineRule="exact"/>
        <w:ind w:firstLine="2" w:firstLineChars="1"/>
        <w:textAlignment w:val="auto"/>
        <w:outlineLvl w:val="9"/>
        <w:rPr>
          <w:rFonts w:ascii="宋体" w:hAnsi="宋体"/>
          <w:b/>
          <w:sz w:val="24"/>
        </w:rPr>
      </w:pPr>
      <w:r>
        <w:rPr>
          <w:rFonts w:hint="eastAsia" w:ascii="宋体" w:hAnsi="宋体"/>
          <w:b/>
          <w:sz w:val="24"/>
        </w:rPr>
        <w:t>投标人（加盖电子公章）：</w:t>
      </w:r>
      <w:r>
        <w:rPr>
          <w:rFonts w:ascii="宋体" w:hAnsi="宋体"/>
          <w:b/>
          <w:sz w:val="24"/>
          <w:u w:val="single"/>
        </w:rPr>
        <w:t xml:space="preserve">                       </w:t>
      </w:r>
    </w:p>
    <w:p w14:paraId="6524737A">
      <w:pPr>
        <w:keepNext w:val="0"/>
        <w:keepLines w:val="0"/>
        <w:pageBreakBefore w:val="0"/>
        <w:widowControl w:val="0"/>
        <w:kinsoku/>
        <w:wordWrap/>
        <w:overflowPunct/>
        <w:topLinePunct w:val="0"/>
        <w:autoSpaceDE/>
        <w:autoSpaceDN/>
        <w:bidi w:val="0"/>
        <w:adjustRightInd/>
        <w:snapToGrid/>
        <w:spacing w:line="500" w:lineRule="exact"/>
        <w:ind w:firstLine="2" w:firstLineChars="1"/>
        <w:textAlignment w:val="auto"/>
        <w:outlineLvl w:val="9"/>
        <w:rPr>
          <w:rFonts w:ascii="宋体" w:hAnsi="宋体"/>
          <w:b/>
          <w:sz w:val="24"/>
        </w:rPr>
      </w:pPr>
      <w:r>
        <w:rPr>
          <w:rFonts w:ascii="宋体" w:hAnsi="宋体"/>
          <w:b/>
          <w:sz w:val="24"/>
        </w:rPr>
        <w:t>法定代表人</w:t>
      </w:r>
      <w:r>
        <w:rPr>
          <w:rFonts w:hint="eastAsia" w:ascii="宋体" w:hAnsi="宋体"/>
          <w:b/>
          <w:sz w:val="24"/>
        </w:rPr>
        <w:t>（电子签名或签章）</w:t>
      </w:r>
      <w:r>
        <w:rPr>
          <w:rFonts w:ascii="宋体" w:hAnsi="宋体"/>
          <w:b/>
          <w:sz w:val="24"/>
        </w:rPr>
        <w:t>：</w:t>
      </w:r>
      <w:r>
        <w:rPr>
          <w:rFonts w:ascii="宋体" w:hAnsi="宋体"/>
          <w:b/>
          <w:sz w:val="24"/>
          <w:u w:val="single"/>
        </w:rPr>
        <w:t xml:space="preserve">               </w:t>
      </w:r>
      <w:r>
        <w:rPr>
          <w:rFonts w:hint="eastAsia" w:ascii="宋体" w:hAnsi="宋体"/>
          <w:b/>
          <w:sz w:val="24"/>
          <w:u w:val="single"/>
          <w:lang w:val="en-US" w:eastAsia="zh-CN"/>
        </w:rPr>
        <w:t xml:space="preserve">  </w:t>
      </w:r>
      <w:r>
        <w:rPr>
          <w:rFonts w:hint="eastAsia" w:ascii="宋体" w:hAnsi="宋体"/>
          <w:b/>
          <w:sz w:val="24"/>
        </w:rPr>
        <w:t xml:space="preserve"> </w:t>
      </w:r>
    </w:p>
    <w:p w14:paraId="4A0BBC15">
      <w:pPr>
        <w:keepNext w:val="0"/>
        <w:keepLines w:val="0"/>
        <w:pageBreakBefore w:val="0"/>
        <w:widowControl w:val="0"/>
        <w:kinsoku/>
        <w:wordWrap/>
        <w:overflowPunct/>
        <w:topLinePunct w:val="0"/>
        <w:autoSpaceDE/>
        <w:autoSpaceDN/>
        <w:bidi w:val="0"/>
        <w:adjustRightInd/>
        <w:snapToGrid/>
        <w:spacing w:line="500" w:lineRule="exact"/>
        <w:ind w:firstLine="2" w:firstLineChars="1"/>
        <w:textAlignment w:val="auto"/>
        <w:outlineLvl w:val="9"/>
        <w:rPr>
          <w:rFonts w:ascii="宋体" w:hAnsi="宋体"/>
          <w:b/>
          <w:sz w:val="24"/>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51B2269B">
      <w:pPr>
        <w:spacing w:line="440" w:lineRule="exact"/>
        <w:ind w:firstLine="482"/>
        <w:outlineLvl w:val="9"/>
        <w:rPr>
          <w:rFonts w:ascii="宋体" w:hAnsi="宋体"/>
          <w:b/>
          <w:kern w:val="0"/>
          <w:sz w:val="24"/>
        </w:rPr>
      </w:pPr>
      <w:r>
        <w:rPr>
          <w:rFonts w:hint="eastAsia" w:ascii="宋体" w:hAnsi="宋体"/>
          <w:b/>
          <w:kern w:val="0"/>
          <w:sz w:val="24"/>
        </w:rPr>
        <w:t>注：</w:t>
      </w:r>
    </w:p>
    <w:p w14:paraId="3A63239E">
      <w:pPr>
        <w:spacing w:line="440" w:lineRule="exact"/>
        <w:ind w:firstLine="482"/>
        <w:outlineLvl w:val="9"/>
        <w:rPr>
          <w:rFonts w:ascii="宋体" w:hAnsi="宋体"/>
          <w:b/>
          <w:kern w:val="0"/>
          <w:sz w:val="24"/>
        </w:rPr>
      </w:pPr>
      <w:r>
        <w:rPr>
          <w:rFonts w:hint="eastAsia" w:ascii="宋体" w:hAnsi="宋体"/>
          <w:b/>
          <w:kern w:val="0"/>
          <w:sz w:val="24"/>
        </w:rPr>
        <w:t>1、单位负责人，是指单位法定代表人或者法律、行政法规规定代表单位行使职权的主要负责人。</w:t>
      </w:r>
    </w:p>
    <w:p w14:paraId="0752E03F">
      <w:pPr>
        <w:spacing w:line="440" w:lineRule="exact"/>
        <w:ind w:firstLine="482"/>
        <w:outlineLvl w:val="9"/>
        <w:rPr>
          <w:rFonts w:hint="eastAsia" w:ascii="宋体" w:hAnsi="宋体"/>
          <w:b/>
          <w:kern w:val="0"/>
          <w:sz w:val="24"/>
        </w:rPr>
      </w:pPr>
      <w:r>
        <w:rPr>
          <w:rFonts w:hint="eastAsia" w:ascii="宋体" w:hAnsi="宋体"/>
          <w:b/>
          <w:kern w:val="0"/>
          <w:sz w:val="24"/>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1779E9D6">
      <w:pPr>
        <w:spacing w:line="440" w:lineRule="exact"/>
        <w:ind w:firstLine="482"/>
        <w:outlineLvl w:val="9"/>
        <w:rPr>
          <w:rFonts w:hint="eastAsia" w:ascii="宋体" w:hAnsi="宋体"/>
          <w:b/>
          <w:kern w:val="0"/>
          <w:sz w:val="24"/>
        </w:rPr>
      </w:pPr>
      <w:r>
        <w:rPr>
          <w:rFonts w:hint="eastAsia" w:ascii="宋体" w:hAnsi="宋体"/>
          <w:b/>
          <w:kern w:val="0"/>
          <w:sz w:val="24"/>
        </w:rPr>
        <w:t>3、直接管理关系，是指不具有出资持股关系的其他单位之间存在的直接管理与被管理关系，如上下级关系的事业单位和团体组织。</w:t>
      </w:r>
    </w:p>
    <w:p w14:paraId="0DC35326">
      <w:pPr>
        <w:spacing w:line="360" w:lineRule="auto"/>
        <w:ind w:firstLine="482" w:firstLineChars="200"/>
        <w:outlineLvl w:val="9"/>
        <w:rPr>
          <w:rFonts w:ascii="宋体" w:hAnsi="宋体"/>
          <w:b/>
          <w:sz w:val="24"/>
        </w:rPr>
      </w:pPr>
    </w:p>
    <w:p w14:paraId="18764DB4">
      <w:pPr>
        <w:pStyle w:val="17"/>
        <w:spacing w:line="600" w:lineRule="exact"/>
        <w:outlineLvl w:val="9"/>
        <w:rPr>
          <w:rFonts w:hAnsi="宋体"/>
          <w:sz w:val="32"/>
          <w:szCs w:val="32"/>
        </w:rPr>
      </w:pPr>
    </w:p>
    <w:p w14:paraId="0F384642">
      <w:pPr>
        <w:pStyle w:val="17"/>
        <w:spacing w:line="600" w:lineRule="exact"/>
        <w:outlineLvl w:val="9"/>
        <w:rPr>
          <w:rFonts w:hint="eastAsia" w:hAnsi="宋体"/>
          <w:sz w:val="32"/>
          <w:szCs w:val="32"/>
        </w:rPr>
      </w:pPr>
    </w:p>
    <w:p w14:paraId="1A9F0CED">
      <w:pPr>
        <w:spacing w:line="600" w:lineRule="exact"/>
        <w:outlineLvl w:val="9"/>
        <w:rPr>
          <w:rFonts w:ascii="宋体" w:hAnsi="宋体"/>
          <w:b/>
          <w:sz w:val="28"/>
          <w:szCs w:val="28"/>
        </w:rPr>
      </w:pPr>
      <w:r>
        <w:rPr>
          <w:rFonts w:ascii="宋体" w:hAnsi="宋体"/>
          <w:sz w:val="30"/>
          <w:szCs w:val="30"/>
        </w:rPr>
        <w:br w:type="page"/>
      </w:r>
      <w:r>
        <w:rPr>
          <w:rFonts w:hint="eastAsia" w:ascii="宋体" w:hAnsi="宋体"/>
          <w:b/>
          <w:sz w:val="28"/>
          <w:szCs w:val="28"/>
        </w:rPr>
        <w:t>格式</w:t>
      </w:r>
      <w:r>
        <w:rPr>
          <w:rFonts w:hint="eastAsia" w:ascii="宋体" w:hAnsi="宋体"/>
          <w:b/>
          <w:sz w:val="28"/>
          <w:szCs w:val="28"/>
          <w:lang w:val="en-US" w:eastAsia="zh-CN"/>
        </w:rPr>
        <w:t>7</w:t>
      </w:r>
      <w:r>
        <w:rPr>
          <w:rFonts w:hint="eastAsia" w:ascii="宋体" w:hAnsi="宋体"/>
          <w:b/>
          <w:sz w:val="28"/>
          <w:szCs w:val="28"/>
        </w:rPr>
        <w:t>：</w:t>
      </w:r>
    </w:p>
    <w:p w14:paraId="5FFC5B75">
      <w:pPr>
        <w:spacing w:line="360" w:lineRule="auto"/>
        <w:jc w:val="center"/>
        <w:outlineLvl w:val="9"/>
        <w:rPr>
          <w:rFonts w:hint="eastAsia" w:ascii="宋体" w:hAnsi="宋体" w:eastAsia="宋体" w:cs="Times New Roman"/>
          <w:sz w:val="32"/>
          <w:szCs w:val="32"/>
        </w:rPr>
      </w:pPr>
      <w:r>
        <w:rPr>
          <w:rFonts w:hint="eastAsia" w:ascii="宋体" w:hAnsi="宋体" w:eastAsia="宋体" w:cs="Times New Roman"/>
          <w:sz w:val="32"/>
          <w:szCs w:val="32"/>
        </w:rPr>
        <w:t>其他资格证明文件</w:t>
      </w:r>
    </w:p>
    <w:p w14:paraId="55CC060B">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kern w:val="0"/>
          <w:sz w:val="24"/>
          <w:szCs w:val="24"/>
        </w:rPr>
      </w:pPr>
      <w:r>
        <w:rPr>
          <w:rFonts w:hint="eastAsia" w:ascii="宋体" w:hAnsi="宋体" w:eastAsia="宋体" w:cs="Times New Roman"/>
          <w:sz w:val="24"/>
          <w:lang w:val="en-US" w:eastAsia="zh-CN"/>
        </w:rPr>
        <w:t>投标人应当具备有效的《食品生产许可证》或《食品经营许可证》（属于销售食用农产品等法律、法规规定的不需要取得食品经营许可情形的，提供相关情况说明），所投产品必须符合国家食品质量标准。</w:t>
      </w:r>
    </w:p>
    <w:p w14:paraId="5CBBD03F">
      <w:pPr>
        <w:spacing w:line="360" w:lineRule="auto"/>
        <w:jc w:val="left"/>
        <w:outlineLvl w:val="9"/>
        <w:rPr>
          <w:rFonts w:ascii="宋体" w:hAnsi="宋体"/>
          <w:sz w:val="24"/>
        </w:rPr>
      </w:pPr>
    </w:p>
    <w:p w14:paraId="5C51890E">
      <w:pPr>
        <w:spacing w:line="360" w:lineRule="auto"/>
        <w:jc w:val="left"/>
        <w:outlineLvl w:val="9"/>
        <w:rPr>
          <w:rFonts w:ascii="宋体" w:hAnsi="宋体"/>
          <w:sz w:val="24"/>
        </w:rPr>
      </w:pPr>
    </w:p>
    <w:p w14:paraId="5476D0D5">
      <w:pPr>
        <w:spacing w:line="360" w:lineRule="auto"/>
        <w:jc w:val="left"/>
        <w:outlineLvl w:val="9"/>
        <w:rPr>
          <w:rFonts w:ascii="宋体" w:hAnsi="宋体"/>
          <w:sz w:val="24"/>
        </w:rPr>
      </w:pPr>
    </w:p>
    <w:p w14:paraId="6AD6083D">
      <w:pPr>
        <w:spacing w:line="360" w:lineRule="auto"/>
        <w:jc w:val="left"/>
        <w:outlineLvl w:val="9"/>
        <w:rPr>
          <w:rFonts w:ascii="宋体" w:hAnsi="宋体"/>
          <w:sz w:val="24"/>
        </w:rPr>
      </w:pPr>
    </w:p>
    <w:p w14:paraId="08CE716A">
      <w:pPr>
        <w:spacing w:line="360" w:lineRule="auto"/>
        <w:jc w:val="left"/>
        <w:outlineLvl w:val="9"/>
        <w:rPr>
          <w:rFonts w:ascii="宋体" w:hAnsi="宋体"/>
          <w:sz w:val="24"/>
        </w:rPr>
      </w:pPr>
    </w:p>
    <w:p w14:paraId="76A9AF4B">
      <w:pPr>
        <w:spacing w:line="360" w:lineRule="auto"/>
        <w:jc w:val="left"/>
        <w:outlineLvl w:val="9"/>
        <w:rPr>
          <w:rFonts w:ascii="宋体" w:hAnsi="宋体"/>
          <w:sz w:val="24"/>
        </w:rPr>
      </w:pPr>
    </w:p>
    <w:p w14:paraId="0D63A0B0">
      <w:pPr>
        <w:spacing w:line="360" w:lineRule="auto"/>
        <w:jc w:val="left"/>
        <w:outlineLvl w:val="9"/>
        <w:rPr>
          <w:rFonts w:ascii="宋体" w:hAnsi="宋体"/>
          <w:sz w:val="24"/>
        </w:rPr>
      </w:pPr>
    </w:p>
    <w:p w14:paraId="770ADCE9">
      <w:pPr>
        <w:keepNext w:val="0"/>
        <w:keepLines w:val="0"/>
        <w:pageBreakBefore w:val="0"/>
        <w:widowControl w:val="0"/>
        <w:tabs>
          <w:tab w:val="left" w:pos="1021"/>
        </w:tabs>
        <w:kinsoku/>
        <w:wordWrap/>
        <w:overflowPunct/>
        <w:topLinePunct w:val="0"/>
        <w:autoSpaceDE/>
        <w:autoSpaceDN/>
        <w:bidi w:val="0"/>
        <w:adjustRightInd/>
        <w:snapToGrid/>
        <w:spacing w:line="500" w:lineRule="exact"/>
        <w:jc w:val="both"/>
        <w:textAlignment w:val="auto"/>
        <w:outlineLvl w:val="9"/>
        <w:rPr>
          <w:rFonts w:ascii="宋体" w:hAnsi="宋体"/>
          <w:b/>
          <w:sz w:val="24"/>
        </w:rPr>
      </w:pPr>
      <w:bookmarkStart w:id="92" w:name="_Toc70446116"/>
      <w:bookmarkStart w:id="93" w:name="_Toc496122202"/>
    </w:p>
    <w:p w14:paraId="3F58E991">
      <w:pPr>
        <w:jc w:val="both"/>
        <w:outlineLvl w:val="9"/>
        <w:rPr>
          <w:rFonts w:hint="eastAsia" w:ascii="宋体" w:hAnsi="宋体" w:eastAsia="宋体" w:cs="Times New Roman"/>
          <w:b/>
          <w:sz w:val="28"/>
          <w:szCs w:val="28"/>
        </w:rPr>
      </w:pPr>
      <w:r>
        <w:rPr>
          <w:rFonts w:hint="eastAsia" w:ascii="宋体" w:hAnsi="宋体"/>
          <w:b/>
          <w:sz w:val="28"/>
          <w:szCs w:val="28"/>
        </w:rPr>
        <w:br w:type="page"/>
      </w:r>
      <w:r>
        <w:rPr>
          <w:rFonts w:hint="eastAsia" w:ascii="宋体" w:hAnsi="宋体"/>
          <w:b/>
          <w:sz w:val="28"/>
          <w:szCs w:val="28"/>
        </w:rPr>
        <w:t>格式</w:t>
      </w:r>
      <w:r>
        <w:rPr>
          <w:rFonts w:hint="eastAsia" w:ascii="宋体" w:hAnsi="宋体"/>
          <w:b/>
          <w:sz w:val="28"/>
          <w:szCs w:val="28"/>
          <w:lang w:val="en-US" w:eastAsia="zh-CN"/>
        </w:rPr>
        <w:t>8</w:t>
      </w:r>
      <w:r>
        <w:rPr>
          <w:rFonts w:hint="eastAsia" w:ascii="宋体" w:hAnsi="宋体" w:eastAsia="宋体" w:cs="Times New Roman"/>
          <w:b/>
          <w:sz w:val="28"/>
          <w:szCs w:val="28"/>
        </w:rPr>
        <w:t>：</w:t>
      </w:r>
    </w:p>
    <w:p w14:paraId="2018A147">
      <w:pPr>
        <w:jc w:val="center"/>
        <w:outlineLvl w:val="9"/>
        <w:rPr>
          <w:rFonts w:hint="eastAsia" w:ascii="宋体" w:hAnsi="宋体" w:eastAsia="宋体" w:cs="Times New Roman"/>
          <w:b/>
          <w:sz w:val="28"/>
          <w:szCs w:val="28"/>
        </w:rPr>
      </w:pPr>
      <w:r>
        <w:rPr>
          <w:rFonts w:hint="eastAsia" w:ascii="宋体" w:hAnsi="宋体" w:eastAsia="宋体" w:cs="Times New Roman"/>
          <w:b/>
          <w:sz w:val="28"/>
          <w:szCs w:val="28"/>
        </w:rPr>
        <w:t>监管安全承诺书</w:t>
      </w:r>
    </w:p>
    <w:p w14:paraId="657D539F">
      <w:pPr>
        <w:pStyle w:val="5"/>
        <w:keepNext w:val="0"/>
        <w:keepLines w:val="0"/>
        <w:widowControl/>
        <w:suppressLineNumbers w:val="0"/>
        <w:jc w:val="left"/>
        <w:rPr>
          <w:rFonts w:ascii="宋体" w:hAnsi="宋体"/>
          <w:color w:val="FF0000"/>
        </w:rPr>
      </w:pPr>
      <w:r>
        <w:rPr>
          <w:rFonts w:hint="eastAsia" w:ascii="宋体" w:hAnsi="宋体" w:eastAsia="宋体" w:cs="Times New Roman"/>
          <w:b/>
          <w:color w:val="auto"/>
          <w:sz w:val="28"/>
          <w:szCs w:val="28"/>
          <w:highlight w:val="yellow"/>
        </w:rPr>
        <w:br w:type="textWrapping"/>
      </w:r>
      <w:r>
        <w:rPr>
          <w:rFonts w:hint="eastAsia" w:ascii="宋体" w:hAnsi="宋体" w:eastAsia="宋体" w:cs="Times New Roman"/>
          <w:b w:val="0"/>
          <w:color w:val="auto"/>
          <w:kern w:val="2"/>
          <w:sz w:val="24"/>
          <w:szCs w:val="24"/>
          <w:highlight w:val="none"/>
          <w:lang w:val="en-US" w:eastAsia="zh-CN" w:bidi="ar-SA"/>
        </w:rPr>
        <w:t>（由投标人结合行为规范、安全责任承诺、项目实际情况以及自身情况等自行编制拟定，格式自拟。）</w:t>
      </w:r>
    </w:p>
    <w:p w14:paraId="3C62D181">
      <w:pPr>
        <w:tabs>
          <w:tab w:val="left" w:pos="1021"/>
        </w:tabs>
        <w:jc w:val="both"/>
        <w:outlineLvl w:val="9"/>
        <w:rPr>
          <w:rFonts w:hint="eastAsia" w:ascii="宋体" w:hAnsi="宋体" w:eastAsia="宋体" w:cs="Times New Roman"/>
          <w:b/>
          <w:sz w:val="28"/>
          <w:szCs w:val="28"/>
        </w:rPr>
      </w:pPr>
      <w:r>
        <w:rPr>
          <w:rFonts w:hint="eastAsia" w:ascii="宋体" w:hAnsi="宋体"/>
          <w:b/>
          <w:sz w:val="28"/>
          <w:szCs w:val="28"/>
        </w:rPr>
        <w:br w:type="page"/>
      </w:r>
      <w:r>
        <w:rPr>
          <w:rFonts w:hint="eastAsia" w:ascii="宋体" w:hAnsi="宋体"/>
          <w:b/>
          <w:sz w:val="28"/>
          <w:szCs w:val="28"/>
        </w:rPr>
        <w:t>格式</w:t>
      </w:r>
      <w:r>
        <w:rPr>
          <w:rFonts w:hint="eastAsia" w:ascii="宋体" w:hAnsi="宋体"/>
          <w:b/>
          <w:sz w:val="28"/>
          <w:szCs w:val="28"/>
          <w:lang w:val="en-US" w:eastAsia="zh-CN"/>
        </w:rPr>
        <w:t>9</w:t>
      </w:r>
      <w:r>
        <w:rPr>
          <w:rFonts w:hint="eastAsia" w:ascii="宋体" w:hAnsi="宋体" w:eastAsia="宋体" w:cs="Times New Roman"/>
          <w:b/>
          <w:sz w:val="28"/>
          <w:szCs w:val="28"/>
        </w:rPr>
        <w:t>：</w:t>
      </w:r>
    </w:p>
    <w:p w14:paraId="7D2AC16E">
      <w:pPr>
        <w:tabs>
          <w:tab w:val="left" w:pos="1021"/>
        </w:tabs>
        <w:jc w:val="center"/>
        <w:outlineLvl w:val="9"/>
        <w:rPr>
          <w:rFonts w:hint="eastAsia" w:ascii="宋体" w:hAnsi="宋体" w:eastAsia="宋体" w:cs="Times New Roman"/>
          <w:b/>
          <w:sz w:val="28"/>
          <w:szCs w:val="28"/>
        </w:rPr>
      </w:pPr>
      <w:r>
        <w:rPr>
          <w:rFonts w:hint="eastAsia" w:ascii="宋体" w:hAnsi="宋体" w:eastAsia="宋体" w:cs="Times New Roman"/>
          <w:b/>
          <w:sz w:val="28"/>
          <w:szCs w:val="28"/>
        </w:rPr>
        <w:t>食品安全承诺书</w:t>
      </w:r>
    </w:p>
    <w:p w14:paraId="2157AAF0">
      <w:pPr>
        <w:tabs>
          <w:tab w:val="left" w:pos="1021"/>
        </w:tabs>
        <w:jc w:val="center"/>
        <w:outlineLvl w:val="9"/>
        <w:rPr>
          <w:rFonts w:hint="eastAsia" w:ascii="宋体" w:hAnsi="宋体" w:eastAsia="宋体" w:cs="Times New Roman"/>
          <w:b/>
          <w:sz w:val="28"/>
          <w:szCs w:val="28"/>
        </w:rPr>
      </w:pPr>
      <w:r>
        <w:rPr>
          <w:rFonts w:hint="eastAsia" w:ascii="宋体" w:hAnsi="宋体"/>
        </w:rPr>
        <w:t>（</w:t>
      </w:r>
      <w:r>
        <w:rPr>
          <w:rFonts w:hint="eastAsia" w:ascii="宋体" w:hAnsi="宋体"/>
          <w:sz w:val="24"/>
        </w:rPr>
        <w:t>由</w:t>
      </w:r>
      <w:r>
        <w:rPr>
          <w:rFonts w:hint="eastAsia" w:ascii="宋体" w:hAnsi="宋体"/>
          <w:sz w:val="24"/>
          <w:lang w:val="en-US" w:eastAsia="zh-CN"/>
        </w:rPr>
        <w:t>投标人</w:t>
      </w:r>
      <w:r>
        <w:rPr>
          <w:rFonts w:hint="eastAsia" w:ascii="宋体" w:hAnsi="宋体"/>
          <w:sz w:val="24"/>
        </w:rPr>
        <w:t>结合项目实际</w:t>
      </w:r>
      <w:r>
        <w:rPr>
          <w:rFonts w:hint="eastAsia" w:ascii="宋体" w:hAnsi="宋体"/>
          <w:sz w:val="24"/>
          <w:lang w:val="en-US" w:eastAsia="zh-CN"/>
        </w:rPr>
        <w:t>以及自身</w:t>
      </w:r>
      <w:r>
        <w:rPr>
          <w:rFonts w:hint="eastAsia" w:ascii="宋体" w:hAnsi="宋体"/>
          <w:sz w:val="24"/>
        </w:rPr>
        <w:t>情况自行编制拟定</w:t>
      </w:r>
      <w:r>
        <w:rPr>
          <w:rFonts w:hint="eastAsia" w:ascii="宋体" w:hAnsi="宋体"/>
          <w:sz w:val="24"/>
          <w:lang w:eastAsia="zh-CN"/>
        </w:rPr>
        <w:t>，</w:t>
      </w:r>
      <w:r>
        <w:rPr>
          <w:rFonts w:hint="eastAsia" w:ascii="宋体" w:hAnsi="宋体"/>
          <w:sz w:val="24"/>
          <w:lang w:val="en-US" w:eastAsia="zh-CN"/>
        </w:rPr>
        <w:t>格式自拟。</w:t>
      </w:r>
      <w:r>
        <w:rPr>
          <w:rFonts w:hint="eastAsia" w:ascii="宋体" w:hAnsi="宋体"/>
        </w:rPr>
        <w:t>）</w:t>
      </w:r>
      <w:r>
        <w:rPr>
          <w:rFonts w:hint="eastAsia" w:ascii="宋体" w:hAnsi="宋体" w:eastAsia="宋体" w:cs="Times New Roman"/>
          <w:b/>
          <w:sz w:val="28"/>
          <w:szCs w:val="28"/>
        </w:rPr>
        <w:br w:type="textWrapping"/>
      </w:r>
    </w:p>
    <w:p w14:paraId="15BE6FCE">
      <w:pPr>
        <w:tabs>
          <w:tab w:val="left" w:pos="1021"/>
        </w:tabs>
        <w:jc w:val="left"/>
        <w:outlineLvl w:val="9"/>
        <w:rPr>
          <w:rFonts w:hint="eastAsia" w:ascii="宋体" w:hAnsi="宋体" w:eastAsia="宋体" w:cs="Times New Roman"/>
          <w:b/>
          <w:sz w:val="28"/>
          <w:szCs w:val="28"/>
          <w:lang w:val="en-US" w:eastAsia="zh-CN"/>
        </w:rPr>
      </w:pPr>
      <w:r>
        <w:rPr>
          <w:rFonts w:hint="eastAsia" w:ascii="宋体" w:hAnsi="宋体" w:eastAsia="宋体" w:cs="Times New Roman"/>
          <w:b/>
          <w:sz w:val="28"/>
          <w:szCs w:val="28"/>
        </w:rPr>
        <w:br w:type="page"/>
      </w:r>
      <w:r>
        <w:rPr>
          <w:rFonts w:hint="eastAsia" w:ascii="宋体" w:hAnsi="宋体"/>
          <w:b/>
          <w:sz w:val="28"/>
          <w:szCs w:val="28"/>
        </w:rPr>
        <w:t>格式</w:t>
      </w:r>
      <w:r>
        <w:rPr>
          <w:rFonts w:hint="eastAsia" w:ascii="宋体" w:hAnsi="宋体"/>
          <w:b/>
          <w:sz w:val="28"/>
          <w:szCs w:val="28"/>
          <w:lang w:val="en-US" w:eastAsia="zh-CN"/>
        </w:rPr>
        <w:t>10：</w:t>
      </w:r>
    </w:p>
    <w:p w14:paraId="0B02E86B">
      <w:pPr>
        <w:tabs>
          <w:tab w:val="left" w:pos="1021"/>
        </w:tabs>
        <w:spacing w:line="360" w:lineRule="auto"/>
        <w:jc w:val="center"/>
        <w:outlineLvl w:val="9"/>
        <w:rPr>
          <w:rFonts w:hint="eastAsia" w:ascii="宋体" w:hAnsi="宋体" w:eastAsia="宋体" w:cs="Times New Roman"/>
          <w:b/>
          <w:sz w:val="28"/>
          <w:szCs w:val="28"/>
          <w:lang w:val="en-US" w:eastAsia="zh-CN"/>
        </w:rPr>
      </w:pPr>
      <w:r>
        <w:rPr>
          <w:rFonts w:hint="eastAsia" w:ascii="宋体" w:hAnsi="宋体" w:eastAsia="宋体" w:cs="Times New Roman"/>
          <w:b/>
          <w:sz w:val="28"/>
          <w:szCs w:val="28"/>
          <w:lang w:val="en-US" w:eastAsia="zh-CN"/>
        </w:rPr>
        <w:t>货物供应承诺函</w:t>
      </w:r>
    </w:p>
    <w:p w14:paraId="5A1A684C">
      <w:pPr>
        <w:tabs>
          <w:tab w:val="left" w:pos="1021"/>
        </w:tabs>
        <w:spacing w:line="360" w:lineRule="auto"/>
        <w:jc w:val="left"/>
        <w:outlineLvl w:val="9"/>
        <w:rPr>
          <w:rFonts w:hint="eastAsia" w:ascii="宋体" w:hAnsi="宋体" w:eastAsia="宋体" w:cs="宋体"/>
          <w:b/>
          <w:sz w:val="24"/>
          <w:szCs w:val="24"/>
          <w:u w:val="single"/>
          <w:lang w:val="en-US" w:eastAsia="zh-CN"/>
        </w:rPr>
      </w:pPr>
      <w:r>
        <w:rPr>
          <w:rFonts w:hint="eastAsia" w:ascii="宋体" w:hAnsi="宋体" w:eastAsia="宋体" w:cs="宋体"/>
          <w:b/>
          <w:sz w:val="24"/>
          <w:szCs w:val="24"/>
          <w:lang w:val="en-US" w:eastAsia="zh-CN"/>
        </w:rPr>
        <w:t>致：</w:t>
      </w:r>
      <w:r>
        <w:rPr>
          <w:rFonts w:hint="eastAsia" w:ascii="宋体" w:hAnsi="宋体" w:eastAsia="宋体" w:cs="宋体"/>
          <w:b/>
          <w:sz w:val="24"/>
          <w:szCs w:val="24"/>
          <w:u w:val="single"/>
          <w:lang w:val="en-US" w:eastAsia="zh-CN"/>
        </w:rPr>
        <w:t>（采购人）</w:t>
      </w:r>
    </w:p>
    <w:p w14:paraId="4C4523FC">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我方</w:t>
      </w:r>
      <w:r>
        <w:rPr>
          <w:rFonts w:hint="eastAsia" w:ascii="宋体" w:hAnsi="宋体" w:eastAsia="宋体" w:cs="宋体"/>
          <w:kern w:val="0"/>
          <w:sz w:val="24"/>
          <w:szCs w:val="24"/>
          <w:u w:val="single"/>
          <w:lang w:val="en-US" w:eastAsia="zh-CN" w:bidi="ar"/>
        </w:rPr>
        <w:t xml:space="preserve">（投标单位全称）   </w:t>
      </w:r>
      <w:r>
        <w:rPr>
          <w:rFonts w:hint="eastAsia" w:ascii="宋体" w:hAnsi="宋体" w:eastAsia="宋体" w:cs="宋体"/>
          <w:kern w:val="0"/>
          <w:sz w:val="24"/>
          <w:szCs w:val="24"/>
          <w:lang w:val="en-US" w:eastAsia="zh-CN" w:bidi="ar"/>
        </w:rPr>
        <w:t>，统一社会信用代码：</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就参与贵单位</w:t>
      </w:r>
      <w:r>
        <w:rPr>
          <w:rFonts w:hint="eastAsia" w:ascii="宋体" w:hAnsi="宋体" w:eastAsia="宋体" w:cs="宋体"/>
          <w:kern w:val="0"/>
          <w:sz w:val="24"/>
          <w:szCs w:val="24"/>
          <w:u w:val="single"/>
          <w:lang w:val="en-US" w:eastAsia="zh-CN" w:bidi="ar"/>
        </w:rPr>
        <w:t>（项目名称：项目编号：）</w:t>
      </w:r>
      <w:r>
        <w:rPr>
          <w:rFonts w:hint="eastAsia" w:ascii="宋体" w:hAnsi="宋体" w:eastAsia="宋体" w:cs="宋体"/>
          <w:kern w:val="0"/>
          <w:sz w:val="24"/>
          <w:szCs w:val="24"/>
          <w:lang w:val="en-US" w:eastAsia="zh-CN" w:bidi="ar"/>
        </w:rPr>
        <w:t>的投标若有幸中标后续货物供应事宜，郑重作出如下不可撤销的承诺，愿接受贵单位及相关监管部门的监督核查，若违反本承诺，自愿承担由此产生的一切法律责任、经济损失及相应违约责任。</w:t>
      </w:r>
    </w:p>
    <w:p w14:paraId="6EB3662D">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一、 我方承诺，本次所供应的全部货物，其品牌、规格型号、技术参数、质量标准、数量、包装方式、交货周期、售后服务等所有相关要求，均与我方提交的投标文件（包括投标函、投标报价表、技术响应文件等全部相关资料）内容完全一致，无任何偏离、更改、替代或缩水。</w:t>
      </w:r>
    </w:p>
    <w:p w14:paraId="092EC411">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二、 我方承诺，所供货物符合国家相关行业标准、规范及投标文件中明确的技术参数要求，不存在假冒伪劣、以次充好、翻新、拼装等情况，货物的生产、检验、出厂等环节均符合国家质量监督管理相关规定，具备完整的产品合格证、检验报告等相关证明文件。</w:t>
      </w:r>
    </w:p>
    <w:p w14:paraId="2D80E6D3">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三、 我方承诺，若所供货物在品牌、规格型号、技术参数等任何一方面与投标文件不一致，贵单位有权单方面解除合同，我方将无条件退还贵单位已支付的全部货款，并按合同约定向贵单位支付违约金，同时承担贵单位因我方违约所产生的一切损失（包括但不限于重新采购的差价、工期延误损失、检测费用等）。</w:t>
      </w:r>
    </w:p>
    <w:p w14:paraId="7BCB4F49">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四、 我方承诺，在货物供应及售后服务全过程中，严格遵守投标文件及合同约定，积极配合贵单位的验收、核查工作，如实提供货物相关的全部资料，不隐瞒、不谎报相关信息。</w:t>
      </w:r>
    </w:p>
    <w:p w14:paraId="2DC5EF73">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五、 本承诺函自加盖我方公章之日起生效，有效期至本次招标项目货物供应完毕、验收合格且保质期届满之日止。</w:t>
      </w:r>
    </w:p>
    <w:p w14:paraId="7AD4F4CB">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特此承诺！</w:t>
      </w:r>
    </w:p>
    <w:p w14:paraId="62812423">
      <w:pPr>
        <w:keepNext w:val="0"/>
        <w:keepLines w:val="0"/>
        <w:widowControl/>
        <w:suppressLineNumbers w:val="0"/>
        <w:wordWrap w:val="0"/>
        <w:spacing w:line="360" w:lineRule="auto"/>
        <w:jc w:val="right"/>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承诺单位（盖章）：</w:t>
      </w:r>
      <w:r>
        <w:rPr>
          <w:rFonts w:hint="eastAsia" w:ascii="宋体" w:hAnsi="宋体" w:eastAsia="宋体" w:cs="宋体"/>
          <w:kern w:val="0"/>
          <w:sz w:val="24"/>
          <w:szCs w:val="24"/>
          <w:u w:val="single"/>
          <w:lang w:val="en-US" w:eastAsia="zh-CN" w:bidi="ar"/>
        </w:rPr>
        <w:t xml:space="preserve">                             </w:t>
      </w:r>
    </w:p>
    <w:p w14:paraId="3BE0B7BC">
      <w:pPr>
        <w:keepNext w:val="0"/>
        <w:keepLines w:val="0"/>
        <w:widowControl/>
        <w:suppressLineNumbers w:val="0"/>
        <w:spacing w:line="360" w:lineRule="auto"/>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法定代表人/授权代表人（签字）：________________</w:t>
      </w:r>
    </w:p>
    <w:p w14:paraId="4446A5C2">
      <w:pPr>
        <w:tabs>
          <w:tab w:val="left" w:pos="1021"/>
        </w:tabs>
        <w:spacing w:line="360" w:lineRule="auto"/>
        <w:jc w:val="center"/>
        <w:outlineLvl w:val="9"/>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日期：______年____月____日      </w:t>
      </w:r>
    </w:p>
    <w:p w14:paraId="023D903E">
      <w:pPr>
        <w:tabs>
          <w:tab w:val="left" w:pos="1021"/>
        </w:tabs>
        <w:spacing w:line="360" w:lineRule="auto"/>
        <w:jc w:val="center"/>
        <w:outlineLvl w:val="9"/>
        <w:rPr>
          <w:rFonts w:ascii="宋体" w:hAnsi="宋体"/>
          <w:b/>
          <w:sz w:val="24"/>
        </w:rPr>
      </w:pPr>
      <w:r>
        <w:rPr>
          <w:rFonts w:hint="eastAsia" w:ascii="宋体" w:hAnsi="宋体" w:eastAsia="宋体" w:cs="Times New Roman"/>
          <w:b/>
          <w:sz w:val="24"/>
          <w:szCs w:val="24"/>
          <w:lang w:val="en-US" w:eastAsia="zh-CN"/>
        </w:rPr>
        <w:t xml:space="preserve">特别说明：本承诺函所列条款为仅供参考条款，投标人可结合项目实际需求、货物特性、自身能力及招标文件具体要求，对承诺内容进行合理补充、细化或调整，确保承诺内容贴合实际、切实可行，所有修改后的承诺内容均具备同等法律效力。     </w:t>
      </w:r>
      <w:r>
        <w:rPr>
          <w:rFonts w:hint="eastAsia" w:ascii="宋体" w:hAnsi="宋体" w:eastAsia="宋体" w:cs="宋体"/>
          <w:kern w:val="0"/>
          <w:sz w:val="28"/>
          <w:szCs w:val="28"/>
          <w:lang w:val="en-US" w:eastAsia="zh-CN" w:bidi="ar"/>
        </w:rPr>
        <w:t xml:space="preserve">  </w:t>
      </w:r>
      <w:r>
        <w:rPr>
          <w:rFonts w:hint="eastAsia" w:ascii="宋体" w:hAnsi="宋体" w:eastAsia="宋体" w:cs="Times New Roman"/>
          <w:b/>
          <w:sz w:val="28"/>
          <w:szCs w:val="28"/>
          <w:lang w:val="en-US" w:eastAsia="zh-CN"/>
        </w:rPr>
        <w:br w:type="textWrapping"/>
      </w:r>
      <w:r>
        <w:rPr>
          <w:rFonts w:hint="eastAsia" w:ascii="宋体" w:hAnsi="宋体" w:eastAsia="宋体" w:cs="Times New Roman"/>
          <w:b/>
          <w:sz w:val="28"/>
          <w:szCs w:val="28"/>
          <w:lang w:val="en-US" w:eastAsia="zh-CN"/>
        </w:rPr>
        <w:br w:type="page"/>
      </w:r>
      <w:r>
        <w:rPr>
          <w:rFonts w:hint="eastAsia" w:ascii="宋体" w:hAnsi="宋体"/>
          <w:b/>
          <w:sz w:val="28"/>
          <w:szCs w:val="28"/>
        </w:rPr>
        <w:t>格式</w:t>
      </w:r>
      <w:r>
        <w:rPr>
          <w:rFonts w:hint="eastAsia" w:ascii="宋体" w:hAnsi="宋体"/>
          <w:b/>
          <w:sz w:val="28"/>
          <w:szCs w:val="28"/>
          <w:lang w:val="en-US" w:eastAsia="zh-CN"/>
        </w:rPr>
        <w:t>11：</w:t>
      </w:r>
      <w:r>
        <w:rPr>
          <w:rFonts w:hint="eastAsia" w:ascii="宋体" w:hAnsi="宋体" w:eastAsia="宋体" w:cs="Times New Roman"/>
          <w:b/>
          <w:sz w:val="28"/>
          <w:szCs w:val="28"/>
          <w:lang w:val="en-US" w:eastAsia="zh-CN"/>
        </w:rPr>
        <w:t>招标文件要求及</w:t>
      </w:r>
      <w:r>
        <w:rPr>
          <w:rFonts w:hint="eastAsia" w:ascii="宋体" w:hAnsi="宋体" w:eastAsia="宋体" w:cs="Times New Roman"/>
          <w:b/>
          <w:sz w:val="28"/>
          <w:szCs w:val="28"/>
          <w:lang w:eastAsia="zh-CN"/>
        </w:rPr>
        <w:t>投标人认为需要提交的其他资格证明材料</w:t>
      </w:r>
      <w:r>
        <w:rPr>
          <w:rFonts w:ascii="宋体" w:hAnsi="宋体"/>
          <w:b/>
          <w:sz w:val="24"/>
        </w:rPr>
        <w:br w:type="page"/>
      </w:r>
    </w:p>
    <w:p w14:paraId="09C8430D">
      <w:pPr>
        <w:keepNext w:val="0"/>
        <w:keepLines w:val="0"/>
        <w:pageBreakBefore w:val="0"/>
        <w:widowControl w:val="0"/>
        <w:tabs>
          <w:tab w:val="left" w:pos="1021"/>
        </w:tabs>
        <w:kinsoku/>
        <w:wordWrap/>
        <w:overflowPunct/>
        <w:topLinePunct w:val="0"/>
        <w:autoSpaceDE/>
        <w:autoSpaceDN/>
        <w:bidi w:val="0"/>
        <w:adjustRightInd/>
        <w:snapToGrid/>
        <w:spacing w:line="500" w:lineRule="exact"/>
        <w:jc w:val="center"/>
        <w:textAlignment w:val="auto"/>
        <w:outlineLvl w:val="9"/>
        <w:rPr>
          <w:rFonts w:ascii="宋体" w:hAnsi="宋体" w:eastAsia="宋体"/>
          <w:sz w:val="30"/>
          <w:szCs w:val="30"/>
        </w:rPr>
      </w:pPr>
      <w:r>
        <w:rPr>
          <w:rFonts w:ascii="宋体" w:hAnsi="宋体" w:eastAsia="宋体"/>
          <w:sz w:val="30"/>
          <w:szCs w:val="30"/>
        </w:rPr>
        <w:t>二、</w:t>
      </w:r>
      <w:r>
        <w:rPr>
          <w:rFonts w:hint="eastAsia" w:ascii="宋体" w:hAnsi="宋体" w:eastAsia="宋体"/>
          <w:sz w:val="30"/>
          <w:szCs w:val="30"/>
        </w:rPr>
        <w:t>商务</w:t>
      </w:r>
      <w:r>
        <w:rPr>
          <w:rFonts w:ascii="宋体" w:hAnsi="宋体" w:eastAsia="宋体"/>
          <w:sz w:val="30"/>
          <w:szCs w:val="30"/>
        </w:rPr>
        <w:t>部分</w:t>
      </w:r>
      <w:bookmarkEnd w:id="92"/>
      <w:bookmarkEnd w:id="93"/>
    </w:p>
    <w:p w14:paraId="35004B81">
      <w:pPr>
        <w:pStyle w:val="17"/>
        <w:outlineLvl w:val="9"/>
        <w:rPr>
          <w:rFonts w:hint="eastAsia" w:hAnsi="宋体"/>
          <w:b/>
          <w:sz w:val="28"/>
          <w:szCs w:val="28"/>
        </w:rPr>
      </w:pPr>
      <w:r>
        <w:rPr>
          <w:rFonts w:hint="eastAsia" w:hAnsi="宋体"/>
          <w:b/>
          <w:sz w:val="28"/>
          <w:szCs w:val="28"/>
        </w:rPr>
        <w:t>格式</w:t>
      </w:r>
      <w:r>
        <w:rPr>
          <w:rFonts w:hAnsi="宋体"/>
          <w:b/>
          <w:sz w:val="28"/>
          <w:szCs w:val="28"/>
        </w:rPr>
        <w:t>1</w:t>
      </w:r>
      <w:r>
        <w:rPr>
          <w:rFonts w:hint="eastAsia" w:hAnsi="宋体"/>
          <w:b/>
          <w:sz w:val="28"/>
          <w:szCs w:val="28"/>
        </w:rPr>
        <w:t>：</w:t>
      </w:r>
    </w:p>
    <w:p w14:paraId="4F6C7B6B">
      <w:pPr>
        <w:spacing w:line="360" w:lineRule="auto"/>
        <w:jc w:val="center"/>
        <w:outlineLvl w:val="9"/>
        <w:rPr>
          <w:rFonts w:ascii="宋体" w:hAnsi="宋体" w:eastAsia="宋体"/>
          <w:b/>
          <w:bCs/>
          <w:sz w:val="32"/>
          <w:szCs w:val="32"/>
        </w:rPr>
      </w:pPr>
      <w:bookmarkStart w:id="94" w:name="_Toc496122190"/>
      <w:r>
        <w:rPr>
          <w:rFonts w:hint="eastAsia" w:ascii="宋体" w:hAnsi="宋体" w:eastAsia="宋体" w:cs="Times New Roman"/>
          <w:b/>
          <w:bCs/>
          <w:sz w:val="32"/>
          <w:szCs w:val="32"/>
        </w:rPr>
        <w:t>法定代表人身份证明书</w:t>
      </w:r>
      <w:bookmarkEnd w:id="94"/>
    </w:p>
    <w:p w14:paraId="35BE2A4D">
      <w:pPr>
        <w:spacing w:line="440" w:lineRule="exact"/>
        <w:jc w:val="center"/>
        <w:outlineLvl w:val="9"/>
        <w:rPr>
          <w:rFonts w:ascii="宋体" w:hAnsi="宋体"/>
          <w:b/>
          <w:sz w:val="30"/>
          <w:szCs w:val="30"/>
        </w:rPr>
      </w:pPr>
    </w:p>
    <w:p w14:paraId="1C28DCE5">
      <w:pPr>
        <w:spacing w:line="360" w:lineRule="auto"/>
        <w:outlineLvl w:val="9"/>
        <w:rPr>
          <w:rFonts w:ascii="宋体" w:hAnsi="宋体"/>
          <w:sz w:val="24"/>
        </w:rPr>
      </w:pPr>
      <w:r>
        <w:rPr>
          <w:rFonts w:hint="eastAsia" w:ascii="宋体" w:hAnsi="宋体"/>
          <w:sz w:val="24"/>
        </w:rPr>
        <w:t>投标人名称：</w:t>
      </w:r>
      <w:r>
        <w:rPr>
          <w:rFonts w:ascii="宋体" w:hAnsi="宋体"/>
          <w:sz w:val="24"/>
          <w:u w:val="single"/>
        </w:rPr>
        <w:t xml:space="preserve">                        </w:t>
      </w:r>
    </w:p>
    <w:p w14:paraId="363EAA52">
      <w:pPr>
        <w:spacing w:line="360" w:lineRule="auto"/>
        <w:outlineLvl w:val="9"/>
        <w:rPr>
          <w:rFonts w:ascii="宋体" w:hAnsi="宋体"/>
          <w:sz w:val="24"/>
        </w:rPr>
      </w:pPr>
      <w:r>
        <w:rPr>
          <w:rFonts w:hint="eastAsia" w:ascii="宋体" w:hAnsi="宋体"/>
          <w:sz w:val="24"/>
        </w:rPr>
        <w:t>单位性质：</w:t>
      </w:r>
      <w:r>
        <w:rPr>
          <w:rFonts w:ascii="宋体" w:hAnsi="宋体"/>
          <w:sz w:val="24"/>
          <w:u w:val="single"/>
        </w:rPr>
        <w:t xml:space="preserve">                          </w:t>
      </w:r>
    </w:p>
    <w:p w14:paraId="0C3F18E2">
      <w:pPr>
        <w:spacing w:line="360" w:lineRule="auto"/>
        <w:outlineLvl w:val="9"/>
        <w:rPr>
          <w:rFonts w:ascii="宋体" w:hAnsi="宋体"/>
          <w:sz w:val="24"/>
        </w:rPr>
      </w:pPr>
      <w:r>
        <w:rPr>
          <w:rFonts w:hint="eastAsia" w:ascii="宋体" w:hAnsi="宋体"/>
          <w:sz w:val="24"/>
        </w:rPr>
        <w:t>成立时间：</w:t>
      </w: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p>
    <w:p w14:paraId="0B85FF5F">
      <w:pPr>
        <w:spacing w:line="360" w:lineRule="auto"/>
        <w:outlineLvl w:val="9"/>
        <w:rPr>
          <w:rFonts w:ascii="宋体" w:hAnsi="宋体"/>
          <w:sz w:val="24"/>
        </w:rPr>
      </w:pPr>
      <w:r>
        <w:rPr>
          <w:rFonts w:hint="eastAsia" w:ascii="宋体" w:hAnsi="宋体"/>
          <w:sz w:val="24"/>
        </w:rPr>
        <w:t>经营期限：</w:t>
      </w:r>
      <w:r>
        <w:rPr>
          <w:rFonts w:ascii="宋体" w:hAnsi="宋体"/>
          <w:sz w:val="24"/>
          <w:u w:val="single"/>
        </w:rPr>
        <w:t xml:space="preserve">                          </w:t>
      </w:r>
    </w:p>
    <w:p w14:paraId="2CF3A769">
      <w:pPr>
        <w:spacing w:line="360" w:lineRule="auto"/>
        <w:outlineLvl w:val="9"/>
        <w:rPr>
          <w:rFonts w:ascii="宋体" w:hAnsi="宋体"/>
          <w:sz w:val="24"/>
        </w:rPr>
      </w:pPr>
      <w:r>
        <w:rPr>
          <w:rFonts w:hint="eastAsia" w:ascii="宋体" w:hAnsi="宋体"/>
          <w:sz w:val="24"/>
        </w:rPr>
        <w:t>姓名：</w:t>
      </w:r>
      <w:r>
        <w:rPr>
          <w:rFonts w:ascii="宋体" w:hAnsi="宋体"/>
          <w:sz w:val="24"/>
          <w:u w:val="single"/>
        </w:rPr>
        <w:t xml:space="preserve">            </w:t>
      </w:r>
      <w:r>
        <w:rPr>
          <w:rFonts w:hint="eastAsia" w:ascii="宋体" w:hAnsi="宋体"/>
          <w:sz w:val="24"/>
        </w:rPr>
        <w:t>性别：</w:t>
      </w:r>
      <w:r>
        <w:rPr>
          <w:rFonts w:ascii="宋体" w:hAnsi="宋体"/>
          <w:sz w:val="24"/>
          <w:u w:val="single"/>
        </w:rPr>
        <w:t xml:space="preserve">            </w:t>
      </w:r>
      <w:r>
        <w:rPr>
          <w:rFonts w:hint="eastAsia" w:ascii="宋体" w:hAnsi="宋体"/>
          <w:sz w:val="24"/>
        </w:rPr>
        <w:t>年龄：</w:t>
      </w:r>
      <w:r>
        <w:rPr>
          <w:rFonts w:ascii="宋体" w:hAnsi="宋体"/>
          <w:sz w:val="24"/>
          <w:u w:val="single"/>
        </w:rPr>
        <w:t xml:space="preserve">            </w:t>
      </w:r>
      <w:r>
        <w:rPr>
          <w:rFonts w:hint="eastAsia" w:ascii="宋体" w:hAnsi="宋体"/>
          <w:sz w:val="24"/>
        </w:rPr>
        <w:t>职务：</w:t>
      </w:r>
      <w:r>
        <w:rPr>
          <w:rFonts w:ascii="宋体" w:hAnsi="宋体"/>
          <w:sz w:val="24"/>
          <w:u w:val="single"/>
        </w:rPr>
        <w:t xml:space="preserve">            </w:t>
      </w:r>
    </w:p>
    <w:p w14:paraId="4CE42D97">
      <w:pPr>
        <w:spacing w:line="360" w:lineRule="auto"/>
        <w:outlineLvl w:val="9"/>
        <w:rPr>
          <w:rFonts w:ascii="宋体" w:hAnsi="宋体"/>
          <w:sz w:val="24"/>
        </w:rPr>
      </w:pPr>
      <w:r>
        <w:rPr>
          <w:rFonts w:hint="eastAsia" w:ascii="宋体" w:hAnsi="宋体"/>
          <w:sz w:val="24"/>
        </w:rPr>
        <w:t>系</w:t>
      </w:r>
      <w:r>
        <w:rPr>
          <w:rFonts w:ascii="宋体" w:hAnsi="宋体"/>
          <w:sz w:val="24"/>
          <w:u w:val="single"/>
        </w:rPr>
        <w:t xml:space="preserve">                        </w:t>
      </w:r>
      <w:r>
        <w:rPr>
          <w:rFonts w:hint="eastAsia" w:ascii="宋体" w:hAnsi="宋体"/>
          <w:sz w:val="24"/>
        </w:rPr>
        <w:t>（投标人名称）的法定代表人。</w:t>
      </w:r>
    </w:p>
    <w:p w14:paraId="54A0A751">
      <w:pPr>
        <w:spacing w:line="360" w:lineRule="auto"/>
        <w:outlineLvl w:val="9"/>
        <w:rPr>
          <w:rFonts w:ascii="宋体" w:hAnsi="宋体"/>
          <w:sz w:val="24"/>
        </w:rPr>
      </w:pPr>
    </w:p>
    <w:p w14:paraId="03C64C60">
      <w:pPr>
        <w:spacing w:line="360" w:lineRule="auto"/>
        <w:ind w:firstLine="480" w:firstLineChars="200"/>
        <w:outlineLvl w:val="9"/>
        <w:rPr>
          <w:rFonts w:ascii="宋体" w:hAnsi="宋体"/>
          <w:sz w:val="24"/>
        </w:rPr>
      </w:pPr>
    </w:p>
    <w:p w14:paraId="5AC05BFF">
      <w:pPr>
        <w:spacing w:line="360" w:lineRule="auto"/>
        <w:ind w:firstLine="480" w:firstLineChars="200"/>
        <w:outlineLvl w:val="9"/>
        <w:rPr>
          <w:rFonts w:ascii="宋体" w:hAnsi="宋体"/>
          <w:sz w:val="24"/>
        </w:rPr>
      </w:pPr>
      <w:r>
        <w:rPr>
          <w:rFonts w:hint="eastAsia" w:ascii="宋体" w:hAnsi="宋体"/>
          <w:sz w:val="24"/>
        </w:rPr>
        <w:t>特此证明。</w:t>
      </w:r>
    </w:p>
    <w:p w14:paraId="1E73E32D">
      <w:pPr>
        <w:spacing w:line="360" w:lineRule="auto"/>
        <w:outlineLvl w:val="9"/>
        <w:rPr>
          <w:rFonts w:ascii="宋体" w:hAnsi="宋体"/>
          <w:szCs w:val="21"/>
        </w:rPr>
      </w:pPr>
    </w:p>
    <w:p w14:paraId="09C1AC33">
      <w:pPr>
        <w:spacing w:line="360" w:lineRule="auto"/>
        <w:outlineLvl w:val="9"/>
        <w:rPr>
          <w:rFonts w:ascii="宋体" w:hAnsi="宋体"/>
          <w:szCs w:val="21"/>
        </w:rPr>
      </w:pPr>
    </w:p>
    <w:p w14:paraId="31370A28">
      <w:pPr>
        <w:pStyle w:val="17"/>
        <w:spacing w:line="500" w:lineRule="exact"/>
        <w:ind w:firstLine="420"/>
        <w:outlineLvl w:val="9"/>
        <w:rPr>
          <w:rFonts w:hAnsi="宋体"/>
          <w:b/>
          <w:bCs/>
          <w:sz w:val="24"/>
          <w:szCs w:val="24"/>
        </w:rPr>
      </w:pPr>
      <w:r>
        <w:rPr>
          <w:rFonts w:hint="eastAsia" w:hAnsi="宋体"/>
          <w:b/>
          <w:bCs/>
          <w:sz w:val="24"/>
          <w:szCs w:val="24"/>
        </w:rPr>
        <w:t>注:</w:t>
      </w:r>
      <w:r>
        <w:rPr>
          <w:rFonts w:hint="eastAsia" w:hAnsi="宋体"/>
          <w:b/>
          <w:bCs/>
          <w:sz w:val="24"/>
        </w:rPr>
        <w:t>后附法定代表人身份证扫描件。</w:t>
      </w:r>
    </w:p>
    <w:p w14:paraId="7B54B307">
      <w:pPr>
        <w:spacing w:line="360" w:lineRule="auto"/>
        <w:outlineLvl w:val="9"/>
        <w:rPr>
          <w:rFonts w:ascii="宋体" w:hAnsi="宋体"/>
          <w:szCs w:val="21"/>
        </w:rPr>
      </w:pPr>
    </w:p>
    <w:p w14:paraId="797723E4">
      <w:pPr>
        <w:spacing w:line="360" w:lineRule="auto"/>
        <w:outlineLvl w:val="9"/>
        <w:rPr>
          <w:rFonts w:ascii="宋体" w:hAnsi="宋体"/>
          <w:szCs w:val="21"/>
        </w:rPr>
      </w:pPr>
    </w:p>
    <w:p w14:paraId="14946282">
      <w:pPr>
        <w:spacing w:line="360" w:lineRule="auto"/>
        <w:ind w:left="5397" w:leftChars="2570"/>
        <w:outlineLvl w:val="9"/>
        <w:rPr>
          <w:rFonts w:ascii="宋体" w:hAnsi="宋体"/>
          <w:sz w:val="24"/>
        </w:rPr>
      </w:pPr>
      <w:r>
        <w:rPr>
          <w:rFonts w:hint="eastAsia" w:ascii="宋体" w:hAnsi="宋体"/>
          <w:b/>
          <w:sz w:val="24"/>
        </w:rPr>
        <w:t>投标人</w:t>
      </w:r>
      <w:r>
        <w:rPr>
          <w:rFonts w:ascii="宋体" w:hAnsi="宋体"/>
          <w:b/>
          <w:sz w:val="24"/>
        </w:rPr>
        <w:t>：（</w:t>
      </w:r>
      <w:r>
        <w:rPr>
          <w:rFonts w:hint="eastAsia" w:ascii="宋体" w:hAnsi="宋体"/>
          <w:b/>
          <w:sz w:val="24"/>
        </w:rPr>
        <w:t>加</w:t>
      </w:r>
      <w:r>
        <w:rPr>
          <w:rFonts w:ascii="宋体" w:hAnsi="宋体"/>
          <w:b/>
          <w:sz w:val="24"/>
        </w:rPr>
        <w:t>盖</w:t>
      </w:r>
      <w:r>
        <w:rPr>
          <w:rFonts w:hint="eastAsia" w:ascii="宋体" w:hAnsi="宋体"/>
          <w:b/>
          <w:sz w:val="24"/>
        </w:rPr>
        <w:t>电子公章</w:t>
      </w:r>
      <w:r>
        <w:rPr>
          <w:rFonts w:ascii="宋体" w:hAnsi="宋体"/>
          <w:b/>
          <w:sz w:val="24"/>
        </w:rPr>
        <w:t>）</w:t>
      </w:r>
    </w:p>
    <w:p w14:paraId="489845E9">
      <w:pPr>
        <w:spacing w:line="360" w:lineRule="auto"/>
        <w:ind w:left="5397" w:leftChars="2570"/>
        <w:outlineLvl w:val="9"/>
        <w:rPr>
          <w:rFonts w:ascii="宋体" w:hAnsi="宋体"/>
          <w:sz w:val="24"/>
        </w:rPr>
      </w:pPr>
    </w:p>
    <w:p w14:paraId="36C69666">
      <w:pPr>
        <w:spacing w:line="360" w:lineRule="auto"/>
        <w:ind w:left="5397" w:leftChars="2570"/>
        <w:outlineLvl w:val="9"/>
        <w:rPr>
          <w:rFonts w:ascii="宋体" w:hAnsi="宋体"/>
          <w:sz w:val="24"/>
        </w:rPr>
      </w:pP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p>
    <w:p w14:paraId="1CEB149F">
      <w:pPr>
        <w:spacing w:line="360" w:lineRule="auto"/>
        <w:outlineLvl w:val="9"/>
        <w:rPr>
          <w:rFonts w:ascii="宋体" w:hAnsi="宋体"/>
          <w:szCs w:val="21"/>
        </w:rPr>
      </w:pPr>
    </w:p>
    <w:p w14:paraId="125D65A9">
      <w:pPr>
        <w:pStyle w:val="17"/>
        <w:spacing w:line="600" w:lineRule="exact"/>
        <w:outlineLvl w:val="9"/>
        <w:rPr>
          <w:rFonts w:hAnsi="宋体"/>
          <w:b/>
          <w:sz w:val="28"/>
          <w:szCs w:val="28"/>
        </w:rPr>
      </w:pPr>
      <w:r>
        <w:rPr>
          <w:rFonts w:hAnsi="宋体"/>
          <w:b/>
          <w:szCs w:val="21"/>
        </w:rPr>
        <w:br w:type="page"/>
      </w:r>
      <w:r>
        <w:rPr>
          <w:rFonts w:hint="eastAsia" w:hAnsi="宋体"/>
          <w:b/>
          <w:sz w:val="28"/>
          <w:szCs w:val="28"/>
        </w:rPr>
        <w:t>格式2：</w:t>
      </w:r>
    </w:p>
    <w:p w14:paraId="6F6D6DDF">
      <w:pPr>
        <w:spacing w:line="360" w:lineRule="auto"/>
        <w:jc w:val="center"/>
        <w:outlineLvl w:val="9"/>
        <w:rPr>
          <w:rFonts w:hint="eastAsia" w:ascii="宋体" w:hAnsi="宋体" w:eastAsia="宋体" w:cs="Times New Roman"/>
          <w:b/>
          <w:bCs/>
          <w:sz w:val="32"/>
          <w:szCs w:val="32"/>
        </w:rPr>
      </w:pPr>
      <w:bookmarkStart w:id="95" w:name="_Toc213141107"/>
      <w:bookmarkStart w:id="96" w:name="_Toc496122191"/>
      <w:r>
        <w:rPr>
          <w:rFonts w:hint="eastAsia" w:ascii="宋体" w:hAnsi="宋体" w:eastAsia="宋体" w:cs="Times New Roman"/>
          <w:b/>
          <w:bCs/>
          <w:sz w:val="32"/>
          <w:szCs w:val="32"/>
        </w:rPr>
        <w:t>法定代表人授权委托书</w:t>
      </w:r>
      <w:bookmarkEnd w:id="95"/>
      <w:bookmarkEnd w:id="96"/>
    </w:p>
    <w:p w14:paraId="240B5564">
      <w:pPr>
        <w:pStyle w:val="17"/>
        <w:spacing w:line="500" w:lineRule="exact"/>
        <w:ind w:firstLine="480" w:firstLineChars="200"/>
        <w:outlineLvl w:val="9"/>
        <w:rPr>
          <w:rFonts w:hAnsi="宋体"/>
          <w:sz w:val="24"/>
          <w:szCs w:val="24"/>
        </w:rPr>
      </w:pPr>
    </w:p>
    <w:p w14:paraId="27988731">
      <w:pPr>
        <w:spacing w:line="360" w:lineRule="auto"/>
        <w:ind w:firstLine="480" w:firstLineChars="200"/>
        <w:outlineLvl w:val="9"/>
        <w:rPr>
          <w:rFonts w:ascii="宋体" w:hAnsi="宋体"/>
          <w:sz w:val="24"/>
        </w:rPr>
      </w:pPr>
      <w:r>
        <w:rPr>
          <w:rFonts w:hint="eastAsia" w:ascii="宋体" w:hAnsi="宋体"/>
          <w:sz w:val="24"/>
        </w:rPr>
        <w:t>本授权书声明：</w:t>
      </w:r>
      <w:r>
        <w:rPr>
          <w:rFonts w:hint="eastAsia" w:ascii="宋体" w:hAnsi="宋体"/>
          <w:sz w:val="24"/>
          <w:u w:val="single"/>
        </w:rPr>
        <w:t xml:space="preserve">  （投标人全称） </w:t>
      </w:r>
      <w:r>
        <w:rPr>
          <w:rFonts w:hint="eastAsia" w:ascii="宋体" w:hAnsi="宋体"/>
          <w:sz w:val="24"/>
        </w:rPr>
        <w:t>的法定代表人代表本公司授权</w:t>
      </w:r>
      <w:r>
        <w:rPr>
          <w:rFonts w:hint="eastAsia" w:ascii="宋体" w:hAnsi="宋体"/>
          <w:sz w:val="24"/>
          <w:u w:val="single"/>
        </w:rPr>
        <w:t>（委托代理人姓名）</w:t>
      </w:r>
      <w:r>
        <w:rPr>
          <w:rFonts w:hint="eastAsia" w:ascii="宋体" w:hAnsi="宋体"/>
          <w:sz w:val="24"/>
        </w:rPr>
        <w:t>为本公司合法代理人，就贵方组织的有关</w:t>
      </w:r>
      <w:r>
        <w:rPr>
          <w:rFonts w:hint="eastAsia" w:ascii="宋体" w:hAnsi="宋体" w:eastAsia="宋体" w:cs="Times New Roman"/>
          <w:b/>
          <w:bCs/>
          <w:sz w:val="24"/>
          <w:szCs w:val="24"/>
          <w:lang w:eastAsia="zh-CN"/>
        </w:rPr>
        <w:t>云南省玉溪监狱2026年至2027年罪犯配餐中心生活物资 一 标段(猪肉类；鸡肉类、冻品（鱼虾）类)采购项目</w:t>
      </w:r>
      <w:r>
        <w:rPr>
          <w:rFonts w:hint="eastAsia" w:ascii="宋体" w:hAnsi="宋体" w:eastAsia="宋体" w:cs="Times New Roman"/>
          <w:b/>
          <w:bCs/>
          <w:sz w:val="24"/>
          <w:szCs w:val="24"/>
          <w:lang w:val="en-US" w:eastAsia="zh-CN"/>
        </w:rPr>
        <w:t>包</w:t>
      </w:r>
      <w:r>
        <w:rPr>
          <w:rFonts w:hint="eastAsia" w:ascii="宋体" w:hAnsi="宋体" w:eastAsia="宋体" w:cs="Times New Roman"/>
          <w:b/>
          <w:bCs/>
          <w:sz w:val="24"/>
          <w:szCs w:val="24"/>
          <w:u w:val="single"/>
          <w:lang w:eastAsia="zh-CN"/>
        </w:rPr>
        <w:t xml:space="preserve">  </w:t>
      </w:r>
      <w:r>
        <w:rPr>
          <w:rFonts w:hint="eastAsia" w:ascii="宋体" w:hAnsi="宋体" w:eastAsia="宋体" w:cs="Times New Roman"/>
          <w:b/>
          <w:bCs/>
          <w:sz w:val="24"/>
          <w:szCs w:val="24"/>
          <w:lang w:val="en-US" w:eastAsia="zh-CN"/>
        </w:rPr>
        <w:t>（标包号）</w:t>
      </w:r>
      <w:bookmarkStart w:id="97" w:name="OLE_LINK3"/>
      <w:r>
        <w:rPr>
          <w:rFonts w:hint="eastAsia" w:ascii="宋体" w:hAnsi="宋体"/>
          <w:sz w:val="24"/>
          <w:highlight w:val="none"/>
        </w:rPr>
        <w:t>（</w:t>
      </w:r>
      <w:r>
        <w:rPr>
          <w:rFonts w:hint="eastAsia" w:ascii="宋体" w:hAnsi="宋体"/>
          <w:sz w:val="24"/>
          <w:highlight w:val="none"/>
          <w:lang w:val="en-US" w:eastAsia="zh-CN"/>
        </w:rPr>
        <w:t>项目</w:t>
      </w:r>
      <w:r>
        <w:rPr>
          <w:rFonts w:hint="eastAsia" w:ascii="宋体" w:hAnsi="宋体"/>
          <w:sz w:val="24"/>
          <w:highlight w:val="none"/>
        </w:rPr>
        <w:t>编号：</w:t>
      </w:r>
      <w:r>
        <w:rPr>
          <w:rFonts w:hint="eastAsia" w:ascii="宋体" w:hAnsi="宋体"/>
          <w:b/>
          <w:bCs/>
          <w:sz w:val="24"/>
          <w:highlight w:val="none"/>
          <w:u w:val="single"/>
          <w:lang w:eastAsia="zh-CN"/>
        </w:rPr>
        <w:t>YNGCZBZX(招)字-YX-2026-03-02</w:t>
      </w:r>
      <w:r>
        <w:rPr>
          <w:rFonts w:hint="eastAsia" w:ascii="宋体" w:hAnsi="宋体"/>
          <w:sz w:val="24"/>
          <w:highlight w:val="none"/>
        </w:rPr>
        <w:t>）</w:t>
      </w:r>
      <w:bookmarkEnd w:id="97"/>
      <w:bookmarkStart w:id="98" w:name="OLE_LINK4"/>
      <w:r>
        <w:rPr>
          <w:rFonts w:hint="eastAsia" w:ascii="宋体" w:hAnsi="宋体"/>
          <w:sz w:val="24"/>
          <w:highlight w:val="none"/>
          <w:shd w:val="clear" w:color="auto" w:fill="auto"/>
        </w:rPr>
        <w:t>（</w:t>
      </w:r>
      <w:r>
        <w:rPr>
          <w:rFonts w:hint="eastAsia" w:ascii="宋体" w:hAnsi="宋体" w:eastAsia="宋体"/>
          <w:sz w:val="24"/>
          <w:highlight w:val="none"/>
          <w:shd w:val="clear" w:color="auto" w:fill="auto"/>
          <w:lang w:val="en-US" w:eastAsia="zh-CN"/>
        </w:rPr>
        <w:t>政采云</w:t>
      </w:r>
      <w:r>
        <w:rPr>
          <w:rFonts w:hint="eastAsia" w:ascii="宋体" w:hAnsi="宋体"/>
          <w:sz w:val="24"/>
          <w:highlight w:val="none"/>
          <w:shd w:val="clear" w:color="auto" w:fill="auto"/>
          <w:lang w:val="en-US" w:eastAsia="zh-CN"/>
        </w:rPr>
        <w:t>项目</w:t>
      </w:r>
      <w:r>
        <w:rPr>
          <w:rFonts w:hint="eastAsia" w:ascii="宋体" w:hAnsi="宋体"/>
          <w:sz w:val="24"/>
          <w:highlight w:val="none"/>
          <w:shd w:val="clear" w:color="auto" w:fill="auto"/>
        </w:rPr>
        <w:t>编号：</w:t>
      </w:r>
      <w:r>
        <w:rPr>
          <w:rFonts w:hint="eastAsia" w:ascii="宋体" w:hAnsi="宋体"/>
          <w:b/>
          <w:bCs/>
          <w:sz w:val="24"/>
          <w:highlight w:val="none"/>
          <w:u w:val="single"/>
          <w:lang w:eastAsia="zh-CN"/>
        </w:rPr>
        <w:t>YNZC2026-G1-01428-GCJC-0001</w:t>
      </w:r>
      <w:r>
        <w:rPr>
          <w:rFonts w:hint="eastAsia" w:ascii="宋体" w:hAnsi="宋体" w:eastAsia="宋体" w:cs="Times New Roman"/>
          <w:b/>
          <w:bCs/>
          <w:sz w:val="24"/>
          <w:highlight w:val="none"/>
          <w:u w:val="single"/>
          <w:lang w:eastAsia="zh-CN"/>
        </w:rPr>
        <w:t xml:space="preserve"> </w:t>
      </w:r>
      <w:r>
        <w:rPr>
          <w:rFonts w:hint="eastAsia" w:ascii="宋体" w:hAnsi="宋体"/>
          <w:sz w:val="24"/>
          <w:highlight w:val="none"/>
          <w:shd w:val="clear" w:color="auto" w:fill="auto"/>
        </w:rPr>
        <w:t>）</w:t>
      </w:r>
      <w:bookmarkEnd w:id="98"/>
      <w:r>
        <w:rPr>
          <w:rFonts w:hint="eastAsia" w:ascii="宋体" w:hAnsi="宋体"/>
          <w:sz w:val="24"/>
        </w:rPr>
        <w:t>的</w:t>
      </w:r>
      <w:r>
        <w:rPr>
          <w:rFonts w:ascii="宋体" w:hAnsi="宋体"/>
          <w:sz w:val="24"/>
        </w:rPr>
        <w:t>招标</w:t>
      </w:r>
      <w:r>
        <w:rPr>
          <w:rFonts w:hint="eastAsia" w:ascii="宋体" w:hAnsi="宋体"/>
          <w:sz w:val="24"/>
        </w:rPr>
        <w:t>，以本单位名义</w:t>
      </w:r>
      <w:r>
        <w:rPr>
          <w:rFonts w:ascii="宋体" w:hAnsi="宋体"/>
          <w:sz w:val="24"/>
        </w:rPr>
        <w:t>投标</w:t>
      </w:r>
      <w:r>
        <w:rPr>
          <w:rFonts w:hint="eastAsia" w:ascii="宋体" w:hAnsi="宋体"/>
          <w:sz w:val="24"/>
        </w:rPr>
        <w:t>。</w:t>
      </w:r>
      <w:r>
        <w:rPr>
          <w:rFonts w:ascii="宋体" w:hAnsi="宋体"/>
          <w:sz w:val="24"/>
        </w:rPr>
        <w:t>代理人在本项目投标过程中所签署的一切文件和处理与之有关的一切事务，我方均予承认。</w:t>
      </w:r>
    </w:p>
    <w:p w14:paraId="418E0A2F">
      <w:pPr>
        <w:pStyle w:val="17"/>
        <w:spacing w:line="500" w:lineRule="exact"/>
        <w:ind w:firstLine="420"/>
        <w:outlineLvl w:val="9"/>
        <w:rPr>
          <w:rFonts w:hAnsi="宋体"/>
          <w:sz w:val="24"/>
          <w:szCs w:val="24"/>
        </w:rPr>
      </w:pPr>
      <w:r>
        <w:rPr>
          <w:rFonts w:hAnsi="宋体"/>
          <w:sz w:val="24"/>
          <w:szCs w:val="24"/>
        </w:rPr>
        <w:t>代理人无转委托权。</w:t>
      </w:r>
    </w:p>
    <w:p w14:paraId="1AD2DF0C">
      <w:pPr>
        <w:pStyle w:val="17"/>
        <w:spacing w:line="500" w:lineRule="exact"/>
        <w:ind w:firstLine="420"/>
        <w:outlineLvl w:val="9"/>
        <w:rPr>
          <w:rFonts w:hAnsi="宋体"/>
          <w:sz w:val="24"/>
          <w:szCs w:val="24"/>
        </w:rPr>
      </w:pPr>
    </w:p>
    <w:p w14:paraId="4E1F5CC5">
      <w:pPr>
        <w:keepNext w:val="0"/>
        <w:keepLines w:val="0"/>
        <w:pageBreakBefore w:val="0"/>
        <w:widowControl w:val="0"/>
        <w:kinsoku/>
        <w:wordWrap/>
        <w:overflowPunct/>
        <w:topLinePunct w:val="0"/>
        <w:autoSpaceDE/>
        <w:autoSpaceDN/>
        <w:bidi w:val="0"/>
        <w:adjustRightInd/>
        <w:snapToGrid/>
        <w:spacing w:line="500" w:lineRule="exact"/>
        <w:ind w:firstLine="2" w:firstLineChars="1"/>
        <w:textAlignment w:val="auto"/>
        <w:outlineLvl w:val="9"/>
        <w:rPr>
          <w:rFonts w:ascii="宋体" w:hAnsi="宋体"/>
          <w:b/>
          <w:sz w:val="24"/>
        </w:rPr>
      </w:pPr>
      <w:r>
        <w:rPr>
          <w:rFonts w:hint="eastAsia" w:ascii="宋体" w:hAnsi="宋体"/>
          <w:b/>
          <w:sz w:val="24"/>
        </w:rPr>
        <w:t>投标人（加盖电子公章）：</w:t>
      </w:r>
      <w:r>
        <w:rPr>
          <w:rFonts w:ascii="宋体" w:hAnsi="宋体"/>
          <w:b/>
          <w:sz w:val="24"/>
          <w:u w:val="single"/>
        </w:rPr>
        <w:t xml:space="preserve">                       </w:t>
      </w:r>
    </w:p>
    <w:p w14:paraId="30433EE6">
      <w:pPr>
        <w:keepNext w:val="0"/>
        <w:keepLines w:val="0"/>
        <w:pageBreakBefore w:val="0"/>
        <w:widowControl w:val="0"/>
        <w:kinsoku/>
        <w:wordWrap/>
        <w:overflowPunct/>
        <w:topLinePunct w:val="0"/>
        <w:autoSpaceDE/>
        <w:autoSpaceDN/>
        <w:bidi w:val="0"/>
        <w:adjustRightInd/>
        <w:snapToGrid/>
        <w:spacing w:line="500" w:lineRule="exact"/>
        <w:ind w:firstLine="2" w:firstLineChars="1"/>
        <w:textAlignment w:val="auto"/>
        <w:outlineLvl w:val="9"/>
        <w:rPr>
          <w:rFonts w:ascii="宋体" w:hAnsi="宋体"/>
          <w:b/>
          <w:sz w:val="24"/>
        </w:rPr>
      </w:pPr>
      <w:r>
        <w:rPr>
          <w:rFonts w:ascii="宋体" w:hAnsi="宋体"/>
          <w:b/>
          <w:sz w:val="24"/>
        </w:rPr>
        <w:t>法定代表人</w:t>
      </w:r>
      <w:r>
        <w:rPr>
          <w:rFonts w:hint="eastAsia" w:ascii="宋体" w:hAnsi="宋体"/>
          <w:b/>
          <w:sz w:val="24"/>
        </w:rPr>
        <w:t>（电子签名或签章）</w:t>
      </w:r>
      <w:r>
        <w:rPr>
          <w:rFonts w:ascii="宋体" w:hAnsi="宋体"/>
          <w:b/>
          <w:sz w:val="24"/>
        </w:rPr>
        <w:t>：</w:t>
      </w:r>
      <w:r>
        <w:rPr>
          <w:rFonts w:ascii="宋体" w:hAnsi="宋体"/>
          <w:b/>
          <w:sz w:val="24"/>
          <w:u w:val="single"/>
        </w:rPr>
        <w:t xml:space="preserve">               </w:t>
      </w:r>
      <w:r>
        <w:rPr>
          <w:rFonts w:hint="eastAsia" w:ascii="宋体" w:hAnsi="宋体"/>
          <w:b/>
          <w:sz w:val="24"/>
        </w:rPr>
        <w:t xml:space="preserve"> </w:t>
      </w:r>
    </w:p>
    <w:p w14:paraId="0E66B59F">
      <w:pPr>
        <w:pStyle w:val="17"/>
        <w:spacing w:line="500" w:lineRule="exact"/>
        <w:jc w:val="left"/>
        <w:outlineLvl w:val="9"/>
        <w:rPr>
          <w:rFonts w:hAnsi="宋体"/>
          <w:sz w:val="24"/>
          <w:szCs w:val="24"/>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58358E44">
      <w:pPr>
        <w:pStyle w:val="17"/>
        <w:spacing w:line="500" w:lineRule="exact"/>
        <w:outlineLvl w:val="9"/>
        <w:rPr>
          <w:rFonts w:hAnsi="宋体"/>
        </w:rPr>
      </w:pPr>
      <w:r>
        <w:rPr>
          <w:rFonts w:hint="eastAsia" w:hAnsi="宋体"/>
        </w:rPr>
        <w:t>__________________________________________________________________________________________</w:t>
      </w:r>
    </w:p>
    <w:tbl>
      <w:tblPr>
        <w:tblStyle w:val="32"/>
        <w:tblW w:w="0" w:type="auto"/>
        <w:tblInd w:w="720" w:type="dxa"/>
        <w:tblLayout w:type="fixed"/>
        <w:tblCellMar>
          <w:top w:w="0" w:type="dxa"/>
          <w:left w:w="108" w:type="dxa"/>
          <w:bottom w:w="0" w:type="dxa"/>
          <w:right w:w="108" w:type="dxa"/>
        </w:tblCellMar>
      </w:tblPr>
      <w:tblGrid>
        <w:gridCol w:w="1908"/>
        <w:gridCol w:w="3960"/>
      </w:tblGrid>
      <w:tr w14:paraId="0C743EF4">
        <w:tc>
          <w:tcPr>
            <w:tcW w:w="1908" w:type="dxa"/>
            <w:tcBorders>
              <w:top w:val="nil"/>
              <w:left w:val="nil"/>
              <w:bottom w:val="nil"/>
              <w:right w:val="nil"/>
            </w:tcBorders>
            <w:noWrap w:val="0"/>
            <w:vAlign w:val="top"/>
          </w:tcPr>
          <w:p w14:paraId="042E5DF4">
            <w:pPr>
              <w:pStyle w:val="17"/>
              <w:spacing w:line="500" w:lineRule="exact"/>
              <w:outlineLvl w:val="9"/>
              <w:rPr>
                <w:rFonts w:hAnsi="宋体"/>
              </w:rPr>
            </w:pPr>
            <w:r>
              <w:rPr>
                <w:rFonts w:hint="eastAsia" w:hAnsi="宋体"/>
              </w:rPr>
              <w:t xml:space="preserve">附： </w:t>
            </w:r>
          </w:p>
        </w:tc>
        <w:tc>
          <w:tcPr>
            <w:tcW w:w="3960" w:type="dxa"/>
            <w:tcBorders>
              <w:top w:val="nil"/>
              <w:left w:val="nil"/>
              <w:bottom w:val="nil"/>
              <w:right w:val="nil"/>
            </w:tcBorders>
            <w:noWrap w:val="0"/>
            <w:vAlign w:val="top"/>
          </w:tcPr>
          <w:p w14:paraId="48916DAE">
            <w:pPr>
              <w:pStyle w:val="17"/>
              <w:spacing w:line="500" w:lineRule="exact"/>
              <w:outlineLvl w:val="9"/>
              <w:rPr>
                <w:rFonts w:hAnsi="宋体"/>
              </w:rPr>
            </w:pPr>
            <w:r>
              <w:rPr>
                <w:rFonts w:hint="eastAsia" w:hAnsi="宋体"/>
              </w:rPr>
              <w:tab/>
            </w:r>
            <w:r>
              <w:rPr>
                <w:rFonts w:hint="eastAsia" w:hAnsi="宋体"/>
              </w:rPr>
              <w:tab/>
            </w:r>
            <w:r>
              <w:rPr>
                <w:rFonts w:hint="eastAsia" w:hAnsi="宋体"/>
              </w:rPr>
              <w:tab/>
            </w:r>
            <w:r>
              <w:rPr>
                <w:rFonts w:hint="eastAsia" w:hAnsi="宋体"/>
              </w:rPr>
              <w:tab/>
            </w:r>
            <w:r>
              <w:rPr>
                <w:rFonts w:hint="eastAsia" w:hAnsi="宋体"/>
              </w:rPr>
              <w:tab/>
            </w:r>
          </w:p>
        </w:tc>
      </w:tr>
      <w:tr w14:paraId="37D8C877">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4D25A553">
            <w:pPr>
              <w:pStyle w:val="17"/>
              <w:spacing w:line="500" w:lineRule="exact"/>
              <w:jc w:val="distribute"/>
              <w:outlineLvl w:val="9"/>
              <w:rPr>
                <w:rFonts w:hAnsi="宋体"/>
              </w:rPr>
            </w:pPr>
            <w:r>
              <w:rPr>
                <w:rFonts w:hint="eastAsia" w:hAnsi="宋体"/>
              </w:rPr>
              <w:t>委托代理人姓名：</w:t>
            </w:r>
          </w:p>
        </w:tc>
        <w:tc>
          <w:tcPr>
            <w:tcW w:w="3960" w:type="dxa"/>
            <w:tcBorders>
              <w:top w:val="nil"/>
              <w:left w:val="nil"/>
              <w:bottom w:val="nil"/>
              <w:right w:val="nil"/>
            </w:tcBorders>
            <w:noWrap w:val="0"/>
            <w:vAlign w:val="top"/>
          </w:tcPr>
          <w:p w14:paraId="2991D6EC">
            <w:pPr>
              <w:pStyle w:val="17"/>
              <w:spacing w:line="500" w:lineRule="exact"/>
              <w:outlineLvl w:val="9"/>
              <w:rPr>
                <w:rFonts w:hAnsi="宋体"/>
              </w:rPr>
            </w:pPr>
          </w:p>
        </w:tc>
      </w:tr>
      <w:tr w14:paraId="2A8F22D4">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16E4249D">
            <w:pPr>
              <w:pStyle w:val="17"/>
              <w:spacing w:line="500" w:lineRule="exact"/>
              <w:jc w:val="distribute"/>
              <w:outlineLvl w:val="9"/>
              <w:rPr>
                <w:rFonts w:hAnsi="宋体"/>
              </w:rPr>
            </w:pPr>
            <w:r>
              <w:rPr>
                <w:rFonts w:hint="eastAsia" w:hAnsi="宋体"/>
              </w:rPr>
              <w:t>职       务：</w:t>
            </w:r>
          </w:p>
        </w:tc>
        <w:tc>
          <w:tcPr>
            <w:tcW w:w="3960" w:type="dxa"/>
            <w:tcBorders>
              <w:top w:val="nil"/>
              <w:left w:val="nil"/>
              <w:bottom w:val="nil"/>
              <w:right w:val="nil"/>
            </w:tcBorders>
            <w:noWrap w:val="0"/>
            <w:vAlign w:val="top"/>
          </w:tcPr>
          <w:p w14:paraId="42694AB7">
            <w:pPr>
              <w:pStyle w:val="17"/>
              <w:spacing w:line="500" w:lineRule="exact"/>
              <w:outlineLvl w:val="9"/>
              <w:rPr>
                <w:rFonts w:hAnsi="宋体"/>
              </w:rPr>
            </w:pPr>
          </w:p>
        </w:tc>
      </w:tr>
      <w:tr w14:paraId="42F8780D">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46AEBA85">
            <w:pPr>
              <w:pStyle w:val="17"/>
              <w:spacing w:line="500" w:lineRule="exact"/>
              <w:jc w:val="distribute"/>
              <w:outlineLvl w:val="9"/>
              <w:rPr>
                <w:rFonts w:hAnsi="宋体"/>
              </w:rPr>
            </w:pPr>
            <w:r>
              <w:rPr>
                <w:rFonts w:hint="eastAsia" w:hAnsi="宋体"/>
              </w:rPr>
              <w:t>身份证号码：</w:t>
            </w:r>
          </w:p>
        </w:tc>
        <w:tc>
          <w:tcPr>
            <w:tcW w:w="3960" w:type="dxa"/>
            <w:tcBorders>
              <w:top w:val="nil"/>
              <w:left w:val="nil"/>
              <w:bottom w:val="nil"/>
              <w:right w:val="nil"/>
            </w:tcBorders>
            <w:noWrap w:val="0"/>
            <w:vAlign w:val="top"/>
          </w:tcPr>
          <w:p w14:paraId="2ACA2482">
            <w:pPr>
              <w:pStyle w:val="17"/>
              <w:spacing w:line="500" w:lineRule="exact"/>
              <w:outlineLvl w:val="9"/>
              <w:rPr>
                <w:rFonts w:hAnsi="宋体"/>
              </w:rPr>
            </w:pPr>
          </w:p>
        </w:tc>
      </w:tr>
      <w:tr w14:paraId="5EDE43A7">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25B6B5E7">
            <w:pPr>
              <w:pStyle w:val="17"/>
              <w:spacing w:line="500" w:lineRule="exact"/>
              <w:jc w:val="distribute"/>
              <w:outlineLvl w:val="9"/>
              <w:rPr>
                <w:rFonts w:hAnsi="宋体"/>
              </w:rPr>
            </w:pPr>
            <w:r>
              <w:rPr>
                <w:rFonts w:hint="eastAsia" w:hAnsi="宋体"/>
              </w:rPr>
              <w:t>详 细  地 址：</w:t>
            </w:r>
          </w:p>
        </w:tc>
        <w:tc>
          <w:tcPr>
            <w:tcW w:w="3960" w:type="dxa"/>
            <w:tcBorders>
              <w:top w:val="nil"/>
              <w:left w:val="nil"/>
              <w:bottom w:val="nil"/>
              <w:right w:val="nil"/>
            </w:tcBorders>
            <w:noWrap w:val="0"/>
            <w:vAlign w:val="top"/>
          </w:tcPr>
          <w:p w14:paraId="49566BF2">
            <w:pPr>
              <w:pStyle w:val="17"/>
              <w:spacing w:line="500" w:lineRule="exact"/>
              <w:outlineLvl w:val="9"/>
              <w:rPr>
                <w:rFonts w:hAnsi="宋体"/>
              </w:rPr>
            </w:pPr>
          </w:p>
        </w:tc>
      </w:tr>
      <w:tr w14:paraId="7AEA827A">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7C5D8544">
            <w:pPr>
              <w:pStyle w:val="17"/>
              <w:spacing w:line="500" w:lineRule="exact"/>
              <w:jc w:val="distribute"/>
              <w:outlineLvl w:val="9"/>
              <w:rPr>
                <w:rFonts w:hAnsi="宋体"/>
              </w:rPr>
            </w:pPr>
            <w:r>
              <w:rPr>
                <w:rFonts w:hint="eastAsia" w:hAnsi="宋体"/>
              </w:rPr>
              <w:t>电       话：</w:t>
            </w:r>
          </w:p>
        </w:tc>
        <w:tc>
          <w:tcPr>
            <w:tcW w:w="3960" w:type="dxa"/>
            <w:tcBorders>
              <w:top w:val="nil"/>
              <w:left w:val="nil"/>
              <w:bottom w:val="nil"/>
              <w:right w:val="nil"/>
            </w:tcBorders>
            <w:noWrap w:val="0"/>
            <w:vAlign w:val="top"/>
          </w:tcPr>
          <w:p w14:paraId="7FA8C306">
            <w:pPr>
              <w:pStyle w:val="17"/>
              <w:spacing w:line="500" w:lineRule="exact"/>
              <w:outlineLvl w:val="9"/>
              <w:rPr>
                <w:rFonts w:hAnsi="宋体"/>
              </w:rPr>
            </w:pPr>
          </w:p>
        </w:tc>
      </w:tr>
    </w:tbl>
    <w:p w14:paraId="60F05304">
      <w:pPr>
        <w:pStyle w:val="17"/>
        <w:spacing w:line="500" w:lineRule="exact"/>
        <w:ind w:firstLine="420"/>
        <w:outlineLvl w:val="9"/>
        <w:rPr>
          <w:rFonts w:hAnsi="宋体"/>
          <w:sz w:val="24"/>
          <w:szCs w:val="24"/>
        </w:rPr>
      </w:pPr>
    </w:p>
    <w:p w14:paraId="3D0EE365">
      <w:pPr>
        <w:pStyle w:val="17"/>
        <w:spacing w:line="500" w:lineRule="exact"/>
        <w:ind w:firstLine="420"/>
        <w:outlineLvl w:val="9"/>
        <w:rPr>
          <w:rFonts w:hAnsi="宋体"/>
          <w:sz w:val="24"/>
          <w:szCs w:val="24"/>
        </w:rPr>
      </w:pPr>
    </w:p>
    <w:p w14:paraId="312858F1">
      <w:pPr>
        <w:pStyle w:val="17"/>
        <w:outlineLvl w:val="9"/>
        <w:rPr>
          <w:rFonts w:hAnsi="宋体"/>
          <w:b/>
          <w:bCs/>
          <w:sz w:val="24"/>
        </w:rPr>
      </w:pPr>
      <w:r>
        <w:rPr>
          <w:rFonts w:hint="eastAsia" w:hAnsi="宋体"/>
          <w:b/>
          <w:bCs/>
          <w:sz w:val="24"/>
          <w:szCs w:val="24"/>
        </w:rPr>
        <w:t>注:1.</w:t>
      </w:r>
      <w:r>
        <w:rPr>
          <w:rFonts w:hint="eastAsia" w:hAnsi="宋体"/>
          <w:b/>
          <w:bCs/>
          <w:sz w:val="24"/>
        </w:rPr>
        <w:t>在投标文件中附委托代理人身份证扫描件。</w:t>
      </w:r>
    </w:p>
    <w:p w14:paraId="79C18C69">
      <w:pPr>
        <w:pStyle w:val="17"/>
        <w:outlineLvl w:val="9"/>
        <w:rPr>
          <w:rFonts w:hAnsi="宋体"/>
          <w:b/>
          <w:sz w:val="28"/>
          <w:szCs w:val="28"/>
        </w:rPr>
      </w:pPr>
      <w:r>
        <w:rPr>
          <w:rFonts w:hAnsi="宋体"/>
          <w:b/>
          <w:bCs/>
          <w:sz w:val="24"/>
        </w:rPr>
        <w:br w:type="page"/>
      </w:r>
      <w:r>
        <w:rPr>
          <w:rFonts w:hint="eastAsia" w:hAnsi="宋体"/>
          <w:b/>
          <w:sz w:val="28"/>
          <w:szCs w:val="28"/>
        </w:rPr>
        <w:t>格式3：</w:t>
      </w:r>
    </w:p>
    <w:p w14:paraId="44F9EA6E">
      <w:pPr>
        <w:spacing w:line="360" w:lineRule="auto"/>
        <w:jc w:val="center"/>
        <w:outlineLvl w:val="9"/>
        <w:rPr>
          <w:rFonts w:hint="eastAsia" w:ascii="宋体" w:hAnsi="宋体" w:eastAsia="宋体" w:cs="Times New Roman"/>
          <w:b/>
          <w:bCs/>
          <w:sz w:val="32"/>
          <w:szCs w:val="32"/>
        </w:rPr>
      </w:pPr>
      <w:bookmarkStart w:id="99" w:name="_Toc496122203"/>
      <w:r>
        <w:rPr>
          <w:rFonts w:hint="eastAsia" w:ascii="宋体" w:hAnsi="宋体" w:eastAsia="宋体" w:cs="Times New Roman"/>
          <w:b/>
          <w:bCs/>
          <w:sz w:val="32"/>
          <w:szCs w:val="32"/>
        </w:rPr>
        <w:t>投 标 函</w:t>
      </w:r>
      <w:bookmarkEnd w:id="99"/>
    </w:p>
    <w:p w14:paraId="0340B75C">
      <w:pPr>
        <w:pStyle w:val="17"/>
        <w:spacing w:line="360" w:lineRule="auto"/>
        <w:outlineLvl w:val="9"/>
        <w:rPr>
          <w:rFonts w:hAnsi="宋体"/>
          <w:sz w:val="24"/>
          <w:szCs w:val="24"/>
        </w:rPr>
      </w:pPr>
      <w:r>
        <w:rPr>
          <w:rFonts w:hint="eastAsia" w:hAnsi="宋体"/>
          <w:sz w:val="24"/>
          <w:szCs w:val="24"/>
        </w:rPr>
        <w:t>致：</w:t>
      </w:r>
      <w:r>
        <w:rPr>
          <w:rFonts w:hint="eastAsia" w:hAnsi="宋体"/>
          <w:sz w:val="24"/>
          <w:szCs w:val="24"/>
          <w:u w:val="single"/>
        </w:rPr>
        <w:t xml:space="preserve">   </w:t>
      </w:r>
      <w:r>
        <w:rPr>
          <w:rFonts w:hAnsi="宋体"/>
          <w:sz w:val="24"/>
          <w:szCs w:val="24"/>
          <w:u w:val="single"/>
        </w:rPr>
        <w:t xml:space="preserve">               </w:t>
      </w:r>
    </w:p>
    <w:p w14:paraId="5EEFA1A1">
      <w:pPr>
        <w:pStyle w:val="17"/>
        <w:spacing w:line="360" w:lineRule="auto"/>
        <w:ind w:firstLine="482"/>
        <w:outlineLvl w:val="9"/>
        <w:rPr>
          <w:rFonts w:hAnsi="宋体"/>
          <w:sz w:val="24"/>
          <w:szCs w:val="24"/>
        </w:rPr>
      </w:pPr>
      <w:r>
        <w:rPr>
          <w:rFonts w:hint="eastAsia" w:hAnsi="宋体"/>
          <w:sz w:val="24"/>
          <w:szCs w:val="24"/>
        </w:rPr>
        <w:t>我方仔细研究了</w:t>
      </w:r>
      <w:r>
        <w:rPr>
          <w:rFonts w:hint="eastAsia" w:ascii="宋体" w:hAnsi="宋体" w:eastAsia="宋体" w:cs="Times New Roman"/>
          <w:b/>
          <w:bCs w:val="0"/>
          <w:sz w:val="24"/>
          <w:szCs w:val="24"/>
          <w:lang w:eastAsia="zh-CN"/>
        </w:rPr>
        <w:t>云南省玉溪监狱2026年至2027年罪犯配餐中心生活物资 一 标段(猪肉类；鸡肉类、冻品（鱼虾）类)采购项目</w:t>
      </w:r>
      <w:r>
        <w:rPr>
          <w:rFonts w:hint="eastAsia" w:ascii="宋体" w:hAnsi="宋体" w:eastAsia="宋体" w:cs="Times New Roman"/>
          <w:b/>
          <w:bCs w:val="0"/>
          <w:sz w:val="24"/>
          <w:szCs w:val="24"/>
          <w:lang w:val="en-US" w:eastAsia="zh-CN"/>
        </w:rPr>
        <w:t>包</w:t>
      </w:r>
      <w:r>
        <w:rPr>
          <w:rFonts w:hint="eastAsia" w:ascii="宋体" w:hAnsi="宋体" w:eastAsia="宋体" w:cs="Times New Roman"/>
          <w:b/>
          <w:bCs w:val="0"/>
          <w:sz w:val="24"/>
          <w:szCs w:val="24"/>
          <w:u w:val="single"/>
          <w:lang w:eastAsia="zh-CN"/>
        </w:rPr>
        <w:t xml:space="preserve">  </w:t>
      </w:r>
      <w:r>
        <w:rPr>
          <w:rFonts w:hint="eastAsia" w:ascii="宋体" w:hAnsi="宋体" w:eastAsia="宋体" w:cs="Times New Roman"/>
          <w:b/>
          <w:bCs w:val="0"/>
          <w:sz w:val="24"/>
          <w:szCs w:val="24"/>
          <w:lang w:val="en-US" w:eastAsia="zh-CN"/>
        </w:rPr>
        <w:t>（标包号）</w:t>
      </w:r>
      <w:r>
        <w:rPr>
          <w:rFonts w:hint="eastAsia" w:hAnsi="宋体"/>
          <w:sz w:val="24"/>
          <w:szCs w:val="24"/>
        </w:rPr>
        <w:t>（</w:t>
      </w:r>
      <w:r>
        <w:rPr>
          <w:rFonts w:hint="eastAsia" w:hAnsi="宋体"/>
          <w:sz w:val="24"/>
          <w:szCs w:val="24"/>
          <w:lang w:val="en-US" w:eastAsia="zh-CN"/>
        </w:rPr>
        <w:t>项目</w:t>
      </w:r>
      <w:r>
        <w:rPr>
          <w:rFonts w:hint="eastAsia" w:hAnsi="宋体"/>
          <w:sz w:val="24"/>
          <w:szCs w:val="24"/>
        </w:rPr>
        <w:t>编号：</w:t>
      </w:r>
      <w:r>
        <w:rPr>
          <w:rFonts w:hint="eastAsia" w:hAnsi="宋体"/>
          <w:b/>
          <w:bCs/>
          <w:sz w:val="24"/>
          <w:szCs w:val="24"/>
          <w:u w:val="single"/>
          <w:lang w:eastAsia="zh-CN"/>
        </w:rPr>
        <w:t>YNGCZBZX(招)字-YX-2026-03-02</w:t>
      </w:r>
      <w:r>
        <w:rPr>
          <w:rFonts w:hint="eastAsia" w:hAnsi="宋体"/>
          <w:sz w:val="24"/>
          <w:szCs w:val="24"/>
        </w:rPr>
        <w:t>）</w:t>
      </w:r>
      <w:r>
        <w:rPr>
          <w:rFonts w:hint="eastAsia" w:ascii="宋体" w:hAnsi="宋体"/>
          <w:sz w:val="24"/>
          <w:highlight w:val="none"/>
          <w:shd w:val="clear" w:color="auto" w:fill="auto"/>
        </w:rPr>
        <w:t>（</w:t>
      </w:r>
      <w:r>
        <w:rPr>
          <w:rFonts w:hint="eastAsia" w:ascii="宋体" w:hAnsi="宋体" w:eastAsia="宋体"/>
          <w:sz w:val="24"/>
          <w:highlight w:val="none"/>
          <w:shd w:val="clear" w:color="auto" w:fill="auto"/>
          <w:lang w:val="en-US" w:eastAsia="zh-CN"/>
        </w:rPr>
        <w:t>政采云</w:t>
      </w:r>
      <w:r>
        <w:rPr>
          <w:rFonts w:hint="eastAsia" w:ascii="宋体" w:hAnsi="宋体"/>
          <w:sz w:val="24"/>
          <w:highlight w:val="none"/>
          <w:shd w:val="clear" w:color="auto" w:fill="auto"/>
          <w:lang w:val="en-US" w:eastAsia="zh-CN"/>
        </w:rPr>
        <w:t>项目</w:t>
      </w:r>
      <w:r>
        <w:rPr>
          <w:rFonts w:hint="eastAsia" w:ascii="宋体" w:hAnsi="宋体"/>
          <w:sz w:val="24"/>
          <w:highlight w:val="none"/>
          <w:shd w:val="clear" w:color="auto" w:fill="auto"/>
        </w:rPr>
        <w:t>编号：</w:t>
      </w:r>
      <w:r>
        <w:rPr>
          <w:rFonts w:hint="eastAsia" w:hAnsi="宋体"/>
          <w:b/>
          <w:bCs/>
          <w:sz w:val="24"/>
          <w:szCs w:val="24"/>
          <w:u w:val="single"/>
          <w:lang w:eastAsia="zh-CN"/>
        </w:rPr>
        <w:t>YNZC2026-G1-01428-GCJC-0001</w:t>
      </w:r>
      <w:r>
        <w:rPr>
          <w:rFonts w:hint="eastAsia" w:ascii="宋体" w:hAnsi="宋体" w:eastAsia="宋体" w:cs="Times New Roman"/>
          <w:b/>
          <w:bCs/>
          <w:sz w:val="24"/>
          <w:szCs w:val="24"/>
          <w:u w:val="single"/>
          <w:lang w:eastAsia="zh-CN"/>
        </w:rPr>
        <w:t xml:space="preserve"> </w:t>
      </w:r>
      <w:r>
        <w:rPr>
          <w:rFonts w:hint="eastAsia" w:ascii="宋体" w:hAnsi="宋体"/>
          <w:sz w:val="24"/>
          <w:highlight w:val="none"/>
          <w:shd w:val="clear" w:color="auto" w:fill="auto"/>
        </w:rPr>
        <w:t>）</w:t>
      </w:r>
      <w:r>
        <w:rPr>
          <w:rFonts w:hAnsi="宋体"/>
          <w:sz w:val="24"/>
          <w:szCs w:val="24"/>
        </w:rPr>
        <w:t>项目招标</w:t>
      </w:r>
      <w:r>
        <w:rPr>
          <w:rFonts w:hint="eastAsia" w:hAnsi="宋体"/>
          <w:sz w:val="24"/>
          <w:szCs w:val="24"/>
        </w:rPr>
        <w:t>文件的全部内容，正式授权</w:t>
      </w:r>
      <w:r>
        <w:rPr>
          <w:rFonts w:hint="eastAsia" w:hAnsi="宋体"/>
          <w:sz w:val="24"/>
          <w:szCs w:val="24"/>
          <w:u w:val="single"/>
        </w:rPr>
        <w:t xml:space="preserve">   （姓名和职务）     </w:t>
      </w:r>
      <w:r>
        <w:rPr>
          <w:rFonts w:hint="eastAsia" w:hAnsi="宋体"/>
          <w:sz w:val="24"/>
          <w:szCs w:val="24"/>
        </w:rPr>
        <w:t>全权代表投标人</w:t>
      </w:r>
      <w:r>
        <w:rPr>
          <w:rFonts w:hint="eastAsia" w:hAnsi="宋体"/>
          <w:sz w:val="24"/>
          <w:szCs w:val="24"/>
          <w:u w:val="single"/>
        </w:rPr>
        <w:t xml:space="preserve">  （投标人全称）   </w:t>
      </w:r>
      <w:r>
        <w:rPr>
          <w:rFonts w:hAnsi="宋体"/>
          <w:sz w:val="24"/>
          <w:szCs w:val="24"/>
        </w:rPr>
        <w:t>参加投标。</w:t>
      </w:r>
    </w:p>
    <w:p w14:paraId="6EADC692">
      <w:pPr>
        <w:pStyle w:val="17"/>
        <w:spacing w:line="360" w:lineRule="auto"/>
        <w:ind w:firstLine="420"/>
        <w:outlineLvl w:val="9"/>
        <w:rPr>
          <w:rFonts w:hAnsi="宋体"/>
          <w:sz w:val="24"/>
          <w:szCs w:val="24"/>
        </w:rPr>
      </w:pPr>
      <w:r>
        <w:rPr>
          <w:rFonts w:hint="eastAsia" w:hAnsi="宋体"/>
          <w:sz w:val="24"/>
          <w:szCs w:val="24"/>
        </w:rPr>
        <w:t>据此函，授权人兹宣布同意如下：</w:t>
      </w:r>
    </w:p>
    <w:p w14:paraId="72BFC0AA">
      <w:pPr>
        <w:pStyle w:val="17"/>
        <w:spacing w:line="360" w:lineRule="auto"/>
        <w:ind w:left="660" w:leftChars="200" w:hanging="240" w:hangingChars="100"/>
        <w:outlineLvl w:val="9"/>
        <w:rPr>
          <w:rFonts w:hAnsi="宋体"/>
          <w:sz w:val="24"/>
          <w:szCs w:val="24"/>
        </w:rPr>
      </w:pPr>
      <w:r>
        <w:rPr>
          <w:rFonts w:hint="eastAsia" w:hAnsi="宋体"/>
          <w:sz w:val="24"/>
          <w:szCs w:val="24"/>
        </w:rPr>
        <w:t>1、按招标文件</w:t>
      </w:r>
      <w:r>
        <w:rPr>
          <w:rFonts w:hint="eastAsia" w:hAnsi="宋体"/>
          <w:sz w:val="24"/>
          <w:szCs w:val="24"/>
          <w:lang w:eastAsia="zh-CN"/>
        </w:rPr>
        <w:t>项目需求及服务要求</w:t>
      </w:r>
      <w:r>
        <w:rPr>
          <w:rFonts w:hint="eastAsia" w:hAnsi="宋体"/>
          <w:sz w:val="24"/>
          <w:szCs w:val="24"/>
        </w:rPr>
        <w:t>，</w:t>
      </w:r>
      <w:r>
        <w:rPr>
          <w:rFonts w:hint="eastAsia" w:ascii="宋体" w:hAnsi="宋体" w:cs="宋体"/>
          <w:b w:val="0"/>
          <w:bCs/>
          <w:sz w:val="24"/>
          <w:szCs w:val="24"/>
        </w:rPr>
        <w:t>投标报价</w:t>
      </w:r>
      <w:r>
        <w:rPr>
          <w:rFonts w:hint="eastAsia" w:ascii="宋体" w:hAnsi="宋体" w:eastAsia="宋体" w:cs="Times New Roman"/>
          <w:sz w:val="24"/>
          <w:szCs w:val="24"/>
          <w:lang w:val="en-US" w:eastAsia="zh-CN"/>
        </w:rPr>
        <w:t>单价报价统一下浮率</w:t>
      </w:r>
      <w:r>
        <w:rPr>
          <w:rFonts w:hint="eastAsia" w:ascii="宋体" w:hAnsi="宋体" w:cs="宋体"/>
          <w:b w:val="0"/>
          <w:bCs/>
          <w:sz w:val="24"/>
          <w:szCs w:val="24"/>
          <w:u w:val="single"/>
          <w:lang w:val="en-US" w:eastAsia="zh-CN"/>
        </w:rPr>
        <w:t xml:space="preserve">     %</w:t>
      </w:r>
      <w:r>
        <w:rPr>
          <w:rFonts w:hint="eastAsia" w:hAnsi="宋体"/>
          <w:sz w:val="24"/>
          <w:szCs w:val="24"/>
        </w:rPr>
        <w:t>，在</w:t>
      </w:r>
      <w:r>
        <w:rPr>
          <w:rFonts w:hint="eastAsia" w:hAnsi="宋体"/>
          <w:sz w:val="24"/>
          <w:u w:val="single"/>
        </w:rPr>
        <w:t xml:space="preserve">  （合同履行</w:t>
      </w:r>
      <w:r>
        <w:rPr>
          <w:rFonts w:hAnsi="宋体"/>
          <w:sz w:val="24"/>
          <w:u w:val="single"/>
        </w:rPr>
        <w:t>期限</w:t>
      </w:r>
      <w:r>
        <w:rPr>
          <w:rFonts w:hint="eastAsia" w:hAnsi="宋体"/>
          <w:sz w:val="24"/>
          <w:u w:val="single"/>
        </w:rPr>
        <w:t xml:space="preserve">）   </w:t>
      </w:r>
      <w:r>
        <w:rPr>
          <w:rFonts w:hint="eastAsia" w:hAnsi="宋体"/>
          <w:sz w:val="24"/>
        </w:rPr>
        <w:t>内，</w:t>
      </w:r>
      <w:r>
        <w:rPr>
          <w:rFonts w:hint="eastAsia" w:hAnsi="宋体"/>
          <w:sz w:val="24"/>
          <w:szCs w:val="24"/>
        </w:rPr>
        <w:t>按照招标的要求，按质、高效的完成工作任务。</w:t>
      </w:r>
    </w:p>
    <w:p w14:paraId="329B8E04">
      <w:pPr>
        <w:pStyle w:val="17"/>
        <w:spacing w:line="360" w:lineRule="auto"/>
        <w:ind w:firstLine="420"/>
        <w:outlineLvl w:val="9"/>
        <w:rPr>
          <w:rFonts w:hAnsi="宋体"/>
          <w:spacing w:val="-10"/>
          <w:sz w:val="24"/>
        </w:rPr>
      </w:pPr>
      <w:r>
        <w:rPr>
          <w:rFonts w:hint="eastAsia" w:hAnsi="宋体"/>
          <w:sz w:val="24"/>
        </w:rPr>
        <w:t>2、</w:t>
      </w:r>
      <w:r>
        <w:rPr>
          <w:rFonts w:hint="eastAsia" w:hAnsi="宋体"/>
          <w:spacing w:val="-10"/>
          <w:sz w:val="24"/>
        </w:rPr>
        <w:t>我方已</w:t>
      </w:r>
      <w:r>
        <w:rPr>
          <w:rFonts w:hAnsi="宋体"/>
          <w:spacing w:val="-10"/>
          <w:sz w:val="24"/>
        </w:rPr>
        <w:t>详细审查全部招标文件，包括</w:t>
      </w:r>
      <w:r>
        <w:rPr>
          <w:rFonts w:hint="eastAsia" w:hAnsi="宋体"/>
          <w:spacing w:val="-10"/>
          <w:sz w:val="24"/>
          <w:u w:val="single"/>
        </w:rPr>
        <w:t>（澄清</w:t>
      </w:r>
      <w:r>
        <w:rPr>
          <w:rFonts w:hAnsi="宋体"/>
          <w:spacing w:val="-10"/>
          <w:sz w:val="24"/>
          <w:u w:val="single"/>
        </w:rPr>
        <w:t>文件</w:t>
      </w:r>
      <w:r>
        <w:rPr>
          <w:rFonts w:hint="eastAsia" w:hAnsi="宋体"/>
          <w:spacing w:val="-10"/>
          <w:sz w:val="24"/>
          <w:u w:val="single"/>
        </w:rPr>
        <w:t>）（</w:t>
      </w:r>
      <w:r>
        <w:rPr>
          <w:rFonts w:hAnsi="宋体"/>
          <w:spacing w:val="-10"/>
          <w:sz w:val="24"/>
          <w:u w:val="single"/>
        </w:rPr>
        <w:t>如果有的话</w:t>
      </w:r>
      <w:r>
        <w:rPr>
          <w:rFonts w:hint="eastAsia" w:hAnsi="宋体"/>
          <w:spacing w:val="-10"/>
          <w:sz w:val="24"/>
          <w:u w:val="single"/>
        </w:rPr>
        <w:t>）</w:t>
      </w:r>
      <w:r>
        <w:rPr>
          <w:rFonts w:hAnsi="宋体"/>
          <w:spacing w:val="-10"/>
          <w:sz w:val="24"/>
        </w:rPr>
        <w:t>。我</w:t>
      </w:r>
      <w:r>
        <w:rPr>
          <w:rFonts w:hint="eastAsia" w:hAnsi="宋体"/>
          <w:spacing w:val="-10"/>
          <w:sz w:val="24"/>
        </w:rPr>
        <w:t>方</w:t>
      </w:r>
      <w:r>
        <w:rPr>
          <w:rFonts w:hAnsi="宋体"/>
          <w:spacing w:val="-10"/>
          <w:sz w:val="24"/>
        </w:rPr>
        <w:t>完全理解</w:t>
      </w:r>
      <w:r>
        <w:rPr>
          <w:rFonts w:hint="eastAsia" w:hAnsi="宋体"/>
          <w:spacing w:val="-10"/>
          <w:sz w:val="24"/>
        </w:rPr>
        <w:t>相关文件要求，</w:t>
      </w:r>
      <w:r>
        <w:rPr>
          <w:rFonts w:hAnsi="宋体"/>
          <w:spacing w:val="-10"/>
          <w:sz w:val="24"/>
        </w:rPr>
        <w:t>并</w:t>
      </w:r>
      <w:r>
        <w:rPr>
          <w:rFonts w:hint="eastAsia" w:hAnsi="宋体"/>
          <w:spacing w:val="-10"/>
          <w:sz w:val="24"/>
        </w:rPr>
        <w:t>承担</w:t>
      </w:r>
      <w:r>
        <w:rPr>
          <w:rFonts w:hAnsi="宋体"/>
          <w:spacing w:val="-10"/>
          <w:sz w:val="24"/>
        </w:rPr>
        <w:t>对这方面有不明及误解的</w:t>
      </w:r>
      <w:r>
        <w:rPr>
          <w:rFonts w:hint="eastAsia" w:hAnsi="宋体"/>
          <w:spacing w:val="-10"/>
          <w:sz w:val="24"/>
        </w:rPr>
        <w:t>后果</w:t>
      </w:r>
      <w:r>
        <w:rPr>
          <w:rFonts w:hAnsi="宋体"/>
          <w:spacing w:val="-10"/>
          <w:sz w:val="24"/>
        </w:rPr>
        <w:t>。</w:t>
      </w:r>
    </w:p>
    <w:p w14:paraId="6382ED8B">
      <w:pPr>
        <w:pStyle w:val="17"/>
        <w:spacing w:line="360" w:lineRule="auto"/>
        <w:ind w:firstLine="420"/>
        <w:outlineLvl w:val="9"/>
        <w:rPr>
          <w:rFonts w:hAnsi="宋体"/>
          <w:sz w:val="24"/>
        </w:rPr>
      </w:pPr>
      <w:r>
        <w:rPr>
          <w:rFonts w:hint="eastAsia" w:hAnsi="宋体"/>
          <w:sz w:val="24"/>
          <w:szCs w:val="24"/>
        </w:rPr>
        <w:t>3、在投标人须知规定的开标日期起遵循本投标文件，并在投标人须知第17.1条规定的投标文件有效期满之前均具有约束力。</w:t>
      </w:r>
    </w:p>
    <w:p w14:paraId="76995B84">
      <w:pPr>
        <w:pStyle w:val="17"/>
        <w:spacing w:line="360" w:lineRule="auto"/>
        <w:ind w:firstLine="420"/>
        <w:outlineLvl w:val="9"/>
        <w:rPr>
          <w:rFonts w:hAnsi="宋体"/>
          <w:sz w:val="24"/>
          <w:szCs w:val="24"/>
        </w:rPr>
      </w:pPr>
      <w:r>
        <w:rPr>
          <w:rFonts w:hint="eastAsia" w:hAnsi="宋体"/>
          <w:sz w:val="24"/>
          <w:szCs w:val="24"/>
        </w:rPr>
        <w:t>4、</w:t>
      </w:r>
      <w:r>
        <w:rPr>
          <w:rFonts w:hAnsi="宋体"/>
          <w:sz w:val="24"/>
        </w:rPr>
        <w:t>同意投标人须知中关于投标保证金不予退还的规定。</w:t>
      </w:r>
    </w:p>
    <w:p w14:paraId="56495F72">
      <w:pPr>
        <w:pStyle w:val="17"/>
        <w:spacing w:line="360" w:lineRule="auto"/>
        <w:ind w:firstLine="420"/>
        <w:outlineLvl w:val="9"/>
        <w:rPr>
          <w:rFonts w:hAnsi="宋体"/>
          <w:sz w:val="24"/>
          <w:szCs w:val="24"/>
        </w:rPr>
      </w:pPr>
      <w:r>
        <w:rPr>
          <w:rFonts w:hint="eastAsia" w:hAnsi="宋体"/>
          <w:sz w:val="24"/>
          <w:szCs w:val="24"/>
        </w:rPr>
        <w:t>5、同意应贵方要求提供与本投标有关的任何数据或资料</w:t>
      </w:r>
      <w:r>
        <w:rPr>
          <w:rFonts w:hAnsi="宋体"/>
          <w:sz w:val="24"/>
          <w:szCs w:val="24"/>
        </w:rPr>
        <w:t>，并保证数据和资料的完整性和真实性。</w:t>
      </w:r>
    </w:p>
    <w:p w14:paraId="302DD7E9">
      <w:pPr>
        <w:pStyle w:val="17"/>
        <w:spacing w:line="360" w:lineRule="auto"/>
        <w:ind w:firstLine="420"/>
        <w:outlineLvl w:val="9"/>
        <w:rPr>
          <w:rFonts w:hAnsi="宋体"/>
          <w:sz w:val="24"/>
          <w:szCs w:val="24"/>
        </w:rPr>
      </w:pPr>
      <w:r>
        <w:rPr>
          <w:rFonts w:hint="eastAsia" w:hAnsi="宋体"/>
          <w:sz w:val="24"/>
          <w:szCs w:val="24"/>
        </w:rPr>
        <w:t>6、完全理解贵方不一定要接受最低报价的投标人为中标人的行为。</w:t>
      </w:r>
    </w:p>
    <w:p w14:paraId="2A2A3C4E">
      <w:pPr>
        <w:pStyle w:val="17"/>
        <w:spacing w:line="360" w:lineRule="auto"/>
        <w:ind w:firstLine="420"/>
        <w:outlineLvl w:val="9"/>
        <w:rPr>
          <w:rFonts w:hAnsi="宋体"/>
          <w:sz w:val="24"/>
          <w:szCs w:val="24"/>
        </w:rPr>
      </w:pPr>
      <w:r>
        <w:rPr>
          <w:rFonts w:hint="eastAsia" w:hAnsi="宋体"/>
          <w:sz w:val="24"/>
          <w:szCs w:val="24"/>
        </w:rPr>
        <w:t>7</w:t>
      </w:r>
      <w:r>
        <w:rPr>
          <w:rFonts w:hAnsi="宋体"/>
          <w:sz w:val="24"/>
          <w:szCs w:val="24"/>
        </w:rPr>
        <w:t>．如我方中标：</w:t>
      </w:r>
    </w:p>
    <w:p w14:paraId="607C5905">
      <w:pPr>
        <w:pStyle w:val="17"/>
        <w:spacing w:line="360" w:lineRule="auto"/>
        <w:ind w:firstLine="420"/>
        <w:outlineLvl w:val="9"/>
        <w:rPr>
          <w:rFonts w:hAnsi="宋体"/>
          <w:sz w:val="24"/>
          <w:szCs w:val="24"/>
        </w:rPr>
      </w:pPr>
      <w:r>
        <w:rPr>
          <w:rFonts w:hAnsi="宋体"/>
          <w:sz w:val="24"/>
          <w:szCs w:val="24"/>
        </w:rPr>
        <w:t>（1）我方承诺在收到中标通知书后，在中标通知书规定的期限内与你方签订合同</w:t>
      </w:r>
      <w:r>
        <w:rPr>
          <w:rFonts w:hint="eastAsia" w:hAnsi="宋体"/>
          <w:sz w:val="24"/>
          <w:szCs w:val="24"/>
        </w:rPr>
        <w:t>，并</w:t>
      </w:r>
      <w:r>
        <w:rPr>
          <w:rFonts w:hAnsi="宋体"/>
          <w:sz w:val="24"/>
          <w:szCs w:val="24"/>
        </w:rPr>
        <w:t>履行</w:t>
      </w:r>
      <w:r>
        <w:rPr>
          <w:rFonts w:hint="eastAsia" w:hAnsi="宋体"/>
          <w:sz w:val="24"/>
          <w:szCs w:val="24"/>
        </w:rPr>
        <w:t>相应的</w:t>
      </w:r>
      <w:r>
        <w:rPr>
          <w:rFonts w:hAnsi="宋体"/>
          <w:sz w:val="24"/>
          <w:szCs w:val="24"/>
        </w:rPr>
        <w:t>合同责任和义务。</w:t>
      </w:r>
    </w:p>
    <w:p w14:paraId="733780E5">
      <w:pPr>
        <w:pStyle w:val="17"/>
        <w:spacing w:line="360" w:lineRule="auto"/>
        <w:ind w:firstLine="420"/>
        <w:outlineLvl w:val="9"/>
        <w:rPr>
          <w:rFonts w:hAnsi="宋体"/>
          <w:sz w:val="24"/>
          <w:szCs w:val="24"/>
        </w:rPr>
      </w:pPr>
      <w:r>
        <w:rPr>
          <w:rFonts w:hint="eastAsia" w:hAnsi="宋体"/>
          <w:sz w:val="24"/>
          <w:szCs w:val="24"/>
        </w:rPr>
        <w:t>（2）我方承诺将按照贵方要求高质量完成服务。</w:t>
      </w:r>
    </w:p>
    <w:p w14:paraId="18E845EF">
      <w:pPr>
        <w:pStyle w:val="17"/>
        <w:spacing w:line="360" w:lineRule="auto"/>
        <w:ind w:firstLine="420"/>
        <w:outlineLvl w:val="9"/>
        <w:rPr>
          <w:rFonts w:hAnsi="宋体"/>
          <w:sz w:val="24"/>
          <w:szCs w:val="24"/>
        </w:rPr>
      </w:pPr>
      <w:r>
        <w:rPr>
          <w:rFonts w:hint="eastAsia" w:hAnsi="宋体"/>
          <w:sz w:val="24"/>
          <w:szCs w:val="24"/>
        </w:rPr>
        <w:t>8</w:t>
      </w:r>
      <w:r>
        <w:rPr>
          <w:rFonts w:hAnsi="宋体"/>
          <w:sz w:val="24"/>
          <w:szCs w:val="24"/>
        </w:rPr>
        <w:t>．</w:t>
      </w:r>
      <w:r>
        <w:rPr>
          <w:rFonts w:hint="eastAsia" w:hAnsi="宋体"/>
          <w:sz w:val="24"/>
          <w:szCs w:val="24"/>
        </w:rPr>
        <w:t>我方在此声明，所递交的投标文件及有关资料内容完整、真实和准确。</w:t>
      </w:r>
    </w:p>
    <w:p w14:paraId="452D50D7">
      <w:pPr>
        <w:pStyle w:val="17"/>
        <w:spacing w:line="360" w:lineRule="auto"/>
        <w:ind w:firstLine="420"/>
        <w:outlineLvl w:val="9"/>
        <w:rPr>
          <w:rFonts w:hAnsi="宋体"/>
          <w:sz w:val="24"/>
          <w:szCs w:val="24"/>
        </w:rPr>
      </w:pPr>
      <w:r>
        <w:rPr>
          <w:rFonts w:hint="eastAsia" w:hAnsi="宋体"/>
          <w:sz w:val="24"/>
          <w:szCs w:val="24"/>
        </w:rPr>
        <w:t>9．</w:t>
      </w:r>
      <w:r>
        <w:rPr>
          <w:rFonts w:hAnsi="宋体"/>
          <w:sz w:val="24"/>
          <w:szCs w:val="24"/>
          <w:u w:val="single"/>
        </w:rPr>
        <w:t xml:space="preserve">                                       </w:t>
      </w:r>
      <w:r>
        <w:rPr>
          <w:rFonts w:hAnsi="宋体"/>
          <w:sz w:val="24"/>
          <w:szCs w:val="24"/>
        </w:rPr>
        <w:t>（</w:t>
      </w:r>
      <w:r>
        <w:rPr>
          <w:rFonts w:hint="eastAsia" w:hAnsi="宋体"/>
          <w:sz w:val="24"/>
          <w:szCs w:val="24"/>
        </w:rPr>
        <w:t>其他</w:t>
      </w:r>
      <w:r>
        <w:rPr>
          <w:rFonts w:hAnsi="宋体"/>
          <w:sz w:val="24"/>
          <w:szCs w:val="24"/>
        </w:rPr>
        <w:t>补充说明）。</w:t>
      </w:r>
    </w:p>
    <w:p w14:paraId="4E434B75">
      <w:pPr>
        <w:pStyle w:val="17"/>
        <w:spacing w:line="360" w:lineRule="auto"/>
        <w:ind w:firstLine="420"/>
        <w:outlineLvl w:val="9"/>
        <w:rPr>
          <w:rFonts w:hAnsi="宋体"/>
          <w:sz w:val="24"/>
          <w:szCs w:val="24"/>
        </w:rPr>
      </w:pPr>
    </w:p>
    <w:p w14:paraId="5D68361F">
      <w:pPr>
        <w:pStyle w:val="17"/>
        <w:spacing w:line="360" w:lineRule="auto"/>
        <w:ind w:firstLine="420"/>
        <w:outlineLvl w:val="9"/>
        <w:rPr>
          <w:rFonts w:hAnsi="宋体"/>
          <w:sz w:val="24"/>
          <w:szCs w:val="24"/>
        </w:rPr>
      </w:pPr>
      <w:r>
        <w:rPr>
          <w:rFonts w:hint="eastAsia" w:hAnsi="宋体"/>
          <w:sz w:val="24"/>
          <w:szCs w:val="24"/>
        </w:rPr>
        <w:t>与本投标有关的正式通讯地址为：</w:t>
      </w:r>
    </w:p>
    <w:p w14:paraId="0639CB91">
      <w:pPr>
        <w:pStyle w:val="17"/>
        <w:spacing w:line="360" w:lineRule="auto"/>
        <w:ind w:firstLine="420"/>
        <w:outlineLvl w:val="9"/>
        <w:rPr>
          <w:rFonts w:hAnsi="宋体"/>
          <w:sz w:val="24"/>
          <w:szCs w:val="24"/>
        </w:rPr>
      </w:pPr>
      <w:r>
        <w:rPr>
          <w:rFonts w:hint="eastAsia" w:hAnsi="宋体"/>
          <w:sz w:val="24"/>
          <w:szCs w:val="24"/>
        </w:rPr>
        <w:t>地址：</w:t>
      </w:r>
      <w:r>
        <w:rPr>
          <w:rFonts w:hint="eastAsia" w:hAnsi="宋体"/>
          <w:sz w:val="24"/>
          <w:szCs w:val="24"/>
          <w:u w:val="single"/>
        </w:rPr>
        <w:t xml:space="preserve">                                </w:t>
      </w:r>
      <w:r>
        <w:rPr>
          <w:rFonts w:hint="eastAsia" w:hAnsi="宋体"/>
          <w:sz w:val="24"/>
          <w:szCs w:val="24"/>
        </w:rPr>
        <w:t xml:space="preserve"> 邮政编码：</w:t>
      </w:r>
      <w:r>
        <w:rPr>
          <w:rFonts w:hint="eastAsia" w:hAnsi="宋体"/>
          <w:sz w:val="24"/>
          <w:szCs w:val="24"/>
          <w:u w:val="single"/>
        </w:rPr>
        <w:t xml:space="preserve">             </w:t>
      </w:r>
    </w:p>
    <w:p w14:paraId="6F839371">
      <w:pPr>
        <w:pStyle w:val="17"/>
        <w:spacing w:line="360" w:lineRule="auto"/>
        <w:ind w:firstLine="420"/>
        <w:outlineLvl w:val="9"/>
        <w:rPr>
          <w:rFonts w:hAnsi="宋体"/>
          <w:sz w:val="24"/>
          <w:szCs w:val="24"/>
          <w:u w:val="single"/>
        </w:rPr>
      </w:pPr>
      <w:r>
        <w:rPr>
          <w:rFonts w:hint="eastAsia" w:hAnsi="宋体"/>
          <w:sz w:val="24"/>
          <w:szCs w:val="24"/>
        </w:rPr>
        <w:t>电话：</w:t>
      </w:r>
      <w:r>
        <w:rPr>
          <w:rFonts w:hint="eastAsia" w:hAnsi="宋体"/>
          <w:sz w:val="24"/>
          <w:szCs w:val="24"/>
          <w:u w:val="single"/>
        </w:rPr>
        <w:t xml:space="preserve">                                      　　　　　　　　　</w:t>
      </w:r>
    </w:p>
    <w:p w14:paraId="767FA7C5">
      <w:pPr>
        <w:pStyle w:val="17"/>
        <w:spacing w:line="360" w:lineRule="auto"/>
        <w:ind w:firstLine="420"/>
        <w:outlineLvl w:val="9"/>
        <w:rPr>
          <w:rFonts w:hAnsi="宋体"/>
          <w:sz w:val="24"/>
          <w:szCs w:val="24"/>
        </w:rPr>
      </w:pPr>
      <w:r>
        <w:rPr>
          <w:rFonts w:hint="eastAsia" w:hAnsi="宋体"/>
          <w:sz w:val="24"/>
          <w:szCs w:val="24"/>
        </w:rPr>
        <w:t>传真：</w:t>
      </w:r>
      <w:r>
        <w:rPr>
          <w:rFonts w:hint="eastAsia" w:hAnsi="宋体"/>
          <w:sz w:val="24"/>
          <w:szCs w:val="24"/>
          <w:u w:val="single"/>
        </w:rPr>
        <w:t>　　　　　　　　　　　　　　　　　　　　　　　　　　　　</w:t>
      </w:r>
    </w:p>
    <w:p w14:paraId="5FCFE3B5">
      <w:pPr>
        <w:pStyle w:val="17"/>
        <w:spacing w:line="360" w:lineRule="auto"/>
        <w:ind w:firstLine="420"/>
        <w:outlineLvl w:val="9"/>
        <w:rPr>
          <w:rFonts w:hAnsi="宋体"/>
          <w:sz w:val="24"/>
          <w:szCs w:val="24"/>
          <w:u w:val="single"/>
        </w:rPr>
      </w:pPr>
      <w:r>
        <w:rPr>
          <w:rFonts w:hint="eastAsia" w:hAnsi="宋体"/>
          <w:sz w:val="24"/>
          <w:szCs w:val="24"/>
        </w:rPr>
        <w:t>开户名称：</w:t>
      </w:r>
      <w:r>
        <w:rPr>
          <w:rFonts w:hint="eastAsia" w:hAnsi="宋体"/>
          <w:sz w:val="24"/>
          <w:szCs w:val="24"/>
          <w:u w:val="single"/>
        </w:rPr>
        <w:t xml:space="preserve">                                                    </w:t>
      </w:r>
    </w:p>
    <w:p w14:paraId="38CE3006">
      <w:pPr>
        <w:pStyle w:val="17"/>
        <w:spacing w:line="360" w:lineRule="auto"/>
        <w:ind w:firstLine="420"/>
        <w:outlineLvl w:val="9"/>
        <w:rPr>
          <w:rFonts w:hAnsi="宋体"/>
          <w:sz w:val="24"/>
          <w:szCs w:val="24"/>
          <w:u w:val="single"/>
        </w:rPr>
      </w:pPr>
      <w:r>
        <w:rPr>
          <w:rFonts w:hint="eastAsia" w:hAnsi="宋体"/>
          <w:sz w:val="24"/>
          <w:szCs w:val="24"/>
        </w:rPr>
        <w:t>开户银行：</w:t>
      </w:r>
      <w:r>
        <w:rPr>
          <w:rFonts w:hint="eastAsia" w:hAnsi="宋体"/>
          <w:sz w:val="24"/>
          <w:szCs w:val="24"/>
          <w:u w:val="single"/>
        </w:rPr>
        <w:t xml:space="preserve">                                                    </w:t>
      </w:r>
    </w:p>
    <w:p w14:paraId="44F63BBA">
      <w:pPr>
        <w:pStyle w:val="17"/>
        <w:spacing w:line="360" w:lineRule="auto"/>
        <w:ind w:firstLine="420"/>
        <w:outlineLvl w:val="9"/>
        <w:rPr>
          <w:rFonts w:hAnsi="宋体"/>
          <w:sz w:val="24"/>
          <w:szCs w:val="24"/>
          <w:u w:val="single"/>
        </w:rPr>
      </w:pPr>
      <w:r>
        <w:rPr>
          <w:rFonts w:hint="eastAsia" w:hAnsi="宋体"/>
          <w:sz w:val="24"/>
          <w:szCs w:val="24"/>
        </w:rPr>
        <w:t>帐    号：</w:t>
      </w:r>
      <w:r>
        <w:rPr>
          <w:rFonts w:hint="eastAsia" w:hAnsi="宋体"/>
          <w:sz w:val="24"/>
          <w:szCs w:val="24"/>
          <w:u w:val="single"/>
        </w:rPr>
        <w:t xml:space="preserve">                                                    </w:t>
      </w:r>
    </w:p>
    <w:p w14:paraId="72AD403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ascii="宋体" w:hAnsi="宋体"/>
          <w:b/>
          <w:sz w:val="24"/>
        </w:rPr>
      </w:pPr>
      <w:r>
        <w:rPr>
          <w:rFonts w:hint="eastAsia" w:ascii="宋体" w:hAnsi="宋体"/>
          <w:b/>
          <w:sz w:val="24"/>
        </w:rPr>
        <w:t>投标人（加盖电子公章）：</w:t>
      </w:r>
      <w:r>
        <w:rPr>
          <w:rFonts w:ascii="宋体" w:hAnsi="宋体"/>
          <w:b/>
          <w:sz w:val="24"/>
          <w:u w:val="single"/>
        </w:rPr>
        <w:t xml:space="preserve">                       </w:t>
      </w:r>
    </w:p>
    <w:p w14:paraId="01F319A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ascii="宋体" w:hAnsi="宋体"/>
          <w:b/>
          <w:sz w:val="24"/>
        </w:rPr>
      </w:pPr>
      <w:r>
        <w:rPr>
          <w:rFonts w:ascii="宋体" w:hAnsi="宋体"/>
          <w:b/>
          <w:sz w:val="24"/>
        </w:rPr>
        <w:t>法定代表人</w:t>
      </w:r>
      <w:r>
        <w:rPr>
          <w:rFonts w:hint="eastAsia" w:ascii="宋体" w:hAnsi="宋体"/>
          <w:b/>
          <w:sz w:val="24"/>
        </w:rPr>
        <w:t>（电子签名或签章）</w:t>
      </w:r>
      <w:r>
        <w:rPr>
          <w:rFonts w:ascii="宋体" w:hAnsi="宋体"/>
          <w:b/>
          <w:sz w:val="24"/>
        </w:rPr>
        <w:t>：</w:t>
      </w:r>
      <w:r>
        <w:rPr>
          <w:rFonts w:ascii="宋体" w:hAnsi="宋体"/>
          <w:b/>
          <w:sz w:val="24"/>
          <w:u w:val="single"/>
        </w:rPr>
        <w:t xml:space="preserve">               </w:t>
      </w:r>
      <w:r>
        <w:rPr>
          <w:rFonts w:hint="eastAsia" w:ascii="宋体" w:hAnsi="宋体"/>
          <w:b/>
          <w:sz w:val="24"/>
        </w:rPr>
        <w:t xml:space="preserve"> </w:t>
      </w:r>
    </w:p>
    <w:p w14:paraId="6E0FF5DE">
      <w:pPr>
        <w:pStyle w:val="17"/>
        <w:spacing w:line="360" w:lineRule="auto"/>
        <w:ind w:firstLine="482" w:firstLineChars="200"/>
        <w:outlineLvl w:val="9"/>
        <w:rPr>
          <w:rFonts w:hint="eastAsia" w:hAnsi="宋体"/>
          <w:b/>
          <w:bCs/>
          <w:sz w:val="24"/>
          <w:szCs w:val="24"/>
          <w:u w:val="single"/>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4362BD30">
      <w:pPr>
        <w:pStyle w:val="17"/>
        <w:spacing w:line="360" w:lineRule="auto"/>
        <w:ind w:firstLine="360" w:firstLineChars="150"/>
        <w:outlineLvl w:val="9"/>
        <w:rPr>
          <w:rFonts w:hint="eastAsia" w:hAnsi="宋体"/>
          <w:sz w:val="24"/>
          <w:szCs w:val="24"/>
          <w:u w:val="single"/>
        </w:rPr>
      </w:pPr>
    </w:p>
    <w:p w14:paraId="69E62936">
      <w:pPr>
        <w:pStyle w:val="17"/>
        <w:spacing w:line="360" w:lineRule="auto"/>
        <w:ind w:firstLine="360" w:firstLineChars="150"/>
        <w:outlineLvl w:val="9"/>
        <w:rPr>
          <w:rFonts w:hint="eastAsia" w:hAnsi="宋体"/>
          <w:sz w:val="24"/>
          <w:szCs w:val="24"/>
          <w:u w:val="single"/>
        </w:rPr>
      </w:pPr>
    </w:p>
    <w:p w14:paraId="39B24D70">
      <w:pPr>
        <w:pStyle w:val="17"/>
        <w:spacing w:line="360" w:lineRule="auto"/>
        <w:ind w:firstLine="360" w:firstLineChars="150"/>
        <w:outlineLvl w:val="9"/>
        <w:rPr>
          <w:rFonts w:hint="eastAsia" w:hAnsi="宋体"/>
          <w:sz w:val="24"/>
          <w:szCs w:val="24"/>
          <w:u w:val="single"/>
        </w:rPr>
      </w:pPr>
    </w:p>
    <w:p w14:paraId="54FCA03D">
      <w:pPr>
        <w:pStyle w:val="17"/>
        <w:spacing w:line="360" w:lineRule="auto"/>
        <w:ind w:firstLine="360" w:firstLineChars="150"/>
        <w:outlineLvl w:val="9"/>
        <w:rPr>
          <w:rFonts w:hAnsi="宋体"/>
          <w:sz w:val="24"/>
          <w:szCs w:val="24"/>
          <w:u w:val="single"/>
        </w:rPr>
        <w:sectPr>
          <w:pgSz w:w="11906" w:h="16838"/>
          <w:pgMar w:top="794" w:right="746" w:bottom="680" w:left="1134" w:header="720" w:footer="720" w:gutter="0"/>
          <w:pgNumType w:fmt="decimal"/>
          <w:cols w:space="720" w:num="1"/>
          <w:titlePg/>
          <w:docGrid w:type="lines" w:linePitch="331" w:charSpace="0"/>
        </w:sectPr>
      </w:pPr>
    </w:p>
    <w:p w14:paraId="40438487">
      <w:pPr>
        <w:pStyle w:val="17"/>
        <w:spacing w:line="600" w:lineRule="exact"/>
        <w:jc w:val="left"/>
        <w:outlineLvl w:val="9"/>
        <w:rPr>
          <w:rFonts w:hint="eastAsia" w:hAnsi="宋体"/>
          <w:b/>
          <w:bCs w:val="0"/>
          <w:sz w:val="28"/>
          <w:szCs w:val="28"/>
        </w:rPr>
      </w:pPr>
      <w:r>
        <w:rPr>
          <w:rFonts w:hAnsi="宋体"/>
          <w:b/>
          <w:sz w:val="28"/>
          <w:szCs w:val="28"/>
        </w:rPr>
        <w:t>格式</w:t>
      </w:r>
      <w:r>
        <w:rPr>
          <w:rFonts w:hint="eastAsia" w:hAnsi="宋体"/>
          <w:b/>
          <w:sz w:val="28"/>
          <w:szCs w:val="28"/>
        </w:rPr>
        <w:t>4：</w:t>
      </w:r>
    </w:p>
    <w:bookmarkEnd w:id="91"/>
    <w:p w14:paraId="187D2247">
      <w:pPr>
        <w:spacing w:line="360" w:lineRule="auto"/>
        <w:jc w:val="center"/>
        <w:outlineLvl w:val="9"/>
        <w:rPr>
          <w:rFonts w:hint="eastAsia" w:ascii="宋体" w:hAnsi="宋体" w:eastAsia="宋体" w:cs="Times New Roman"/>
          <w:b/>
          <w:bCs w:val="0"/>
          <w:sz w:val="32"/>
          <w:szCs w:val="32"/>
        </w:rPr>
      </w:pPr>
      <w:bookmarkStart w:id="100" w:name="_Toc373625392"/>
      <w:bookmarkStart w:id="101" w:name="_Toc360435343"/>
      <w:bookmarkStart w:id="102" w:name="_Toc367051628"/>
      <w:bookmarkStart w:id="103" w:name="_Toc367052074"/>
      <w:bookmarkStart w:id="104" w:name="_Toc367051734"/>
      <w:bookmarkStart w:id="105" w:name="_Toc204749335"/>
      <w:bookmarkStart w:id="106" w:name="_Toc386093480"/>
      <w:r>
        <w:rPr>
          <w:rFonts w:hint="eastAsia" w:ascii="宋体" w:hAnsi="宋体" w:eastAsia="宋体" w:cs="Times New Roman"/>
          <w:b/>
          <w:bCs w:val="0"/>
          <w:sz w:val="32"/>
          <w:szCs w:val="32"/>
        </w:rPr>
        <w:t>投标分项报价表</w:t>
      </w:r>
      <w:bookmarkEnd w:id="100"/>
      <w:bookmarkEnd w:id="101"/>
      <w:bookmarkEnd w:id="102"/>
      <w:bookmarkEnd w:id="103"/>
      <w:bookmarkEnd w:id="104"/>
      <w:bookmarkEnd w:id="105"/>
      <w:bookmarkEnd w:id="106"/>
    </w:p>
    <w:tbl>
      <w:tblPr>
        <w:tblStyle w:val="32"/>
        <w:tblW w:w="0" w:type="auto"/>
        <w:tblInd w:w="-2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814"/>
        <w:gridCol w:w="985"/>
        <w:gridCol w:w="1197"/>
        <w:gridCol w:w="2725"/>
        <w:gridCol w:w="806"/>
        <w:gridCol w:w="1433"/>
        <w:gridCol w:w="1049"/>
      </w:tblGrid>
      <w:tr w14:paraId="6B2B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trPr>
        <w:tc>
          <w:tcPr>
            <w:tcW w:w="728" w:type="dxa"/>
            <w:noWrap w:val="0"/>
            <w:vAlign w:val="center"/>
          </w:tcPr>
          <w:p w14:paraId="65394B47">
            <w:pPr>
              <w:pStyle w:val="14"/>
              <w:jc w:val="center"/>
              <w:outlineLvl w:val="9"/>
              <w:rPr>
                <w:rFonts w:hint="eastAsia" w:ascii="宋体" w:hAnsi="宋体" w:cs="宋体"/>
                <w:b/>
                <w:bCs/>
                <w:sz w:val="24"/>
                <w:szCs w:val="24"/>
              </w:rPr>
            </w:pPr>
            <w:r>
              <w:rPr>
                <w:rFonts w:hint="eastAsia" w:ascii="宋体" w:hAnsi="宋体" w:cs="宋体"/>
                <w:b/>
                <w:bCs/>
                <w:sz w:val="24"/>
                <w:szCs w:val="24"/>
              </w:rPr>
              <w:t>序号</w:t>
            </w:r>
          </w:p>
        </w:tc>
        <w:tc>
          <w:tcPr>
            <w:tcW w:w="814" w:type="dxa"/>
            <w:noWrap w:val="0"/>
            <w:vAlign w:val="center"/>
          </w:tcPr>
          <w:p w14:paraId="1588F96E">
            <w:pPr>
              <w:pStyle w:val="14"/>
              <w:jc w:val="center"/>
              <w:outlineLvl w:val="9"/>
              <w:rPr>
                <w:rFonts w:hint="eastAsia" w:ascii="宋体" w:hAnsi="宋体" w:cs="宋体"/>
                <w:b/>
                <w:bCs/>
                <w:sz w:val="24"/>
                <w:szCs w:val="24"/>
              </w:rPr>
            </w:pPr>
            <w:bookmarkStart w:id="107" w:name="OLE_LINK101"/>
            <w:r>
              <w:rPr>
                <w:rFonts w:hint="eastAsia" w:ascii="宋体" w:hAnsi="宋体" w:cs="宋体"/>
                <w:b/>
                <w:bCs/>
                <w:sz w:val="24"/>
                <w:szCs w:val="24"/>
              </w:rPr>
              <w:t>产品名称</w:t>
            </w:r>
            <w:bookmarkEnd w:id="107"/>
          </w:p>
        </w:tc>
        <w:tc>
          <w:tcPr>
            <w:tcW w:w="985" w:type="dxa"/>
            <w:noWrap w:val="0"/>
            <w:vAlign w:val="center"/>
          </w:tcPr>
          <w:p w14:paraId="49EDB83C">
            <w:pPr>
              <w:pStyle w:val="14"/>
              <w:jc w:val="center"/>
              <w:outlineLvl w:val="9"/>
              <w:rPr>
                <w:rFonts w:hint="eastAsia" w:ascii="宋体" w:hAnsi="宋体" w:eastAsia="宋体" w:cs="宋体"/>
                <w:b/>
                <w:bCs/>
                <w:sz w:val="24"/>
                <w:szCs w:val="24"/>
                <w:lang w:eastAsia="zh-CN"/>
              </w:rPr>
            </w:pPr>
            <w:bookmarkStart w:id="108" w:name="OLE_LINK102"/>
            <w:r>
              <w:rPr>
                <w:rFonts w:hint="eastAsia" w:ascii="宋体" w:hAnsi="宋体" w:cs="宋体"/>
                <w:b/>
                <w:bCs/>
                <w:sz w:val="24"/>
                <w:szCs w:val="24"/>
                <w:highlight w:val="none"/>
              </w:rPr>
              <w:t>品牌</w:t>
            </w:r>
            <w:bookmarkEnd w:id="108"/>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如有</w:t>
            </w:r>
            <w:r>
              <w:rPr>
                <w:rFonts w:hint="eastAsia" w:ascii="宋体" w:hAnsi="宋体" w:cs="宋体"/>
                <w:b/>
                <w:bCs/>
                <w:sz w:val="24"/>
                <w:szCs w:val="24"/>
                <w:highlight w:val="none"/>
                <w:lang w:eastAsia="zh-CN"/>
              </w:rPr>
              <w:t>）</w:t>
            </w:r>
          </w:p>
        </w:tc>
        <w:tc>
          <w:tcPr>
            <w:tcW w:w="1197" w:type="dxa"/>
            <w:noWrap w:val="0"/>
            <w:vAlign w:val="center"/>
          </w:tcPr>
          <w:p w14:paraId="0407CF93">
            <w:pPr>
              <w:pStyle w:val="14"/>
              <w:jc w:val="center"/>
              <w:outlineLvl w:val="9"/>
              <w:rPr>
                <w:rFonts w:hint="eastAsia" w:ascii="宋体" w:hAnsi="宋体" w:cs="宋体"/>
                <w:b/>
                <w:bCs/>
                <w:sz w:val="24"/>
                <w:szCs w:val="24"/>
              </w:rPr>
            </w:pPr>
            <w:bookmarkStart w:id="109" w:name="OLE_LINK103"/>
            <w:r>
              <w:rPr>
                <w:rFonts w:hint="eastAsia" w:ascii="宋体" w:hAnsi="宋体" w:cs="宋体"/>
                <w:b/>
                <w:bCs/>
                <w:sz w:val="24"/>
                <w:szCs w:val="24"/>
              </w:rPr>
              <w:t>规格型号</w:t>
            </w:r>
            <w:bookmarkEnd w:id="109"/>
          </w:p>
        </w:tc>
        <w:tc>
          <w:tcPr>
            <w:tcW w:w="2725" w:type="dxa"/>
            <w:noWrap w:val="0"/>
            <w:vAlign w:val="center"/>
          </w:tcPr>
          <w:p w14:paraId="44BAD711">
            <w:pPr>
              <w:pStyle w:val="14"/>
              <w:jc w:val="center"/>
              <w:outlineLvl w:val="9"/>
              <w:rPr>
                <w:rFonts w:hint="eastAsia" w:ascii="宋体" w:hAnsi="宋体" w:eastAsia="宋体" w:cs="宋体"/>
                <w:b/>
                <w:bCs/>
                <w:sz w:val="24"/>
                <w:szCs w:val="24"/>
                <w:lang w:eastAsia="zh-CN"/>
              </w:rPr>
            </w:pPr>
            <w:bookmarkStart w:id="110" w:name="OLE_LINK104"/>
            <w:r>
              <w:rPr>
                <w:rFonts w:hint="eastAsia" w:ascii="宋体" w:hAnsi="宋体" w:cs="宋体"/>
                <w:b/>
                <w:bCs/>
                <w:sz w:val="24"/>
                <w:szCs w:val="24"/>
              </w:rPr>
              <w:t>制造商/生产企业名称</w:t>
            </w:r>
            <w:bookmarkEnd w:id="110"/>
            <w:r>
              <w:rPr>
                <w:rFonts w:hint="eastAsia" w:ascii="宋体" w:hAnsi="宋体" w:cs="宋体"/>
                <w:b/>
                <w:bCs/>
                <w:sz w:val="24"/>
                <w:szCs w:val="24"/>
                <w:lang w:eastAsia="zh-CN"/>
              </w:rPr>
              <w:t>（</w:t>
            </w:r>
            <w:r>
              <w:rPr>
                <w:rFonts w:hint="eastAsia" w:ascii="宋体" w:hAnsi="宋体" w:cs="宋体"/>
                <w:b/>
                <w:bCs/>
                <w:sz w:val="24"/>
                <w:szCs w:val="24"/>
                <w:lang w:val="en-US" w:eastAsia="zh-CN"/>
              </w:rPr>
              <w:t>如有</w:t>
            </w:r>
            <w:r>
              <w:rPr>
                <w:rFonts w:hint="eastAsia" w:ascii="宋体" w:hAnsi="宋体" w:cs="宋体"/>
                <w:b/>
                <w:bCs/>
                <w:sz w:val="24"/>
                <w:szCs w:val="24"/>
                <w:lang w:eastAsia="zh-CN"/>
              </w:rPr>
              <w:t>）</w:t>
            </w:r>
          </w:p>
        </w:tc>
        <w:tc>
          <w:tcPr>
            <w:tcW w:w="806" w:type="dxa"/>
            <w:noWrap w:val="0"/>
            <w:vAlign w:val="center"/>
          </w:tcPr>
          <w:p w14:paraId="2859F40C">
            <w:pPr>
              <w:pStyle w:val="14"/>
              <w:jc w:val="center"/>
              <w:outlineLvl w:val="9"/>
              <w:rPr>
                <w:rFonts w:hint="eastAsia" w:ascii="宋体" w:hAnsi="宋体" w:cs="宋体"/>
                <w:b/>
                <w:bCs/>
                <w:sz w:val="24"/>
                <w:szCs w:val="24"/>
              </w:rPr>
            </w:pPr>
            <w:bookmarkStart w:id="111" w:name="OLE_LINK105"/>
            <w:r>
              <w:rPr>
                <w:rFonts w:hint="eastAsia" w:ascii="宋体" w:hAnsi="宋体" w:cs="宋体"/>
                <w:b/>
                <w:bCs/>
                <w:sz w:val="24"/>
                <w:szCs w:val="24"/>
              </w:rPr>
              <w:t>计量单位</w:t>
            </w:r>
            <w:bookmarkEnd w:id="111"/>
          </w:p>
        </w:tc>
        <w:tc>
          <w:tcPr>
            <w:tcW w:w="1433" w:type="dxa"/>
            <w:noWrap w:val="0"/>
            <w:vAlign w:val="center"/>
          </w:tcPr>
          <w:p w14:paraId="357DF1E6">
            <w:pPr>
              <w:pStyle w:val="17"/>
              <w:jc w:val="center"/>
              <w:outlineLvl w:val="9"/>
              <w:rPr>
                <w:rFonts w:hint="eastAsia" w:hAnsi="宋体" w:cs="宋体"/>
                <w:b/>
                <w:bCs w:val="0"/>
                <w:sz w:val="24"/>
                <w:szCs w:val="24"/>
              </w:rPr>
            </w:pPr>
            <w:r>
              <w:rPr>
                <w:rFonts w:hint="eastAsia" w:ascii="宋体" w:hAnsi="宋体" w:cs="宋体"/>
                <w:b/>
                <w:bCs w:val="0"/>
                <w:sz w:val="24"/>
                <w:szCs w:val="24"/>
              </w:rPr>
              <w:t>投标报价</w:t>
            </w:r>
            <w:r>
              <w:rPr>
                <w:rFonts w:hint="eastAsia" w:ascii="宋体" w:hAnsi="宋体" w:eastAsia="宋体" w:cs="Times New Roman"/>
                <w:b/>
                <w:bCs w:val="0"/>
                <w:sz w:val="24"/>
                <w:szCs w:val="24"/>
                <w:lang w:val="en-US" w:eastAsia="zh-CN"/>
              </w:rPr>
              <w:t>单价报价统一下浮率</w:t>
            </w:r>
          </w:p>
        </w:tc>
        <w:tc>
          <w:tcPr>
            <w:tcW w:w="1049" w:type="dxa"/>
            <w:noWrap w:val="0"/>
            <w:vAlign w:val="center"/>
          </w:tcPr>
          <w:p w14:paraId="58C88394">
            <w:pPr>
              <w:pStyle w:val="14"/>
              <w:jc w:val="center"/>
              <w:outlineLvl w:val="9"/>
              <w:rPr>
                <w:rFonts w:hint="eastAsia" w:ascii="宋体" w:hAnsi="宋体" w:cs="宋体"/>
                <w:b/>
                <w:bCs/>
                <w:sz w:val="24"/>
                <w:szCs w:val="24"/>
              </w:rPr>
            </w:pPr>
            <w:bookmarkStart w:id="112" w:name="OLE_LINK108"/>
            <w:r>
              <w:rPr>
                <w:rFonts w:hint="eastAsia" w:ascii="宋体" w:hAnsi="宋体" w:cs="宋体"/>
                <w:b/>
                <w:bCs/>
                <w:sz w:val="24"/>
                <w:szCs w:val="24"/>
              </w:rPr>
              <w:t>备注</w:t>
            </w:r>
            <w:bookmarkEnd w:id="112"/>
          </w:p>
        </w:tc>
      </w:tr>
      <w:tr w14:paraId="3EB03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exact"/>
        </w:trPr>
        <w:tc>
          <w:tcPr>
            <w:tcW w:w="728" w:type="dxa"/>
            <w:noWrap w:val="0"/>
            <w:vAlign w:val="center"/>
          </w:tcPr>
          <w:p w14:paraId="73313495">
            <w:pPr>
              <w:pStyle w:val="14"/>
              <w:jc w:val="center"/>
              <w:outlineLvl w:val="9"/>
              <w:rPr>
                <w:rFonts w:hint="eastAsia" w:ascii="宋体" w:hAnsi="宋体" w:cs="宋体"/>
                <w:sz w:val="24"/>
                <w:szCs w:val="24"/>
              </w:rPr>
            </w:pPr>
            <w:r>
              <w:rPr>
                <w:rFonts w:hint="eastAsia" w:ascii="宋体" w:hAnsi="宋体" w:cs="宋体"/>
                <w:sz w:val="24"/>
                <w:szCs w:val="24"/>
              </w:rPr>
              <w:t>1</w:t>
            </w:r>
          </w:p>
        </w:tc>
        <w:tc>
          <w:tcPr>
            <w:tcW w:w="814" w:type="dxa"/>
            <w:noWrap w:val="0"/>
            <w:vAlign w:val="center"/>
          </w:tcPr>
          <w:p w14:paraId="78CE3FFC">
            <w:pPr>
              <w:jc w:val="center"/>
              <w:outlineLvl w:val="9"/>
              <w:rPr>
                <w:rFonts w:hint="eastAsia" w:ascii="宋体" w:hAnsi="宋体" w:eastAsia="宋体" w:cs="宋体"/>
                <w:sz w:val="24"/>
                <w:szCs w:val="24"/>
              </w:rPr>
            </w:pPr>
          </w:p>
        </w:tc>
        <w:tc>
          <w:tcPr>
            <w:tcW w:w="985" w:type="dxa"/>
            <w:noWrap w:val="0"/>
            <w:vAlign w:val="top"/>
          </w:tcPr>
          <w:p w14:paraId="2C1A3F92">
            <w:pPr>
              <w:jc w:val="center"/>
              <w:outlineLvl w:val="9"/>
              <w:rPr>
                <w:rFonts w:hint="eastAsia" w:ascii="宋体" w:hAnsi="宋体" w:eastAsia="宋体" w:cs="宋体"/>
                <w:sz w:val="24"/>
                <w:szCs w:val="24"/>
              </w:rPr>
            </w:pPr>
          </w:p>
        </w:tc>
        <w:tc>
          <w:tcPr>
            <w:tcW w:w="1197" w:type="dxa"/>
            <w:noWrap w:val="0"/>
            <w:vAlign w:val="center"/>
          </w:tcPr>
          <w:p w14:paraId="64AFC552">
            <w:pPr>
              <w:jc w:val="center"/>
              <w:outlineLvl w:val="9"/>
              <w:rPr>
                <w:rFonts w:hint="eastAsia" w:ascii="宋体" w:hAnsi="宋体" w:eastAsia="宋体" w:cs="宋体"/>
                <w:sz w:val="24"/>
                <w:szCs w:val="24"/>
              </w:rPr>
            </w:pPr>
          </w:p>
        </w:tc>
        <w:tc>
          <w:tcPr>
            <w:tcW w:w="2725" w:type="dxa"/>
            <w:noWrap w:val="0"/>
            <w:vAlign w:val="center"/>
          </w:tcPr>
          <w:p w14:paraId="12D38BE1">
            <w:pPr>
              <w:jc w:val="center"/>
              <w:outlineLvl w:val="9"/>
              <w:rPr>
                <w:rFonts w:hint="eastAsia" w:ascii="宋体" w:hAnsi="宋体" w:eastAsia="宋体" w:cs="宋体"/>
                <w:sz w:val="24"/>
                <w:szCs w:val="24"/>
              </w:rPr>
            </w:pPr>
          </w:p>
        </w:tc>
        <w:tc>
          <w:tcPr>
            <w:tcW w:w="806" w:type="dxa"/>
            <w:noWrap w:val="0"/>
            <w:vAlign w:val="center"/>
          </w:tcPr>
          <w:p w14:paraId="7569F4D4">
            <w:pPr>
              <w:jc w:val="center"/>
              <w:outlineLvl w:val="9"/>
              <w:rPr>
                <w:rFonts w:hint="eastAsia" w:ascii="宋体" w:hAnsi="宋体" w:eastAsia="宋体" w:cs="宋体"/>
                <w:sz w:val="24"/>
                <w:szCs w:val="24"/>
              </w:rPr>
            </w:pPr>
          </w:p>
        </w:tc>
        <w:tc>
          <w:tcPr>
            <w:tcW w:w="1433" w:type="dxa"/>
            <w:vMerge w:val="restart"/>
            <w:noWrap w:val="0"/>
            <w:vAlign w:val="center"/>
          </w:tcPr>
          <w:p w14:paraId="6D4146C9">
            <w:pPr>
              <w:pStyle w:val="14"/>
              <w:jc w:val="center"/>
              <w:outlineLvl w:val="9"/>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w:t>
            </w:r>
          </w:p>
        </w:tc>
        <w:tc>
          <w:tcPr>
            <w:tcW w:w="1049" w:type="dxa"/>
            <w:noWrap w:val="0"/>
            <w:vAlign w:val="center"/>
          </w:tcPr>
          <w:p w14:paraId="37EEB956">
            <w:pPr>
              <w:pStyle w:val="14"/>
              <w:jc w:val="center"/>
              <w:outlineLvl w:val="9"/>
              <w:rPr>
                <w:rFonts w:hint="eastAsia" w:ascii="宋体" w:hAnsi="宋体" w:cs="宋体"/>
                <w:sz w:val="24"/>
                <w:szCs w:val="24"/>
              </w:rPr>
            </w:pPr>
          </w:p>
        </w:tc>
      </w:tr>
      <w:tr w14:paraId="4CFA4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exact"/>
        </w:trPr>
        <w:tc>
          <w:tcPr>
            <w:tcW w:w="728" w:type="dxa"/>
            <w:noWrap w:val="0"/>
            <w:vAlign w:val="center"/>
          </w:tcPr>
          <w:p w14:paraId="0645FA1E">
            <w:pPr>
              <w:pStyle w:val="14"/>
              <w:jc w:val="center"/>
              <w:outlineLvl w:val="9"/>
              <w:rPr>
                <w:rFonts w:hint="eastAsia" w:ascii="宋体" w:hAnsi="宋体" w:cs="宋体"/>
                <w:sz w:val="24"/>
                <w:szCs w:val="24"/>
              </w:rPr>
            </w:pPr>
            <w:r>
              <w:rPr>
                <w:rFonts w:hint="eastAsia" w:ascii="宋体" w:hAnsi="宋体" w:cs="宋体"/>
                <w:sz w:val="24"/>
                <w:szCs w:val="24"/>
              </w:rPr>
              <w:t>2</w:t>
            </w:r>
          </w:p>
        </w:tc>
        <w:tc>
          <w:tcPr>
            <w:tcW w:w="814" w:type="dxa"/>
            <w:noWrap w:val="0"/>
            <w:vAlign w:val="center"/>
          </w:tcPr>
          <w:p w14:paraId="649F162F">
            <w:pPr>
              <w:jc w:val="center"/>
              <w:outlineLvl w:val="9"/>
              <w:rPr>
                <w:rFonts w:hint="eastAsia" w:ascii="宋体" w:hAnsi="宋体" w:eastAsia="宋体" w:cs="宋体"/>
                <w:sz w:val="24"/>
                <w:szCs w:val="24"/>
              </w:rPr>
            </w:pPr>
          </w:p>
        </w:tc>
        <w:tc>
          <w:tcPr>
            <w:tcW w:w="985" w:type="dxa"/>
            <w:noWrap w:val="0"/>
            <w:vAlign w:val="top"/>
          </w:tcPr>
          <w:p w14:paraId="4C63426E">
            <w:pPr>
              <w:jc w:val="center"/>
              <w:outlineLvl w:val="9"/>
              <w:rPr>
                <w:rFonts w:hint="eastAsia" w:ascii="宋体" w:hAnsi="宋体" w:eastAsia="宋体" w:cs="宋体"/>
                <w:sz w:val="24"/>
                <w:szCs w:val="24"/>
              </w:rPr>
            </w:pPr>
          </w:p>
        </w:tc>
        <w:tc>
          <w:tcPr>
            <w:tcW w:w="1197" w:type="dxa"/>
            <w:noWrap w:val="0"/>
            <w:vAlign w:val="center"/>
          </w:tcPr>
          <w:p w14:paraId="76991008">
            <w:pPr>
              <w:jc w:val="center"/>
              <w:outlineLvl w:val="9"/>
              <w:rPr>
                <w:rFonts w:hint="eastAsia" w:ascii="宋体" w:hAnsi="宋体" w:eastAsia="宋体" w:cs="宋体"/>
                <w:sz w:val="24"/>
                <w:szCs w:val="24"/>
              </w:rPr>
            </w:pPr>
          </w:p>
        </w:tc>
        <w:tc>
          <w:tcPr>
            <w:tcW w:w="2725" w:type="dxa"/>
            <w:noWrap w:val="0"/>
            <w:vAlign w:val="center"/>
          </w:tcPr>
          <w:p w14:paraId="059701A6">
            <w:pPr>
              <w:jc w:val="center"/>
              <w:outlineLvl w:val="9"/>
              <w:rPr>
                <w:rFonts w:hint="eastAsia" w:ascii="宋体" w:hAnsi="宋体" w:eastAsia="宋体" w:cs="宋体"/>
                <w:sz w:val="24"/>
                <w:szCs w:val="24"/>
              </w:rPr>
            </w:pPr>
          </w:p>
        </w:tc>
        <w:tc>
          <w:tcPr>
            <w:tcW w:w="806" w:type="dxa"/>
            <w:noWrap w:val="0"/>
            <w:vAlign w:val="center"/>
          </w:tcPr>
          <w:p w14:paraId="09B51111">
            <w:pPr>
              <w:jc w:val="center"/>
              <w:outlineLvl w:val="9"/>
              <w:rPr>
                <w:rFonts w:hint="eastAsia" w:ascii="宋体" w:hAnsi="宋体" w:eastAsia="宋体" w:cs="宋体"/>
                <w:sz w:val="24"/>
                <w:szCs w:val="24"/>
              </w:rPr>
            </w:pPr>
          </w:p>
        </w:tc>
        <w:tc>
          <w:tcPr>
            <w:tcW w:w="1433" w:type="dxa"/>
            <w:vMerge w:val="continue"/>
            <w:noWrap w:val="0"/>
            <w:vAlign w:val="center"/>
          </w:tcPr>
          <w:p w14:paraId="1ECBC482">
            <w:pPr>
              <w:pStyle w:val="14"/>
              <w:jc w:val="center"/>
              <w:outlineLvl w:val="9"/>
              <w:rPr>
                <w:rFonts w:hint="eastAsia" w:ascii="宋体" w:hAnsi="宋体" w:cs="宋体"/>
                <w:sz w:val="24"/>
                <w:szCs w:val="24"/>
              </w:rPr>
            </w:pPr>
          </w:p>
        </w:tc>
        <w:tc>
          <w:tcPr>
            <w:tcW w:w="1049" w:type="dxa"/>
            <w:noWrap w:val="0"/>
            <w:vAlign w:val="center"/>
          </w:tcPr>
          <w:p w14:paraId="340A472F">
            <w:pPr>
              <w:pStyle w:val="14"/>
              <w:jc w:val="center"/>
              <w:outlineLvl w:val="9"/>
              <w:rPr>
                <w:rFonts w:hint="eastAsia" w:ascii="宋体" w:hAnsi="宋体" w:cs="宋体"/>
                <w:sz w:val="24"/>
                <w:szCs w:val="24"/>
              </w:rPr>
            </w:pPr>
          </w:p>
        </w:tc>
      </w:tr>
      <w:tr w14:paraId="2B45E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exact"/>
        </w:trPr>
        <w:tc>
          <w:tcPr>
            <w:tcW w:w="728" w:type="dxa"/>
            <w:noWrap w:val="0"/>
            <w:vAlign w:val="center"/>
          </w:tcPr>
          <w:p w14:paraId="1F290DE6">
            <w:pPr>
              <w:pStyle w:val="14"/>
              <w:jc w:val="center"/>
              <w:outlineLvl w:val="9"/>
              <w:rPr>
                <w:rFonts w:hint="eastAsia" w:ascii="宋体" w:hAnsi="宋体" w:cs="宋体"/>
                <w:sz w:val="24"/>
                <w:szCs w:val="24"/>
              </w:rPr>
            </w:pPr>
            <w:r>
              <w:rPr>
                <w:rFonts w:hint="eastAsia" w:ascii="宋体" w:hAnsi="宋体" w:cs="宋体"/>
                <w:sz w:val="24"/>
                <w:szCs w:val="24"/>
              </w:rPr>
              <w:t>3</w:t>
            </w:r>
          </w:p>
        </w:tc>
        <w:tc>
          <w:tcPr>
            <w:tcW w:w="814" w:type="dxa"/>
            <w:noWrap w:val="0"/>
            <w:vAlign w:val="center"/>
          </w:tcPr>
          <w:p w14:paraId="66CA76D7">
            <w:pPr>
              <w:jc w:val="center"/>
              <w:outlineLvl w:val="9"/>
              <w:rPr>
                <w:rFonts w:hint="eastAsia" w:ascii="宋体" w:hAnsi="宋体" w:eastAsia="宋体" w:cs="宋体"/>
                <w:sz w:val="24"/>
                <w:szCs w:val="24"/>
              </w:rPr>
            </w:pPr>
          </w:p>
        </w:tc>
        <w:tc>
          <w:tcPr>
            <w:tcW w:w="985" w:type="dxa"/>
            <w:noWrap w:val="0"/>
            <w:vAlign w:val="top"/>
          </w:tcPr>
          <w:p w14:paraId="2BE7C2F9">
            <w:pPr>
              <w:jc w:val="center"/>
              <w:outlineLvl w:val="9"/>
              <w:rPr>
                <w:rFonts w:hint="eastAsia" w:ascii="宋体" w:hAnsi="宋体" w:eastAsia="宋体" w:cs="宋体"/>
                <w:sz w:val="24"/>
                <w:szCs w:val="24"/>
              </w:rPr>
            </w:pPr>
          </w:p>
        </w:tc>
        <w:tc>
          <w:tcPr>
            <w:tcW w:w="1197" w:type="dxa"/>
            <w:noWrap w:val="0"/>
            <w:vAlign w:val="center"/>
          </w:tcPr>
          <w:p w14:paraId="15C8B144">
            <w:pPr>
              <w:jc w:val="center"/>
              <w:outlineLvl w:val="9"/>
              <w:rPr>
                <w:rFonts w:hint="eastAsia" w:ascii="宋体" w:hAnsi="宋体" w:eastAsia="宋体" w:cs="宋体"/>
                <w:sz w:val="24"/>
                <w:szCs w:val="24"/>
              </w:rPr>
            </w:pPr>
          </w:p>
        </w:tc>
        <w:tc>
          <w:tcPr>
            <w:tcW w:w="2725" w:type="dxa"/>
            <w:noWrap w:val="0"/>
            <w:vAlign w:val="center"/>
          </w:tcPr>
          <w:p w14:paraId="0CAB5B23">
            <w:pPr>
              <w:jc w:val="center"/>
              <w:outlineLvl w:val="9"/>
              <w:rPr>
                <w:rFonts w:hint="eastAsia" w:ascii="宋体" w:hAnsi="宋体" w:eastAsia="宋体" w:cs="宋体"/>
                <w:sz w:val="24"/>
                <w:szCs w:val="24"/>
              </w:rPr>
            </w:pPr>
          </w:p>
        </w:tc>
        <w:tc>
          <w:tcPr>
            <w:tcW w:w="806" w:type="dxa"/>
            <w:noWrap w:val="0"/>
            <w:vAlign w:val="center"/>
          </w:tcPr>
          <w:p w14:paraId="7EA51F16">
            <w:pPr>
              <w:jc w:val="center"/>
              <w:outlineLvl w:val="9"/>
              <w:rPr>
                <w:rFonts w:hint="eastAsia" w:ascii="宋体" w:hAnsi="宋体" w:eastAsia="宋体" w:cs="宋体"/>
                <w:sz w:val="24"/>
                <w:szCs w:val="24"/>
              </w:rPr>
            </w:pPr>
          </w:p>
        </w:tc>
        <w:tc>
          <w:tcPr>
            <w:tcW w:w="1433" w:type="dxa"/>
            <w:vMerge w:val="continue"/>
            <w:noWrap w:val="0"/>
            <w:vAlign w:val="center"/>
          </w:tcPr>
          <w:p w14:paraId="2FB728D1">
            <w:pPr>
              <w:pStyle w:val="14"/>
              <w:jc w:val="center"/>
              <w:outlineLvl w:val="9"/>
              <w:rPr>
                <w:rFonts w:hint="eastAsia" w:ascii="宋体" w:hAnsi="宋体" w:cs="宋体"/>
                <w:sz w:val="24"/>
                <w:szCs w:val="24"/>
              </w:rPr>
            </w:pPr>
          </w:p>
        </w:tc>
        <w:tc>
          <w:tcPr>
            <w:tcW w:w="1049" w:type="dxa"/>
            <w:noWrap w:val="0"/>
            <w:vAlign w:val="center"/>
          </w:tcPr>
          <w:p w14:paraId="68EC0744">
            <w:pPr>
              <w:pStyle w:val="14"/>
              <w:jc w:val="center"/>
              <w:outlineLvl w:val="9"/>
              <w:rPr>
                <w:rFonts w:hint="eastAsia" w:ascii="宋体" w:hAnsi="宋体" w:cs="宋体"/>
                <w:sz w:val="24"/>
                <w:szCs w:val="24"/>
              </w:rPr>
            </w:pPr>
          </w:p>
        </w:tc>
      </w:tr>
      <w:tr w14:paraId="5BE02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exact"/>
        </w:trPr>
        <w:tc>
          <w:tcPr>
            <w:tcW w:w="728" w:type="dxa"/>
            <w:noWrap w:val="0"/>
            <w:vAlign w:val="center"/>
          </w:tcPr>
          <w:p w14:paraId="7E75EBFC">
            <w:pPr>
              <w:pStyle w:val="14"/>
              <w:jc w:val="center"/>
              <w:outlineLvl w:val="9"/>
              <w:rPr>
                <w:rFonts w:hint="eastAsia" w:ascii="宋体" w:hAnsi="宋体" w:cs="宋体"/>
                <w:sz w:val="24"/>
                <w:szCs w:val="24"/>
              </w:rPr>
            </w:pPr>
            <w:r>
              <w:rPr>
                <w:rFonts w:hint="eastAsia" w:ascii="宋体" w:hAnsi="宋体" w:cs="宋体"/>
                <w:sz w:val="24"/>
                <w:szCs w:val="24"/>
              </w:rPr>
              <w:t>4</w:t>
            </w:r>
          </w:p>
        </w:tc>
        <w:tc>
          <w:tcPr>
            <w:tcW w:w="814" w:type="dxa"/>
            <w:noWrap w:val="0"/>
            <w:vAlign w:val="center"/>
          </w:tcPr>
          <w:p w14:paraId="0382FA4E">
            <w:pPr>
              <w:jc w:val="center"/>
              <w:outlineLvl w:val="9"/>
              <w:rPr>
                <w:rFonts w:hint="eastAsia" w:ascii="宋体" w:hAnsi="宋体" w:eastAsia="宋体" w:cs="宋体"/>
                <w:sz w:val="24"/>
                <w:szCs w:val="24"/>
              </w:rPr>
            </w:pPr>
          </w:p>
        </w:tc>
        <w:tc>
          <w:tcPr>
            <w:tcW w:w="985" w:type="dxa"/>
            <w:noWrap w:val="0"/>
            <w:vAlign w:val="top"/>
          </w:tcPr>
          <w:p w14:paraId="55F55F1D">
            <w:pPr>
              <w:jc w:val="center"/>
              <w:outlineLvl w:val="9"/>
              <w:rPr>
                <w:rFonts w:hint="eastAsia" w:ascii="宋体" w:hAnsi="宋体" w:eastAsia="宋体" w:cs="宋体"/>
                <w:sz w:val="24"/>
                <w:szCs w:val="24"/>
              </w:rPr>
            </w:pPr>
          </w:p>
        </w:tc>
        <w:tc>
          <w:tcPr>
            <w:tcW w:w="1197" w:type="dxa"/>
            <w:noWrap w:val="0"/>
            <w:vAlign w:val="center"/>
          </w:tcPr>
          <w:p w14:paraId="47AD9FC2">
            <w:pPr>
              <w:jc w:val="center"/>
              <w:outlineLvl w:val="9"/>
              <w:rPr>
                <w:rFonts w:hint="eastAsia" w:ascii="宋体" w:hAnsi="宋体" w:eastAsia="宋体" w:cs="宋体"/>
                <w:sz w:val="24"/>
                <w:szCs w:val="24"/>
              </w:rPr>
            </w:pPr>
          </w:p>
        </w:tc>
        <w:tc>
          <w:tcPr>
            <w:tcW w:w="2725" w:type="dxa"/>
            <w:noWrap w:val="0"/>
            <w:vAlign w:val="center"/>
          </w:tcPr>
          <w:p w14:paraId="3DD2C02B">
            <w:pPr>
              <w:jc w:val="center"/>
              <w:outlineLvl w:val="9"/>
              <w:rPr>
                <w:rFonts w:hint="eastAsia" w:ascii="宋体" w:hAnsi="宋体" w:eastAsia="宋体" w:cs="宋体"/>
                <w:sz w:val="24"/>
                <w:szCs w:val="24"/>
              </w:rPr>
            </w:pPr>
          </w:p>
        </w:tc>
        <w:tc>
          <w:tcPr>
            <w:tcW w:w="806" w:type="dxa"/>
            <w:noWrap w:val="0"/>
            <w:vAlign w:val="center"/>
          </w:tcPr>
          <w:p w14:paraId="3657DD18">
            <w:pPr>
              <w:jc w:val="center"/>
              <w:outlineLvl w:val="9"/>
              <w:rPr>
                <w:rFonts w:hint="eastAsia" w:ascii="宋体" w:hAnsi="宋体" w:eastAsia="宋体" w:cs="宋体"/>
                <w:sz w:val="24"/>
                <w:szCs w:val="24"/>
              </w:rPr>
            </w:pPr>
          </w:p>
        </w:tc>
        <w:tc>
          <w:tcPr>
            <w:tcW w:w="1433" w:type="dxa"/>
            <w:vMerge w:val="continue"/>
            <w:noWrap w:val="0"/>
            <w:vAlign w:val="center"/>
          </w:tcPr>
          <w:p w14:paraId="242076E3">
            <w:pPr>
              <w:pStyle w:val="14"/>
              <w:jc w:val="center"/>
              <w:outlineLvl w:val="9"/>
              <w:rPr>
                <w:rFonts w:hint="eastAsia" w:ascii="宋体" w:hAnsi="宋体" w:cs="宋体"/>
                <w:sz w:val="24"/>
                <w:szCs w:val="24"/>
              </w:rPr>
            </w:pPr>
          </w:p>
        </w:tc>
        <w:tc>
          <w:tcPr>
            <w:tcW w:w="1049" w:type="dxa"/>
            <w:noWrap w:val="0"/>
            <w:vAlign w:val="center"/>
          </w:tcPr>
          <w:p w14:paraId="09ED9759">
            <w:pPr>
              <w:pStyle w:val="14"/>
              <w:jc w:val="center"/>
              <w:outlineLvl w:val="9"/>
              <w:rPr>
                <w:rFonts w:hint="eastAsia" w:ascii="宋体" w:hAnsi="宋体" w:cs="宋体"/>
                <w:sz w:val="24"/>
                <w:szCs w:val="24"/>
              </w:rPr>
            </w:pPr>
          </w:p>
        </w:tc>
      </w:tr>
      <w:tr w14:paraId="185EC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exact"/>
        </w:trPr>
        <w:tc>
          <w:tcPr>
            <w:tcW w:w="728" w:type="dxa"/>
            <w:noWrap w:val="0"/>
            <w:vAlign w:val="center"/>
          </w:tcPr>
          <w:p w14:paraId="007523FF">
            <w:pPr>
              <w:pStyle w:val="14"/>
              <w:jc w:val="center"/>
              <w:outlineLvl w:val="9"/>
              <w:rPr>
                <w:rFonts w:hint="eastAsia" w:ascii="宋体" w:hAnsi="宋体" w:cs="宋体"/>
                <w:sz w:val="24"/>
                <w:szCs w:val="24"/>
              </w:rPr>
            </w:pPr>
            <w:r>
              <w:rPr>
                <w:rFonts w:hint="eastAsia" w:ascii="宋体" w:hAnsi="宋体" w:cs="宋体"/>
                <w:sz w:val="24"/>
                <w:szCs w:val="24"/>
              </w:rPr>
              <w:t>5</w:t>
            </w:r>
          </w:p>
        </w:tc>
        <w:tc>
          <w:tcPr>
            <w:tcW w:w="814" w:type="dxa"/>
            <w:noWrap w:val="0"/>
            <w:vAlign w:val="center"/>
          </w:tcPr>
          <w:p w14:paraId="659F4276">
            <w:pPr>
              <w:jc w:val="center"/>
              <w:outlineLvl w:val="9"/>
              <w:rPr>
                <w:rFonts w:hint="eastAsia" w:ascii="宋体" w:hAnsi="宋体" w:eastAsia="宋体" w:cs="宋体"/>
                <w:sz w:val="24"/>
                <w:szCs w:val="24"/>
              </w:rPr>
            </w:pPr>
          </w:p>
        </w:tc>
        <w:tc>
          <w:tcPr>
            <w:tcW w:w="985" w:type="dxa"/>
            <w:noWrap w:val="0"/>
            <w:vAlign w:val="top"/>
          </w:tcPr>
          <w:p w14:paraId="63763E90">
            <w:pPr>
              <w:jc w:val="center"/>
              <w:outlineLvl w:val="9"/>
              <w:rPr>
                <w:rFonts w:hint="eastAsia" w:ascii="宋体" w:hAnsi="宋体" w:eastAsia="宋体" w:cs="宋体"/>
                <w:sz w:val="24"/>
                <w:szCs w:val="24"/>
              </w:rPr>
            </w:pPr>
          </w:p>
        </w:tc>
        <w:tc>
          <w:tcPr>
            <w:tcW w:w="1197" w:type="dxa"/>
            <w:noWrap w:val="0"/>
            <w:vAlign w:val="center"/>
          </w:tcPr>
          <w:p w14:paraId="5A1E7319">
            <w:pPr>
              <w:jc w:val="center"/>
              <w:outlineLvl w:val="9"/>
              <w:rPr>
                <w:rFonts w:hint="eastAsia" w:ascii="宋体" w:hAnsi="宋体" w:eastAsia="宋体" w:cs="宋体"/>
                <w:sz w:val="24"/>
                <w:szCs w:val="24"/>
              </w:rPr>
            </w:pPr>
          </w:p>
        </w:tc>
        <w:tc>
          <w:tcPr>
            <w:tcW w:w="2725" w:type="dxa"/>
            <w:noWrap w:val="0"/>
            <w:vAlign w:val="center"/>
          </w:tcPr>
          <w:p w14:paraId="3EFDB7F0">
            <w:pPr>
              <w:jc w:val="center"/>
              <w:outlineLvl w:val="9"/>
              <w:rPr>
                <w:rFonts w:hint="eastAsia" w:ascii="宋体" w:hAnsi="宋体" w:eastAsia="宋体" w:cs="宋体"/>
                <w:sz w:val="24"/>
                <w:szCs w:val="24"/>
              </w:rPr>
            </w:pPr>
          </w:p>
        </w:tc>
        <w:tc>
          <w:tcPr>
            <w:tcW w:w="806" w:type="dxa"/>
            <w:noWrap w:val="0"/>
            <w:vAlign w:val="center"/>
          </w:tcPr>
          <w:p w14:paraId="71CDAB2D">
            <w:pPr>
              <w:jc w:val="center"/>
              <w:outlineLvl w:val="9"/>
              <w:rPr>
                <w:rFonts w:hint="eastAsia" w:ascii="宋体" w:hAnsi="宋体" w:eastAsia="宋体" w:cs="宋体"/>
                <w:sz w:val="24"/>
                <w:szCs w:val="24"/>
              </w:rPr>
            </w:pPr>
          </w:p>
        </w:tc>
        <w:tc>
          <w:tcPr>
            <w:tcW w:w="1433" w:type="dxa"/>
            <w:vMerge w:val="continue"/>
            <w:noWrap w:val="0"/>
            <w:vAlign w:val="center"/>
          </w:tcPr>
          <w:p w14:paraId="1301E1BA">
            <w:pPr>
              <w:pStyle w:val="14"/>
              <w:jc w:val="center"/>
              <w:outlineLvl w:val="9"/>
              <w:rPr>
                <w:rFonts w:hint="eastAsia" w:ascii="宋体" w:hAnsi="宋体" w:cs="宋体"/>
                <w:sz w:val="24"/>
                <w:szCs w:val="24"/>
              </w:rPr>
            </w:pPr>
          </w:p>
        </w:tc>
        <w:tc>
          <w:tcPr>
            <w:tcW w:w="1049" w:type="dxa"/>
            <w:noWrap w:val="0"/>
            <w:vAlign w:val="center"/>
          </w:tcPr>
          <w:p w14:paraId="47FE92BA">
            <w:pPr>
              <w:pStyle w:val="14"/>
              <w:jc w:val="center"/>
              <w:outlineLvl w:val="9"/>
              <w:rPr>
                <w:rFonts w:hint="eastAsia" w:ascii="宋体" w:hAnsi="宋体" w:cs="宋体"/>
                <w:sz w:val="24"/>
                <w:szCs w:val="24"/>
              </w:rPr>
            </w:pPr>
          </w:p>
        </w:tc>
      </w:tr>
      <w:tr w14:paraId="30DC3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exact"/>
        </w:trPr>
        <w:tc>
          <w:tcPr>
            <w:tcW w:w="728" w:type="dxa"/>
            <w:noWrap w:val="0"/>
            <w:vAlign w:val="center"/>
          </w:tcPr>
          <w:p w14:paraId="2CCAC23C">
            <w:pPr>
              <w:pStyle w:val="14"/>
              <w:jc w:val="center"/>
              <w:outlineLvl w:val="9"/>
              <w:rPr>
                <w:rFonts w:hint="eastAsia" w:ascii="宋体" w:hAnsi="宋体" w:cs="宋体"/>
                <w:sz w:val="24"/>
                <w:szCs w:val="24"/>
              </w:rPr>
            </w:pPr>
            <w:r>
              <w:rPr>
                <w:rFonts w:hint="eastAsia" w:ascii="宋体" w:hAnsi="宋体" w:cs="宋体"/>
                <w:sz w:val="24"/>
                <w:szCs w:val="24"/>
              </w:rPr>
              <w:t>...</w:t>
            </w:r>
          </w:p>
        </w:tc>
        <w:tc>
          <w:tcPr>
            <w:tcW w:w="814" w:type="dxa"/>
            <w:noWrap w:val="0"/>
            <w:vAlign w:val="center"/>
          </w:tcPr>
          <w:p w14:paraId="19F3B440">
            <w:pPr>
              <w:jc w:val="center"/>
              <w:outlineLvl w:val="9"/>
              <w:rPr>
                <w:rFonts w:hint="eastAsia" w:ascii="宋体" w:hAnsi="宋体" w:eastAsia="宋体" w:cs="宋体"/>
                <w:sz w:val="24"/>
                <w:szCs w:val="24"/>
              </w:rPr>
            </w:pPr>
          </w:p>
        </w:tc>
        <w:tc>
          <w:tcPr>
            <w:tcW w:w="985" w:type="dxa"/>
            <w:noWrap w:val="0"/>
            <w:vAlign w:val="top"/>
          </w:tcPr>
          <w:p w14:paraId="150526C4">
            <w:pPr>
              <w:jc w:val="center"/>
              <w:outlineLvl w:val="9"/>
              <w:rPr>
                <w:rFonts w:hint="eastAsia" w:ascii="宋体" w:hAnsi="宋体" w:eastAsia="宋体" w:cs="宋体"/>
                <w:sz w:val="24"/>
                <w:szCs w:val="24"/>
              </w:rPr>
            </w:pPr>
          </w:p>
        </w:tc>
        <w:tc>
          <w:tcPr>
            <w:tcW w:w="1197" w:type="dxa"/>
            <w:noWrap w:val="0"/>
            <w:vAlign w:val="center"/>
          </w:tcPr>
          <w:p w14:paraId="65E58568">
            <w:pPr>
              <w:jc w:val="center"/>
              <w:outlineLvl w:val="9"/>
              <w:rPr>
                <w:rFonts w:hint="eastAsia" w:ascii="宋体" w:hAnsi="宋体" w:eastAsia="宋体" w:cs="宋体"/>
                <w:sz w:val="24"/>
                <w:szCs w:val="24"/>
              </w:rPr>
            </w:pPr>
          </w:p>
        </w:tc>
        <w:tc>
          <w:tcPr>
            <w:tcW w:w="2725" w:type="dxa"/>
            <w:noWrap w:val="0"/>
            <w:vAlign w:val="center"/>
          </w:tcPr>
          <w:p w14:paraId="70D6451D">
            <w:pPr>
              <w:ind w:firstLine="240" w:firstLineChars="100"/>
              <w:jc w:val="center"/>
              <w:outlineLvl w:val="9"/>
              <w:rPr>
                <w:rFonts w:hint="eastAsia" w:ascii="宋体" w:hAnsi="宋体" w:eastAsia="宋体" w:cs="宋体"/>
                <w:sz w:val="24"/>
                <w:szCs w:val="24"/>
              </w:rPr>
            </w:pPr>
          </w:p>
        </w:tc>
        <w:tc>
          <w:tcPr>
            <w:tcW w:w="806" w:type="dxa"/>
            <w:noWrap w:val="0"/>
            <w:vAlign w:val="center"/>
          </w:tcPr>
          <w:p w14:paraId="4B6D1C55">
            <w:pPr>
              <w:jc w:val="center"/>
              <w:outlineLvl w:val="9"/>
              <w:rPr>
                <w:rFonts w:hint="eastAsia" w:ascii="宋体" w:hAnsi="宋体" w:eastAsia="宋体" w:cs="宋体"/>
                <w:sz w:val="24"/>
                <w:szCs w:val="24"/>
              </w:rPr>
            </w:pPr>
          </w:p>
        </w:tc>
        <w:tc>
          <w:tcPr>
            <w:tcW w:w="1433" w:type="dxa"/>
            <w:vMerge w:val="continue"/>
            <w:noWrap w:val="0"/>
            <w:vAlign w:val="center"/>
          </w:tcPr>
          <w:p w14:paraId="4FBD108F">
            <w:pPr>
              <w:pStyle w:val="14"/>
              <w:jc w:val="center"/>
              <w:outlineLvl w:val="9"/>
              <w:rPr>
                <w:rFonts w:hint="eastAsia" w:ascii="宋体" w:hAnsi="宋体" w:cs="宋体"/>
                <w:sz w:val="24"/>
                <w:szCs w:val="24"/>
              </w:rPr>
            </w:pPr>
          </w:p>
        </w:tc>
        <w:tc>
          <w:tcPr>
            <w:tcW w:w="1049" w:type="dxa"/>
            <w:noWrap w:val="0"/>
            <w:vAlign w:val="center"/>
          </w:tcPr>
          <w:p w14:paraId="43E27902">
            <w:pPr>
              <w:pStyle w:val="14"/>
              <w:jc w:val="center"/>
              <w:outlineLvl w:val="9"/>
              <w:rPr>
                <w:rFonts w:hint="eastAsia" w:ascii="宋体" w:hAnsi="宋体" w:cs="宋体"/>
                <w:sz w:val="24"/>
                <w:szCs w:val="24"/>
              </w:rPr>
            </w:pPr>
          </w:p>
        </w:tc>
      </w:tr>
      <w:tr w14:paraId="12766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trPr>
        <w:tc>
          <w:tcPr>
            <w:tcW w:w="728" w:type="dxa"/>
            <w:noWrap w:val="0"/>
            <w:vAlign w:val="center"/>
          </w:tcPr>
          <w:p w14:paraId="3F551400">
            <w:pPr>
              <w:pStyle w:val="14"/>
              <w:jc w:val="center"/>
              <w:outlineLvl w:val="9"/>
              <w:rPr>
                <w:rFonts w:hint="eastAsia" w:ascii="宋体" w:hAnsi="宋体" w:cs="宋体"/>
                <w:sz w:val="24"/>
                <w:szCs w:val="24"/>
              </w:rPr>
            </w:pPr>
            <w:r>
              <w:rPr>
                <w:rFonts w:hint="eastAsia" w:ascii="宋体" w:hAnsi="宋体" w:cs="宋体"/>
                <w:sz w:val="24"/>
                <w:szCs w:val="24"/>
              </w:rPr>
              <w:t>...</w:t>
            </w:r>
          </w:p>
        </w:tc>
        <w:tc>
          <w:tcPr>
            <w:tcW w:w="814" w:type="dxa"/>
            <w:noWrap w:val="0"/>
            <w:vAlign w:val="center"/>
          </w:tcPr>
          <w:p w14:paraId="0196F493">
            <w:pPr>
              <w:jc w:val="center"/>
              <w:outlineLvl w:val="9"/>
              <w:rPr>
                <w:rFonts w:hint="eastAsia" w:ascii="宋体" w:hAnsi="宋体" w:eastAsia="宋体" w:cs="宋体"/>
                <w:sz w:val="24"/>
                <w:szCs w:val="24"/>
              </w:rPr>
            </w:pPr>
          </w:p>
        </w:tc>
        <w:tc>
          <w:tcPr>
            <w:tcW w:w="985" w:type="dxa"/>
            <w:noWrap w:val="0"/>
            <w:vAlign w:val="top"/>
          </w:tcPr>
          <w:p w14:paraId="0AD0B3F4">
            <w:pPr>
              <w:jc w:val="center"/>
              <w:outlineLvl w:val="9"/>
              <w:rPr>
                <w:rFonts w:hint="eastAsia" w:ascii="宋体" w:hAnsi="宋体" w:eastAsia="宋体" w:cs="宋体"/>
                <w:sz w:val="24"/>
                <w:szCs w:val="24"/>
              </w:rPr>
            </w:pPr>
          </w:p>
        </w:tc>
        <w:tc>
          <w:tcPr>
            <w:tcW w:w="1197" w:type="dxa"/>
            <w:noWrap w:val="0"/>
            <w:vAlign w:val="center"/>
          </w:tcPr>
          <w:p w14:paraId="76E77438">
            <w:pPr>
              <w:jc w:val="center"/>
              <w:outlineLvl w:val="9"/>
              <w:rPr>
                <w:rFonts w:hint="eastAsia" w:ascii="宋体" w:hAnsi="宋体" w:eastAsia="宋体" w:cs="宋体"/>
                <w:sz w:val="24"/>
                <w:szCs w:val="24"/>
              </w:rPr>
            </w:pPr>
          </w:p>
        </w:tc>
        <w:tc>
          <w:tcPr>
            <w:tcW w:w="2725" w:type="dxa"/>
            <w:noWrap w:val="0"/>
            <w:vAlign w:val="center"/>
          </w:tcPr>
          <w:p w14:paraId="2A00D4F9">
            <w:pPr>
              <w:ind w:firstLine="240" w:firstLineChars="100"/>
              <w:jc w:val="center"/>
              <w:outlineLvl w:val="9"/>
              <w:rPr>
                <w:rFonts w:hint="eastAsia" w:ascii="宋体" w:hAnsi="宋体" w:eastAsia="宋体" w:cs="宋体"/>
                <w:sz w:val="24"/>
                <w:szCs w:val="24"/>
              </w:rPr>
            </w:pPr>
          </w:p>
        </w:tc>
        <w:tc>
          <w:tcPr>
            <w:tcW w:w="806" w:type="dxa"/>
            <w:noWrap w:val="0"/>
            <w:vAlign w:val="center"/>
          </w:tcPr>
          <w:p w14:paraId="53143232">
            <w:pPr>
              <w:jc w:val="center"/>
              <w:outlineLvl w:val="9"/>
              <w:rPr>
                <w:rFonts w:hint="eastAsia" w:ascii="宋体" w:hAnsi="宋体" w:eastAsia="宋体" w:cs="宋体"/>
                <w:sz w:val="24"/>
                <w:szCs w:val="24"/>
              </w:rPr>
            </w:pPr>
          </w:p>
        </w:tc>
        <w:tc>
          <w:tcPr>
            <w:tcW w:w="1433" w:type="dxa"/>
            <w:vMerge w:val="continue"/>
            <w:noWrap w:val="0"/>
            <w:vAlign w:val="center"/>
          </w:tcPr>
          <w:p w14:paraId="0F83CB25">
            <w:pPr>
              <w:pStyle w:val="14"/>
              <w:jc w:val="center"/>
              <w:outlineLvl w:val="9"/>
              <w:rPr>
                <w:rFonts w:hint="eastAsia" w:ascii="宋体" w:hAnsi="宋体" w:cs="宋体"/>
                <w:sz w:val="24"/>
                <w:szCs w:val="24"/>
              </w:rPr>
            </w:pPr>
          </w:p>
        </w:tc>
        <w:tc>
          <w:tcPr>
            <w:tcW w:w="1049" w:type="dxa"/>
            <w:noWrap w:val="0"/>
            <w:vAlign w:val="center"/>
          </w:tcPr>
          <w:p w14:paraId="5EEDCC1A">
            <w:pPr>
              <w:pStyle w:val="14"/>
              <w:jc w:val="center"/>
              <w:outlineLvl w:val="9"/>
              <w:rPr>
                <w:rFonts w:hint="eastAsia" w:ascii="宋体" w:hAnsi="宋体" w:cs="宋体"/>
                <w:sz w:val="24"/>
                <w:szCs w:val="24"/>
              </w:rPr>
            </w:pPr>
          </w:p>
        </w:tc>
      </w:tr>
    </w:tbl>
    <w:p w14:paraId="51EC1BD4">
      <w:pPr>
        <w:pStyle w:val="17"/>
        <w:spacing w:line="500" w:lineRule="exact"/>
        <w:outlineLvl w:val="9"/>
        <w:rPr>
          <w:rFonts w:hint="eastAsia" w:hAnsi="宋体" w:cs="宋体"/>
          <w:b/>
          <w:bCs/>
          <w:sz w:val="24"/>
          <w:szCs w:val="24"/>
        </w:rPr>
      </w:pPr>
      <w:r>
        <w:rPr>
          <w:rFonts w:hint="eastAsia" w:hAnsi="宋体" w:cs="宋体"/>
          <w:b/>
          <w:bCs/>
          <w:sz w:val="24"/>
          <w:szCs w:val="24"/>
        </w:rPr>
        <w:t>★注：</w:t>
      </w:r>
    </w:p>
    <w:p w14:paraId="36E287C7">
      <w:pPr>
        <w:pStyle w:val="17"/>
        <w:spacing w:line="500" w:lineRule="exact"/>
        <w:ind w:firstLine="482" w:firstLineChars="200"/>
        <w:jc w:val="left"/>
        <w:outlineLvl w:val="9"/>
        <w:rPr>
          <w:rFonts w:hint="eastAsia" w:hAnsi="宋体" w:cs="宋体"/>
          <w:b/>
          <w:bCs/>
          <w:sz w:val="24"/>
          <w:szCs w:val="24"/>
        </w:rPr>
      </w:pPr>
      <w:r>
        <w:rPr>
          <w:rFonts w:hint="eastAsia" w:hAnsi="宋体" w:cs="宋体"/>
          <w:b/>
          <w:bCs/>
          <w:sz w:val="24"/>
          <w:szCs w:val="24"/>
        </w:rPr>
        <w:t>1.该表可自行扩展，其中产品有品牌规格型号的必须注明品牌规格型号。</w:t>
      </w:r>
    </w:p>
    <w:p w14:paraId="07490E73">
      <w:pPr>
        <w:pStyle w:val="17"/>
        <w:spacing w:line="500" w:lineRule="exact"/>
        <w:ind w:firstLine="482" w:firstLineChars="200"/>
        <w:jc w:val="left"/>
        <w:outlineLvl w:val="9"/>
        <w:rPr>
          <w:rFonts w:hint="eastAsia" w:hAnsi="宋体" w:cs="宋体"/>
          <w:b/>
          <w:bCs/>
          <w:sz w:val="24"/>
          <w:szCs w:val="24"/>
        </w:rPr>
      </w:pPr>
      <w:r>
        <w:rPr>
          <w:rFonts w:hint="eastAsia" w:hAnsi="宋体" w:cs="宋体"/>
          <w:b/>
          <w:bCs/>
          <w:sz w:val="24"/>
          <w:szCs w:val="24"/>
        </w:rPr>
        <w:t>2.表中“产品名称、计量单位”须与第五章</w:t>
      </w:r>
      <w:r>
        <w:rPr>
          <w:rFonts w:hint="eastAsia" w:hAnsi="宋体" w:cs="宋体"/>
          <w:b/>
          <w:bCs/>
          <w:sz w:val="24"/>
          <w:szCs w:val="24"/>
          <w:lang w:val="en-US" w:eastAsia="zh-CN"/>
        </w:rPr>
        <w:t>项目需求及服务要求</w:t>
      </w:r>
      <w:r>
        <w:rPr>
          <w:rFonts w:hint="eastAsia" w:hAnsi="宋体" w:cs="宋体"/>
          <w:b/>
          <w:bCs/>
          <w:sz w:val="24"/>
          <w:szCs w:val="24"/>
        </w:rPr>
        <w:t>中对应要求（描述）一致。</w:t>
      </w:r>
    </w:p>
    <w:p w14:paraId="1DCA0FE1">
      <w:pPr>
        <w:spacing w:line="500" w:lineRule="exact"/>
        <w:ind w:firstLine="482" w:firstLineChars="200"/>
        <w:outlineLvl w:val="9"/>
        <w:rPr>
          <w:rFonts w:hint="eastAsia" w:ascii="宋体"/>
          <w:b/>
          <w:bCs/>
          <w:szCs w:val="20"/>
        </w:rPr>
      </w:pPr>
      <w:r>
        <w:rPr>
          <w:rFonts w:hint="eastAsia" w:ascii="宋体" w:hAnsi="宋体" w:eastAsia="宋体" w:cs="宋体"/>
          <w:b/>
          <w:bCs/>
          <w:kern w:val="2"/>
          <w:sz w:val="24"/>
          <w:szCs w:val="24"/>
          <w:lang w:val="en-US" w:eastAsia="zh-CN" w:bidi="ar-SA"/>
        </w:rPr>
        <w:t>3.本表“</w:t>
      </w:r>
      <w:r>
        <w:rPr>
          <w:rFonts w:hint="eastAsia" w:ascii="宋体" w:hAnsi="宋体" w:cs="宋体"/>
          <w:b/>
          <w:bCs/>
          <w:sz w:val="24"/>
          <w:szCs w:val="24"/>
        </w:rPr>
        <w:t>投标报价</w:t>
      </w:r>
      <w:r>
        <w:rPr>
          <w:rFonts w:hint="eastAsia" w:ascii="宋体" w:hAnsi="宋体" w:eastAsia="宋体" w:cs="Times New Roman"/>
          <w:b/>
          <w:bCs/>
          <w:sz w:val="24"/>
          <w:szCs w:val="24"/>
          <w:lang w:val="en-US" w:eastAsia="zh-CN"/>
        </w:rPr>
        <w:t>单价报价统一下浮率</w:t>
      </w:r>
      <w:r>
        <w:rPr>
          <w:rFonts w:hint="eastAsia" w:ascii="宋体" w:hAnsi="宋体" w:eastAsia="宋体" w:cs="宋体"/>
          <w:b/>
          <w:bCs/>
          <w:kern w:val="2"/>
          <w:sz w:val="24"/>
          <w:szCs w:val="24"/>
          <w:lang w:val="en-US" w:eastAsia="zh-CN" w:bidi="ar-SA"/>
        </w:rPr>
        <w:t>”项应与《开标一览表》中“</w:t>
      </w:r>
      <w:r>
        <w:rPr>
          <w:rFonts w:hint="eastAsia" w:ascii="宋体" w:hAnsi="宋体" w:cs="宋体"/>
          <w:b/>
          <w:bCs/>
          <w:sz w:val="24"/>
          <w:szCs w:val="24"/>
        </w:rPr>
        <w:t>投标报价</w:t>
      </w:r>
      <w:r>
        <w:rPr>
          <w:rFonts w:hint="eastAsia" w:ascii="宋体" w:hAnsi="宋体" w:eastAsia="宋体" w:cs="Times New Roman"/>
          <w:b/>
          <w:bCs/>
          <w:sz w:val="24"/>
          <w:szCs w:val="24"/>
          <w:lang w:val="en-US" w:eastAsia="zh-CN"/>
        </w:rPr>
        <w:t>单价报价统一下浮率</w:t>
      </w:r>
      <w:r>
        <w:rPr>
          <w:rFonts w:hint="eastAsia" w:ascii="宋体" w:hAnsi="宋体" w:eastAsia="宋体" w:cs="宋体"/>
          <w:b/>
          <w:bCs/>
          <w:kern w:val="2"/>
          <w:sz w:val="24"/>
          <w:szCs w:val="24"/>
          <w:lang w:val="en-US" w:eastAsia="zh-CN" w:bidi="ar-SA"/>
        </w:rPr>
        <w:t>”及《投标函》中“</w:t>
      </w:r>
      <w:r>
        <w:rPr>
          <w:rFonts w:hint="eastAsia" w:ascii="宋体" w:hAnsi="宋体" w:cs="宋体"/>
          <w:b/>
          <w:bCs/>
          <w:sz w:val="24"/>
          <w:szCs w:val="24"/>
        </w:rPr>
        <w:t>投标报价</w:t>
      </w:r>
      <w:r>
        <w:rPr>
          <w:rFonts w:hint="eastAsia" w:ascii="宋体" w:hAnsi="宋体" w:eastAsia="宋体" w:cs="Times New Roman"/>
          <w:b/>
          <w:bCs/>
          <w:sz w:val="24"/>
          <w:szCs w:val="24"/>
          <w:lang w:val="en-US" w:eastAsia="zh-CN"/>
        </w:rPr>
        <w:t>单价报价统一下浮率</w:t>
      </w:r>
      <w:r>
        <w:rPr>
          <w:rFonts w:hint="eastAsia" w:ascii="宋体" w:hAnsi="宋体" w:eastAsia="宋体" w:cs="宋体"/>
          <w:b/>
          <w:bCs/>
          <w:kern w:val="2"/>
          <w:sz w:val="24"/>
          <w:szCs w:val="24"/>
          <w:lang w:val="en-US" w:eastAsia="zh-CN" w:bidi="ar-SA"/>
        </w:rPr>
        <w:t>”一致。</w:t>
      </w:r>
    </w:p>
    <w:p w14:paraId="6408F0B3">
      <w:pPr>
        <w:spacing w:line="500" w:lineRule="exact"/>
        <w:ind w:firstLine="420"/>
        <w:outlineLvl w:val="9"/>
        <w:rPr>
          <w:rFonts w:hint="eastAsia" w:ascii="宋体"/>
          <w:szCs w:val="20"/>
        </w:rPr>
      </w:pPr>
    </w:p>
    <w:p w14:paraId="059E18C1">
      <w:pPr>
        <w:outlineLvl w:val="9"/>
        <w:rPr>
          <w:rFonts w:ascii="宋体" w:hAnsi="宋体"/>
          <w:b/>
          <w:sz w:val="24"/>
        </w:rPr>
        <w:sectPr>
          <w:pgSz w:w="11906" w:h="16838"/>
          <w:pgMar w:top="1440" w:right="1134" w:bottom="1440" w:left="1134" w:header="851" w:footer="851" w:gutter="0"/>
          <w:pgNumType w:fmt="decimal"/>
          <w:cols w:space="720" w:num="1"/>
          <w:docGrid w:linePitch="312" w:charSpace="0"/>
        </w:sectPr>
      </w:pPr>
    </w:p>
    <w:p w14:paraId="6C1B0568">
      <w:pPr>
        <w:pStyle w:val="17"/>
        <w:spacing w:line="600" w:lineRule="exact"/>
        <w:jc w:val="left"/>
        <w:outlineLvl w:val="9"/>
        <w:rPr>
          <w:rFonts w:hint="eastAsia" w:hAnsi="宋体"/>
          <w:b/>
          <w:sz w:val="28"/>
          <w:szCs w:val="28"/>
        </w:rPr>
      </w:pPr>
      <w:r>
        <w:rPr>
          <w:rFonts w:hAnsi="宋体"/>
          <w:b/>
          <w:sz w:val="28"/>
          <w:szCs w:val="28"/>
        </w:rPr>
        <w:t>格式</w:t>
      </w:r>
      <w:r>
        <w:rPr>
          <w:rFonts w:hint="eastAsia" w:hAnsi="宋体"/>
          <w:b/>
          <w:sz w:val="28"/>
          <w:szCs w:val="28"/>
        </w:rPr>
        <w:t>5：</w:t>
      </w:r>
    </w:p>
    <w:p w14:paraId="2C58138C">
      <w:pPr>
        <w:pStyle w:val="10"/>
        <w:ind w:firstLine="0" w:firstLineChars="0"/>
        <w:outlineLvl w:val="9"/>
      </w:pPr>
      <w:r>
        <w:rPr>
          <w:rFonts w:hint="eastAsia" w:ascii="宋体" w:hAnsi="宋体"/>
          <w:b/>
          <w:sz w:val="28"/>
          <w:szCs w:val="28"/>
        </w:rPr>
        <w:t>格式5</w:t>
      </w:r>
      <w:r>
        <w:rPr>
          <w:rFonts w:ascii="宋体" w:hAnsi="宋体"/>
          <w:b/>
          <w:sz w:val="28"/>
          <w:szCs w:val="28"/>
        </w:rPr>
        <w:t>-1</w:t>
      </w:r>
      <w:r>
        <w:rPr>
          <w:rFonts w:hint="eastAsia" w:ascii="宋体" w:hAnsi="宋体"/>
          <w:b/>
          <w:sz w:val="28"/>
          <w:szCs w:val="28"/>
        </w:rPr>
        <w:t>：</w:t>
      </w:r>
    </w:p>
    <w:p w14:paraId="337AD48D">
      <w:pPr>
        <w:spacing w:line="360" w:lineRule="auto"/>
        <w:jc w:val="center"/>
        <w:outlineLvl w:val="9"/>
        <w:rPr>
          <w:rFonts w:hint="eastAsia" w:ascii="宋体" w:hAnsi="宋体" w:eastAsia="宋体" w:cs="Times New Roman"/>
          <w:b/>
          <w:bCs/>
          <w:sz w:val="32"/>
          <w:szCs w:val="32"/>
        </w:rPr>
      </w:pPr>
      <w:r>
        <w:rPr>
          <w:rFonts w:hint="eastAsia" w:ascii="宋体" w:hAnsi="宋体" w:eastAsia="宋体" w:cs="Times New Roman"/>
          <w:b/>
          <w:bCs/>
          <w:sz w:val="32"/>
          <w:szCs w:val="32"/>
        </w:rPr>
        <w:t>中小企业声明函</w:t>
      </w:r>
    </w:p>
    <w:p w14:paraId="78B07A09">
      <w:pPr>
        <w:keepNext w:val="0"/>
        <w:keepLines w:val="0"/>
        <w:pageBreakBefore w:val="0"/>
        <w:widowControl w:val="0"/>
        <w:kinsoku/>
        <w:wordWrap/>
        <w:overflowPunct/>
        <w:topLinePunct w:val="0"/>
        <w:autoSpaceDE/>
        <w:autoSpaceDN/>
        <w:bidi w:val="0"/>
        <w:adjustRightInd/>
        <w:snapToGrid/>
        <w:spacing w:after="120" w:line="360" w:lineRule="auto"/>
        <w:ind w:firstLine="720" w:firstLineChars="300"/>
        <w:textAlignment w:val="auto"/>
        <w:outlineLvl w:val="9"/>
        <w:rPr>
          <w:rFonts w:ascii="宋体" w:hAnsi="宋体"/>
          <w:sz w:val="24"/>
        </w:rPr>
      </w:pPr>
      <w:r>
        <w:rPr>
          <w:rFonts w:hint="eastAsia" w:ascii="宋体" w:hAnsi="宋体"/>
          <w:sz w:val="24"/>
        </w:rPr>
        <w:t>本公司（联合体）郑重声明，根据《政府采购促进中小企业发展管理办法》（财库﹝2020﹞46号）的规定，本公司（联合体）参加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单 位 名 称 ）</w:t>
      </w:r>
      <w:r>
        <w:rPr>
          <w:rFonts w:hint="eastAsia" w:ascii="宋体" w:hAnsi="宋体"/>
          <w:sz w:val="24"/>
        </w:rPr>
        <w:t xml:space="preserve"> 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项 目 名 称 ）</w:t>
      </w:r>
      <w:r>
        <w:rPr>
          <w:rFonts w:ascii="宋体" w:hAnsi="宋体"/>
          <w:sz w:val="24"/>
        </w:rPr>
        <w:t xml:space="preserve"> </w:t>
      </w:r>
      <w:r>
        <w:rPr>
          <w:rFonts w:hint="eastAsia" w:ascii="宋体" w:hAnsi="宋体"/>
          <w:sz w:val="24"/>
        </w:rPr>
        <w:t xml:space="preserve"> 采购活动，</w:t>
      </w:r>
      <w:r>
        <w:rPr>
          <w:rFonts w:hint="eastAsia" w:ascii="宋体" w:hAnsi="宋体" w:eastAsia="宋体" w:cs="宋体"/>
          <w:spacing w:val="4"/>
          <w:sz w:val="24"/>
          <w:szCs w:val="24"/>
        </w:rPr>
        <w:t>提供的货物全部由符合政策要求的中小企业制造。相关企业的具体情况如下：</w:t>
      </w:r>
      <w:r>
        <w:rPr>
          <w:rFonts w:hint="eastAsia" w:ascii="宋体" w:hAnsi="宋体"/>
          <w:sz w:val="24"/>
        </w:rPr>
        <w:t xml:space="preserve">相关企业（含联合体中的中小企业、签订分包意向协议的中小企业）的具体情况如下： </w:t>
      </w:r>
    </w:p>
    <w:p w14:paraId="0C6210C7">
      <w:pPr>
        <w:keepNext w:val="0"/>
        <w:keepLines w:val="0"/>
        <w:pageBreakBefore w:val="0"/>
        <w:widowControl/>
        <w:kinsoku/>
        <w:wordWrap/>
        <w:overflowPunct/>
        <w:topLinePunct w:val="0"/>
        <w:autoSpaceDE/>
        <w:autoSpaceDN/>
        <w:bidi w:val="0"/>
        <w:adjustRightInd/>
        <w:snapToGrid/>
        <w:spacing w:line="360" w:lineRule="auto"/>
        <w:ind w:firstLine="720" w:firstLineChars="300"/>
        <w:jc w:val="both"/>
        <w:textAlignment w:val="auto"/>
        <w:outlineLvl w:val="9"/>
        <w:rPr>
          <w:rFonts w:ascii="宋体" w:hAnsi="宋体"/>
          <w:sz w:val="24"/>
        </w:rPr>
      </w:pPr>
      <w:r>
        <w:rPr>
          <w:rFonts w:hint="eastAsia" w:ascii="宋体" w:hAnsi="宋体"/>
          <w:sz w:val="24"/>
        </w:rPr>
        <w:t>1.</w:t>
      </w:r>
      <w:bookmarkStart w:id="113" w:name="OLE_LINK14"/>
      <w:r>
        <w:rPr>
          <w:rFonts w:hint="eastAsia" w:ascii="宋体" w:hAnsi="宋体"/>
          <w:sz w:val="24"/>
          <w:u w:val="none"/>
          <w:lang w:val="en-US" w:eastAsia="zh-CN"/>
        </w:rPr>
        <w:t>（</w:t>
      </w:r>
      <w:r>
        <w:rPr>
          <w:rFonts w:hint="eastAsia" w:ascii="宋体" w:hAnsi="宋体"/>
          <w:sz w:val="24"/>
          <w:u w:val="single"/>
        </w:rPr>
        <w:t xml:space="preserve">  </w:t>
      </w:r>
      <w:r>
        <w:rPr>
          <w:rFonts w:hint="eastAsia" w:ascii="宋体" w:hAnsi="宋体" w:eastAsia="宋体"/>
          <w:sz w:val="24"/>
          <w:u w:val="single"/>
          <w:lang w:val="en-US" w:eastAsia="zh-CN"/>
        </w:rPr>
        <w:t xml:space="preserve">         </w:t>
      </w:r>
      <w:r>
        <w:rPr>
          <w:rFonts w:hint="eastAsia" w:ascii="宋体" w:hAnsi="宋体"/>
          <w:sz w:val="24"/>
          <w:u w:val="single"/>
          <w:lang w:val="en-US" w:eastAsia="zh-CN"/>
        </w:rPr>
        <w:t xml:space="preserve"> </w:t>
      </w:r>
      <w:r>
        <w:rPr>
          <w:rFonts w:hint="eastAsia" w:ascii="宋体" w:hAnsi="宋体"/>
          <w:sz w:val="24"/>
          <w:u w:val="single"/>
        </w:rPr>
        <w:t xml:space="preserve">标 的 名 称 ） </w:t>
      </w:r>
      <w:r>
        <w:rPr>
          <w:rFonts w:hint="eastAsia" w:ascii="宋体" w:hAnsi="宋体"/>
          <w:sz w:val="24"/>
        </w:rPr>
        <w:t>，属于</w:t>
      </w:r>
      <w:r>
        <w:rPr>
          <w:rFonts w:hint="eastAsia" w:ascii="宋体" w:hAnsi="宋体"/>
          <w:b/>
          <w:sz w:val="24"/>
          <w:u w:val="single"/>
          <w:lang w:val="en-US" w:eastAsia="zh-CN"/>
        </w:rPr>
        <w:t xml:space="preserve"> 批发业</w:t>
      </w:r>
      <w:r>
        <w:rPr>
          <w:rFonts w:hint="eastAsia" w:ascii="宋体" w:hAnsi="宋体" w:eastAsia="宋体" w:cs="宋体"/>
          <w:color w:val="auto"/>
          <w:spacing w:val="4"/>
          <w:sz w:val="24"/>
          <w:szCs w:val="24"/>
          <w:highlight w:val="none"/>
          <w:u w:val="single"/>
        </w:rPr>
        <w:t>（采购文件中明确的所属行业）</w:t>
      </w:r>
      <w:r>
        <w:rPr>
          <w:rFonts w:hint="eastAsia" w:ascii="宋体" w:hAnsi="宋体"/>
          <w:sz w:val="24"/>
        </w:rPr>
        <w:t>行业；</w:t>
      </w:r>
      <w:r>
        <w:rPr>
          <w:rFonts w:hint="eastAsia" w:ascii="宋体" w:hAnsi="宋体" w:eastAsia="宋体" w:cs="宋体"/>
          <w:spacing w:val="4"/>
          <w:sz w:val="24"/>
          <w:szCs w:val="24"/>
        </w:rPr>
        <w:t>制造商为</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（企业名称），从业人员</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人，营业收入为</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万元，资产总额为</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万元 ，属于</w:t>
      </w:r>
      <w:r>
        <w:rPr>
          <w:rFonts w:hint="eastAsia" w:ascii="宋体" w:hAnsi="宋体" w:eastAsia="宋体" w:cs="宋体"/>
          <w:spacing w:val="4"/>
          <w:sz w:val="24"/>
          <w:szCs w:val="24"/>
          <w:u w:val="single"/>
        </w:rPr>
        <w:t xml:space="preserve">      </w:t>
      </w:r>
      <w:r>
        <w:rPr>
          <w:rFonts w:hint="eastAsia" w:ascii="宋体" w:hAnsi="宋体"/>
          <w:sz w:val="24"/>
          <w:u w:val="single"/>
        </w:rPr>
        <w:t>（中型企业、小型企业、微型企业）；</w:t>
      </w:r>
      <w:bookmarkEnd w:id="113"/>
    </w:p>
    <w:p w14:paraId="634469BC">
      <w:pPr>
        <w:keepNext w:val="0"/>
        <w:keepLines w:val="0"/>
        <w:pageBreakBefore w:val="0"/>
        <w:kinsoku/>
        <w:wordWrap/>
        <w:overflowPunct/>
        <w:topLinePunct w:val="0"/>
        <w:autoSpaceDE/>
        <w:autoSpaceDN/>
        <w:bidi w:val="0"/>
        <w:adjustRightInd/>
        <w:snapToGrid/>
        <w:spacing w:after="120" w:line="360" w:lineRule="auto"/>
        <w:ind w:firstLine="720" w:firstLineChars="300"/>
        <w:textAlignment w:val="auto"/>
        <w:outlineLvl w:val="9"/>
        <w:rPr>
          <w:rFonts w:hint="eastAsia" w:ascii="宋体" w:hAnsi="宋体"/>
          <w:sz w:val="24"/>
          <w:u w:val="single"/>
        </w:rPr>
      </w:pPr>
      <w:r>
        <w:rPr>
          <w:rFonts w:hint="eastAsia" w:ascii="宋体" w:hAnsi="宋体"/>
          <w:sz w:val="24"/>
          <w:u w:val="none"/>
          <w:lang w:val="en-US" w:eastAsia="zh-CN"/>
        </w:rPr>
        <w:t>2.</w:t>
      </w:r>
      <w:bookmarkStart w:id="114" w:name="OLE_LINK2"/>
      <w:r>
        <w:rPr>
          <w:rFonts w:hint="eastAsia" w:ascii="宋体" w:hAnsi="宋体"/>
          <w:sz w:val="24"/>
          <w:u w:val="none"/>
          <w:lang w:val="en-US" w:eastAsia="zh-CN"/>
        </w:rPr>
        <w:t>（</w:t>
      </w:r>
      <w:r>
        <w:rPr>
          <w:rFonts w:hint="eastAsia" w:ascii="宋体" w:hAnsi="宋体"/>
          <w:sz w:val="24"/>
          <w:u w:val="single"/>
        </w:rPr>
        <w:t xml:space="preserve">  </w:t>
      </w:r>
      <w:r>
        <w:rPr>
          <w:rFonts w:hint="eastAsia" w:ascii="宋体" w:hAnsi="宋体" w:eastAsia="宋体"/>
          <w:sz w:val="24"/>
          <w:u w:val="single"/>
          <w:lang w:val="en-US" w:eastAsia="zh-CN"/>
        </w:rPr>
        <w:t xml:space="preserve">         </w:t>
      </w:r>
      <w:r>
        <w:rPr>
          <w:rFonts w:hint="eastAsia" w:ascii="宋体" w:hAnsi="宋体"/>
          <w:sz w:val="24"/>
          <w:u w:val="single"/>
          <w:lang w:val="en-US" w:eastAsia="zh-CN"/>
        </w:rPr>
        <w:t xml:space="preserve"> </w:t>
      </w:r>
      <w:r>
        <w:rPr>
          <w:rFonts w:hint="eastAsia" w:ascii="宋体" w:hAnsi="宋体"/>
          <w:sz w:val="24"/>
          <w:u w:val="single"/>
        </w:rPr>
        <w:t xml:space="preserve">标 的 名 称 ） </w:t>
      </w:r>
      <w:bookmarkEnd w:id="114"/>
      <w:r>
        <w:rPr>
          <w:rFonts w:hint="eastAsia" w:ascii="宋体" w:hAnsi="宋体"/>
          <w:sz w:val="24"/>
        </w:rPr>
        <w:t>，属于</w:t>
      </w:r>
      <w:r>
        <w:rPr>
          <w:rFonts w:hint="eastAsia" w:ascii="宋体" w:hAnsi="宋体"/>
          <w:b/>
          <w:sz w:val="24"/>
          <w:u w:val="single"/>
          <w:lang w:val="en-US" w:eastAsia="zh-CN"/>
        </w:rPr>
        <w:t xml:space="preserve"> 批发业</w:t>
      </w:r>
      <w:r>
        <w:rPr>
          <w:rFonts w:hint="eastAsia" w:ascii="宋体" w:hAnsi="宋体" w:eastAsia="宋体" w:cs="宋体"/>
          <w:color w:val="auto"/>
          <w:spacing w:val="4"/>
          <w:sz w:val="24"/>
          <w:szCs w:val="24"/>
          <w:highlight w:val="none"/>
          <w:u w:val="single"/>
        </w:rPr>
        <w:t>（采购文件中明确的所属行业）</w:t>
      </w:r>
      <w:r>
        <w:rPr>
          <w:rFonts w:hint="eastAsia" w:ascii="宋体" w:hAnsi="宋体"/>
          <w:sz w:val="24"/>
        </w:rPr>
        <w:t>行业；</w:t>
      </w:r>
      <w:r>
        <w:rPr>
          <w:rFonts w:hint="eastAsia" w:ascii="宋体" w:hAnsi="宋体" w:eastAsia="宋体" w:cs="宋体"/>
          <w:spacing w:val="4"/>
          <w:sz w:val="24"/>
          <w:szCs w:val="24"/>
        </w:rPr>
        <w:t>制造商为</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（企业名称），从业人员</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人，营业收入为</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万元，资产总额为</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万元 ，属于</w:t>
      </w:r>
      <w:r>
        <w:rPr>
          <w:rFonts w:hint="eastAsia" w:ascii="宋体" w:hAnsi="宋体" w:eastAsia="宋体" w:cs="宋体"/>
          <w:spacing w:val="4"/>
          <w:sz w:val="24"/>
          <w:szCs w:val="24"/>
          <w:u w:val="single"/>
        </w:rPr>
        <w:t xml:space="preserve">      </w:t>
      </w:r>
      <w:r>
        <w:rPr>
          <w:rFonts w:hint="eastAsia" w:ascii="宋体" w:hAnsi="宋体"/>
          <w:sz w:val="24"/>
          <w:u w:val="single"/>
        </w:rPr>
        <w:t>（中型企业、小型企业、微型企业）；</w:t>
      </w:r>
    </w:p>
    <w:p w14:paraId="35EE64B2">
      <w:pPr>
        <w:spacing w:after="120" w:line="360" w:lineRule="auto"/>
        <w:ind w:firstLine="720" w:firstLineChars="300"/>
        <w:outlineLvl w:val="9"/>
        <w:rPr>
          <w:rFonts w:ascii="宋体" w:hAnsi="宋体"/>
          <w:sz w:val="24"/>
        </w:rPr>
      </w:pPr>
      <w:r>
        <w:rPr>
          <w:rFonts w:hint="eastAsia" w:ascii="宋体" w:hAnsi="宋体"/>
          <w:sz w:val="24"/>
        </w:rPr>
        <w:t xml:space="preserve">…… </w:t>
      </w:r>
    </w:p>
    <w:p w14:paraId="28D323B1">
      <w:pPr>
        <w:spacing w:after="120" w:line="360" w:lineRule="auto"/>
        <w:ind w:firstLine="720" w:firstLineChars="300"/>
        <w:outlineLvl w:val="9"/>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 </w:t>
      </w:r>
    </w:p>
    <w:p w14:paraId="30540A79">
      <w:pPr>
        <w:spacing w:after="120" w:line="360" w:lineRule="auto"/>
        <w:ind w:firstLine="720" w:firstLineChars="300"/>
        <w:outlineLvl w:val="9"/>
        <w:rPr>
          <w:rFonts w:ascii="宋体" w:hAnsi="宋体"/>
          <w:sz w:val="24"/>
        </w:rPr>
      </w:pPr>
      <w:r>
        <w:rPr>
          <w:rFonts w:hint="eastAsia" w:ascii="宋体" w:hAnsi="宋体"/>
          <w:sz w:val="24"/>
        </w:rPr>
        <w:t xml:space="preserve">本企业对上述声明内容的真实性负责。如有虚假，将依法承担相应责任。 </w:t>
      </w:r>
    </w:p>
    <w:p w14:paraId="5D61B160">
      <w:pPr>
        <w:spacing w:after="120" w:line="360" w:lineRule="auto"/>
        <w:ind w:firstLine="3600" w:firstLineChars="1500"/>
        <w:outlineLvl w:val="9"/>
        <w:rPr>
          <w:rFonts w:ascii="宋体" w:hAnsi="宋体"/>
          <w:sz w:val="24"/>
        </w:rPr>
      </w:pPr>
    </w:p>
    <w:p w14:paraId="07E13789">
      <w:pPr>
        <w:spacing w:after="120" w:line="360" w:lineRule="auto"/>
        <w:ind w:firstLine="3840" w:firstLineChars="1600"/>
        <w:outlineLvl w:val="9"/>
        <w:rPr>
          <w:rFonts w:ascii="宋体" w:hAnsi="宋体"/>
          <w:sz w:val="24"/>
        </w:rPr>
      </w:pPr>
      <w:r>
        <w:rPr>
          <w:rFonts w:hint="eastAsia" w:ascii="宋体" w:hAnsi="宋体"/>
          <w:sz w:val="24"/>
        </w:rPr>
        <w:t>企业名称（加盖电子公章）：</w:t>
      </w:r>
    </w:p>
    <w:p w14:paraId="1F2685F6">
      <w:pPr>
        <w:spacing w:line="360" w:lineRule="auto"/>
        <w:ind w:firstLine="3840" w:firstLineChars="1600"/>
        <w:outlineLvl w:val="9"/>
        <w:rPr>
          <w:rFonts w:ascii="宋体" w:hAnsi="宋体"/>
          <w:sz w:val="24"/>
        </w:rPr>
      </w:pPr>
      <w:r>
        <w:rPr>
          <w:rFonts w:hint="eastAsia" w:ascii="宋体" w:hAnsi="宋体"/>
          <w:sz w:val="24"/>
        </w:rPr>
        <w:t>日 期：</w:t>
      </w:r>
    </w:p>
    <w:p w14:paraId="21471B4C">
      <w:pPr>
        <w:spacing w:line="360" w:lineRule="auto"/>
        <w:ind w:firstLine="482" w:firstLineChars="200"/>
        <w:outlineLvl w:val="9"/>
        <w:rPr>
          <w:rFonts w:ascii="宋体" w:hAnsi="宋体"/>
          <w:b/>
          <w:sz w:val="24"/>
        </w:rPr>
      </w:pPr>
      <w:r>
        <w:rPr>
          <w:rFonts w:hint="eastAsia" w:ascii="宋体" w:hAnsi="宋体"/>
          <w:b/>
          <w:sz w:val="24"/>
        </w:rPr>
        <w:t>注：</w:t>
      </w:r>
    </w:p>
    <w:p w14:paraId="60287A1B">
      <w:pPr>
        <w:spacing w:line="360" w:lineRule="auto"/>
        <w:ind w:firstLine="482" w:firstLineChars="200"/>
        <w:outlineLvl w:val="9"/>
        <w:rPr>
          <w:rFonts w:ascii="宋体" w:hAnsi="宋体"/>
          <w:b/>
          <w:sz w:val="24"/>
        </w:rPr>
      </w:pPr>
      <w:r>
        <w:rPr>
          <w:rFonts w:hint="eastAsia" w:ascii="宋体" w:hAnsi="宋体"/>
          <w:b/>
          <w:sz w:val="24"/>
        </w:rPr>
        <w:t>上表中从业人员、营业收入、资产总额填报上一年度数据，无上一年度数据的新成立企业可不填报。</w:t>
      </w:r>
    </w:p>
    <w:p w14:paraId="7CCCF042">
      <w:pPr>
        <w:spacing w:line="360" w:lineRule="auto"/>
        <w:ind w:firstLine="482" w:firstLineChars="200"/>
        <w:outlineLvl w:val="9"/>
        <w:rPr>
          <w:rFonts w:ascii="宋体" w:hAnsi="宋体"/>
          <w:b/>
          <w:sz w:val="24"/>
          <w:u w:val="single"/>
        </w:rPr>
      </w:pPr>
      <w:r>
        <w:rPr>
          <w:rFonts w:hint="eastAsia" w:ascii="宋体" w:hAnsi="宋体"/>
          <w:b/>
          <w:sz w:val="24"/>
          <w:lang w:val="en-US" w:eastAsia="zh-CN"/>
        </w:rPr>
        <w:t>1</w:t>
      </w:r>
      <w:r>
        <w:rPr>
          <w:rFonts w:hint="eastAsia" w:ascii="宋体" w:hAnsi="宋体"/>
          <w:b/>
          <w:sz w:val="24"/>
        </w:rPr>
        <w:t>、</w:t>
      </w:r>
      <w:r>
        <w:rPr>
          <w:rFonts w:hint="eastAsia" w:ascii="宋体" w:hAnsi="宋体"/>
          <w:b/>
          <w:sz w:val="24"/>
          <w:u w:val="singl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
          <w:sz w:val="24"/>
        </w:rPr>
        <w:t>。</w:t>
      </w:r>
    </w:p>
    <w:p w14:paraId="16B55C5A">
      <w:pPr>
        <w:spacing w:line="360" w:lineRule="auto"/>
        <w:ind w:firstLine="482" w:firstLineChars="200"/>
        <w:outlineLvl w:val="9"/>
        <w:rPr>
          <w:rFonts w:ascii="宋体" w:hAnsi="宋体"/>
          <w:b/>
          <w:sz w:val="24"/>
        </w:rPr>
      </w:pPr>
      <w:r>
        <w:rPr>
          <w:rFonts w:hint="eastAsia" w:ascii="宋体" w:hAnsi="宋体"/>
          <w:b/>
          <w:sz w:val="24"/>
          <w:lang w:val="en-US" w:eastAsia="zh-CN"/>
        </w:rPr>
        <w:t>2</w:t>
      </w:r>
      <w:r>
        <w:rPr>
          <w:rFonts w:hint="eastAsia" w:ascii="宋体" w:hAnsi="宋体"/>
          <w:b/>
          <w:sz w:val="24"/>
        </w:rPr>
        <w:t>、投标人须核对《关于印发中小企业划型标准规定的通知》（工信部联企业〔2011〕300号）规定的中小企业划型标准，如实填写声明函。所声明的从业人员人数或营业收入金额不符合中小企业划型标准规定或未按招标文件明确的所属行业填写的，评标委员会将不予进行价格扣除。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w:t>
      </w:r>
    </w:p>
    <w:p w14:paraId="6A2B46DC">
      <w:pPr>
        <w:spacing w:line="360" w:lineRule="auto"/>
        <w:ind w:firstLine="482" w:firstLineChars="200"/>
        <w:outlineLvl w:val="9"/>
        <w:rPr>
          <w:rFonts w:ascii="宋体" w:hAnsi="宋体"/>
          <w:b/>
          <w:sz w:val="24"/>
        </w:rPr>
      </w:pPr>
      <w:r>
        <w:rPr>
          <w:rFonts w:hint="eastAsia" w:ascii="宋体" w:hAnsi="宋体"/>
          <w:b/>
          <w:sz w:val="24"/>
          <w:lang w:val="en-US" w:eastAsia="zh-CN"/>
        </w:rPr>
        <w:t>3</w:t>
      </w:r>
      <w:r>
        <w:rPr>
          <w:rFonts w:hint="eastAsia" w:ascii="宋体" w:hAnsi="宋体"/>
          <w:b/>
          <w:sz w:val="24"/>
        </w:rPr>
        <w:t>、本项目标的所属《关于印发中小企业划型标准规定的通知》（工信部联企业〔2011〕300号）中所列“</w:t>
      </w:r>
      <w:r>
        <w:rPr>
          <w:rFonts w:hint="eastAsia" w:ascii="宋体" w:hAnsi="宋体"/>
          <w:b/>
          <w:sz w:val="24"/>
          <w:u w:val="single"/>
          <w:lang w:val="en-US" w:eastAsia="zh-CN"/>
        </w:rPr>
        <w:t>批发业</w:t>
      </w:r>
      <w:r>
        <w:rPr>
          <w:rFonts w:hint="eastAsia" w:ascii="宋体" w:hAnsi="宋体"/>
          <w:b/>
          <w:sz w:val="24"/>
        </w:rPr>
        <w:t>”。</w:t>
      </w:r>
    </w:p>
    <w:p w14:paraId="30EC7EA8">
      <w:pPr>
        <w:spacing w:line="360" w:lineRule="auto"/>
        <w:ind w:firstLine="480" w:firstLineChars="200"/>
        <w:outlineLvl w:val="9"/>
        <w:rPr>
          <w:rFonts w:ascii="宋体" w:hAnsi="宋体"/>
          <w:sz w:val="24"/>
        </w:rPr>
      </w:pPr>
    </w:p>
    <w:p w14:paraId="65A472AC">
      <w:pPr>
        <w:widowControl/>
        <w:spacing w:line="600" w:lineRule="exact"/>
        <w:jc w:val="left"/>
        <w:outlineLvl w:val="9"/>
        <w:rPr>
          <w:rFonts w:hint="eastAsia" w:ascii="宋体" w:hAnsi="宋体" w:cs="宋体"/>
          <w:color w:val="auto"/>
          <w:kern w:val="0"/>
          <w:sz w:val="32"/>
          <w:szCs w:val="32"/>
          <w:highlight w:val="none"/>
        </w:rPr>
      </w:pPr>
      <w:r>
        <w:rPr>
          <w:rFonts w:hAnsi="宋体"/>
          <w:kern w:val="0"/>
          <w:sz w:val="24"/>
        </w:rPr>
        <w:br w:type="page"/>
      </w:r>
      <w:r>
        <w:rPr>
          <w:rFonts w:hint="eastAsia" w:ascii="宋体" w:hAnsi="宋体" w:cs="宋体"/>
          <w:color w:val="auto"/>
          <w:kern w:val="0"/>
          <w:szCs w:val="21"/>
          <w:highlight w:val="none"/>
        </w:rPr>
        <w:t>附表</w:t>
      </w:r>
    </w:p>
    <w:p w14:paraId="5A7707AF">
      <w:pPr>
        <w:widowControl/>
        <w:spacing w:line="330" w:lineRule="atLeast"/>
        <w:jc w:val="center"/>
        <w:outlineLvl w:val="9"/>
        <w:rPr>
          <w:rFonts w:hint="eastAsia" w:ascii="宋体" w:hAnsi="宋体" w:cs="宋体"/>
          <w:color w:val="auto"/>
          <w:kern w:val="0"/>
          <w:sz w:val="36"/>
          <w:szCs w:val="32"/>
          <w:highlight w:val="none"/>
        </w:rPr>
      </w:pPr>
      <w:r>
        <w:rPr>
          <w:rFonts w:hint="eastAsia" w:ascii="宋体" w:hAnsi="宋体" w:cs="宋体"/>
          <w:color w:val="auto"/>
          <w:kern w:val="0"/>
          <w:sz w:val="36"/>
          <w:szCs w:val="32"/>
          <w:highlight w:val="none"/>
        </w:rPr>
        <w:t>统计上大中小微型企业划分标准</w:t>
      </w:r>
    </w:p>
    <w:tbl>
      <w:tblPr>
        <w:tblStyle w:val="32"/>
        <w:tblW w:w="0" w:type="auto"/>
        <w:jc w:val="center"/>
        <w:tblLayout w:type="fixed"/>
        <w:tblCellMar>
          <w:top w:w="0" w:type="dxa"/>
          <w:left w:w="108" w:type="dxa"/>
          <w:bottom w:w="0" w:type="dxa"/>
          <w:right w:w="108" w:type="dxa"/>
        </w:tblCellMar>
      </w:tblPr>
      <w:tblGrid>
        <w:gridCol w:w="2113"/>
        <w:gridCol w:w="1369"/>
        <w:gridCol w:w="709"/>
        <w:gridCol w:w="1125"/>
        <w:gridCol w:w="1701"/>
        <w:gridCol w:w="1426"/>
        <w:gridCol w:w="992"/>
      </w:tblGrid>
      <w:tr w14:paraId="1D5BE943">
        <w:tblPrEx>
          <w:tblCellMar>
            <w:top w:w="0" w:type="dxa"/>
            <w:left w:w="108" w:type="dxa"/>
            <w:bottom w:w="0" w:type="dxa"/>
            <w:right w:w="108" w:type="dxa"/>
          </w:tblCellMar>
        </w:tblPrEx>
        <w:trPr>
          <w:trHeight w:val="622" w:hRule="exact"/>
          <w:jc w:val="center"/>
        </w:trPr>
        <w:tc>
          <w:tcPr>
            <w:tcW w:w="2113" w:type="dxa"/>
            <w:tcBorders>
              <w:top w:val="single" w:color="auto" w:sz="4" w:space="0"/>
              <w:left w:val="single" w:color="auto" w:sz="4" w:space="0"/>
              <w:bottom w:val="single" w:color="auto" w:sz="4" w:space="0"/>
              <w:right w:val="single" w:color="auto" w:sz="4" w:space="0"/>
            </w:tcBorders>
            <w:noWrap w:val="0"/>
            <w:vAlign w:val="center"/>
          </w:tcPr>
          <w:p w14:paraId="4BEB504D">
            <w:pPr>
              <w:widowControl/>
              <w:spacing w:line="240" w:lineRule="exact"/>
              <w:jc w:val="center"/>
              <w:outlineLvl w:val="9"/>
              <w:rPr>
                <w:rFonts w:hint="eastAsia" w:ascii="宋体" w:hAnsi="宋体" w:eastAsia="宋体" w:cs="宋体"/>
                <w:b/>
                <w:bCs/>
                <w:color w:val="auto"/>
                <w:kern w:val="0"/>
                <w:sz w:val="18"/>
                <w:szCs w:val="21"/>
                <w:highlight w:val="none"/>
              </w:rPr>
            </w:pPr>
            <w:r>
              <w:rPr>
                <w:rFonts w:hint="eastAsia" w:ascii="宋体" w:hAnsi="宋体" w:eastAsia="宋体" w:cs="宋体"/>
                <w:b/>
                <w:bCs/>
                <w:color w:val="auto"/>
                <w:kern w:val="0"/>
                <w:sz w:val="18"/>
                <w:szCs w:val="21"/>
                <w:highlight w:val="none"/>
              </w:rPr>
              <w:t>行业名称</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756D3F71">
            <w:pPr>
              <w:widowControl/>
              <w:jc w:val="center"/>
              <w:outlineLvl w:val="9"/>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指标名称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C27B6BC">
            <w:pPr>
              <w:widowControl/>
              <w:jc w:val="center"/>
              <w:outlineLvl w:val="9"/>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计量</w:t>
            </w:r>
          </w:p>
          <w:p w14:paraId="786E297C">
            <w:pPr>
              <w:widowControl/>
              <w:jc w:val="center"/>
              <w:outlineLvl w:val="9"/>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单位</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E706D58">
            <w:pPr>
              <w:widowControl/>
              <w:jc w:val="center"/>
              <w:outlineLvl w:val="9"/>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大型</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9ABB68B">
            <w:pPr>
              <w:widowControl/>
              <w:jc w:val="center"/>
              <w:outlineLvl w:val="9"/>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中型</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1EFF1E1B">
            <w:pPr>
              <w:widowControl/>
              <w:jc w:val="center"/>
              <w:outlineLvl w:val="9"/>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小型</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A3C8956">
            <w:pPr>
              <w:widowControl/>
              <w:jc w:val="center"/>
              <w:outlineLvl w:val="9"/>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微型</w:t>
            </w:r>
          </w:p>
        </w:tc>
      </w:tr>
      <w:tr w14:paraId="024CAFC3">
        <w:tblPrEx>
          <w:tblCellMar>
            <w:top w:w="0" w:type="dxa"/>
            <w:left w:w="108" w:type="dxa"/>
            <w:bottom w:w="0" w:type="dxa"/>
            <w:right w:w="108" w:type="dxa"/>
          </w:tblCellMar>
        </w:tblPrEx>
        <w:trPr>
          <w:trHeight w:val="397" w:hRule="exact"/>
          <w:jc w:val="center"/>
        </w:trPr>
        <w:tc>
          <w:tcPr>
            <w:tcW w:w="2113" w:type="dxa"/>
            <w:tcBorders>
              <w:top w:val="single" w:color="auto" w:sz="4" w:space="0"/>
              <w:left w:val="single" w:color="auto" w:sz="4" w:space="0"/>
              <w:bottom w:val="single" w:color="auto" w:sz="4" w:space="0"/>
              <w:right w:val="single" w:color="auto" w:sz="4" w:space="0"/>
            </w:tcBorders>
            <w:noWrap w:val="0"/>
            <w:vAlign w:val="center"/>
          </w:tcPr>
          <w:p w14:paraId="63D991C2">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农、林、牧、渔业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9304C57">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3024A64">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7ECE95D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DC49D7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500≤Y＜20000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621F0753">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50≤Y＜500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8104A6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w:t>
            </w:r>
          </w:p>
        </w:tc>
      </w:tr>
      <w:tr w14:paraId="189435ED">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1E64737F">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工业 *</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745691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A7942A4">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B311507">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261D805">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300≤X＜1000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0144FDE1">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20≤X＜300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2518CAD">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w:t>
            </w:r>
          </w:p>
        </w:tc>
      </w:tr>
      <w:tr w14:paraId="535972CF">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7872DDC8">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CA83B15">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8DE979E">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846860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Y≥40000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B735CBA">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2000≤Y＜40000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4B0666CC">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300≤Y＜2000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BDE62C7">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w:t>
            </w:r>
          </w:p>
        </w:tc>
      </w:tr>
      <w:tr w14:paraId="26C627C5">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1FC53BBD">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建筑业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37085588">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28FC75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2BAF297">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Y≥80000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DB8350A">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6000≤Y＜80000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72CFD4CD">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300≤Y＜6000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B77F52E">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w:t>
            </w:r>
          </w:p>
        </w:tc>
      </w:tr>
      <w:tr w14:paraId="29D4CC30">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7A1034EC">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4F32B40">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0AC9F54">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3DD19FE">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Z≥80000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E81573A">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5000≤Z＜80000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4859F934">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300≤Z＜5000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4985A6E">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Z＜300</w:t>
            </w:r>
          </w:p>
        </w:tc>
      </w:tr>
      <w:tr w14:paraId="5C8C4C6C">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18474BA7">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批发业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2D7CC2A">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F5DD904">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7EA86E4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EC2141D">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20≤X＜200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226488CA">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5≤X＜20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39D95A4">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X＜5</w:t>
            </w:r>
          </w:p>
        </w:tc>
      </w:tr>
      <w:tr w14:paraId="3ABD6E56">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442A2DFE">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93D3823">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0F60268">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C7368A0">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Y≥40000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03A7128">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5000≤Y＜40000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0739E599">
            <w:pPr>
              <w:widowControl/>
              <w:ind w:left="-1" w:leftChars="-1" w:hanging="1"/>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1000≤Y＜5000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157981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w:t>
            </w:r>
          </w:p>
        </w:tc>
      </w:tr>
      <w:tr w14:paraId="1DCB3955">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49863823">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零售业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EA897C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2D604C3">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04EF2E7">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160B566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50≤X＜300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79092D26">
            <w:pPr>
              <w:widowControl/>
              <w:ind w:left="-1" w:leftChars="-1" w:hanging="1"/>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10≤X＜50 </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F5EC2AC">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4AFB2141">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00475186">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94097A0">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528C468">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7B43755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5E02EE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500≤Y＜20000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4466F341">
            <w:pPr>
              <w:widowControl/>
              <w:ind w:left="-1" w:leftChars="-1" w:hanging="1"/>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100≤Y＜500 </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74924ED">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0741E8BA">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4F3C09DB">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交通运输业 *</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6FC7EF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E634E59">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A589BBA">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CCBA93C">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300≤X＜1000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13884B28">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20≤X＜300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6AB1023">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w:t>
            </w:r>
          </w:p>
        </w:tc>
      </w:tr>
      <w:tr w14:paraId="59B606E0">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27876EAF">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BA0EB57">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D55319F">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7AAF1A6A">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D7AD95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3000≤Y＜30000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0752B775">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200≤Y＜3000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A17D727">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w:t>
            </w:r>
          </w:p>
        </w:tc>
      </w:tr>
      <w:tr w14:paraId="2741DE58">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66E42736">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仓储业*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006855E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B8B1361">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7518854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BC63384">
            <w:pPr>
              <w:widowControl/>
              <w:ind w:left="1" w:leftChars="-51" w:hanging="108" w:hangingChars="60"/>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100≤X＜200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4C5720F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FBAFE73">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w:t>
            </w:r>
          </w:p>
        </w:tc>
      </w:tr>
      <w:tr w14:paraId="79814D95">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680E492A">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21D72C2">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02E4261">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B56A15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98B2D1E">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1000≤Y＜30000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3AB0EB90">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100≤Y＜1000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E44F065">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38990569">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7D94B4CA">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邮政业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F0DA7C8">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10849DC">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AC84E1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B243F6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300≤X＜1000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2634D5B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20≤X＜300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45BD60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w:t>
            </w:r>
          </w:p>
        </w:tc>
      </w:tr>
      <w:tr w14:paraId="0FC6A8BF">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1EFBABEB">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CCA7994">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3696E1">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9BE046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43B921D">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2000≤Y＜30000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5BB7A4E1">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100≤Y＜2000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2B574B7">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0C0ACAE4">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255828C1">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住宿业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0D667700">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ADD87F0">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D022371">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018C7DB">
            <w:pPr>
              <w:widowControl/>
              <w:ind w:left="1" w:leftChars="-51" w:hanging="108" w:hangingChars="60"/>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28FA33C8">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F1EB0C9">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196FD994">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3B76ED22">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75E7A63">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F722E7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AC2E16A">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141B8AF">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2000≤Y＜10000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3F102630">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100≤Y＜2000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A7754BD">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1BB36B90">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5A2E7226">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餐饮业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7DA1E2B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6985E27">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B61EBF8">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1EB775D7">
            <w:pPr>
              <w:widowControl/>
              <w:ind w:left="1" w:leftChars="-51" w:hanging="108" w:hangingChars="60"/>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1C86C69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C468419">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777088E2">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3F292118">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3EDE356">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74E2234">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17FF048">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7261BC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2000≤Y＜10000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50C6B890">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100≤Y＜2000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7AA5D2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5ECFD2E3">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1CC746A3">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信息传输业 *</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34679B7F">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F36A55F">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A223845">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11F2FE67">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100≤X＜2000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06884A7A">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81D651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36D69048">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7556B1B2">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AF8E031">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A67A5D7">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0F26933">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00A78A5">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1000≤Y＜100000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40DB4D3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100≤Y＜1000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C35D93F">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2B38F241">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44C57C20">
            <w:pPr>
              <w:widowControl/>
              <w:spacing w:line="240" w:lineRule="exact"/>
              <w:jc w:val="left"/>
              <w:outlineLvl w:val="9"/>
              <w:rPr>
                <w:rFonts w:hint="eastAsia" w:ascii="宋体" w:hAnsi="宋体" w:eastAsia="宋体" w:cs="宋体"/>
                <w:color w:val="auto"/>
                <w:spacing w:val="-12"/>
                <w:kern w:val="0"/>
                <w:sz w:val="18"/>
                <w:szCs w:val="18"/>
                <w:highlight w:val="none"/>
              </w:rPr>
            </w:pPr>
            <w:r>
              <w:rPr>
                <w:rFonts w:hint="eastAsia" w:ascii="宋体" w:hAnsi="宋体" w:eastAsia="宋体" w:cs="宋体"/>
                <w:color w:val="auto"/>
                <w:spacing w:val="-12"/>
                <w:kern w:val="0"/>
                <w:sz w:val="18"/>
                <w:szCs w:val="18"/>
                <w:highlight w:val="none"/>
              </w:rPr>
              <w:t>软件和信息技术服</w:t>
            </w:r>
            <w:r>
              <w:rPr>
                <w:rFonts w:hint="eastAsia" w:ascii="宋体" w:hAnsi="宋体" w:eastAsia="宋体" w:cs="宋体"/>
                <w:color w:val="auto"/>
                <w:kern w:val="0"/>
                <w:sz w:val="18"/>
                <w:szCs w:val="18"/>
                <w:highlight w:val="none"/>
              </w:rPr>
              <w:t>务业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66D48117">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11E99D1">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1188B1D">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FDF9C06">
            <w:pPr>
              <w:widowControl/>
              <w:ind w:left="1" w:leftChars="-51" w:hanging="108" w:hangingChars="60"/>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17555749">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3ED2974">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0A03BD3F">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56719AA3">
            <w:pPr>
              <w:widowControl/>
              <w:jc w:val="left"/>
              <w:outlineLvl w:val="9"/>
              <w:rPr>
                <w:rFonts w:hint="eastAsia" w:ascii="宋体" w:hAnsi="宋体" w:eastAsia="宋体" w:cs="宋体"/>
                <w:color w:val="auto"/>
                <w:spacing w:val="-12"/>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68D4503">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54C6EF0">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8215901">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19626CB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1000≤Y＜10000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4692D8B9">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50≤Y＜1000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9227BC1">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w:t>
            </w:r>
          </w:p>
        </w:tc>
      </w:tr>
      <w:tr w14:paraId="096B0BF1">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60823021">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房地产开发经营</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3DBA8580">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1392FF">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DF119F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6558AEF">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1000≤Y＜200000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56D0EF7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100≤Y＜1000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8DEE938">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17550343">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175CF0B9">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0525F7D9">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DF14765">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E3340EF">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AB40D48">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5000≤Z＜10000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6319786E">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2000≤Z＜5000   </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A16E0E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Z＜2000</w:t>
            </w:r>
          </w:p>
        </w:tc>
      </w:tr>
      <w:tr w14:paraId="483EFE06">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00F94172">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物业管理</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31C5E4F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B4B92A">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19E824A">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80FF0E3">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300≤X＜1000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692FB59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100≤X＜300 </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73CB7D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w:t>
            </w:r>
          </w:p>
        </w:tc>
      </w:tr>
      <w:tr w14:paraId="010FE639">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3C9903FC">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5548F20D">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119B63">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A83810E">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1D367F8">
            <w:pPr>
              <w:widowControl/>
              <w:ind w:left="1" w:leftChars="-51" w:hanging="108" w:hangingChars="60"/>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1000≤Y＜5000 </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7BE4EB70">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500≤Y＜1000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4F05EAC">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Y＜500</w:t>
            </w:r>
          </w:p>
        </w:tc>
      </w:tr>
      <w:tr w14:paraId="6AD2706F">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10688EE0">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租赁和商务服务业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7BAF6171">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B19DB0F">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3B589F4">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09CBE71">
            <w:pPr>
              <w:widowControl/>
              <w:ind w:left="1" w:leftChars="-51" w:hanging="108" w:hangingChars="60"/>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614919C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1F04B63">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683CB27C">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51295ACA">
            <w:pPr>
              <w:widowControl/>
              <w:jc w:val="left"/>
              <w:outlineLvl w:val="9"/>
              <w:rPr>
                <w:rFonts w:hint="eastAsia" w:ascii="宋体" w:hAnsi="宋体" w:eastAsia="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0F195257">
            <w:pPr>
              <w:widowControl/>
              <w:spacing w:line="240" w:lineRule="exact"/>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E380BB">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E915EC5">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Z≥120000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CC1DE7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8000≤Z＜120000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3966F74A">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100≤Z＜8000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0B4F7E2">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Z＜100</w:t>
            </w:r>
          </w:p>
        </w:tc>
      </w:tr>
      <w:tr w14:paraId="783C9B19">
        <w:tblPrEx>
          <w:tblCellMar>
            <w:top w:w="0" w:type="dxa"/>
            <w:left w:w="108" w:type="dxa"/>
            <w:bottom w:w="0" w:type="dxa"/>
            <w:right w:w="108" w:type="dxa"/>
          </w:tblCellMar>
        </w:tblPrEx>
        <w:trPr>
          <w:trHeight w:val="397" w:hRule="exact"/>
          <w:jc w:val="center"/>
        </w:trPr>
        <w:tc>
          <w:tcPr>
            <w:tcW w:w="2113" w:type="dxa"/>
            <w:tcBorders>
              <w:top w:val="single" w:color="auto" w:sz="4" w:space="0"/>
              <w:left w:val="single" w:color="auto" w:sz="4" w:space="0"/>
              <w:bottom w:val="single" w:color="auto" w:sz="4" w:space="0"/>
              <w:right w:val="single" w:color="auto" w:sz="4" w:space="0"/>
            </w:tcBorders>
            <w:noWrap w:val="0"/>
            <w:vAlign w:val="center"/>
          </w:tcPr>
          <w:p w14:paraId="11EAC518">
            <w:pPr>
              <w:widowControl/>
              <w:spacing w:line="240" w:lineRule="exact"/>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其他未列明行业 *</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7A5DFF3">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2E28ADC">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46FE7B6">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5069AF6">
            <w:pPr>
              <w:widowControl/>
              <w:ind w:left="1" w:leftChars="-51" w:hanging="108" w:hangingChars="60"/>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640434E4">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0CBD8CC">
            <w:pPr>
              <w:widowControl/>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bl>
    <w:p w14:paraId="267263A2">
      <w:pPr>
        <w:widowControl/>
        <w:spacing w:line="540" w:lineRule="exact"/>
        <w:outlineLvl w:val="9"/>
        <w:rPr>
          <w:rFonts w:hint="eastAsia" w:ascii="宋体" w:hAnsi="宋体" w:cs="宋体"/>
          <w:b w:val="0"/>
          <w:bCs w:val="0"/>
          <w:color w:val="auto"/>
          <w:spacing w:val="8"/>
          <w:kern w:val="0"/>
          <w:szCs w:val="21"/>
          <w:highlight w:val="none"/>
        </w:rPr>
      </w:pPr>
      <w:r>
        <w:rPr>
          <w:rFonts w:hint="eastAsia" w:ascii="宋体" w:hAnsi="宋体" w:cs="宋体"/>
          <w:b/>
          <w:bCs/>
          <w:color w:val="auto"/>
          <w:spacing w:val="8"/>
          <w:kern w:val="0"/>
          <w:szCs w:val="21"/>
          <w:highlight w:val="none"/>
        </w:rPr>
        <w:t>说明：</w:t>
      </w:r>
      <w:r>
        <w:rPr>
          <w:rFonts w:hint="eastAsia" w:ascii="宋体" w:hAnsi="宋体" w:cs="宋体"/>
          <w:b w:val="0"/>
          <w:bCs w:val="0"/>
          <w:color w:val="auto"/>
          <w:spacing w:val="8"/>
          <w:kern w:val="0"/>
          <w:szCs w:val="21"/>
          <w:highlight w:val="none"/>
        </w:rPr>
        <w:t>1.大型、中型和小型企业须同时满足所列指标的下限，否则下划一档；微型企业只需满足所列指标中的一项即可。</w:t>
      </w:r>
    </w:p>
    <w:p w14:paraId="4E75D1F0">
      <w:pPr>
        <w:widowControl/>
        <w:spacing w:line="540" w:lineRule="exact"/>
        <w:outlineLvl w:val="9"/>
        <w:rPr>
          <w:rFonts w:hint="eastAsia" w:ascii="宋体" w:hAnsi="宋体" w:cs="宋体"/>
          <w:b w:val="0"/>
          <w:bCs w:val="0"/>
          <w:color w:val="auto"/>
          <w:spacing w:val="8"/>
          <w:kern w:val="0"/>
          <w:szCs w:val="21"/>
          <w:highlight w:val="none"/>
        </w:rPr>
      </w:pPr>
      <w:r>
        <w:rPr>
          <w:rFonts w:hint="eastAsia" w:ascii="宋体" w:hAnsi="宋体" w:cs="宋体"/>
          <w:b w:val="0"/>
          <w:bCs w:val="0"/>
          <w:color w:val="auto"/>
          <w:spacing w:val="8"/>
          <w:kern w:val="0"/>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33009E5">
      <w:pPr>
        <w:widowControl/>
        <w:spacing w:line="540" w:lineRule="exact"/>
        <w:outlineLvl w:val="9"/>
        <w:rPr>
          <w:rFonts w:hint="eastAsia" w:ascii="宋体" w:hAnsi="宋体" w:cs="宋体"/>
          <w:b w:val="0"/>
          <w:bCs w:val="0"/>
          <w:color w:val="auto"/>
          <w:spacing w:val="8"/>
          <w:kern w:val="0"/>
          <w:szCs w:val="21"/>
          <w:highlight w:val="none"/>
        </w:rPr>
      </w:pPr>
      <w:r>
        <w:rPr>
          <w:rFonts w:hint="eastAsia" w:ascii="宋体" w:hAnsi="宋体" w:cs="宋体"/>
          <w:b w:val="0"/>
          <w:bCs w:val="0"/>
          <w:color w:val="auto"/>
          <w:spacing w:val="8"/>
          <w:kern w:val="0"/>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348E46AB">
      <w:pPr>
        <w:widowControl/>
        <w:jc w:val="left"/>
        <w:outlineLvl w:val="9"/>
        <w:rPr>
          <w:rFonts w:ascii="宋体" w:hAnsi="宋体"/>
          <w:kern w:val="0"/>
          <w:sz w:val="24"/>
        </w:rPr>
      </w:pPr>
    </w:p>
    <w:p w14:paraId="299CCB9F">
      <w:pPr>
        <w:spacing w:line="600" w:lineRule="exact"/>
        <w:outlineLvl w:val="9"/>
        <w:rPr>
          <w:rFonts w:ascii="宋体" w:hAnsi="宋体"/>
          <w:b/>
          <w:sz w:val="28"/>
          <w:szCs w:val="28"/>
        </w:rPr>
      </w:pPr>
      <w:bookmarkStart w:id="115" w:name="_Toc10550588"/>
      <w:bookmarkStart w:id="116" w:name="_Toc513569319"/>
      <w:r>
        <w:rPr>
          <w:rFonts w:hint="eastAsia" w:ascii="宋体" w:hAnsi="宋体"/>
          <w:b/>
          <w:sz w:val="28"/>
          <w:szCs w:val="28"/>
        </w:rPr>
        <w:br w:type="page"/>
      </w:r>
      <w:r>
        <w:rPr>
          <w:rFonts w:hint="eastAsia" w:ascii="宋体" w:hAnsi="宋体"/>
          <w:b/>
          <w:sz w:val="28"/>
          <w:szCs w:val="28"/>
        </w:rPr>
        <w:t>格式5-</w:t>
      </w:r>
      <w:r>
        <w:rPr>
          <w:rFonts w:ascii="宋体" w:hAnsi="宋体"/>
          <w:b/>
          <w:sz w:val="28"/>
          <w:szCs w:val="28"/>
        </w:rPr>
        <w:t>2</w:t>
      </w:r>
      <w:r>
        <w:rPr>
          <w:rFonts w:hint="eastAsia" w:ascii="宋体" w:hAnsi="宋体"/>
          <w:b/>
          <w:sz w:val="28"/>
          <w:szCs w:val="28"/>
        </w:rPr>
        <w:t>：</w:t>
      </w:r>
    </w:p>
    <w:p w14:paraId="4592EBCE">
      <w:pPr>
        <w:spacing w:line="360" w:lineRule="auto"/>
        <w:jc w:val="center"/>
        <w:outlineLvl w:val="9"/>
        <w:rPr>
          <w:rFonts w:hint="eastAsia" w:ascii="宋体" w:hAnsi="宋体" w:eastAsia="宋体" w:cs="Times New Roman"/>
          <w:b/>
          <w:bCs/>
          <w:sz w:val="32"/>
          <w:szCs w:val="32"/>
        </w:rPr>
      </w:pPr>
      <w:r>
        <w:rPr>
          <w:rFonts w:hint="eastAsia" w:ascii="宋体" w:hAnsi="宋体" w:eastAsia="宋体" w:cs="Times New Roman"/>
          <w:b/>
          <w:bCs/>
          <w:sz w:val="32"/>
          <w:szCs w:val="32"/>
        </w:rPr>
        <w:t>残疾人福利性单位声明函</w:t>
      </w:r>
      <w:bookmarkEnd w:id="115"/>
      <w:bookmarkEnd w:id="116"/>
      <w:r>
        <w:rPr>
          <w:rFonts w:hint="eastAsia" w:ascii="宋体" w:hAnsi="宋体" w:eastAsia="宋体" w:cs="Times New Roman"/>
          <w:b/>
          <w:bCs/>
          <w:sz w:val="32"/>
          <w:szCs w:val="32"/>
        </w:rPr>
        <w:t>（如有）</w:t>
      </w:r>
    </w:p>
    <w:p w14:paraId="0684C646">
      <w:pPr>
        <w:spacing w:line="588" w:lineRule="exact"/>
        <w:ind w:firstLine="480" w:firstLineChars="200"/>
        <w:outlineLvl w:val="9"/>
        <w:rPr>
          <w:rFonts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服务（由本单位承担工程/制造的货物），或者提供其他残疾人福利性单位制造的货物（不包括使用非残疾人福利性单位注册商标的货物）。</w:t>
      </w:r>
    </w:p>
    <w:p w14:paraId="7A008A9F">
      <w:pPr>
        <w:spacing w:line="588" w:lineRule="exact"/>
        <w:ind w:firstLine="480" w:firstLineChars="200"/>
        <w:outlineLvl w:val="9"/>
        <w:rPr>
          <w:rFonts w:ascii="宋体" w:hAnsi="宋体"/>
          <w:sz w:val="24"/>
        </w:rPr>
      </w:pPr>
      <w:r>
        <w:rPr>
          <w:rFonts w:hint="eastAsia" w:ascii="宋体" w:hAnsi="宋体"/>
          <w:sz w:val="24"/>
        </w:rPr>
        <w:t>本单位对上述声明的真实性负责。如有虚假，将依法承担相应责任。</w:t>
      </w:r>
    </w:p>
    <w:p w14:paraId="555443B4">
      <w:pPr>
        <w:spacing w:line="588" w:lineRule="exact"/>
        <w:ind w:firstLine="504" w:firstLineChars="200"/>
        <w:outlineLvl w:val="9"/>
        <w:rPr>
          <w:rFonts w:ascii="宋体" w:hAnsi="宋体"/>
          <w:spacing w:val="6"/>
          <w:sz w:val="24"/>
        </w:rPr>
      </w:pPr>
    </w:p>
    <w:p w14:paraId="33EDE499">
      <w:pPr>
        <w:spacing w:line="588" w:lineRule="exact"/>
        <w:ind w:firstLine="504" w:firstLineChars="200"/>
        <w:outlineLvl w:val="9"/>
        <w:rPr>
          <w:rFonts w:ascii="宋体" w:hAnsi="宋体"/>
          <w:spacing w:val="6"/>
          <w:sz w:val="24"/>
        </w:rPr>
      </w:pPr>
    </w:p>
    <w:p w14:paraId="7B265117">
      <w:pPr>
        <w:spacing w:line="360" w:lineRule="auto"/>
        <w:ind w:firstLine="2" w:firstLineChars="1"/>
        <w:outlineLvl w:val="9"/>
        <w:rPr>
          <w:rFonts w:ascii="宋体" w:hAnsi="宋体"/>
          <w:b/>
          <w:sz w:val="24"/>
        </w:rPr>
      </w:pPr>
      <w:r>
        <w:rPr>
          <w:rFonts w:hint="eastAsia" w:ascii="宋体" w:hAnsi="宋体"/>
          <w:b/>
          <w:sz w:val="24"/>
        </w:rPr>
        <w:t>投标人（加盖电子公章）：</w:t>
      </w:r>
      <w:r>
        <w:rPr>
          <w:rFonts w:ascii="宋体" w:hAnsi="宋体"/>
          <w:b/>
          <w:sz w:val="24"/>
          <w:u w:val="single"/>
        </w:rPr>
        <w:t xml:space="preserve">                   </w:t>
      </w:r>
    </w:p>
    <w:p w14:paraId="16FAEEB0">
      <w:pPr>
        <w:spacing w:line="360" w:lineRule="auto"/>
        <w:jc w:val="left"/>
        <w:outlineLvl w:val="9"/>
        <w:rPr>
          <w:rFonts w:ascii="宋体" w:hAnsi="宋体"/>
          <w:b/>
          <w:szCs w:val="21"/>
        </w:rPr>
      </w:pP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496D40AE">
      <w:pPr>
        <w:tabs>
          <w:tab w:val="left" w:pos="4860"/>
        </w:tabs>
        <w:spacing w:line="588" w:lineRule="exact"/>
        <w:ind w:right="1560" w:firstLine="444" w:firstLineChars="200"/>
        <w:jc w:val="left"/>
        <w:outlineLvl w:val="9"/>
        <w:rPr>
          <w:rFonts w:ascii="宋体" w:hAnsi="宋体"/>
          <w:spacing w:val="6"/>
          <w:szCs w:val="21"/>
        </w:rPr>
      </w:pPr>
    </w:p>
    <w:p w14:paraId="12246A0B">
      <w:pPr>
        <w:widowControl/>
        <w:jc w:val="left"/>
        <w:outlineLvl w:val="9"/>
        <w:rPr>
          <w:rFonts w:ascii="宋体" w:hAnsi="宋体"/>
          <w:b/>
          <w:sz w:val="22"/>
          <w:szCs w:val="21"/>
        </w:rPr>
      </w:pPr>
      <w:r>
        <w:rPr>
          <w:rFonts w:hint="eastAsia" w:ascii="宋体" w:hAnsi="宋体"/>
          <w:b/>
          <w:sz w:val="22"/>
          <w:szCs w:val="21"/>
        </w:rPr>
        <w:t>注：1、残疾人福利性单位参与投标时，须提供本企业的《残疾人福利性单位声明函》</w:t>
      </w:r>
    </w:p>
    <w:p w14:paraId="064F577E">
      <w:pPr>
        <w:widowControl/>
        <w:jc w:val="left"/>
        <w:outlineLvl w:val="9"/>
        <w:rPr>
          <w:rFonts w:ascii="宋体" w:hAnsi="宋体"/>
          <w:b/>
          <w:szCs w:val="21"/>
        </w:rPr>
      </w:pPr>
      <w:r>
        <w:rPr>
          <w:rFonts w:ascii="宋体" w:hAnsi="宋体"/>
          <w:b/>
          <w:szCs w:val="21"/>
        </w:rPr>
        <w:br w:type="page"/>
      </w:r>
    </w:p>
    <w:p w14:paraId="2AAB9D07">
      <w:pPr>
        <w:spacing w:line="600" w:lineRule="exact"/>
        <w:outlineLvl w:val="9"/>
        <w:rPr>
          <w:rFonts w:ascii="宋体" w:hAnsi="宋体"/>
          <w:b/>
          <w:sz w:val="28"/>
          <w:szCs w:val="28"/>
        </w:rPr>
      </w:pPr>
      <w:bookmarkStart w:id="117" w:name="_Toc10550589"/>
      <w:bookmarkStart w:id="118" w:name="_Toc513569320"/>
      <w:r>
        <w:rPr>
          <w:rFonts w:hint="eastAsia" w:ascii="宋体" w:hAnsi="宋体"/>
          <w:b/>
          <w:sz w:val="28"/>
          <w:szCs w:val="28"/>
        </w:rPr>
        <w:t>格式5-</w:t>
      </w:r>
      <w:r>
        <w:rPr>
          <w:rFonts w:ascii="宋体" w:hAnsi="宋体"/>
          <w:b/>
          <w:sz w:val="28"/>
          <w:szCs w:val="28"/>
        </w:rPr>
        <w:t>3</w:t>
      </w:r>
      <w:r>
        <w:rPr>
          <w:rFonts w:hint="eastAsia" w:ascii="宋体" w:hAnsi="宋体"/>
          <w:b/>
          <w:sz w:val="28"/>
          <w:szCs w:val="28"/>
        </w:rPr>
        <w:t>：</w:t>
      </w:r>
    </w:p>
    <w:p w14:paraId="1A47753C">
      <w:pPr>
        <w:spacing w:line="360" w:lineRule="auto"/>
        <w:jc w:val="center"/>
        <w:outlineLvl w:val="9"/>
        <w:rPr>
          <w:rFonts w:ascii="宋体" w:hAnsi="宋体"/>
          <w:b/>
          <w:bCs/>
          <w:sz w:val="28"/>
          <w:szCs w:val="36"/>
        </w:rPr>
      </w:pPr>
      <w:r>
        <w:rPr>
          <w:rFonts w:hint="eastAsia" w:ascii="宋体" w:hAnsi="宋体" w:eastAsia="宋体" w:cs="Times New Roman"/>
          <w:b/>
          <w:bCs/>
          <w:sz w:val="32"/>
          <w:szCs w:val="32"/>
        </w:rPr>
        <w:t>监狱企业证明文件</w:t>
      </w:r>
      <w:bookmarkEnd w:id="117"/>
      <w:bookmarkEnd w:id="118"/>
      <w:r>
        <w:rPr>
          <w:rFonts w:hint="eastAsia" w:ascii="宋体" w:hAnsi="宋体" w:eastAsia="宋体" w:cs="Times New Roman"/>
          <w:b/>
          <w:bCs/>
          <w:sz w:val="32"/>
          <w:szCs w:val="32"/>
        </w:rPr>
        <w:t>（如有）</w:t>
      </w:r>
    </w:p>
    <w:p w14:paraId="2E2A2A67">
      <w:pPr>
        <w:spacing w:line="588" w:lineRule="exact"/>
        <w:ind w:firstLine="480" w:firstLineChars="200"/>
        <w:outlineLvl w:val="9"/>
        <w:rPr>
          <w:rFonts w:ascii="宋体" w:hAnsi="宋体"/>
          <w:spacing w:val="6"/>
          <w:sz w:val="24"/>
          <w:szCs w:val="21"/>
        </w:rPr>
      </w:pPr>
      <w:r>
        <w:rPr>
          <w:rFonts w:hint="eastAsia" w:ascii="宋体" w:hAnsi="宋体"/>
          <w:sz w:val="24"/>
          <w:szCs w:val="21"/>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D0E3C14">
      <w:pPr>
        <w:spacing w:line="588" w:lineRule="exact"/>
        <w:ind w:firstLine="444" w:firstLineChars="200"/>
        <w:outlineLvl w:val="9"/>
        <w:rPr>
          <w:rFonts w:ascii="宋体" w:hAnsi="宋体"/>
          <w:spacing w:val="6"/>
          <w:szCs w:val="21"/>
        </w:rPr>
      </w:pPr>
    </w:p>
    <w:p w14:paraId="10434798">
      <w:pPr>
        <w:spacing w:line="360" w:lineRule="auto"/>
        <w:ind w:firstLine="2" w:firstLineChars="1"/>
        <w:jc w:val="left"/>
        <w:outlineLvl w:val="9"/>
        <w:rPr>
          <w:rFonts w:ascii="宋体" w:hAnsi="宋体"/>
          <w:b/>
          <w:sz w:val="24"/>
        </w:rPr>
      </w:pPr>
      <w:r>
        <w:rPr>
          <w:rFonts w:hint="eastAsia" w:ascii="宋体" w:hAnsi="宋体"/>
          <w:b/>
          <w:sz w:val="24"/>
        </w:rPr>
        <w:t>投标人（加盖电子公章）：</w:t>
      </w:r>
      <w:r>
        <w:rPr>
          <w:rFonts w:ascii="宋体" w:hAnsi="宋体"/>
          <w:b/>
          <w:sz w:val="24"/>
          <w:u w:val="single"/>
        </w:rPr>
        <w:t xml:space="preserve">                   </w:t>
      </w:r>
    </w:p>
    <w:p w14:paraId="72BB9487">
      <w:pPr>
        <w:pStyle w:val="17"/>
        <w:spacing w:line="600" w:lineRule="exact"/>
        <w:jc w:val="left"/>
        <w:outlineLvl w:val="9"/>
        <w:rPr>
          <w:rFonts w:hAnsi="宋体"/>
          <w:b/>
          <w:sz w:val="28"/>
          <w:szCs w:val="28"/>
        </w:rPr>
      </w:pPr>
      <w:r>
        <w:rPr>
          <w:rFonts w:hAnsi="宋体"/>
          <w:b/>
          <w:sz w:val="24"/>
          <w:u w:val="single"/>
        </w:rPr>
        <w:t xml:space="preserve">          </w:t>
      </w:r>
      <w:r>
        <w:rPr>
          <w:rFonts w:hAnsi="宋体"/>
          <w:b/>
          <w:sz w:val="24"/>
        </w:rPr>
        <w:t>年</w:t>
      </w:r>
      <w:r>
        <w:rPr>
          <w:rFonts w:hAnsi="宋体"/>
          <w:b/>
          <w:sz w:val="24"/>
          <w:u w:val="single"/>
        </w:rPr>
        <w:t xml:space="preserve">       </w:t>
      </w:r>
      <w:r>
        <w:rPr>
          <w:rFonts w:hAnsi="宋体"/>
          <w:b/>
          <w:sz w:val="24"/>
        </w:rPr>
        <w:t>月</w:t>
      </w:r>
      <w:r>
        <w:rPr>
          <w:rFonts w:hAnsi="宋体"/>
          <w:b/>
          <w:sz w:val="24"/>
          <w:u w:val="single"/>
        </w:rPr>
        <w:t xml:space="preserve">       </w:t>
      </w:r>
      <w:r>
        <w:rPr>
          <w:rFonts w:hAnsi="宋体"/>
          <w:b/>
          <w:sz w:val="24"/>
        </w:rPr>
        <w:t>日</w:t>
      </w:r>
    </w:p>
    <w:p w14:paraId="2316EBB9">
      <w:pPr>
        <w:keepNext w:val="0"/>
        <w:keepLines w:val="0"/>
        <w:pageBreakBefore w:val="0"/>
        <w:widowControl w:val="0"/>
        <w:kinsoku/>
        <w:wordWrap/>
        <w:overflowPunct/>
        <w:topLinePunct w:val="0"/>
        <w:autoSpaceDE/>
        <w:autoSpaceDN/>
        <w:bidi w:val="0"/>
        <w:adjustRightInd w:val="0"/>
        <w:snapToGrid w:val="0"/>
        <w:spacing w:line="500" w:lineRule="exact"/>
        <w:ind w:firstLine="3" w:firstLineChars="1"/>
        <w:jc w:val="both"/>
        <w:textAlignment w:val="auto"/>
        <w:outlineLvl w:val="9"/>
        <w:rPr>
          <w:rFonts w:hAnsi="宋体"/>
          <w:b/>
          <w:sz w:val="28"/>
          <w:szCs w:val="28"/>
        </w:rPr>
      </w:pPr>
      <w:r>
        <w:rPr>
          <w:rFonts w:hAnsi="宋体"/>
          <w:b/>
          <w:sz w:val="28"/>
          <w:szCs w:val="28"/>
        </w:rPr>
        <w:br w:type="page"/>
      </w:r>
      <w:r>
        <w:rPr>
          <w:rFonts w:hint="eastAsia" w:hAnsi="宋体"/>
          <w:b/>
          <w:sz w:val="28"/>
          <w:szCs w:val="28"/>
        </w:rPr>
        <w:t>格式</w:t>
      </w:r>
      <w:r>
        <w:rPr>
          <w:rFonts w:hint="eastAsia" w:hAnsi="宋体"/>
          <w:b/>
          <w:sz w:val="28"/>
          <w:szCs w:val="28"/>
          <w:lang w:val="en-US" w:eastAsia="zh-CN"/>
        </w:rPr>
        <w:t>6</w:t>
      </w:r>
      <w:r>
        <w:rPr>
          <w:rFonts w:hint="eastAsia" w:hAnsi="宋体"/>
          <w:b/>
          <w:sz w:val="28"/>
          <w:szCs w:val="28"/>
        </w:rPr>
        <w:t>：</w:t>
      </w:r>
    </w:p>
    <w:p w14:paraId="01C641E7">
      <w:pPr>
        <w:tabs>
          <w:tab w:val="left" w:pos="900"/>
          <w:tab w:val="left" w:pos="1588"/>
        </w:tabs>
        <w:ind w:left="851" w:firstLine="0"/>
        <w:jc w:val="center"/>
        <w:outlineLvl w:val="9"/>
        <w:rPr>
          <w:rFonts w:ascii="宋体" w:hAnsi="宋体" w:eastAsia="宋体"/>
          <w:b/>
          <w:bCs/>
          <w:sz w:val="32"/>
          <w:szCs w:val="32"/>
        </w:rPr>
      </w:pPr>
      <w:bookmarkStart w:id="119" w:name="_Toc531895139"/>
      <w:bookmarkStart w:id="120" w:name="_Toc496122209"/>
      <w:r>
        <w:rPr>
          <w:rFonts w:hint="eastAsia" w:ascii="宋体" w:hAnsi="宋体" w:eastAsia="宋体"/>
          <w:b/>
          <w:bCs/>
          <w:sz w:val="32"/>
          <w:szCs w:val="32"/>
        </w:rPr>
        <w:t>投标人</w:t>
      </w:r>
      <w:bookmarkEnd w:id="119"/>
      <w:r>
        <w:rPr>
          <w:rFonts w:hint="eastAsia" w:ascii="宋体" w:hAnsi="宋体" w:eastAsia="宋体"/>
          <w:b/>
          <w:bCs/>
          <w:sz w:val="32"/>
          <w:szCs w:val="32"/>
        </w:rPr>
        <w:t>类似项目经验</w:t>
      </w:r>
    </w:p>
    <w:p w14:paraId="4CE99373">
      <w:pPr>
        <w:tabs>
          <w:tab w:val="left" w:pos="7844"/>
        </w:tabs>
        <w:spacing w:line="588" w:lineRule="exact"/>
        <w:jc w:val="left"/>
        <w:outlineLvl w:val="9"/>
        <w:rPr>
          <w:rFonts w:hint="eastAsia" w:hAnsi="宋体"/>
          <w:b/>
          <w:sz w:val="24"/>
        </w:rPr>
      </w:pPr>
      <w:r>
        <w:rPr>
          <w:rFonts w:hint="eastAsia" w:hAnsi="宋体"/>
          <w:b/>
          <w:sz w:val="24"/>
        </w:rPr>
        <w:t>项目名称：</w:t>
      </w:r>
      <w:r>
        <w:rPr>
          <w:rFonts w:hint="eastAsia" w:ascii="宋体" w:hAnsi="宋体" w:eastAsia="宋体" w:cs="Times New Roman"/>
          <w:b/>
          <w:sz w:val="24"/>
          <w:szCs w:val="24"/>
          <w:lang w:eastAsia="zh-CN"/>
        </w:rPr>
        <w:t>云南省玉溪监狱2026年至2027年罪犯配餐中心生活物资 一 标段(猪肉类；鸡肉类、冻品（鱼虾）类)采购项目</w:t>
      </w:r>
      <w:r>
        <w:rPr>
          <w:rFonts w:hint="eastAsia" w:ascii="宋体" w:hAnsi="宋体" w:eastAsia="宋体" w:cs="Times New Roman"/>
          <w:b/>
          <w:sz w:val="24"/>
          <w:szCs w:val="24"/>
          <w:lang w:val="en-US" w:eastAsia="zh-CN"/>
        </w:rPr>
        <w:t>包</w:t>
      </w:r>
      <w:r>
        <w:rPr>
          <w:rFonts w:hint="eastAsia" w:ascii="宋体" w:hAnsi="宋体" w:eastAsia="宋体" w:cs="Times New Roman"/>
          <w:b/>
          <w:sz w:val="24"/>
          <w:szCs w:val="24"/>
          <w:u w:val="single"/>
          <w:lang w:eastAsia="zh-CN"/>
        </w:rPr>
        <w:t xml:space="preserve">  </w:t>
      </w:r>
      <w:r>
        <w:rPr>
          <w:rFonts w:hint="eastAsia" w:ascii="宋体" w:hAnsi="宋体" w:eastAsia="宋体" w:cs="Times New Roman"/>
          <w:b/>
          <w:sz w:val="24"/>
          <w:szCs w:val="24"/>
          <w:lang w:val="en-US" w:eastAsia="zh-CN"/>
        </w:rPr>
        <w:t>（标包号）</w:t>
      </w:r>
      <w:r>
        <w:rPr>
          <w:rFonts w:hint="eastAsia" w:hAnsi="宋体"/>
          <w:b/>
          <w:sz w:val="24"/>
        </w:rPr>
        <w:t xml:space="preserve">           </w:t>
      </w:r>
      <w:r>
        <w:rPr>
          <w:rFonts w:hAnsi="宋体"/>
          <w:b/>
          <w:sz w:val="24"/>
        </w:rPr>
        <w:t xml:space="preserve">                       </w:t>
      </w:r>
      <w:r>
        <w:rPr>
          <w:rFonts w:hint="eastAsia" w:hAnsi="宋体"/>
          <w:b/>
          <w:sz w:val="24"/>
        </w:rPr>
        <w:t xml:space="preserve"> </w:t>
      </w:r>
    </w:p>
    <w:p w14:paraId="59D880B2">
      <w:pPr>
        <w:tabs>
          <w:tab w:val="left" w:pos="7844"/>
        </w:tabs>
        <w:spacing w:line="588" w:lineRule="exact"/>
        <w:jc w:val="left"/>
        <w:outlineLvl w:val="9"/>
        <w:rPr>
          <w:rFonts w:hint="eastAsia" w:ascii="宋体" w:hAnsi="宋体" w:eastAsia="宋体" w:cs="Times New Roman"/>
          <w:b/>
          <w:sz w:val="24"/>
          <w:szCs w:val="24"/>
          <w:lang w:val="en-US" w:eastAsia="zh-CN"/>
        </w:rPr>
      </w:pPr>
      <w:r>
        <w:rPr>
          <w:rFonts w:hint="eastAsia" w:hAnsi="宋体"/>
          <w:b/>
          <w:sz w:val="24"/>
          <w:lang w:val="en-US" w:eastAsia="zh-CN"/>
        </w:rPr>
        <w:t>项目</w:t>
      </w:r>
      <w:r>
        <w:rPr>
          <w:rFonts w:hint="eastAsia" w:hAnsi="宋体"/>
          <w:b/>
          <w:sz w:val="24"/>
        </w:rPr>
        <w:t>编号：</w:t>
      </w:r>
      <w:r>
        <w:rPr>
          <w:rFonts w:hint="eastAsia" w:ascii="宋体" w:hAnsi="宋体" w:eastAsia="宋体" w:cs="Times New Roman"/>
          <w:b/>
          <w:sz w:val="24"/>
          <w:szCs w:val="24"/>
          <w:lang w:eastAsia="zh-CN"/>
        </w:rPr>
        <w:t>YNGCZBZX(招)字-YX-2026-03-02</w:t>
      </w:r>
    </w:p>
    <w:p w14:paraId="61ABA08F">
      <w:pPr>
        <w:tabs>
          <w:tab w:val="left" w:pos="7844"/>
        </w:tabs>
        <w:spacing w:line="588" w:lineRule="exact"/>
        <w:jc w:val="left"/>
        <w:outlineLvl w:val="9"/>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政采云项目</w:t>
      </w:r>
      <w:r>
        <w:rPr>
          <w:rFonts w:hint="eastAsia" w:ascii="宋体" w:hAnsi="宋体" w:eastAsia="宋体" w:cs="Times New Roman"/>
          <w:b/>
          <w:sz w:val="24"/>
          <w:szCs w:val="24"/>
          <w:lang w:eastAsia="zh-CN"/>
        </w:rPr>
        <w:t xml:space="preserve">编号：YNZC2026-G1-01428-GCJC-0001 </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2065"/>
        <w:gridCol w:w="1600"/>
        <w:gridCol w:w="1738"/>
        <w:gridCol w:w="1630"/>
        <w:gridCol w:w="1627"/>
      </w:tblGrid>
      <w:tr w14:paraId="45BAB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4" w:type="dxa"/>
            <w:noWrap w:val="0"/>
            <w:vAlign w:val="center"/>
          </w:tcPr>
          <w:p w14:paraId="70209B2A">
            <w:pPr>
              <w:adjustRightInd w:val="0"/>
              <w:snapToGrid w:val="0"/>
              <w:jc w:val="center"/>
              <w:outlineLvl w:val="9"/>
              <w:rPr>
                <w:rFonts w:ascii="Times New Roman" w:hAnsi="Times New Roman" w:eastAsia="宋体" w:cs="Times New Roman"/>
                <w:sz w:val="24"/>
              </w:rPr>
            </w:pPr>
            <w:r>
              <w:rPr>
                <w:rFonts w:ascii="Times New Roman" w:hAnsi="宋体" w:eastAsia="宋体" w:cs="Times New Roman"/>
                <w:sz w:val="24"/>
              </w:rPr>
              <w:t>序号</w:t>
            </w:r>
          </w:p>
        </w:tc>
        <w:tc>
          <w:tcPr>
            <w:tcW w:w="2065" w:type="dxa"/>
            <w:noWrap w:val="0"/>
            <w:vAlign w:val="center"/>
          </w:tcPr>
          <w:p w14:paraId="52EF3767">
            <w:pPr>
              <w:adjustRightInd w:val="0"/>
              <w:snapToGrid w:val="0"/>
              <w:jc w:val="center"/>
              <w:outlineLvl w:val="9"/>
              <w:rPr>
                <w:rFonts w:ascii="Times New Roman" w:hAnsi="Times New Roman" w:eastAsia="宋体" w:cs="Times New Roman"/>
                <w:sz w:val="24"/>
              </w:rPr>
            </w:pPr>
            <w:r>
              <w:rPr>
                <w:rFonts w:ascii="Times New Roman" w:hAnsi="宋体" w:eastAsia="宋体" w:cs="Times New Roman"/>
                <w:sz w:val="24"/>
              </w:rPr>
              <w:t>项目名称</w:t>
            </w:r>
          </w:p>
        </w:tc>
        <w:tc>
          <w:tcPr>
            <w:tcW w:w="1600" w:type="dxa"/>
            <w:noWrap w:val="0"/>
            <w:vAlign w:val="center"/>
          </w:tcPr>
          <w:p w14:paraId="669B0E67">
            <w:pPr>
              <w:adjustRightInd w:val="0"/>
              <w:snapToGrid w:val="0"/>
              <w:jc w:val="center"/>
              <w:outlineLvl w:val="9"/>
              <w:rPr>
                <w:rFonts w:ascii="Times New Roman" w:hAnsi="Times New Roman" w:eastAsia="宋体" w:cs="Times New Roman"/>
                <w:sz w:val="24"/>
              </w:rPr>
            </w:pPr>
            <w:r>
              <w:rPr>
                <w:rFonts w:ascii="Times New Roman" w:hAnsi="宋体" w:eastAsia="宋体" w:cs="Times New Roman"/>
                <w:sz w:val="24"/>
              </w:rPr>
              <w:t>业主单位</w:t>
            </w:r>
          </w:p>
        </w:tc>
        <w:tc>
          <w:tcPr>
            <w:tcW w:w="1738" w:type="dxa"/>
            <w:noWrap w:val="0"/>
            <w:vAlign w:val="center"/>
          </w:tcPr>
          <w:p w14:paraId="526DB34B">
            <w:pPr>
              <w:adjustRightInd w:val="0"/>
              <w:snapToGrid w:val="0"/>
              <w:jc w:val="center"/>
              <w:outlineLvl w:val="9"/>
              <w:rPr>
                <w:rFonts w:ascii="Times New Roman" w:hAnsi="Times New Roman" w:eastAsia="宋体" w:cs="Times New Roman"/>
                <w:sz w:val="24"/>
              </w:rPr>
            </w:pPr>
            <w:r>
              <w:rPr>
                <w:rFonts w:ascii="Times New Roman" w:hAnsi="宋体" w:eastAsia="宋体" w:cs="Times New Roman"/>
                <w:sz w:val="24"/>
              </w:rPr>
              <w:t>合同金额</w:t>
            </w:r>
          </w:p>
          <w:p w14:paraId="0005B927">
            <w:pPr>
              <w:adjustRightInd w:val="0"/>
              <w:snapToGrid w:val="0"/>
              <w:jc w:val="center"/>
              <w:outlineLvl w:val="9"/>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宋体" w:eastAsia="宋体" w:cs="Times New Roman"/>
                <w:sz w:val="24"/>
              </w:rPr>
              <w:t>万元</w:t>
            </w:r>
            <w:r>
              <w:rPr>
                <w:rFonts w:hint="eastAsia" w:ascii="Times New Roman" w:hAnsi="Times New Roman" w:eastAsia="宋体" w:cs="Times New Roman"/>
                <w:sz w:val="24"/>
              </w:rPr>
              <w:t>）</w:t>
            </w:r>
          </w:p>
        </w:tc>
        <w:tc>
          <w:tcPr>
            <w:tcW w:w="1630" w:type="dxa"/>
            <w:noWrap w:val="0"/>
            <w:vAlign w:val="center"/>
          </w:tcPr>
          <w:p w14:paraId="4D14238A">
            <w:pPr>
              <w:adjustRightInd w:val="0"/>
              <w:snapToGrid w:val="0"/>
              <w:jc w:val="center"/>
              <w:outlineLvl w:val="9"/>
              <w:rPr>
                <w:rFonts w:ascii="Times New Roman" w:hAnsi="Times New Roman" w:eastAsia="宋体" w:cs="Times New Roman"/>
                <w:sz w:val="24"/>
              </w:rPr>
            </w:pPr>
            <w:r>
              <w:rPr>
                <w:rFonts w:hint="eastAsia" w:ascii="Times New Roman" w:hAnsi="宋体" w:eastAsia="宋体" w:cs="Times New Roman"/>
                <w:sz w:val="24"/>
              </w:rPr>
              <w:t>主要内容</w:t>
            </w:r>
          </w:p>
        </w:tc>
        <w:tc>
          <w:tcPr>
            <w:tcW w:w="1627" w:type="dxa"/>
            <w:noWrap w:val="0"/>
            <w:vAlign w:val="center"/>
          </w:tcPr>
          <w:p w14:paraId="32FD4165">
            <w:pPr>
              <w:adjustRightInd w:val="0"/>
              <w:snapToGrid w:val="0"/>
              <w:jc w:val="center"/>
              <w:outlineLvl w:val="9"/>
              <w:rPr>
                <w:rFonts w:ascii="Times New Roman" w:hAnsi="Times New Roman" w:eastAsia="宋体" w:cs="Times New Roman"/>
                <w:sz w:val="24"/>
              </w:rPr>
            </w:pPr>
            <w:r>
              <w:rPr>
                <w:rFonts w:hint="eastAsia" w:ascii="Times New Roman" w:hAnsi="宋体" w:eastAsia="宋体" w:cs="Times New Roman"/>
                <w:sz w:val="24"/>
              </w:rPr>
              <w:t>项目完成时间</w:t>
            </w:r>
          </w:p>
        </w:tc>
      </w:tr>
      <w:tr w14:paraId="79111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4" w:type="dxa"/>
            <w:noWrap w:val="0"/>
            <w:vAlign w:val="center"/>
          </w:tcPr>
          <w:p w14:paraId="566BD84D">
            <w:pPr>
              <w:adjustRightInd w:val="0"/>
              <w:snapToGrid w:val="0"/>
              <w:jc w:val="center"/>
              <w:outlineLvl w:val="9"/>
              <w:rPr>
                <w:rFonts w:ascii="宋体" w:hAnsi="宋体" w:eastAsia="宋体" w:cs="Times New Roman"/>
                <w:sz w:val="24"/>
              </w:rPr>
            </w:pPr>
            <w:r>
              <w:rPr>
                <w:rFonts w:ascii="宋体" w:hAnsi="宋体" w:eastAsia="宋体" w:cs="Times New Roman"/>
                <w:sz w:val="24"/>
              </w:rPr>
              <w:t>1</w:t>
            </w:r>
          </w:p>
        </w:tc>
        <w:tc>
          <w:tcPr>
            <w:tcW w:w="2065" w:type="dxa"/>
            <w:noWrap w:val="0"/>
            <w:vAlign w:val="center"/>
          </w:tcPr>
          <w:p w14:paraId="6AC029F2">
            <w:pPr>
              <w:adjustRightInd w:val="0"/>
              <w:snapToGrid w:val="0"/>
              <w:jc w:val="center"/>
              <w:outlineLvl w:val="9"/>
              <w:rPr>
                <w:rFonts w:ascii="Times New Roman" w:hAnsi="Times New Roman" w:eastAsia="宋体" w:cs="Times New Roman"/>
                <w:sz w:val="24"/>
              </w:rPr>
            </w:pPr>
          </w:p>
        </w:tc>
        <w:tc>
          <w:tcPr>
            <w:tcW w:w="1600" w:type="dxa"/>
            <w:noWrap w:val="0"/>
            <w:vAlign w:val="center"/>
          </w:tcPr>
          <w:p w14:paraId="44E5A458">
            <w:pPr>
              <w:adjustRightInd w:val="0"/>
              <w:snapToGrid w:val="0"/>
              <w:jc w:val="center"/>
              <w:outlineLvl w:val="9"/>
              <w:rPr>
                <w:rFonts w:ascii="Times New Roman" w:hAnsi="Times New Roman" w:eastAsia="宋体" w:cs="Times New Roman"/>
                <w:sz w:val="24"/>
              </w:rPr>
            </w:pPr>
          </w:p>
        </w:tc>
        <w:tc>
          <w:tcPr>
            <w:tcW w:w="1738" w:type="dxa"/>
            <w:noWrap w:val="0"/>
            <w:vAlign w:val="center"/>
          </w:tcPr>
          <w:p w14:paraId="608E9D5C">
            <w:pPr>
              <w:adjustRightInd w:val="0"/>
              <w:snapToGrid w:val="0"/>
              <w:jc w:val="center"/>
              <w:outlineLvl w:val="9"/>
              <w:rPr>
                <w:rFonts w:ascii="Times New Roman" w:hAnsi="Times New Roman" w:eastAsia="宋体" w:cs="Times New Roman"/>
                <w:sz w:val="24"/>
              </w:rPr>
            </w:pPr>
          </w:p>
        </w:tc>
        <w:tc>
          <w:tcPr>
            <w:tcW w:w="1630" w:type="dxa"/>
            <w:noWrap w:val="0"/>
            <w:vAlign w:val="center"/>
          </w:tcPr>
          <w:p w14:paraId="6DAC341B">
            <w:pPr>
              <w:adjustRightInd w:val="0"/>
              <w:snapToGrid w:val="0"/>
              <w:jc w:val="center"/>
              <w:outlineLvl w:val="9"/>
              <w:rPr>
                <w:rFonts w:ascii="Times New Roman" w:hAnsi="Times New Roman" w:eastAsia="宋体" w:cs="Times New Roman"/>
                <w:sz w:val="24"/>
              </w:rPr>
            </w:pPr>
          </w:p>
        </w:tc>
        <w:tc>
          <w:tcPr>
            <w:tcW w:w="1627" w:type="dxa"/>
            <w:noWrap w:val="0"/>
            <w:vAlign w:val="center"/>
          </w:tcPr>
          <w:p w14:paraId="0841339E">
            <w:pPr>
              <w:adjustRightInd w:val="0"/>
              <w:snapToGrid w:val="0"/>
              <w:jc w:val="center"/>
              <w:outlineLvl w:val="9"/>
              <w:rPr>
                <w:rFonts w:ascii="Times New Roman" w:hAnsi="Times New Roman" w:eastAsia="宋体" w:cs="Times New Roman"/>
                <w:sz w:val="24"/>
              </w:rPr>
            </w:pPr>
          </w:p>
        </w:tc>
      </w:tr>
      <w:tr w14:paraId="6FCF4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4" w:type="dxa"/>
            <w:noWrap w:val="0"/>
            <w:vAlign w:val="center"/>
          </w:tcPr>
          <w:p w14:paraId="664D49B2">
            <w:pPr>
              <w:adjustRightInd w:val="0"/>
              <w:snapToGrid w:val="0"/>
              <w:jc w:val="center"/>
              <w:outlineLvl w:val="9"/>
              <w:rPr>
                <w:rFonts w:ascii="宋体" w:hAnsi="宋体" w:eastAsia="宋体" w:cs="Times New Roman"/>
                <w:sz w:val="24"/>
              </w:rPr>
            </w:pPr>
            <w:r>
              <w:rPr>
                <w:rFonts w:ascii="宋体" w:hAnsi="宋体" w:eastAsia="宋体" w:cs="Times New Roman"/>
                <w:sz w:val="24"/>
              </w:rPr>
              <w:t>2</w:t>
            </w:r>
          </w:p>
        </w:tc>
        <w:tc>
          <w:tcPr>
            <w:tcW w:w="2065" w:type="dxa"/>
            <w:noWrap w:val="0"/>
            <w:vAlign w:val="center"/>
          </w:tcPr>
          <w:p w14:paraId="28C23BD2">
            <w:pPr>
              <w:adjustRightInd w:val="0"/>
              <w:snapToGrid w:val="0"/>
              <w:jc w:val="center"/>
              <w:outlineLvl w:val="9"/>
              <w:rPr>
                <w:rFonts w:ascii="Times New Roman" w:hAnsi="Times New Roman" w:eastAsia="宋体" w:cs="Times New Roman"/>
                <w:sz w:val="24"/>
              </w:rPr>
            </w:pPr>
          </w:p>
        </w:tc>
        <w:tc>
          <w:tcPr>
            <w:tcW w:w="1600" w:type="dxa"/>
            <w:noWrap w:val="0"/>
            <w:vAlign w:val="center"/>
          </w:tcPr>
          <w:p w14:paraId="0F886757">
            <w:pPr>
              <w:adjustRightInd w:val="0"/>
              <w:snapToGrid w:val="0"/>
              <w:jc w:val="center"/>
              <w:outlineLvl w:val="9"/>
              <w:rPr>
                <w:rFonts w:ascii="Times New Roman" w:hAnsi="Times New Roman" w:eastAsia="宋体" w:cs="Times New Roman"/>
                <w:sz w:val="24"/>
              </w:rPr>
            </w:pPr>
          </w:p>
        </w:tc>
        <w:tc>
          <w:tcPr>
            <w:tcW w:w="1738" w:type="dxa"/>
            <w:noWrap w:val="0"/>
            <w:vAlign w:val="center"/>
          </w:tcPr>
          <w:p w14:paraId="315A3F3B">
            <w:pPr>
              <w:adjustRightInd w:val="0"/>
              <w:snapToGrid w:val="0"/>
              <w:jc w:val="center"/>
              <w:outlineLvl w:val="9"/>
              <w:rPr>
                <w:rFonts w:ascii="Times New Roman" w:hAnsi="Times New Roman" w:eastAsia="宋体" w:cs="Times New Roman"/>
                <w:sz w:val="24"/>
              </w:rPr>
            </w:pPr>
          </w:p>
        </w:tc>
        <w:tc>
          <w:tcPr>
            <w:tcW w:w="1630" w:type="dxa"/>
            <w:noWrap w:val="0"/>
            <w:vAlign w:val="center"/>
          </w:tcPr>
          <w:p w14:paraId="09474107">
            <w:pPr>
              <w:adjustRightInd w:val="0"/>
              <w:snapToGrid w:val="0"/>
              <w:jc w:val="center"/>
              <w:outlineLvl w:val="9"/>
              <w:rPr>
                <w:rFonts w:ascii="Times New Roman" w:hAnsi="Times New Roman" w:eastAsia="宋体" w:cs="Times New Roman"/>
                <w:sz w:val="24"/>
              </w:rPr>
            </w:pPr>
          </w:p>
        </w:tc>
        <w:tc>
          <w:tcPr>
            <w:tcW w:w="1627" w:type="dxa"/>
            <w:noWrap w:val="0"/>
            <w:vAlign w:val="center"/>
          </w:tcPr>
          <w:p w14:paraId="2F77BAAD">
            <w:pPr>
              <w:adjustRightInd w:val="0"/>
              <w:snapToGrid w:val="0"/>
              <w:jc w:val="center"/>
              <w:outlineLvl w:val="9"/>
              <w:rPr>
                <w:rFonts w:ascii="Times New Roman" w:hAnsi="Times New Roman" w:eastAsia="宋体" w:cs="Times New Roman"/>
                <w:sz w:val="24"/>
              </w:rPr>
            </w:pPr>
          </w:p>
        </w:tc>
      </w:tr>
      <w:tr w14:paraId="37A8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4" w:type="dxa"/>
            <w:noWrap w:val="0"/>
            <w:vAlign w:val="center"/>
          </w:tcPr>
          <w:p w14:paraId="63525D11">
            <w:pPr>
              <w:adjustRightInd w:val="0"/>
              <w:snapToGrid w:val="0"/>
              <w:jc w:val="center"/>
              <w:outlineLvl w:val="9"/>
              <w:rPr>
                <w:rFonts w:ascii="宋体" w:hAnsi="宋体" w:eastAsia="宋体" w:cs="Times New Roman"/>
                <w:sz w:val="24"/>
              </w:rPr>
            </w:pPr>
            <w:r>
              <w:rPr>
                <w:rFonts w:ascii="宋体" w:hAnsi="宋体" w:eastAsia="宋体" w:cs="Times New Roman"/>
                <w:sz w:val="24"/>
              </w:rPr>
              <w:t>3</w:t>
            </w:r>
          </w:p>
        </w:tc>
        <w:tc>
          <w:tcPr>
            <w:tcW w:w="2065" w:type="dxa"/>
            <w:noWrap w:val="0"/>
            <w:vAlign w:val="center"/>
          </w:tcPr>
          <w:p w14:paraId="5817B07D">
            <w:pPr>
              <w:adjustRightInd w:val="0"/>
              <w:snapToGrid w:val="0"/>
              <w:jc w:val="center"/>
              <w:outlineLvl w:val="9"/>
              <w:rPr>
                <w:rFonts w:ascii="Times New Roman" w:hAnsi="Times New Roman" w:eastAsia="宋体" w:cs="Times New Roman"/>
                <w:sz w:val="24"/>
              </w:rPr>
            </w:pPr>
          </w:p>
        </w:tc>
        <w:tc>
          <w:tcPr>
            <w:tcW w:w="1600" w:type="dxa"/>
            <w:noWrap w:val="0"/>
            <w:vAlign w:val="center"/>
          </w:tcPr>
          <w:p w14:paraId="2F79253B">
            <w:pPr>
              <w:adjustRightInd w:val="0"/>
              <w:snapToGrid w:val="0"/>
              <w:jc w:val="center"/>
              <w:outlineLvl w:val="9"/>
              <w:rPr>
                <w:rFonts w:ascii="Times New Roman" w:hAnsi="Times New Roman" w:eastAsia="宋体" w:cs="Times New Roman"/>
                <w:sz w:val="24"/>
              </w:rPr>
            </w:pPr>
          </w:p>
        </w:tc>
        <w:tc>
          <w:tcPr>
            <w:tcW w:w="1738" w:type="dxa"/>
            <w:noWrap w:val="0"/>
            <w:vAlign w:val="center"/>
          </w:tcPr>
          <w:p w14:paraId="39754F4A">
            <w:pPr>
              <w:adjustRightInd w:val="0"/>
              <w:snapToGrid w:val="0"/>
              <w:jc w:val="center"/>
              <w:outlineLvl w:val="9"/>
              <w:rPr>
                <w:rFonts w:ascii="Times New Roman" w:hAnsi="Times New Roman" w:eastAsia="宋体" w:cs="Times New Roman"/>
                <w:sz w:val="24"/>
              </w:rPr>
            </w:pPr>
          </w:p>
        </w:tc>
        <w:tc>
          <w:tcPr>
            <w:tcW w:w="1630" w:type="dxa"/>
            <w:noWrap w:val="0"/>
            <w:vAlign w:val="center"/>
          </w:tcPr>
          <w:p w14:paraId="63A65E77">
            <w:pPr>
              <w:adjustRightInd w:val="0"/>
              <w:snapToGrid w:val="0"/>
              <w:jc w:val="center"/>
              <w:outlineLvl w:val="9"/>
              <w:rPr>
                <w:rFonts w:ascii="Times New Roman" w:hAnsi="Times New Roman" w:eastAsia="宋体" w:cs="Times New Roman"/>
                <w:sz w:val="24"/>
              </w:rPr>
            </w:pPr>
          </w:p>
        </w:tc>
        <w:tc>
          <w:tcPr>
            <w:tcW w:w="1627" w:type="dxa"/>
            <w:noWrap w:val="0"/>
            <w:vAlign w:val="center"/>
          </w:tcPr>
          <w:p w14:paraId="0F3128D6">
            <w:pPr>
              <w:adjustRightInd w:val="0"/>
              <w:snapToGrid w:val="0"/>
              <w:jc w:val="center"/>
              <w:outlineLvl w:val="9"/>
              <w:rPr>
                <w:rFonts w:ascii="Times New Roman" w:hAnsi="Times New Roman" w:eastAsia="宋体" w:cs="Times New Roman"/>
                <w:sz w:val="24"/>
              </w:rPr>
            </w:pPr>
          </w:p>
        </w:tc>
      </w:tr>
      <w:tr w14:paraId="4CBD1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4" w:type="dxa"/>
            <w:noWrap w:val="0"/>
            <w:vAlign w:val="center"/>
          </w:tcPr>
          <w:p w14:paraId="723F38EC">
            <w:pPr>
              <w:adjustRightInd w:val="0"/>
              <w:snapToGrid w:val="0"/>
              <w:jc w:val="center"/>
              <w:outlineLvl w:val="9"/>
              <w:rPr>
                <w:rFonts w:ascii="宋体" w:hAnsi="宋体" w:eastAsia="宋体" w:cs="Times New Roman"/>
                <w:sz w:val="24"/>
              </w:rPr>
            </w:pPr>
            <w:r>
              <w:rPr>
                <w:rFonts w:ascii="宋体" w:hAnsi="宋体" w:eastAsia="宋体" w:cs="Times New Roman"/>
                <w:sz w:val="24"/>
              </w:rPr>
              <w:t>4</w:t>
            </w:r>
          </w:p>
        </w:tc>
        <w:tc>
          <w:tcPr>
            <w:tcW w:w="2065" w:type="dxa"/>
            <w:noWrap w:val="0"/>
            <w:vAlign w:val="center"/>
          </w:tcPr>
          <w:p w14:paraId="44C381DF">
            <w:pPr>
              <w:adjustRightInd w:val="0"/>
              <w:snapToGrid w:val="0"/>
              <w:jc w:val="center"/>
              <w:outlineLvl w:val="9"/>
              <w:rPr>
                <w:rFonts w:ascii="Times New Roman" w:hAnsi="Times New Roman" w:eastAsia="宋体" w:cs="Times New Roman"/>
                <w:sz w:val="24"/>
              </w:rPr>
            </w:pPr>
          </w:p>
        </w:tc>
        <w:tc>
          <w:tcPr>
            <w:tcW w:w="1600" w:type="dxa"/>
            <w:noWrap w:val="0"/>
            <w:vAlign w:val="center"/>
          </w:tcPr>
          <w:p w14:paraId="3DAD4C77">
            <w:pPr>
              <w:adjustRightInd w:val="0"/>
              <w:snapToGrid w:val="0"/>
              <w:jc w:val="center"/>
              <w:outlineLvl w:val="9"/>
              <w:rPr>
                <w:rFonts w:ascii="Times New Roman" w:hAnsi="Times New Roman" w:eastAsia="宋体" w:cs="Times New Roman"/>
                <w:sz w:val="24"/>
              </w:rPr>
            </w:pPr>
          </w:p>
        </w:tc>
        <w:tc>
          <w:tcPr>
            <w:tcW w:w="1738" w:type="dxa"/>
            <w:noWrap w:val="0"/>
            <w:vAlign w:val="center"/>
          </w:tcPr>
          <w:p w14:paraId="5EAA1272">
            <w:pPr>
              <w:adjustRightInd w:val="0"/>
              <w:snapToGrid w:val="0"/>
              <w:jc w:val="center"/>
              <w:outlineLvl w:val="9"/>
              <w:rPr>
                <w:rFonts w:ascii="Times New Roman" w:hAnsi="Times New Roman" w:eastAsia="宋体" w:cs="Times New Roman"/>
                <w:sz w:val="24"/>
              </w:rPr>
            </w:pPr>
          </w:p>
        </w:tc>
        <w:tc>
          <w:tcPr>
            <w:tcW w:w="1630" w:type="dxa"/>
            <w:noWrap w:val="0"/>
            <w:vAlign w:val="center"/>
          </w:tcPr>
          <w:p w14:paraId="7C978BA7">
            <w:pPr>
              <w:adjustRightInd w:val="0"/>
              <w:snapToGrid w:val="0"/>
              <w:jc w:val="center"/>
              <w:outlineLvl w:val="9"/>
              <w:rPr>
                <w:rFonts w:ascii="Times New Roman" w:hAnsi="Times New Roman" w:eastAsia="宋体" w:cs="Times New Roman"/>
                <w:sz w:val="24"/>
              </w:rPr>
            </w:pPr>
          </w:p>
        </w:tc>
        <w:tc>
          <w:tcPr>
            <w:tcW w:w="1627" w:type="dxa"/>
            <w:noWrap w:val="0"/>
            <w:vAlign w:val="center"/>
          </w:tcPr>
          <w:p w14:paraId="7259DDAF">
            <w:pPr>
              <w:adjustRightInd w:val="0"/>
              <w:snapToGrid w:val="0"/>
              <w:jc w:val="center"/>
              <w:outlineLvl w:val="9"/>
              <w:rPr>
                <w:rFonts w:ascii="Times New Roman" w:hAnsi="Times New Roman" w:eastAsia="宋体" w:cs="Times New Roman"/>
                <w:sz w:val="24"/>
              </w:rPr>
            </w:pPr>
          </w:p>
        </w:tc>
      </w:tr>
      <w:tr w14:paraId="6A7B7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194" w:type="dxa"/>
            <w:noWrap w:val="0"/>
            <w:vAlign w:val="center"/>
          </w:tcPr>
          <w:p w14:paraId="6408CBEF">
            <w:pPr>
              <w:adjustRightInd w:val="0"/>
              <w:snapToGrid w:val="0"/>
              <w:jc w:val="center"/>
              <w:outlineLvl w:val="9"/>
              <w:rPr>
                <w:rFonts w:ascii="宋体" w:hAnsi="宋体" w:eastAsia="宋体" w:cs="Times New Roman"/>
                <w:sz w:val="24"/>
              </w:rPr>
            </w:pPr>
            <w:r>
              <w:rPr>
                <w:rFonts w:ascii="宋体" w:hAnsi="宋体" w:eastAsia="宋体" w:cs="Times New Roman"/>
                <w:sz w:val="24"/>
              </w:rPr>
              <w:t>5</w:t>
            </w:r>
          </w:p>
        </w:tc>
        <w:tc>
          <w:tcPr>
            <w:tcW w:w="2065" w:type="dxa"/>
            <w:noWrap w:val="0"/>
            <w:vAlign w:val="center"/>
          </w:tcPr>
          <w:p w14:paraId="730DFE66">
            <w:pPr>
              <w:adjustRightInd w:val="0"/>
              <w:snapToGrid w:val="0"/>
              <w:jc w:val="center"/>
              <w:outlineLvl w:val="9"/>
              <w:rPr>
                <w:rFonts w:ascii="Times New Roman" w:hAnsi="Times New Roman" w:eastAsia="宋体" w:cs="Times New Roman"/>
                <w:sz w:val="24"/>
              </w:rPr>
            </w:pPr>
          </w:p>
        </w:tc>
        <w:tc>
          <w:tcPr>
            <w:tcW w:w="1600" w:type="dxa"/>
            <w:noWrap w:val="0"/>
            <w:vAlign w:val="center"/>
          </w:tcPr>
          <w:p w14:paraId="69C318B3">
            <w:pPr>
              <w:adjustRightInd w:val="0"/>
              <w:snapToGrid w:val="0"/>
              <w:jc w:val="center"/>
              <w:outlineLvl w:val="9"/>
              <w:rPr>
                <w:rFonts w:ascii="Times New Roman" w:hAnsi="Times New Roman" w:eastAsia="宋体" w:cs="Times New Roman"/>
                <w:sz w:val="24"/>
              </w:rPr>
            </w:pPr>
          </w:p>
        </w:tc>
        <w:tc>
          <w:tcPr>
            <w:tcW w:w="1738" w:type="dxa"/>
            <w:noWrap w:val="0"/>
            <w:vAlign w:val="center"/>
          </w:tcPr>
          <w:p w14:paraId="52CC86A1">
            <w:pPr>
              <w:adjustRightInd w:val="0"/>
              <w:snapToGrid w:val="0"/>
              <w:jc w:val="center"/>
              <w:outlineLvl w:val="9"/>
              <w:rPr>
                <w:rFonts w:ascii="Times New Roman" w:hAnsi="Times New Roman" w:eastAsia="宋体" w:cs="Times New Roman"/>
                <w:sz w:val="24"/>
              </w:rPr>
            </w:pPr>
          </w:p>
        </w:tc>
        <w:tc>
          <w:tcPr>
            <w:tcW w:w="1630" w:type="dxa"/>
            <w:noWrap w:val="0"/>
            <w:vAlign w:val="center"/>
          </w:tcPr>
          <w:p w14:paraId="75ADAC12">
            <w:pPr>
              <w:adjustRightInd w:val="0"/>
              <w:snapToGrid w:val="0"/>
              <w:jc w:val="center"/>
              <w:outlineLvl w:val="9"/>
              <w:rPr>
                <w:rFonts w:ascii="Times New Roman" w:hAnsi="Times New Roman" w:eastAsia="宋体" w:cs="Times New Roman"/>
                <w:sz w:val="24"/>
              </w:rPr>
            </w:pPr>
          </w:p>
        </w:tc>
        <w:tc>
          <w:tcPr>
            <w:tcW w:w="1627" w:type="dxa"/>
            <w:noWrap w:val="0"/>
            <w:vAlign w:val="center"/>
          </w:tcPr>
          <w:p w14:paraId="205CFEEA">
            <w:pPr>
              <w:adjustRightInd w:val="0"/>
              <w:snapToGrid w:val="0"/>
              <w:jc w:val="center"/>
              <w:outlineLvl w:val="9"/>
              <w:rPr>
                <w:rFonts w:ascii="Times New Roman" w:hAnsi="Times New Roman" w:eastAsia="宋体" w:cs="Times New Roman"/>
                <w:sz w:val="24"/>
              </w:rPr>
            </w:pPr>
          </w:p>
        </w:tc>
      </w:tr>
      <w:tr w14:paraId="234FF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4" w:type="dxa"/>
            <w:noWrap w:val="0"/>
            <w:vAlign w:val="center"/>
          </w:tcPr>
          <w:p w14:paraId="16EEF7F6">
            <w:pPr>
              <w:adjustRightInd w:val="0"/>
              <w:snapToGrid w:val="0"/>
              <w:jc w:val="center"/>
              <w:outlineLvl w:val="9"/>
              <w:rPr>
                <w:rFonts w:ascii="Times New Roman" w:hAnsi="Times New Roman" w:eastAsia="宋体" w:cs="Times New Roman"/>
                <w:sz w:val="24"/>
              </w:rPr>
            </w:pPr>
            <w:r>
              <w:rPr>
                <w:rFonts w:ascii="Times New Roman" w:hAnsi="Times New Roman" w:eastAsia="宋体" w:cs="Times New Roman"/>
                <w:sz w:val="24"/>
              </w:rPr>
              <w:t>…</w:t>
            </w:r>
          </w:p>
        </w:tc>
        <w:tc>
          <w:tcPr>
            <w:tcW w:w="2065" w:type="dxa"/>
            <w:noWrap w:val="0"/>
            <w:vAlign w:val="center"/>
          </w:tcPr>
          <w:p w14:paraId="45418662">
            <w:pPr>
              <w:adjustRightInd w:val="0"/>
              <w:snapToGrid w:val="0"/>
              <w:jc w:val="center"/>
              <w:outlineLvl w:val="9"/>
              <w:rPr>
                <w:rFonts w:ascii="Times New Roman" w:hAnsi="Times New Roman" w:eastAsia="宋体" w:cs="Times New Roman"/>
                <w:sz w:val="24"/>
              </w:rPr>
            </w:pPr>
          </w:p>
        </w:tc>
        <w:tc>
          <w:tcPr>
            <w:tcW w:w="1600" w:type="dxa"/>
            <w:noWrap w:val="0"/>
            <w:vAlign w:val="center"/>
          </w:tcPr>
          <w:p w14:paraId="47F90312">
            <w:pPr>
              <w:adjustRightInd w:val="0"/>
              <w:snapToGrid w:val="0"/>
              <w:jc w:val="center"/>
              <w:outlineLvl w:val="9"/>
              <w:rPr>
                <w:rFonts w:ascii="Times New Roman" w:hAnsi="Times New Roman" w:eastAsia="宋体" w:cs="Times New Roman"/>
                <w:sz w:val="24"/>
              </w:rPr>
            </w:pPr>
          </w:p>
        </w:tc>
        <w:tc>
          <w:tcPr>
            <w:tcW w:w="1738" w:type="dxa"/>
            <w:noWrap w:val="0"/>
            <w:vAlign w:val="center"/>
          </w:tcPr>
          <w:p w14:paraId="54A964C5">
            <w:pPr>
              <w:adjustRightInd w:val="0"/>
              <w:snapToGrid w:val="0"/>
              <w:jc w:val="center"/>
              <w:outlineLvl w:val="9"/>
              <w:rPr>
                <w:rFonts w:ascii="Times New Roman" w:hAnsi="Times New Roman" w:eastAsia="宋体" w:cs="Times New Roman"/>
                <w:sz w:val="24"/>
              </w:rPr>
            </w:pPr>
          </w:p>
        </w:tc>
        <w:tc>
          <w:tcPr>
            <w:tcW w:w="1630" w:type="dxa"/>
            <w:noWrap w:val="0"/>
            <w:vAlign w:val="center"/>
          </w:tcPr>
          <w:p w14:paraId="5C0AE01F">
            <w:pPr>
              <w:adjustRightInd w:val="0"/>
              <w:snapToGrid w:val="0"/>
              <w:jc w:val="center"/>
              <w:outlineLvl w:val="9"/>
              <w:rPr>
                <w:rFonts w:ascii="Times New Roman" w:hAnsi="Times New Roman" w:eastAsia="宋体" w:cs="Times New Roman"/>
                <w:sz w:val="24"/>
              </w:rPr>
            </w:pPr>
          </w:p>
        </w:tc>
        <w:tc>
          <w:tcPr>
            <w:tcW w:w="1627" w:type="dxa"/>
            <w:noWrap w:val="0"/>
            <w:vAlign w:val="center"/>
          </w:tcPr>
          <w:p w14:paraId="753C844A">
            <w:pPr>
              <w:adjustRightInd w:val="0"/>
              <w:snapToGrid w:val="0"/>
              <w:jc w:val="center"/>
              <w:outlineLvl w:val="9"/>
              <w:rPr>
                <w:rFonts w:ascii="Times New Roman" w:hAnsi="Times New Roman" w:eastAsia="宋体" w:cs="Times New Roman"/>
                <w:sz w:val="24"/>
              </w:rPr>
            </w:pPr>
          </w:p>
        </w:tc>
      </w:tr>
      <w:tr w14:paraId="1EF59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4" w:type="dxa"/>
            <w:noWrap w:val="0"/>
            <w:vAlign w:val="center"/>
          </w:tcPr>
          <w:p w14:paraId="67953B05">
            <w:pPr>
              <w:adjustRightInd w:val="0"/>
              <w:snapToGrid w:val="0"/>
              <w:jc w:val="center"/>
              <w:outlineLvl w:val="9"/>
              <w:rPr>
                <w:rFonts w:ascii="Times New Roman" w:hAnsi="Times New Roman" w:eastAsia="宋体" w:cs="Times New Roman"/>
                <w:sz w:val="24"/>
              </w:rPr>
            </w:pPr>
          </w:p>
        </w:tc>
        <w:tc>
          <w:tcPr>
            <w:tcW w:w="2065" w:type="dxa"/>
            <w:noWrap w:val="0"/>
            <w:vAlign w:val="center"/>
          </w:tcPr>
          <w:p w14:paraId="3B00FB2F">
            <w:pPr>
              <w:adjustRightInd w:val="0"/>
              <w:snapToGrid w:val="0"/>
              <w:jc w:val="center"/>
              <w:outlineLvl w:val="9"/>
              <w:rPr>
                <w:rFonts w:ascii="Times New Roman" w:hAnsi="Times New Roman" w:eastAsia="宋体" w:cs="Times New Roman"/>
                <w:sz w:val="24"/>
              </w:rPr>
            </w:pPr>
          </w:p>
        </w:tc>
        <w:tc>
          <w:tcPr>
            <w:tcW w:w="1600" w:type="dxa"/>
            <w:noWrap w:val="0"/>
            <w:vAlign w:val="center"/>
          </w:tcPr>
          <w:p w14:paraId="32B8355E">
            <w:pPr>
              <w:adjustRightInd w:val="0"/>
              <w:snapToGrid w:val="0"/>
              <w:jc w:val="center"/>
              <w:outlineLvl w:val="9"/>
              <w:rPr>
                <w:rFonts w:ascii="Times New Roman" w:hAnsi="Times New Roman" w:eastAsia="宋体" w:cs="Times New Roman"/>
                <w:sz w:val="24"/>
              </w:rPr>
            </w:pPr>
          </w:p>
        </w:tc>
        <w:tc>
          <w:tcPr>
            <w:tcW w:w="1738" w:type="dxa"/>
            <w:noWrap w:val="0"/>
            <w:vAlign w:val="center"/>
          </w:tcPr>
          <w:p w14:paraId="0ECFE6D3">
            <w:pPr>
              <w:adjustRightInd w:val="0"/>
              <w:snapToGrid w:val="0"/>
              <w:jc w:val="center"/>
              <w:outlineLvl w:val="9"/>
              <w:rPr>
                <w:rFonts w:ascii="Times New Roman" w:hAnsi="Times New Roman" w:eastAsia="宋体" w:cs="Times New Roman"/>
                <w:sz w:val="24"/>
              </w:rPr>
            </w:pPr>
          </w:p>
        </w:tc>
        <w:tc>
          <w:tcPr>
            <w:tcW w:w="1630" w:type="dxa"/>
            <w:noWrap w:val="0"/>
            <w:vAlign w:val="center"/>
          </w:tcPr>
          <w:p w14:paraId="4C2B3428">
            <w:pPr>
              <w:adjustRightInd w:val="0"/>
              <w:snapToGrid w:val="0"/>
              <w:jc w:val="center"/>
              <w:outlineLvl w:val="9"/>
              <w:rPr>
                <w:rFonts w:ascii="Times New Roman" w:hAnsi="Times New Roman" w:eastAsia="宋体" w:cs="Times New Roman"/>
                <w:sz w:val="24"/>
              </w:rPr>
            </w:pPr>
          </w:p>
        </w:tc>
        <w:tc>
          <w:tcPr>
            <w:tcW w:w="1627" w:type="dxa"/>
            <w:noWrap w:val="0"/>
            <w:vAlign w:val="center"/>
          </w:tcPr>
          <w:p w14:paraId="7AC23ABD">
            <w:pPr>
              <w:adjustRightInd w:val="0"/>
              <w:snapToGrid w:val="0"/>
              <w:jc w:val="center"/>
              <w:outlineLvl w:val="9"/>
              <w:rPr>
                <w:rFonts w:ascii="Times New Roman" w:hAnsi="Times New Roman" w:eastAsia="宋体" w:cs="Times New Roman"/>
                <w:sz w:val="24"/>
              </w:rPr>
            </w:pPr>
          </w:p>
        </w:tc>
      </w:tr>
      <w:tr w14:paraId="47CE4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4" w:type="dxa"/>
            <w:noWrap w:val="0"/>
            <w:vAlign w:val="center"/>
          </w:tcPr>
          <w:p w14:paraId="15B943EF">
            <w:pPr>
              <w:adjustRightInd w:val="0"/>
              <w:snapToGrid w:val="0"/>
              <w:jc w:val="center"/>
              <w:outlineLvl w:val="9"/>
              <w:rPr>
                <w:rFonts w:ascii="Times New Roman" w:hAnsi="Times New Roman" w:eastAsia="宋体" w:cs="Times New Roman"/>
                <w:sz w:val="24"/>
              </w:rPr>
            </w:pPr>
          </w:p>
        </w:tc>
        <w:tc>
          <w:tcPr>
            <w:tcW w:w="2065" w:type="dxa"/>
            <w:noWrap w:val="0"/>
            <w:vAlign w:val="center"/>
          </w:tcPr>
          <w:p w14:paraId="6755884C">
            <w:pPr>
              <w:adjustRightInd w:val="0"/>
              <w:snapToGrid w:val="0"/>
              <w:jc w:val="center"/>
              <w:outlineLvl w:val="9"/>
              <w:rPr>
                <w:rFonts w:ascii="Times New Roman" w:hAnsi="Times New Roman" w:eastAsia="宋体" w:cs="Times New Roman"/>
                <w:sz w:val="24"/>
              </w:rPr>
            </w:pPr>
          </w:p>
        </w:tc>
        <w:tc>
          <w:tcPr>
            <w:tcW w:w="1600" w:type="dxa"/>
            <w:noWrap w:val="0"/>
            <w:vAlign w:val="center"/>
          </w:tcPr>
          <w:p w14:paraId="714B097C">
            <w:pPr>
              <w:adjustRightInd w:val="0"/>
              <w:snapToGrid w:val="0"/>
              <w:jc w:val="center"/>
              <w:outlineLvl w:val="9"/>
              <w:rPr>
                <w:rFonts w:ascii="Times New Roman" w:hAnsi="Times New Roman" w:eastAsia="宋体" w:cs="Times New Roman"/>
                <w:sz w:val="24"/>
              </w:rPr>
            </w:pPr>
          </w:p>
        </w:tc>
        <w:tc>
          <w:tcPr>
            <w:tcW w:w="1738" w:type="dxa"/>
            <w:noWrap w:val="0"/>
            <w:vAlign w:val="center"/>
          </w:tcPr>
          <w:p w14:paraId="5C71DDAA">
            <w:pPr>
              <w:adjustRightInd w:val="0"/>
              <w:snapToGrid w:val="0"/>
              <w:jc w:val="center"/>
              <w:outlineLvl w:val="9"/>
              <w:rPr>
                <w:rFonts w:ascii="Times New Roman" w:hAnsi="Times New Roman" w:eastAsia="宋体" w:cs="Times New Roman"/>
                <w:sz w:val="24"/>
              </w:rPr>
            </w:pPr>
          </w:p>
        </w:tc>
        <w:tc>
          <w:tcPr>
            <w:tcW w:w="1630" w:type="dxa"/>
            <w:noWrap w:val="0"/>
            <w:vAlign w:val="center"/>
          </w:tcPr>
          <w:p w14:paraId="52F202BF">
            <w:pPr>
              <w:adjustRightInd w:val="0"/>
              <w:snapToGrid w:val="0"/>
              <w:jc w:val="center"/>
              <w:outlineLvl w:val="9"/>
              <w:rPr>
                <w:rFonts w:ascii="Times New Roman" w:hAnsi="Times New Roman" w:eastAsia="宋体" w:cs="Times New Roman"/>
                <w:sz w:val="24"/>
              </w:rPr>
            </w:pPr>
          </w:p>
        </w:tc>
        <w:tc>
          <w:tcPr>
            <w:tcW w:w="1627" w:type="dxa"/>
            <w:noWrap w:val="0"/>
            <w:vAlign w:val="center"/>
          </w:tcPr>
          <w:p w14:paraId="005D7DDB">
            <w:pPr>
              <w:adjustRightInd w:val="0"/>
              <w:snapToGrid w:val="0"/>
              <w:jc w:val="center"/>
              <w:outlineLvl w:val="9"/>
              <w:rPr>
                <w:rFonts w:ascii="Times New Roman" w:hAnsi="Times New Roman" w:eastAsia="宋体" w:cs="Times New Roman"/>
                <w:sz w:val="24"/>
              </w:rPr>
            </w:pPr>
          </w:p>
        </w:tc>
      </w:tr>
    </w:tbl>
    <w:p w14:paraId="479FB67A">
      <w:pPr>
        <w:spacing w:line="360" w:lineRule="auto"/>
        <w:jc w:val="left"/>
        <w:outlineLvl w:val="9"/>
        <w:rPr>
          <w:rFonts w:hint="eastAsia" w:ascii="Times New Roman" w:hAnsi="宋体" w:eastAsia="宋体" w:cs="Times New Roman"/>
          <w:b/>
          <w:sz w:val="24"/>
        </w:rPr>
      </w:pPr>
      <w:r>
        <w:rPr>
          <w:rFonts w:hint="eastAsia" w:hAnsi="宋体"/>
          <w:b/>
          <w:sz w:val="24"/>
        </w:rPr>
        <w:t>注</w:t>
      </w:r>
      <w:r>
        <w:rPr>
          <w:rFonts w:hAnsi="宋体"/>
          <w:b/>
          <w:sz w:val="24"/>
        </w:rPr>
        <w:t>：</w:t>
      </w:r>
      <w:r>
        <w:rPr>
          <w:rFonts w:hint="eastAsia" w:ascii="Times New Roman" w:hAnsi="宋体" w:eastAsia="宋体" w:cs="Times New Roman"/>
          <w:b/>
          <w:sz w:val="24"/>
          <w:lang w:val="en-US" w:eastAsia="zh-CN"/>
        </w:rPr>
        <w:t>业绩证明材料为中标（成交）通知书或合同（合同首页、标的及金额所在页及合同签字盖章页的扫描件）。无证明材料或证明材料不明确、无法体现业绩内容的，不予认可。</w:t>
      </w:r>
    </w:p>
    <w:p w14:paraId="5F3546B2">
      <w:pPr>
        <w:spacing w:line="360" w:lineRule="auto"/>
        <w:jc w:val="center"/>
        <w:outlineLvl w:val="9"/>
        <w:rPr>
          <w:rFonts w:hint="eastAsia" w:ascii="宋体" w:hAnsi="宋体"/>
        </w:rPr>
      </w:pPr>
    </w:p>
    <w:p w14:paraId="3FDE583B">
      <w:pPr>
        <w:spacing w:line="588" w:lineRule="exact"/>
        <w:jc w:val="left"/>
        <w:outlineLvl w:val="9"/>
        <w:rPr>
          <w:rFonts w:hint="eastAsia" w:ascii="宋体" w:hAnsi="宋体"/>
          <w:sz w:val="32"/>
          <w:szCs w:val="32"/>
          <w:lang w:val="en-US" w:eastAsia="zh-CN"/>
        </w:rPr>
      </w:pPr>
      <w:r>
        <w:rPr>
          <w:rFonts w:ascii="宋体" w:hAnsi="宋体"/>
          <w:sz w:val="32"/>
          <w:szCs w:val="32"/>
        </w:rPr>
        <w:br w:type="page"/>
      </w:r>
      <w:bookmarkEnd w:id="120"/>
      <w:r>
        <w:rPr>
          <w:rFonts w:hint="eastAsia" w:ascii="Times New Roman" w:hAnsi="宋体" w:eastAsia="宋体" w:cs="Times New Roman"/>
          <w:b/>
          <w:sz w:val="28"/>
          <w:szCs w:val="28"/>
          <w:lang w:val="en-US" w:eastAsia="zh-CN"/>
        </w:rPr>
        <w:t>格式7：</w:t>
      </w:r>
    </w:p>
    <w:p w14:paraId="0346D0EA">
      <w:pPr>
        <w:spacing w:line="588" w:lineRule="exact"/>
        <w:jc w:val="center"/>
        <w:outlineLvl w:val="9"/>
        <w:rPr>
          <w:rFonts w:hint="eastAsia" w:ascii="宋体" w:hAnsi="宋体" w:eastAsia="宋体" w:cs="Times New Roman"/>
          <w:b/>
          <w:bCs/>
          <w:sz w:val="32"/>
          <w:szCs w:val="32"/>
          <w:lang w:val="en-US" w:eastAsia="zh-CN"/>
        </w:rPr>
      </w:pPr>
      <w:r>
        <w:rPr>
          <w:rFonts w:hint="eastAsia" w:ascii="宋体" w:hAnsi="宋体" w:eastAsia="宋体" w:cs="Times New Roman"/>
          <w:b/>
          <w:bCs/>
          <w:sz w:val="32"/>
          <w:szCs w:val="32"/>
          <w:lang w:val="en-US" w:eastAsia="zh-CN"/>
        </w:rPr>
        <w:t>仓储能力</w:t>
      </w:r>
    </w:p>
    <w:p w14:paraId="77B41764">
      <w:pPr>
        <w:spacing w:line="588" w:lineRule="exact"/>
        <w:jc w:val="center"/>
        <w:outlineLvl w:val="9"/>
        <w:rPr>
          <w:rFonts w:hint="eastAsia" w:ascii="宋体" w:hAnsi="宋体"/>
          <w:sz w:val="24"/>
          <w:lang w:eastAsia="zh-CN"/>
        </w:rPr>
      </w:pPr>
      <w:r>
        <w:rPr>
          <w:rFonts w:hint="eastAsia" w:ascii="宋体" w:hAnsi="宋体"/>
          <w:sz w:val="24"/>
          <w:lang w:eastAsia="zh-CN"/>
        </w:rPr>
        <w:t>（</w:t>
      </w:r>
      <w:r>
        <w:rPr>
          <w:rFonts w:hint="eastAsia" w:ascii="宋体" w:hAnsi="宋体"/>
          <w:sz w:val="24"/>
        </w:rPr>
        <w:t>由</w:t>
      </w:r>
      <w:r>
        <w:rPr>
          <w:rFonts w:hint="eastAsia" w:ascii="宋体" w:hAnsi="宋体"/>
          <w:sz w:val="24"/>
          <w:lang w:val="en-US" w:eastAsia="zh-CN"/>
        </w:rPr>
        <w:t>投标人</w:t>
      </w:r>
      <w:r>
        <w:rPr>
          <w:rFonts w:hint="eastAsia" w:ascii="宋体" w:hAnsi="宋体"/>
          <w:sz w:val="24"/>
        </w:rPr>
        <w:t>结合项目实际</w:t>
      </w:r>
      <w:r>
        <w:rPr>
          <w:rFonts w:hint="eastAsia" w:ascii="宋体" w:hAnsi="宋体"/>
          <w:sz w:val="24"/>
          <w:lang w:val="en-US" w:eastAsia="zh-CN"/>
        </w:rPr>
        <w:t>以及自身</w:t>
      </w:r>
      <w:r>
        <w:rPr>
          <w:rFonts w:hint="eastAsia" w:ascii="宋体" w:hAnsi="宋体"/>
          <w:sz w:val="24"/>
        </w:rPr>
        <w:t>情况自行编制拟定</w:t>
      </w:r>
      <w:r>
        <w:rPr>
          <w:rFonts w:hint="eastAsia" w:ascii="宋体" w:hAnsi="宋体"/>
          <w:sz w:val="24"/>
          <w:lang w:eastAsia="zh-CN"/>
        </w:rPr>
        <w:t>，</w:t>
      </w:r>
      <w:r>
        <w:rPr>
          <w:rFonts w:hint="eastAsia" w:ascii="宋体" w:hAnsi="宋体"/>
          <w:sz w:val="24"/>
          <w:lang w:val="en-US" w:eastAsia="zh-CN"/>
        </w:rPr>
        <w:t>格式自拟。</w:t>
      </w:r>
      <w:r>
        <w:rPr>
          <w:rFonts w:hint="eastAsia" w:ascii="宋体" w:hAnsi="宋体"/>
          <w:sz w:val="24"/>
          <w:lang w:eastAsia="zh-CN"/>
        </w:rPr>
        <w:t>）</w:t>
      </w:r>
    </w:p>
    <w:p w14:paraId="23E7943B">
      <w:pPr>
        <w:spacing w:line="588" w:lineRule="exact"/>
        <w:jc w:val="both"/>
        <w:outlineLvl w:val="9"/>
        <w:rPr>
          <w:rFonts w:hint="eastAsia" w:ascii="宋体" w:hAnsi="宋体"/>
          <w:b/>
          <w:bCs/>
          <w:sz w:val="32"/>
          <w:szCs w:val="32"/>
        </w:rPr>
      </w:pPr>
      <w:r>
        <w:rPr>
          <w:rFonts w:hint="eastAsia" w:ascii="宋体" w:hAnsi="宋体"/>
          <w:sz w:val="24"/>
          <w:lang w:eastAsia="zh-CN"/>
        </w:rPr>
        <w:br w:type="page"/>
      </w:r>
      <w:r>
        <w:rPr>
          <w:rFonts w:hint="eastAsia" w:ascii="宋体" w:hAnsi="宋体"/>
          <w:b/>
          <w:sz w:val="28"/>
          <w:szCs w:val="28"/>
        </w:rPr>
        <w:t>格式</w:t>
      </w:r>
      <w:r>
        <w:rPr>
          <w:rFonts w:hint="eastAsia" w:ascii="宋体" w:hAnsi="宋体"/>
          <w:b/>
          <w:sz w:val="28"/>
          <w:szCs w:val="28"/>
          <w:lang w:val="en-US" w:eastAsia="zh-CN"/>
        </w:rPr>
        <w:t>8</w:t>
      </w:r>
      <w:r>
        <w:rPr>
          <w:rFonts w:hint="eastAsia" w:ascii="宋体" w:hAnsi="宋体"/>
          <w:b/>
          <w:sz w:val="28"/>
          <w:szCs w:val="28"/>
        </w:rPr>
        <w:t>：</w:t>
      </w:r>
    </w:p>
    <w:p w14:paraId="124E8A5A">
      <w:pPr>
        <w:tabs>
          <w:tab w:val="left" w:pos="900"/>
          <w:tab w:val="left" w:pos="1588"/>
        </w:tabs>
        <w:ind w:left="851" w:firstLine="0"/>
        <w:jc w:val="center"/>
        <w:outlineLvl w:val="9"/>
        <w:rPr>
          <w:rFonts w:ascii="宋体" w:hAnsi="宋体" w:eastAsia="宋体"/>
          <w:b/>
          <w:bCs/>
          <w:sz w:val="32"/>
          <w:szCs w:val="32"/>
        </w:rPr>
      </w:pPr>
      <w:r>
        <w:rPr>
          <w:rFonts w:hint="eastAsia" w:ascii="宋体" w:hAnsi="宋体" w:eastAsia="宋体"/>
          <w:b/>
          <w:bCs/>
          <w:sz w:val="32"/>
          <w:szCs w:val="32"/>
        </w:rPr>
        <w:t>投标保证金</w:t>
      </w:r>
      <w:r>
        <w:rPr>
          <w:rFonts w:hint="eastAsia" w:ascii="宋体" w:hAnsi="宋体" w:eastAsia="宋体"/>
          <w:b/>
          <w:bCs/>
          <w:sz w:val="32"/>
          <w:szCs w:val="32"/>
          <w:lang w:val="en-US" w:eastAsia="zh-CN"/>
        </w:rPr>
        <w:t>缴纳</w:t>
      </w:r>
      <w:r>
        <w:rPr>
          <w:rFonts w:hint="eastAsia" w:ascii="宋体" w:hAnsi="宋体" w:eastAsia="宋体"/>
          <w:b/>
          <w:bCs/>
          <w:sz w:val="32"/>
          <w:szCs w:val="32"/>
        </w:rPr>
        <w:t>凭证</w:t>
      </w:r>
    </w:p>
    <w:p w14:paraId="35109EF7">
      <w:pPr>
        <w:spacing w:line="588" w:lineRule="exact"/>
        <w:jc w:val="left"/>
        <w:outlineLvl w:val="9"/>
        <w:rPr>
          <w:rFonts w:hAnsi="宋体"/>
          <w:b/>
          <w:sz w:val="28"/>
          <w:szCs w:val="28"/>
        </w:rPr>
      </w:pPr>
      <w:r>
        <w:rPr>
          <w:rFonts w:hint="eastAsia" w:hAnsi="宋体"/>
          <w:b/>
          <w:sz w:val="28"/>
          <w:szCs w:val="28"/>
        </w:rPr>
        <w:t xml:space="preserve"> </w:t>
      </w:r>
    </w:p>
    <w:p w14:paraId="50AA0DF7">
      <w:pPr>
        <w:spacing w:line="588" w:lineRule="exact"/>
        <w:jc w:val="left"/>
        <w:outlineLvl w:val="9"/>
        <w:rPr>
          <w:rFonts w:hAnsi="宋体"/>
          <w:b/>
          <w:sz w:val="28"/>
          <w:szCs w:val="28"/>
        </w:rPr>
      </w:pPr>
    </w:p>
    <w:p w14:paraId="561524D4">
      <w:pPr>
        <w:spacing w:line="588" w:lineRule="exact"/>
        <w:jc w:val="left"/>
        <w:outlineLvl w:val="9"/>
        <w:rPr>
          <w:rFonts w:ascii="宋体" w:hAnsi="宋体"/>
          <w:b/>
          <w:sz w:val="28"/>
          <w:szCs w:val="28"/>
        </w:rPr>
      </w:pPr>
      <w:r>
        <w:rPr>
          <w:rFonts w:hAnsi="宋体"/>
          <w:b/>
          <w:sz w:val="28"/>
          <w:szCs w:val="28"/>
        </w:rPr>
        <w:br w:type="page"/>
      </w:r>
      <w:r>
        <w:rPr>
          <w:rFonts w:hint="eastAsia" w:hAnsi="宋体"/>
          <w:b/>
          <w:sz w:val="28"/>
          <w:szCs w:val="28"/>
          <w:lang w:val="en-US" w:eastAsia="zh-CN"/>
        </w:rPr>
        <w:t>格式9：</w:t>
      </w:r>
      <w:r>
        <w:rPr>
          <w:rFonts w:ascii="宋体" w:hAnsi="宋体"/>
          <w:b/>
          <w:sz w:val="28"/>
          <w:szCs w:val="28"/>
        </w:rPr>
        <w:t xml:space="preserve"> </w:t>
      </w:r>
    </w:p>
    <w:p w14:paraId="60AF3043">
      <w:pPr>
        <w:tabs>
          <w:tab w:val="left" w:pos="900"/>
          <w:tab w:val="left" w:pos="1588"/>
        </w:tabs>
        <w:ind w:left="851" w:firstLine="0"/>
        <w:jc w:val="center"/>
        <w:outlineLvl w:val="9"/>
        <w:rPr>
          <w:rFonts w:hint="eastAsia" w:ascii="宋体" w:hAnsi="宋体" w:eastAsia="宋体" w:cs="Times New Roman"/>
          <w:b/>
          <w:bCs/>
          <w:sz w:val="32"/>
          <w:szCs w:val="32"/>
        </w:rPr>
      </w:pPr>
      <w:bookmarkStart w:id="121" w:name="_Toc170062232"/>
      <w:bookmarkStart w:id="122" w:name="_Toc174568628"/>
      <w:bookmarkStart w:id="123" w:name="_Toc213141100"/>
      <w:r>
        <w:rPr>
          <w:rFonts w:hint="eastAsia" w:ascii="宋体" w:hAnsi="宋体" w:eastAsia="宋体" w:cs="Times New Roman"/>
          <w:b/>
          <w:bCs/>
          <w:sz w:val="32"/>
          <w:szCs w:val="32"/>
        </w:rPr>
        <w:t>商务条款偏离表</w:t>
      </w:r>
      <w:bookmarkEnd w:id="121"/>
      <w:bookmarkEnd w:id="122"/>
      <w:bookmarkEnd w:id="123"/>
    </w:p>
    <w:p w14:paraId="112709C4">
      <w:pPr>
        <w:pStyle w:val="17"/>
        <w:spacing w:line="400" w:lineRule="exact"/>
        <w:ind w:firstLine="482" w:firstLineChars="200"/>
        <w:outlineLvl w:val="9"/>
        <w:rPr>
          <w:rFonts w:hAnsi="宋体"/>
          <w:b/>
          <w:sz w:val="24"/>
          <w:szCs w:val="24"/>
        </w:rPr>
      </w:pPr>
      <w:r>
        <w:rPr>
          <w:rFonts w:hint="eastAsia" w:hAnsi="宋体"/>
          <w:b/>
          <w:sz w:val="24"/>
          <w:szCs w:val="24"/>
        </w:rPr>
        <w:t>投标人须逐条对应招标文件中要求的商务条款，认真填写本表。</w:t>
      </w:r>
    </w:p>
    <w:p w14:paraId="4B91BE19">
      <w:pPr>
        <w:pStyle w:val="17"/>
        <w:spacing w:line="400" w:lineRule="exact"/>
        <w:ind w:firstLine="480" w:firstLineChars="200"/>
        <w:outlineLvl w:val="9"/>
        <w:rPr>
          <w:rFonts w:hAnsi="宋体"/>
          <w:bCs/>
          <w:sz w:val="24"/>
          <w:szCs w:val="24"/>
        </w:rPr>
      </w:pPr>
      <w:r>
        <w:rPr>
          <w:rFonts w:hint="eastAsia" w:hAnsi="宋体"/>
          <w:bCs/>
          <w:sz w:val="24"/>
          <w:szCs w:val="24"/>
        </w:rPr>
        <w:t>商务条款是指：招标文件</w:t>
      </w:r>
      <w:r>
        <w:rPr>
          <w:rFonts w:hint="eastAsia" w:hAnsi="宋体"/>
          <w:b/>
          <w:sz w:val="24"/>
          <w:szCs w:val="24"/>
        </w:rPr>
        <w:t>中要求的交货期、交货地点、</w:t>
      </w:r>
      <w:r>
        <w:rPr>
          <w:rFonts w:hint="eastAsia" w:hAnsi="宋体"/>
          <w:b/>
          <w:sz w:val="24"/>
          <w:szCs w:val="24"/>
          <w:lang w:val="en-US" w:eastAsia="zh-CN"/>
        </w:rPr>
        <w:t>合同履行期限、</w:t>
      </w:r>
      <w:r>
        <w:rPr>
          <w:rFonts w:hint="eastAsia" w:hAnsi="宋体"/>
          <w:b/>
          <w:sz w:val="24"/>
          <w:szCs w:val="24"/>
        </w:rPr>
        <w:t>付款方式</w:t>
      </w:r>
      <w:r>
        <w:rPr>
          <w:rFonts w:hint="eastAsia" w:hAnsi="宋体"/>
          <w:b/>
          <w:sz w:val="24"/>
          <w:szCs w:val="24"/>
          <w:lang w:eastAsia="zh-CN"/>
        </w:rPr>
        <w:t>、</w:t>
      </w:r>
      <w:r>
        <w:rPr>
          <w:rFonts w:hint="eastAsia" w:hAnsi="宋体"/>
          <w:b/>
          <w:sz w:val="24"/>
          <w:szCs w:val="24"/>
          <w:lang w:val="en-US" w:eastAsia="zh-CN"/>
        </w:rPr>
        <w:t>调价机制、履约保证金</w:t>
      </w:r>
      <w:r>
        <w:rPr>
          <w:rFonts w:hint="eastAsia" w:hAnsi="宋体"/>
          <w:b/>
          <w:sz w:val="24"/>
          <w:szCs w:val="24"/>
        </w:rPr>
        <w:t>等</w:t>
      </w:r>
      <w:r>
        <w:rPr>
          <w:rFonts w:hint="eastAsia" w:hAnsi="宋体"/>
          <w:bCs/>
          <w:sz w:val="24"/>
          <w:szCs w:val="24"/>
        </w:rPr>
        <w:t>要求。</w:t>
      </w:r>
    </w:p>
    <w:p w14:paraId="6EEC0374">
      <w:pPr>
        <w:pStyle w:val="17"/>
        <w:outlineLvl w:val="9"/>
        <w:rPr>
          <w:rFonts w:hAnsi="宋体"/>
          <w:b/>
          <w:sz w:val="24"/>
          <w:szCs w:val="24"/>
        </w:rPr>
      </w:pPr>
    </w:p>
    <w:p w14:paraId="5EA9BA16">
      <w:pPr>
        <w:tabs>
          <w:tab w:val="left" w:pos="7844"/>
        </w:tabs>
        <w:spacing w:line="588" w:lineRule="exact"/>
        <w:jc w:val="left"/>
        <w:outlineLvl w:val="9"/>
        <w:rPr>
          <w:rFonts w:hint="eastAsia" w:hAnsi="宋体"/>
          <w:b/>
          <w:sz w:val="24"/>
        </w:rPr>
      </w:pPr>
      <w:r>
        <w:rPr>
          <w:rFonts w:hint="eastAsia" w:hAnsi="宋体"/>
          <w:b/>
          <w:sz w:val="24"/>
        </w:rPr>
        <w:t>项目名称：</w:t>
      </w:r>
      <w:r>
        <w:rPr>
          <w:rFonts w:hint="eastAsia" w:ascii="宋体" w:hAnsi="宋体" w:eastAsia="宋体" w:cs="Times New Roman"/>
          <w:b/>
          <w:sz w:val="24"/>
          <w:szCs w:val="24"/>
          <w:lang w:eastAsia="zh-CN"/>
        </w:rPr>
        <w:t>云南省玉溪监狱2026年至2027年罪犯配餐中心生活物资 一 标段(猪肉类；鸡肉类、冻品（鱼虾）类)采购项目</w:t>
      </w:r>
      <w:r>
        <w:rPr>
          <w:rFonts w:hint="eastAsia" w:ascii="宋体" w:hAnsi="宋体" w:eastAsia="宋体" w:cs="Times New Roman"/>
          <w:b/>
          <w:sz w:val="24"/>
          <w:szCs w:val="24"/>
          <w:lang w:val="en-US" w:eastAsia="zh-CN"/>
        </w:rPr>
        <w:t>包</w:t>
      </w:r>
      <w:r>
        <w:rPr>
          <w:rFonts w:hint="eastAsia" w:ascii="宋体" w:hAnsi="宋体" w:eastAsia="宋体" w:cs="Times New Roman"/>
          <w:b/>
          <w:sz w:val="24"/>
          <w:szCs w:val="24"/>
          <w:u w:val="single"/>
          <w:lang w:eastAsia="zh-CN"/>
        </w:rPr>
        <w:t xml:space="preserve">  </w:t>
      </w:r>
      <w:r>
        <w:rPr>
          <w:rFonts w:hint="eastAsia" w:ascii="宋体" w:hAnsi="宋体" w:eastAsia="宋体" w:cs="Times New Roman"/>
          <w:b/>
          <w:sz w:val="24"/>
          <w:szCs w:val="24"/>
          <w:lang w:val="en-US" w:eastAsia="zh-CN"/>
        </w:rPr>
        <w:t>（标包号）</w:t>
      </w:r>
      <w:r>
        <w:rPr>
          <w:rFonts w:hint="eastAsia" w:hAnsi="宋体"/>
          <w:b/>
          <w:sz w:val="24"/>
        </w:rPr>
        <w:t xml:space="preserve">           </w:t>
      </w:r>
      <w:r>
        <w:rPr>
          <w:rFonts w:hAnsi="宋体"/>
          <w:b/>
          <w:sz w:val="24"/>
        </w:rPr>
        <w:t xml:space="preserve">                       </w:t>
      </w:r>
      <w:r>
        <w:rPr>
          <w:rFonts w:hint="eastAsia" w:hAnsi="宋体"/>
          <w:b/>
          <w:sz w:val="24"/>
        </w:rPr>
        <w:t xml:space="preserve"> </w:t>
      </w:r>
    </w:p>
    <w:p w14:paraId="129983D8">
      <w:pPr>
        <w:tabs>
          <w:tab w:val="left" w:pos="7844"/>
        </w:tabs>
        <w:spacing w:line="588" w:lineRule="exact"/>
        <w:jc w:val="left"/>
        <w:outlineLvl w:val="9"/>
        <w:rPr>
          <w:rFonts w:hint="eastAsia" w:ascii="宋体" w:hAnsi="宋体" w:eastAsia="宋体" w:cs="Times New Roman"/>
          <w:b/>
          <w:sz w:val="24"/>
          <w:szCs w:val="24"/>
          <w:lang w:val="en-US" w:eastAsia="zh-CN"/>
        </w:rPr>
      </w:pPr>
      <w:r>
        <w:rPr>
          <w:rFonts w:hint="eastAsia" w:hAnsi="宋体"/>
          <w:b/>
          <w:sz w:val="24"/>
          <w:lang w:val="en-US" w:eastAsia="zh-CN"/>
        </w:rPr>
        <w:t>项目</w:t>
      </w:r>
      <w:r>
        <w:rPr>
          <w:rFonts w:hint="eastAsia" w:hAnsi="宋体"/>
          <w:b/>
          <w:sz w:val="24"/>
        </w:rPr>
        <w:t>编号：</w:t>
      </w:r>
      <w:r>
        <w:rPr>
          <w:rFonts w:hint="eastAsia" w:ascii="宋体" w:hAnsi="宋体" w:eastAsia="宋体" w:cs="Times New Roman"/>
          <w:b/>
          <w:sz w:val="24"/>
          <w:szCs w:val="24"/>
          <w:lang w:eastAsia="zh-CN"/>
        </w:rPr>
        <w:t>YNGCZBZX(招)字-YX-2026-03-02</w:t>
      </w:r>
    </w:p>
    <w:p w14:paraId="5BD21479">
      <w:pPr>
        <w:pStyle w:val="17"/>
        <w:spacing w:line="500" w:lineRule="exact"/>
        <w:outlineLvl w:val="9"/>
        <w:rPr>
          <w:rFonts w:hint="eastAsia" w:hAnsi="宋体"/>
          <w:b/>
          <w:sz w:val="24"/>
          <w:szCs w:val="24"/>
          <w:u w:val="single"/>
        </w:rPr>
      </w:pPr>
      <w:r>
        <w:rPr>
          <w:rFonts w:hint="eastAsia" w:ascii="宋体" w:hAnsi="宋体" w:eastAsia="宋体" w:cs="Times New Roman"/>
          <w:b/>
          <w:kern w:val="2"/>
          <w:sz w:val="24"/>
          <w:szCs w:val="24"/>
          <w:lang w:val="en-US" w:eastAsia="zh-CN" w:bidi="ar-SA"/>
        </w:rPr>
        <w:t xml:space="preserve">政采云项目编号：YNZC2026-G1-01428-GCJC-0001 </w:t>
      </w:r>
      <w:r>
        <w:rPr>
          <w:rFonts w:hint="eastAsia" w:hAnsi="宋体"/>
          <w:sz w:val="24"/>
          <w:szCs w:val="24"/>
        </w:rPr>
        <w:t xml:space="preserve"> </w:t>
      </w:r>
      <w:r>
        <w:rPr>
          <w:rFonts w:hint="eastAsia" w:hAnsi="宋体"/>
          <w:b/>
          <w:sz w:val="24"/>
          <w:szCs w:val="24"/>
        </w:rPr>
        <w:t xml:space="preserve"> </w:t>
      </w:r>
    </w:p>
    <w:tbl>
      <w:tblPr>
        <w:tblStyle w:val="32"/>
        <w:tblW w:w="0" w:type="auto"/>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191"/>
        <w:gridCol w:w="2589"/>
        <w:gridCol w:w="2417"/>
        <w:gridCol w:w="1586"/>
        <w:gridCol w:w="1630"/>
      </w:tblGrid>
      <w:tr w14:paraId="05EF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center"/>
          </w:tcPr>
          <w:p w14:paraId="61B640C0">
            <w:pPr>
              <w:pStyle w:val="17"/>
              <w:jc w:val="center"/>
              <w:outlineLvl w:val="9"/>
              <w:rPr>
                <w:rFonts w:hAnsi="宋体"/>
                <w:b/>
                <w:sz w:val="24"/>
                <w:szCs w:val="24"/>
              </w:rPr>
            </w:pPr>
            <w:r>
              <w:rPr>
                <w:rFonts w:hint="eastAsia" w:hAnsi="宋体"/>
                <w:b/>
                <w:sz w:val="24"/>
                <w:szCs w:val="24"/>
              </w:rPr>
              <w:t>序号</w:t>
            </w:r>
          </w:p>
        </w:tc>
        <w:tc>
          <w:tcPr>
            <w:tcW w:w="1191" w:type="dxa"/>
            <w:noWrap w:val="0"/>
            <w:vAlign w:val="center"/>
          </w:tcPr>
          <w:p w14:paraId="573B6C7E">
            <w:pPr>
              <w:pStyle w:val="17"/>
              <w:jc w:val="center"/>
              <w:outlineLvl w:val="9"/>
              <w:rPr>
                <w:rFonts w:hAnsi="宋体"/>
                <w:b/>
                <w:sz w:val="24"/>
                <w:szCs w:val="24"/>
              </w:rPr>
            </w:pPr>
            <w:r>
              <w:rPr>
                <w:rFonts w:hint="eastAsia" w:hAnsi="宋体"/>
                <w:b/>
                <w:sz w:val="24"/>
                <w:szCs w:val="24"/>
              </w:rPr>
              <w:t>招标文件页码及条目号</w:t>
            </w:r>
          </w:p>
        </w:tc>
        <w:tc>
          <w:tcPr>
            <w:tcW w:w="2589" w:type="dxa"/>
            <w:noWrap w:val="0"/>
            <w:vAlign w:val="center"/>
          </w:tcPr>
          <w:p w14:paraId="7BC3A769">
            <w:pPr>
              <w:pStyle w:val="17"/>
              <w:jc w:val="center"/>
              <w:outlineLvl w:val="9"/>
              <w:rPr>
                <w:rFonts w:hAnsi="宋体"/>
                <w:b/>
                <w:sz w:val="24"/>
                <w:szCs w:val="24"/>
              </w:rPr>
            </w:pPr>
            <w:r>
              <w:rPr>
                <w:rFonts w:hint="eastAsia" w:hAnsi="宋体"/>
                <w:b/>
                <w:sz w:val="24"/>
                <w:szCs w:val="24"/>
              </w:rPr>
              <w:t>招标文件的商务条款</w:t>
            </w:r>
          </w:p>
        </w:tc>
        <w:tc>
          <w:tcPr>
            <w:tcW w:w="2417" w:type="dxa"/>
            <w:noWrap w:val="0"/>
            <w:vAlign w:val="center"/>
          </w:tcPr>
          <w:p w14:paraId="7B24B4FD">
            <w:pPr>
              <w:pStyle w:val="17"/>
              <w:jc w:val="center"/>
              <w:outlineLvl w:val="9"/>
              <w:rPr>
                <w:rFonts w:hAnsi="宋体"/>
                <w:b/>
                <w:sz w:val="24"/>
                <w:szCs w:val="24"/>
              </w:rPr>
            </w:pPr>
            <w:r>
              <w:rPr>
                <w:rFonts w:hint="eastAsia" w:hAnsi="宋体"/>
                <w:b/>
                <w:sz w:val="24"/>
                <w:szCs w:val="24"/>
              </w:rPr>
              <w:t>投标文件的商务条款</w:t>
            </w:r>
          </w:p>
        </w:tc>
        <w:tc>
          <w:tcPr>
            <w:tcW w:w="1586" w:type="dxa"/>
            <w:noWrap w:val="0"/>
            <w:vAlign w:val="center"/>
          </w:tcPr>
          <w:p w14:paraId="566E6B90">
            <w:pPr>
              <w:pStyle w:val="17"/>
              <w:jc w:val="center"/>
              <w:outlineLvl w:val="9"/>
              <w:rPr>
                <w:rFonts w:hAnsi="宋体"/>
                <w:b/>
                <w:sz w:val="24"/>
                <w:szCs w:val="24"/>
              </w:rPr>
            </w:pPr>
            <w:r>
              <w:rPr>
                <w:rFonts w:hint="eastAsia" w:hAnsi="宋体"/>
                <w:b/>
                <w:sz w:val="24"/>
                <w:szCs w:val="24"/>
              </w:rPr>
              <w:t>响应情况说明</w:t>
            </w:r>
          </w:p>
        </w:tc>
        <w:tc>
          <w:tcPr>
            <w:tcW w:w="1630" w:type="dxa"/>
            <w:noWrap w:val="0"/>
            <w:vAlign w:val="center"/>
          </w:tcPr>
          <w:p w14:paraId="17C73227">
            <w:pPr>
              <w:pStyle w:val="17"/>
              <w:jc w:val="center"/>
              <w:outlineLvl w:val="9"/>
              <w:rPr>
                <w:rFonts w:hAnsi="宋体"/>
                <w:b/>
                <w:bCs/>
                <w:sz w:val="24"/>
                <w:szCs w:val="24"/>
              </w:rPr>
            </w:pPr>
            <w:r>
              <w:rPr>
                <w:rFonts w:hint="eastAsia" w:hAnsi="宋体"/>
                <w:b/>
                <w:bCs/>
                <w:sz w:val="24"/>
                <w:szCs w:val="24"/>
              </w:rPr>
              <w:t>商务条件支持资料索引</w:t>
            </w:r>
          </w:p>
          <w:p w14:paraId="025EF01C">
            <w:pPr>
              <w:pStyle w:val="17"/>
              <w:jc w:val="center"/>
              <w:outlineLvl w:val="9"/>
              <w:rPr>
                <w:rFonts w:hAnsi="宋体"/>
                <w:b/>
                <w:sz w:val="24"/>
                <w:szCs w:val="24"/>
              </w:rPr>
            </w:pPr>
            <w:r>
              <w:rPr>
                <w:rFonts w:hint="eastAsia" w:hAnsi="宋体"/>
                <w:b/>
                <w:sz w:val="24"/>
                <w:szCs w:val="24"/>
              </w:rPr>
              <w:t>（页码及条目号等）</w:t>
            </w:r>
          </w:p>
        </w:tc>
      </w:tr>
      <w:tr w14:paraId="5FD82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36DB4C47">
            <w:pPr>
              <w:pStyle w:val="17"/>
              <w:outlineLvl w:val="9"/>
              <w:rPr>
                <w:rFonts w:hAnsi="宋体"/>
                <w:sz w:val="24"/>
                <w:szCs w:val="24"/>
              </w:rPr>
            </w:pPr>
          </w:p>
        </w:tc>
        <w:tc>
          <w:tcPr>
            <w:tcW w:w="1191" w:type="dxa"/>
            <w:noWrap w:val="0"/>
            <w:vAlign w:val="top"/>
          </w:tcPr>
          <w:p w14:paraId="11DF8DDD">
            <w:pPr>
              <w:pStyle w:val="17"/>
              <w:outlineLvl w:val="9"/>
              <w:rPr>
                <w:rFonts w:hAnsi="宋体"/>
                <w:sz w:val="24"/>
                <w:szCs w:val="24"/>
              </w:rPr>
            </w:pPr>
          </w:p>
        </w:tc>
        <w:tc>
          <w:tcPr>
            <w:tcW w:w="2589" w:type="dxa"/>
            <w:noWrap w:val="0"/>
            <w:vAlign w:val="top"/>
          </w:tcPr>
          <w:p w14:paraId="4FFA9B25">
            <w:pPr>
              <w:pStyle w:val="17"/>
              <w:outlineLvl w:val="9"/>
              <w:rPr>
                <w:rFonts w:hAnsi="宋体"/>
                <w:sz w:val="24"/>
                <w:szCs w:val="24"/>
              </w:rPr>
            </w:pPr>
          </w:p>
        </w:tc>
        <w:tc>
          <w:tcPr>
            <w:tcW w:w="2417" w:type="dxa"/>
            <w:noWrap w:val="0"/>
            <w:vAlign w:val="top"/>
          </w:tcPr>
          <w:p w14:paraId="1E25CE92">
            <w:pPr>
              <w:pStyle w:val="17"/>
              <w:outlineLvl w:val="9"/>
              <w:rPr>
                <w:rFonts w:hAnsi="宋体"/>
                <w:sz w:val="24"/>
                <w:szCs w:val="24"/>
              </w:rPr>
            </w:pPr>
          </w:p>
        </w:tc>
        <w:tc>
          <w:tcPr>
            <w:tcW w:w="1586" w:type="dxa"/>
            <w:noWrap w:val="0"/>
            <w:vAlign w:val="top"/>
          </w:tcPr>
          <w:p w14:paraId="5FF357EA">
            <w:pPr>
              <w:pStyle w:val="17"/>
              <w:outlineLvl w:val="9"/>
              <w:rPr>
                <w:rFonts w:hAnsi="宋体"/>
                <w:sz w:val="24"/>
                <w:szCs w:val="24"/>
              </w:rPr>
            </w:pPr>
          </w:p>
        </w:tc>
        <w:tc>
          <w:tcPr>
            <w:tcW w:w="1630" w:type="dxa"/>
            <w:noWrap w:val="0"/>
            <w:vAlign w:val="top"/>
          </w:tcPr>
          <w:p w14:paraId="533A3787">
            <w:pPr>
              <w:pStyle w:val="17"/>
              <w:outlineLvl w:val="9"/>
              <w:rPr>
                <w:rFonts w:hAnsi="宋体"/>
                <w:sz w:val="24"/>
                <w:szCs w:val="24"/>
              </w:rPr>
            </w:pPr>
          </w:p>
        </w:tc>
      </w:tr>
      <w:tr w14:paraId="75D1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12229DC2">
            <w:pPr>
              <w:pStyle w:val="17"/>
              <w:outlineLvl w:val="9"/>
              <w:rPr>
                <w:rFonts w:hAnsi="宋体"/>
                <w:sz w:val="24"/>
                <w:szCs w:val="24"/>
              </w:rPr>
            </w:pPr>
          </w:p>
        </w:tc>
        <w:tc>
          <w:tcPr>
            <w:tcW w:w="1191" w:type="dxa"/>
            <w:noWrap w:val="0"/>
            <w:vAlign w:val="top"/>
          </w:tcPr>
          <w:p w14:paraId="41824C6F">
            <w:pPr>
              <w:pStyle w:val="17"/>
              <w:outlineLvl w:val="9"/>
              <w:rPr>
                <w:rFonts w:hAnsi="宋体"/>
                <w:sz w:val="24"/>
                <w:szCs w:val="24"/>
              </w:rPr>
            </w:pPr>
          </w:p>
        </w:tc>
        <w:tc>
          <w:tcPr>
            <w:tcW w:w="2589" w:type="dxa"/>
            <w:noWrap w:val="0"/>
            <w:vAlign w:val="top"/>
          </w:tcPr>
          <w:p w14:paraId="1E1B7242">
            <w:pPr>
              <w:pStyle w:val="17"/>
              <w:outlineLvl w:val="9"/>
              <w:rPr>
                <w:rFonts w:hAnsi="宋体"/>
                <w:sz w:val="24"/>
                <w:szCs w:val="24"/>
              </w:rPr>
            </w:pPr>
          </w:p>
        </w:tc>
        <w:tc>
          <w:tcPr>
            <w:tcW w:w="2417" w:type="dxa"/>
            <w:noWrap w:val="0"/>
            <w:vAlign w:val="top"/>
          </w:tcPr>
          <w:p w14:paraId="32C639CA">
            <w:pPr>
              <w:pStyle w:val="17"/>
              <w:outlineLvl w:val="9"/>
              <w:rPr>
                <w:rFonts w:hAnsi="宋体"/>
                <w:sz w:val="24"/>
                <w:szCs w:val="24"/>
              </w:rPr>
            </w:pPr>
          </w:p>
        </w:tc>
        <w:tc>
          <w:tcPr>
            <w:tcW w:w="1586" w:type="dxa"/>
            <w:noWrap w:val="0"/>
            <w:vAlign w:val="top"/>
          </w:tcPr>
          <w:p w14:paraId="35C73C71">
            <w:pPr>
              <w:pStyle w:val="17"/>
              <w:outlineLvl w:val="9"/>
              <w:rPr>
                <w:rFonts w:hAnsi="宋体"/>
                <w:sz w:val="24"/>
                <w:szCs w:val="24"/>
              </w:rPr>
            </w:pPr>
          </w:p>
        </w:tc>
        <w:tc>
          <w:tcPr>
            <w:tcW w:w="1630" w:type="dxa"/>
            <w:noWrap w:val="0"/>
            <w:vAlign w:val="top"/>
          </w:tcPr>
          <w:p w14:paraId="4BA97818">
            <w:pPr>
              <w:pStyle w:val="17"/>
              <w:outlineLvl w:val="9"/>
              <w:rPr>
                <w:rFonts w:hAnsi="宋体"/>
                <w:sz w:val="24"/>
                <w:szCs w:val="24"/>
              </w:rPr>
            </w:pPr>
          </w:p>
        </w:tc>
      </w:tr>
      <w:tr w14:paraId="1905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01255AF">
            <w:pPr>
              <w:pStyle w:val="17"/>
              <w:outlineLvl w:val="9"/>
              <w:rPr>
                <w:rFonts w:hAnsi="宋体"/>
                <w:sz w:val="24"/>
                <w:szCs w:val="24"/>
              </w:rPr>
            </w:pPr>
          </w:p>
        </w:tc>
        <w:tc>
          <w:tcPr>
            <w:tcW w:w="1191" w:type="dxa"/>
            <w:noWrap w:val="0"/>
            <w:vAlign w:val="top"/>
          </w:tcPr>
          <w:p w14:paraId="3286687D">
            <w:pPr>
              <w:pStyle w:val="17"/>
              <w:outlineLvl w:val="9"/>
              <w:rPr>
                <w:rFonts w:hAnsi="宋体"/>
                <w:sz w:val="24"/>
                <w:szCs w:val="24"/>
              </w:rPr>
            </w:pPr>
          </w:p>
        </w:tc>
        <w:tc>
          <w:tcPr>
            <w:tcW w:w="2589" w:type="dxa"/>
            <w:noWrap w:val="0"/>
            <w:vAlign w:val="top"/>
          </w:tcPr>
          <w:p w14:paraId="6DCD8E92">
            <w:pPr>
              <w:pStyle w:val="17"/>
              <w:outlineLvl w:val="9"/>
              <w:rPr>
                <w:rFonts w:hAnsi="宋体"/>
                <w:sz w:val="24"/>
                <w:szCs w:val="24"/>
              </w:rPr>
            </w:pPr>
          </w:p>
        </w:tc>
        <w:tc>
          <w:tcPr>
            <w:tcW w:w="2417" w:type="dxa"/>
            <w:noWrap w:val="0"/>
            <w:vAlign w:val="top"/>
          </w:tcPr>
          <w:p w14:paraId="58964769">
            <w:pPr>
              <w:pStyle w:val="17"/>
              <w:outlineLvl w:val="9"/>
              <w:rPr>
                <w:rFonts w:hAnsi="宋体"/>
                <w:sz w:val="24"/>
                <w:szCs w:val="24"/>
              </w:rPr>
            </w:pPr>
          </w:p>
        </w:tc>
        <w:tc>
          <w:tcPr>
            <w:tcW w:w="1586" w:type="dxa"/>
            <w:noWrap w:val="0"/>
            <w:vAlign w:val="top"/>
          </w:tcPr>
          <w:p w14:paraId="71278EB0">
            <w:pPr>
              <w:pStyle w:val="17"/>
              <w:outlineLvl w:val="9"/>
              <w:rPr>
                <w:rFonts w:hAnsi="宋体"/>
                <w:sz w:val="24"/>
                <w:szCs w:val="24"/>
              </w:rPr>
            </w:pPr>
          </w:p>
        </w:tc>
        <w:tc>
          <w:tcPr>
            <w:tcW w:w="1630" w:type="dxa"/>
            <w:noWrap w:val="0"/>
            <w:vAlign w:val="top"/>
          </w:tcPr>
          <w:p w14:paraId="4ED669CB">
            <w:pPr>
              <w:pStyle w:val="17"/>
              <w:outlineLvl w:val="9"/>
              <w:rPr>
                <w:rFonts w:hAnsi="宋体"/>
                <w:sz w:val="24"/>
                <w:szCs w:val="24"/>
              </w:rPr>
            </w:pPr>
          </w:p>
        </w:tc>
      </w:tr>
      <w:tr w14:paraId="5084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0F24CD19">
            <w:pPr>
              <w:pStyle w:val="17"/>
              <w:outlineLvl w:val="9"/>
              <w:rPr>
                <w:rFonts w:hAnsi="宋体"/>
                <w:sz w:val="24"/>
                <w:szCs w:val="24"/>
              </w:rPr>
            </w:pPr>
          </w:p>
        </w:tc>
        <w:tc>
          <w:tcPr>
            <w:tcW w:w="1191" w:type="dxa"/>
            <w:noWrap w:val="0"/>
            <w:vAlign w:val="top"/>
          </w:tcPr>
          <w:p w14:paraId="26782217">
            <w:pPr>
              <w:pStyle w:val="17"/>
              <w:outlineLvl w:val="9"/>
              <w:rPr>
                <w:rFonts w:hAnsi="宋体"/>
                <w:sz w:val="24"/>
                <w:szCs w:val="24"/>
              </w:rPr>
            </w:pPr>
          </w:p>
        </w:tc>
        <w:tc>
          <w:tcPr>
            <w:tcW w:w="2589" w:type="dxa"/>
            <w:noWrap w:val="0"/>
            <w:vAlign w:val="top"/>
          </w:tcPr>
          <w:p w14:paraId="4D33A4D6">
            <w:pPr>
              <w:pStyle w:val="17"/>
              <w:outlineLvl w:val="9"/>
              <w:rPr>
                <w:rFonts w:hAnsi="宋体"/>
                <w:sz w:val="24"/>
                <w:szCs w:val="24"/>
              </w:rPr>
            </w:pPr>
          </w:p>
        </w:tc>
        <w:tc>
          <w:tcPr>
            <w:tcW w:w="2417" w:type="dxa"/>
            <w:noWrap w:val="0"/>
            <w:vAlign w:val="top"/>
          </w:tcPr>
          <w:p w14:paraId="3B83130C">
            <w:pPr>
              <w:pStyle w:val="17"/>
              <w:outlineLvl w:val="9"/>
              <w:rPr>
                <w:rFonts w:hAnsi="宋体"/>
                <w:sz w:val="24"/>
                <w:szCs w:val="24"/>
              </w:rPr>
            </w:pPr>
          </w:p>
        </w:tc>
        <w:tc>
          <w:tcPr>
            <w:tcW w:w="1586" w:type="dxa"/>
            <w:noWrap w:val="0"/>
            <w:vAlign w:val="top"/>
          </w:tcPr>
          <w:p w14:paraId="0C4975E6">
            <w:pPr>
              <w:pStyle w:val="17"/>
              <w:outlineLvl w:val="9"/>
              <w:rPr>
                <w:rFonts w:hAnsi="宋体"/>
                <w:sz w:val="24"/>
                <w:szCs w:val="24"/>
              </w:rPr>
            </w:pPr>
          </w:p>
        </w:tc>
        <w:tc>
          <w:tcPr>
            <w:tcW w:w="1630" w:type="dxa"/>
            <w:noWrap w:val="0"/>
            <w:vAlign w:val="top"/>
          </w:tcPr>
          <w:p w14:paraId="74076982">
            <w:pPr>
              <w:pStyle w:val="17"/>
              <w:outlineLvl w:val="9"/>
              <w:rPr>
                <w:rFonts w:hAnsi="宋体"/>
                <w:sz w:val="24"/>
                <w:szCs w:val="24"/>
              </w:rPr>
            </w:pPr>
          </w:p>
        </w:tc>
      </w:tr>
      <w:tr w14:paraId="4AEBE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2A2DAB6">
            <w:pPr>
              <w:pStyle w:val="17"/>
              <w:outlineLvl w:val="9"/>
              <w:rPr>
                <w:rFonts w:hAnsi="宋体"/>
                <w:sz w:val="24"/>
                <w:szCs w:val="24"/>
              </w:rPr>
            </w:pPr>
          </w:p>
        </w:tc>
        <w:tc>
          <w:tcPr>
            <w:tcW w:w="1191" w:type="dxa"/>
            <w:noWrap w:val="0"/>
            <w:vAlign w:val="top"/>
          </w:tcPr>
          <w:p w14:paraId="36C7BE5E">
            <w:pPr>
              <w:pStyle w:val="17"/>
              <w:outlineLvl w:val="9"/>
              <w:rPr>
                <w:rFonts w:hAnsi="宋体"/>
                <w:sz w:val="24"/>
                <w:szCs w:val="24"/>
              </w:rPr>
            </w:pPr>
          </w:p>
        </w:tc>
        <w:tc>
          <w:tcPr>
            <w:tcW w:w="2589" w:type="dxa"/>
            <w:noWrap w:val="0"/>
            <w:vAlign w:val="top"/>
          </w:tcPr>
          <w:p w14:paraId="44C4DAE3">
            <w:pPr>
              <w:pStyle w:val="17"/>
              <w:outlineLvl w:val="9"/>
              <w:rPr>
                <w:rFonts w:hAnsi="宋体"/>
                <w:sz w:val="24"/>
                <w:szCs w:val="24"/>
              </w:rPr>
            </w:pPr>
          </w:p>
        </w:tc>
        <w:tc>
          <w:tcPr>
            <w:tcW w:w="2417" w:type="dxa"/>
            <w:noWrap w:val="0"/>
            <w:vAlign w:val="top"/>
          </w:tcPr>
          <w:p w14:paraId="61E0E98B">
            <w:pPr>
              <w:pStyle w:val="17"/>
              <w:outlineLvl w:val="9"/>
              <w:rPr>
                <w:rFonts w:hAnsi="宋体"/>
                <w:sz w:val="24"/>
                <w:szCs w:val="24"/>
              </w:rPr>
            </w:pPr>
          </w:p>
        </w:tc>
        <w:tc>
          <w:tcPr>
            <w:tcW w:w="1586" w:type="dxa"/>
            <w:noWrap w:val="0"/>
            <w:vAlign w:val="top"/>
          </w:tcPr>
          <w:p w14:paraId="45CBE2AC">
            <w:pPr>
              <w:pStyle w:val="17"/>
              <w:outlineLvl w:val="9"/>
              <w:rPr>
                <w:rFonts w:hAnsi="宋体"/>
                <w:sz w:val="24"/>
                <w:szCs w:val="24"/>
              </w:rPr>
            </w:pPr>
          </w:p>
        </w:tc>
        <w:tc>
          <w:tcPr>
            <w:tcW w:w="1630" w:type="dxa"/>
            <w:noWrap w:val="0"/>
            <w:vAlign w:val="top"/>
          </w:tcPr>
          <w:p w14:paraId="7720BFA6">
            <w:pPr>
              <w:pStyle w:val="17"/>
              <w:outlineLvl w:val="9"/>
              <w:rPr>
                <w:rFonts w:hAnsi="宋体"/>
                <w:sz w:val="24"/>
                <w:szCs w:val="24"/>
              </w:rPr>
            </w:pPr>
          </w:p>
        </w:tc>
      </w:tr>
      <w:tr w14:paraId="0DDB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27FCA70">
            <w:pPr>
              <w:pStyle w:val="17"/>
              <w:outlineLvl w:val="9"/>
              <w:rPr>
                <w:rFonts w:hAnsi="宋体"/>
                <w:sz w:val="24"/>
                <w:szCs w:val="24"/>
              </w:rPr>
            </w:pPr>
          </w:p>
        </w:tc>
        <w:tc>
          <w:tcPr>
            <w:tcW w:w="1191" w:type="dxa"/>
            <w:noWrap w:val="0"/>
            <w:vAlign w:val="top"/>
          </w:tcPr>
          <w:p w14:paraId="531F6483">
            <w:pPr>
              <w:pStyle w:val="17"/>
              <w:outlineLvl w:val="9"/>
              <w:rPr>
                <w:rFonts w:hAnsi="宋体"/>
                <w:sz w:val="24"/>
                <w:szCs w:val="24"/>
              </w:rPr>
            </w:pPr>
          </w:p>
        </w:tc>
        <w:tc>
          <w:tcPr>
            <w:tcW w:w="2589" w:type="dxa"/>
            <w:noWrap w:val="0"/>
            <w:vAlign w:val="top"/>
          </w:tcPr>
          <w:p w14:paraId="33676108">
            <w:pPr>
              <w:pStyle w:val="17"/>
              <w:outlineLvl w:val="9"/>
              <w:rPr>
                <w:rFonts w:hAnsi="宋体"/>
                <w:sz w:val="24"/>
                <w:szCs w:val="24"/>
              </w:rPr>
            </w:pPr>
          </w:p>
        </w:tc>
        <w:tc>
          <w:tcPr>
            <w:tcW w:w="2417" w:type="dxa"/>
            <w:noWrap w:val="0"/>
            <w:vAlign w:val="top"/>
          </w:tcPr>
          <w:p w14:paraId="11F9BE0F">
            <w:pPr>
              <w:pStyle w:val="17"/>
              <w:outlineLvl w:val="9"/>
              <w:rPr>
                <w:rFonts w:hAnsi="宋体"/>
                <w:sz w:val="24"/>
                <w:szCs w:val="24"/>
              </w:rPr>
            </w:pPr>
          </w:p>
        </w:tc>
        <w:tc>
          <w:tcPr>
            <w:tcW w:w="1586" w:type="dxa"/>
            <w:noWrap w:val="0"/>
            <w:vAlign w:val="top"/>
          </w:tcPr>
          <w:p w14:paraId="1055BB15">
            <w:pPr>
              <w:pStyle w:val="17"/>
              <w:outlineLvl w:val="9"/>
              <w:rPr>
                <w:rFonts w:hAnsi="宋体"/>
                <w:sz w:val="24"/>
                <w:szCs w:val="24"/>
              </w:rPr>
            </w:pPr>
          </w:p>
        </w:tc>
        <w:tc>
          <w:tcPr>
            <w:tcW w:w="1630" w:type="dxa"/>
            <w:noWrap w:val="0"/>
            <w:vAlign w:val="top"/>
          </w:tcPr>
          <w:p w14:paraId="1985271E">
            <w:pPr>
              <w:pStyle w:val="17"/>
              <w:outlineLvl w:val="9"/>
              <w:rPr>
                <w:rFonts w:hAnsi="宋体"/>
                <w:sz w:val="24"/>
                <w:szCs w:val="24"/>
              </w:rPr>
            </w:pPr>
          </w:p>
        </w:tc>
      </w:tr>
      <w:tr w14:paraId="14158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5AABAF59">
            <w:pPr>
              <w:pStyle w:val="17"/>
              <w:outlineLvl w:val="9"/>
              <w:rPr>
                <w:rFonts w:hAnsi="宋体"/>
                <w:sz w:val="24"/>
                <w:szCs w:val="24"/>
              </w:rPr>
            </w:pPr>
          </w:p>
        </w:tc>
        <w:tc>
          <w:tcPr>
            <w:tcW w:w="1191" w:type="dxa"/>
            <w:noWrap w:val="0"/>
            <w:vAlign w:val="top"/>
          </w:tcPr>
          <w:p w14:paraId="13693686">
            <w:pPr>
              <w:pStyle w:val="17"/>
              <w:outlineLvl w:val="9"/>
              <w:rPr>
                <w:rFonts w:hAnsi="宋体"/>
                <w:sz w:val="24"/>
                <w:szCs w:val="24"/>
              </w:rPr>
            </w:pPr>
          </w:p>
        </w:tc>
        <w:tc>
          <w:tcPr>
            <w:tcW w:w="2589" w:type="dxa"/>
            <w:noWrap w:val="0"/>
            <w:vAlign w:val="top"/>
          </w:tcPr>
          <w:p w14:paraId="140E550F">
            <w:pPr>
              <w:pStyle w:val="17"/>
              <w:outlineLvl w:val="9"/>
              <w:rPr>
                <w:rFonts w:hAnsi="宋体"/>
                <w:sz w:val="24"/>
                <w:szCs w:val="24"/>
              </w:rPr>
            </w:pPr>
          </w:p>
        </w:tc>
        <w:tc>
          <w:tcPr>
            <w:tcW w:w="2417" w:type="dxa"/>
            <w:noWrap w:val="0"/>
            <w:vAlign w:val="top"/>
          </w:tcPr>
          <w:p w14:paraId="66D37090">
            <w:pPr>
              <w:pStyle w:val="17"/>
              <w:outlineLvl w:val="9"/>
              <w:rPr>
                <w:rFonts w:hAnsi="宋体"/>
                <w:sz w:val="24"/>
                <w:szCs w:val="24"/>
              </w:rPr>
            </w:pPr>
          </w:p>
        </w:tc>
        <w:tc>
          <w:tcPr>
            <w:tcW w:w="1586" w:type="dxa"/>
            <w:noWrap w:val="0"/>
            <w:vAlign w:val="top"/>
          </w:tcPr>
          <w:p w14:paraId="6E631575">
            <w:pPr>
              <w:pStyle w:val="17"/>
              <w:outlineLvl w:val="9"/>
              <w:rPr>
                <w:rFonts w:hAnsi="宋体"/>
                <w:sz w:val="24"/>
                <w:szCs w:val="24"/>
              </w:rPr>
            </w:pPr>
          </w:p>
        </w:tc>
        <w:tc>
          <w:tcPr>
            <w:tcW w:w="1630" w:type="dxa"/>
            <w:noWrap w:val="0"/>
            <w:vAlign w:val="top"/>
          </w:tcPr>
          <w:p w14:paraId="14C62D94">
            <w:pPr>
              <w:pStyle w:val="17"/>
              <w:outlineLvl w:val="9"/>
              <w:rPr>
                <w:rFonts w:hAnsi="宋体"/>
                <w:sz w:val="24"/>
                <w:szCs w:val="24"/>
              </w:rPr>
            </w:pPr>
          </w:p>
        </w:tc>
      </w:tr>
      <w:tr w14:paraId="4F7F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6947560D">
            <w:pPr>
              <w:pStyle w:val="17"/>
              <w:outlineLvl w:val="9"/>
              <w:rPr>
                <w:rFonts w:hAnsi="宋体"/>
                <w:sz w:val="24"/>
                <w:szCs w:val="24"/>
              </w:rPr>
            </w:pPr>
          </w:p>
        </w:tc>
        <w:tc>
          <w:tcPr>
            <w:tcW w:w="1191" w:type="dxa"/>
            <w:noWrap w:val="0"/>
            <w:vAlign w:val="top"/>
          </w:tcPr>
          <w:p w14:paraId="0AB99A21">
            <w:pPr>
              <w:pStyle w:val="17"/>
              <w:outlineLvl w:val="9"/>
              <w:rPr>
                <w:rFonts w:hAnsi="宋体"/>
                <w:sz w:val="24"/>
                <w:szCs w:val="24"/>
              </w:rPr>
            </w:pPr>
          </w:p>
        </w:tc>
        <w:tc>
          <w:tcPr>
            <w:tcW w:w="2589" w:type="dxa"/>
            <w:noWrap w:val="0"/>
            <w:vAlign w:val="top"/>
          </w:tcPr>
          <w:p w14:paraId="57695AED">
            <w:pPr>
              <w:pStyle w:val="17"/>
              <w:outlineLvl w:val="9"/>
              <w:rPr>
                <w:rFonts w:hAnsi="宋体"/>
                <w:sz w:val="24"/>
                <w:szCs w:val="24"/>
              </w:rPr>
            </w:pPr>
          </w:p>
        </w:tc>
        <w:tc>
          <w:tcPr>
            <w:tcW w:w="2417" w:type="dxa"/>
            <w:noWrap w:val="0"/>
            <w:vAlign w:val="top"/>
          </w:tcPr>
          <w:p w14:paraId="36D5D26A">
            <w:pPr>
              <w:pStyle w:val="17"/>
              <w:outlineLvl w:val="9"/>
              <w:rPr>
                <w:rFonts w:hAnsi="宋体"/>
                <w:sz w:val="24"/>
                <w:szCs w:val="24"/>
              </w:rPr>
            </w:pPr>
          </w:p>
        </w:tc>
        <w:tc>
          <w:tcPr>
            <w:tcW w:w="1586" w:type="dxa"/>
            <w:noWrap w:val="0"/>
            <w:vAlign w:val="top"/>
          </w:tcPr>
          <w:p w14:paraId="7244C23F">
            <w:pPr>
              <w:pStyle w:val="17"/>
              <w:outlineLvl w:val="9"/>
              <w:rPr>
                <w:rFonts w:hAnsi="宋体"/>
                <w:sz w:val="24"/>
                <w:szCs w:val="24"/>
              </w:rPr>
            </w:pPr>
          </w:p>
        </w:tc>
        <w:tc>
          <w:tcPr>
            <w:tcW w:w="1630" w:type="dxa"/>
            <w:noWrap w:val="0"/>
            <w:vAlign w:val="top"/>
          </w:tcPr>
          <w:p w14:paraId="06DA2007">
            <w:pPr>
              <w:pStyle w:val="17"/>
              <w:outlineLvl w:val="9"/>
              <w:rPr>
                <w:rFonts w:hAnsi="宋体"/>
                <w:sz w:val="24"/>
                <w:szCs w:val="24"/>
              </w:rPr>
            </w:pPr>
          </w:p>
        </w:tc>
      </w:tr>
      <w:tr w14:paraId="54181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6D7B1C3">
            <w:pPr>
              <w:pStyle w:val="17"/>
              <w:outlineLvl w:val="9"/>
              <w:rPr>
                <w:rFonts w:hAnsi="宋体"/>
                <w:sz w:val="24"/>
                <w:szCs w:val="24"/>
              </w:rPr>
            </w:pPr>
          </w:p>
        </w:tc>
        <w:tc>
          <w:tcPr>
            <w:tcW w:w="1191" w:type="dxa"/>
            <w:noWrap w:val="0"/>
            <w:vAlign w:val="top"/>
          </w:tcPr>
          <w:p w14:paraId="4B12C5F3">
            <w:pPr>
              <w:pStyle w:val="17"/>
              <w:outlineLvl w:val="9"/>
              <w:rPr>
                <w:rFonts w:hAnsi="宋体"/>
                <w:sz w:val="24"/>
                <w:szCs w:val="24"/>
              </w:rPr>
            </w:pPr>
          </w:p>
        </w:tc>
        <w:tc>
          <w:tcPr>
            <w:tcW w:w="2589" w:type="dxa"/>
            <w:noWrap w:val="0"/>
            <w:vAlign w:val="top"/>
          </w:tcPr>
          <w:p w14:paraId="5A3D496E">
            <w:pPr>
              <w:pStyle w:val="17"/>
              <w:outlineLvl w:val="9"/>
              <w:rPr>
                <w:rFonts w:hAnsi="宋体"/>
                <w:sz w:val="24"/>
                <w:szCs w:val="24"/>
              </w:rPr>
            </w:pPr>
          </w:p>
        </w:tc>
        <w:tc>
          <w:tcPr>
            <w:tcW w:w="2417" w:type="dxa"/>
            <w:noWrap w:val="0"/>
            <w:vAlign w:val="top"/>
          </w:tcPr>
          <w:p w14:paraId="39BAC0D9">
            <w:pPr>
              <w:pStyle w:val="17"/>
              <w:outlineLvl w:val="9"/>
              <w:rPr>
                <w:rFonts w:hAnsi="宋体"/>
                <w:sz w:val="24"/>
                <w:szCs w:val="24"/>
              </w:rPr>
            </w:pPr>
          </w:p>
        </w:tc>
        <w:tc>
          <w:tcPr>
            <w:tcW w:w="1586" w:type="dxa"/>
            <w:noWrap w:val="0"/>
            <w:vAlign w:val="top"/>
          </w:tcPr>
          <w:p w14:paraId="0F0E5787">
            <w:pPr>
              <w:pStyle w:val="17"/>
              <w:outlineLvl w:val="9"/>
              <w:rPr>
                <w:rFonts w:hAnsi="宋体"/>
                <w:sz w:val="24"/>
                <w:szCs w:val="24"/>
              </w:rPr>
            </w:pPr>
          </w:p>
        </w:tc>
        <w:tc>
          <w:tcPr>
            <w:tcW w:w="1630" w:type="dxa"/>
            <w:noWrap w:val="0"/>
            <w:vAlign w:val="top"/>
          </w:tcPr>
          <w:p w14:paraId="3D5DF1FB">
            <w:pPr>
              <w:pStyle w:val="17"/>
              <w:outlineLvl w:val="9"/>
              <w:rPr>
                <w:rFonts w:hAnsi="宋体"/>
                <w:sz w:val="24"/>
                <w:szCs w:val="24"/>
              </w:rPr>
            </w:pPr>
          </w:p>
        </w:tc>
      </w:tr>
      <w:tr w14:paraId="0B93D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670A63E9">
            <w:pPr>
              <w:pStyle w:val="17"/>
              <w:outlineLvl w:val="9"/>
              <w:rPr>
                <w:rFonts w:hAnsi="宋体"/>
                <w:sz w:val="24"/>
                <w:szCs w:val="24"/>
              </w:rPr>
            </w:pPr>
          </w:p>
        </w:tc>
        <w:tc>
          <w:tcPr>
            <w:tcW w:w="1191" w:type="dxa"/>
            <w:noWrap w:val="0"/>
            <w:vAlign w:val="top"/>
          </w:tcPr>
          <w:p w14:paraId="7D38158D">
            <w:pPr>
              <w:pStyle w:val="17"/>
              <w:outlineLvl w:val="9"/>
              <w:rPr>
                <w:rFonts w:hAnsi="宋体"/>
                <w:sz w:val="24"/>
                <w:szCs w:val="24"/>
              </w:rPr>
            </w:pPr>
          </w:p>
        </w:tc>
        <w:tc>
          <w:tcPr>
            <w:tcW w:w="2589" w:type="dxa"/>
            <w:noWrap w:val="0"/>
            <w:vAlign w:val="top"/>
          </w:tcPr>
          <w:p w14:paraId="6BC67C04">
            <w:pPr>
              <w:pStyle w:val="17"/>
              <w:outlineLvl w:val="9"/>
              <w:rPr>
                <w:rFonts w:hAnsi="宋体"/>
                <w:sz w:val="24"/>
                <w:szCs w:val="24"/>
              </w:rPr>
            </w:pPr>
          </w:p>
        </w:tc>
        <w:tc>
          <w:tcPr>
            <w:tcW w:w="2417" w:type="dxa"/>
            <w:noWrap w:val="0"/>
            <w:vAlign w:val="top"/>
          </w:tcPr>
          <w:p w14:paraId="061B36D1">
            <w:pPr>
              <w:pStyle w:val="17"/>
              <w:outlineLvl w:val="9"/>
              <w:rPr>
                <w:rFonts w:hAnsi="宋体"/>
                <w:sz w:val="24"/>
                <w:szCs w:val="24"/>
              </w:rPr>
            </w:pPr>
          </w:p>
        </w:tc>
        <w:tc>
          <w:tcPr>
            <w:tcW w:w="1586" w:type="dxa"/>
            <w:noWrap w:val="0"/>
            <w:vAlign w:val="top"/>
          </w:tcPr>
          <w:p w14:paraId="672B9629">
            <w:pPr>
              <w:pStyle w:val="17"/>
              <w:outlineLvl w:val="9"/>
              <w:rPr>
                <w:rFonts w:hAnsi="宋体"/>
                <w:sz w:val="24"/>
                <w:szCs w:val="24"/>
              </w:rPr>
            </w:pPr>
          </w:p>
        </w:tc>
        <w:tc>
          <w:tcPr>
            <w:tcW w:w="1630" w:type="dxa"/>
            <w:noWrap w:val="0"/>
            <w:vAlign w:val="top"/>
          </w:tcPr>
          <w:p w14:paraId="482AD9B3">
            <w:pPr>
              <w:pStyle w:val="17"/>
              <w:outlineLvl w:val="9"/>
              <w:rPr>
                <w:rFonts w:hAnsi="宋体"/>
                <w:sz w:val="24"/>
                <w:szCs w:val="24"/>
              </w:rPr>
            </w:pPr>
          </w:p>
        </w:tc>
      </w:tr>
    </w:tbl>
    <w:p w14:paraId="34F61B2E">
      <w:pPr>
        <w:spacing w:line="588" w:lineRule="exact"/>
        <w:jc w:val="left"/>
        <w:outlineLvl w:val="9"/>
        <w:rPr>
          <w:rFonts w:ascii="宋体" w:hAnsi="宋体"/>
          <w:b/>
          <w:bCs w:val="0"/>
          <w:sz w:val="28"/>
          <w:szCs w:val="28"/>
        </w:rPr>
      </w:pPr>
      <w:r>
        <w:rPr>
          <w:rFonts w:ascii="宋体" w:hAnsi="宋体"/>
          <w:b/>
          <w:sz w:val="28"/>
          <w:szCs w:val="28"/>
        </w:rPr>
        <w:br w:type="page"/>
      </w:r>
      <w:r>
        <w:rPr>
          <w:rFonts w:hint="eastAsia" w:ascii="宋体" w:hAnsi="宋体"/>
          <w:b/>
          <w:sz w:val="28"/>
          <w:szCs w:val="28"/>
        </w:rPr>
        <w:t>格式</w:t>
      </w:r>
      <w:r>
        <w:rPr>
          <w:rFonts w:hint="eastAsia" w:ascii="宋体" w:hAnsi="宋体"/>
          <w:b/>
          <w:sz w:val="28"/>
          <w:szCs w:val="28"/>
          <w:lang w:val="en-US" w:eastAsia="zh-CN"/>
        </w:rPr>
        <w:t>:10</w:t>
      </w:r>
      <w:r>
        <w:rPr>
          <w:rFonts w:hint="eastAsia" w:ascii="宋体" w:hAnsi="宋体"/>
          <w:b/>
          <w:sz w:val="28"/>
          <w:szCs w:val="28"/>
        </w:rPr>
        <w:t>：</w:t>
      </w:r>
    </w:p>
    <w:p w14:paraId="32F01E5D">
      <w:pPr>
        <w:tabs>
          <w:tab w:val="left" w:pos="900"/>
          <w:tab w:val="left" w:pos="1588"/>
        </w:tabs>
        <w:ind w:left="851" w:firstLine="0"/>
        <w:jc w:val="center"/>
        <w:outlineLvl w:val="9"/>
        <w:rPr>
          <w:rFonts w:ascii="宋体" w:hAnsi="宋体" w:eastAsia="宋体"/>
          <w:b/>
          <w:bCs w:val="0"/>
          <w:sz w:val="32"/>
          <w:szCs w:val="32"/>
        </w:rPr>
      </w:pPr>
      <w:bookmarkStart w:id="124" w:name="_Toc496122211"/>
      <w:r>
        <w:rPr>
          <w:rFonts w:ascii="宋体" w:hAnsi="宋体" w:eastAsia="宋体"/>
          <w:b/>
          <w:bCs w:val="0"/>
          <w:sz w:val="32"/>
          <w:szCs w:val="32"/>
        </w:rPr>
        <w:t>构成投标文件</w:t>
      </w:r>
      <w:r>
        <w:rPr>
          <w:rFonts w:hint="eastAsia" w:ascii="宋体" w:hAnsi="宋体" w:eastAsia="宋体"/>
          <w:b/>
          <w:bCs w:val="0"/>
          <w:sz w:val="32"/>
          <w:szCs w:val="32"/>
        </w:rPr>
        <w:t>商务</w:t>
      </w:r>
      <w:r>
        <w:rPr>
          <w:rFonts w:ascii="宋体" w:hAnsi="宋体" w:eastAsia="宋体"/>
          <w:b/>
          <w:bCs w:val="0"/>
          <w:sz w:val="32"/>
          <w:szCs w:val="32"/>
        </w:rPr>
        <w:t>部分的其</w:t>
      </w:r>
      <w:r>
        <w:rPr>
          <w:rFonts w:hint="eastAsia" w:ascii="宋体" w:hAnsi="宋体" w:eastAsia="宋体"/>
          <w:b/>
          <w:bCs w:val="0"/>
          <w:sz w:val="32"/>
          <w:szCs w:val="32"/>
        </w:rPr>
        <w:t>他</w:t>
      </w:r>
      <w:r>
        <w:rPr>
          <w:rFonts w:ascii="宋体" w:hAnsi="宋体" w:eastAsia="宋体"/>
          <w:b/>
          <w:bCs w:val="0"/>
          <w:sz w:val="32"/>
          <w:szCs w:val="32"/>
        </w:rPr>
        <w:t>资料</w:t>
      </w:r>
      <w:bookmarkEnd w:id="124"/>
    </w:p>
    <w:p w14:paraId="5504A539">
      <w:pPr>
        <w:jc w:val="center"/>
        <w:outlineLvl w:val="9"/>
        <w:rPr>
          <w:rFonts w:ascii="宋体" w:hAnsi="宋体"/>
          <w:sz w:val="24"/>
        </w:rPr>
      </w:pPr>
    </w:p>
    <w:p w14:paraId="10DE03AC">
      <w:pPr>
        <w:pStyle w:val="17"/>
        <w:spacing w:line="600" w:lineRule="exact"/>
        <w:outlineLvl w:val="9"/>
        <w:rPr>
          <w:rFonts w:hAnsi="宋体"/>
          <w:sz w:val="24"/>
          <w:szCs w:val="24"/>
          <w:u w:val="single"/>
        </w:rPr>
      </w:pPr>
    </w:p>
    <w:p w14:paraId="144321EA">
      <w:pPr>
        <w:tabs>
          <w:tab w:val="left" w:pos="1021"/>
        </w:tabs>
        <w:ind w:left="425" w:firstLine="0"/>
        <w:jc w:val="center"/>
        <w:outlineLvl w:val="9"/>
        <w:rPr>
          <w:rFonts w:ascii="宋体" w:hAnsi="宋体" w:eastAsia="宋体"/>
          <w:b/>
          <w:bCs/>
          <w:sz w:val="32"/>
          <w:szCs w:val="32"/>
        </w:rPr>
      </w:pPr>
      <w:r>
        <w:rPr>
          <w:rFonts w:hint="eastAsia" w:hAnsi="宋体"/>
          <w:sz w:val="24"/>
          <w:szCs w:val="24"/>
        </w:rPr>
        <w:br w:type="page"/>
      </w:r>
      <w:bookmarkStart w:id="125" w:name="_Toc70446117"/>
      <w:bookmarkStart w:id="126" w:name="_Toc496122212"/>
      <w:r>
        <w:rPr>
          <w:rFonts w:hint="eastAsia" w:ascii="宋体" w:hAnsi="宋体" w:eastAsia="宋体"/>
          <w:b/>
          <w:bCs/>
          <w:sz w:val="32"/>
          <w:szCs w:val="32"/>
        </w:rPr>
        <w:t>三、技术部分</w:t>
      </w:r>
      <w:bookmarkEnd w:id="125"/>
      <w:bookmarkEnd w:id="126"/>
    </w:p>
    <w:p w14:paraId="3D7CFF29">
      <w:pPr>
        <w:pStyle w:val="17"/>
        <w:outlineLvl w:val="9"/>
        <w:rPr>
          <w:rFonts w:hAnsi="宋体"/>
          <w:b/>
          <w:bCs/>
          <w:sz w:val="28"/>
          <w:szCs w:val="28"/>
        </w:rPr>
      </w:pPr>
      <w:r>
        <w:rPr>
          <w:rFonts w:hint="eastAsia" w:hAnsi="宋体"/>
          <w:b/>
          <w:bCs/>
          <w:sz w:val="28"/>
          <w:szCs w:val="28"/>
        </w:rPr>
        <w:t>格式</w:t>
      </w:r>
      <w:r>
        <w:rPr>
          <w:rFonts w:hint="eastAsia" w:hAnsi="宋体"/>
          <w:b/>
          <w:bCs/>
          <w:sz w:val="28"/>
          <w:szCs w:val="28"/>
          <w:lang w:val="en-US" w:eastAsia="zh-CN"/>
        </w:rPr>
        <w:t>1</w:t>
      </w:r>
      <w:r>
        <w:rPr>
          <w:rFonts w:hint="eastAsia" w:hAnsi="宋体"/>
          <w:b/>
          <w:bCs/>
          <w:sz w:val="28"/>
          <w:szCs w:val="28"/>
        </w:rPr>
        <w:t>：</w:t>
      </w:r>
    </w:p>
    <w:p w14:paraId="0A14C18F">
      <w:pPr>
        <w:keepNext w:val="0"/>
        <w:keepLines w:val="0"/>
        <w:pageBreakBefore w:val="0"/>
        <w:widowControl w:val="0"/>
        <w:tabs>
          <w:tab w:val="left" w:pos="900"/>
          <w:tab w:val="left" w:pos="1588"/>
        </w:tabs>
        <w:kinsoku/>
        <w:wordWrap/>
        <w:overflowPunct/>
        <w:topLinePunct w:val="0"/>
        <w:autoSpaceDE/>
        <w:autoSpaceDN/>
        <w:bidi w:val="0"/>
        <w:adjustRightInd/>
        <w:snapToGrid/>
        <w:spacing w:line="500" w:lineRule="exact"/>
        <w:ind w:left="851" w:firstLine="0"/>
        <w:jc w:val="center"/>
        <w:textAlignment w:val="auto"/>
        <w:outlineLvl w:val="9"/>
        <w:rPr>
          <w:rFonts w:hint="eastAsia" w:ascii="宋体" w:hAnsi="宋体" w:eastAsia="宋体" w:cs="Times New Roman"/>
          <w:b/>
          <w:bCs/>
          <w:sz w:val="32"/>
          <w:szCs w:val="32"/>
          <w:lang w:val="en-US" w:eastAsia="zh-CN"/>
        </w:rPr>
      </w:pPr>
      <w:r>
        <w:rPr>
          <w:rFonts w:hint="eastAsia" w:ascii="宋体" w:hAnsi="宋体" w:eastAsia="宋体" w:cs="Times New Roman"/>
          <w:b/>
          <w:bCs/>
          <w:sz w:val="32"/>
          <w:szCs w:val="32"/>
          <w:lang w:val="en-US" w:eastAsia="zh-CN"/>
        </w:rPr>
        <w:t>产品质量保证措施</w:t>
      </w:r>
    </w:p>
    <w:p w14:paraId="604F845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center"/>
        <w:textAlignment w:val="auto"/>
        <w:outlineLvl w:val="9"/>
        <w:rPr>
          <w:rFonts w:hint="eastAsia" w:ascii="宋体" w:hAnsi="宋体" w:eastAsia="宋体"/>
          <w:szCs w:val="21"/>
          <w:lang w:val="en-US" w:eastAsia="zh-CN"/>
        </w:rPr>
      </w:pPr>
      <w:bookmarkStart w:id="127" w:name="OLE_LINK16"/>
      <w:r>
        <w:rPr>
          <w:rFonts w:hint="eastAsia" w:ascii="宋体" w:hAnsi="宋体"/>
          <w:sz w:val="24"/>
          <w:lang w:eastAsia="zh-CN"/>
        </w:rPr>
        <w:t>（</w:t>
      </w:r>
      <w:r>
        <w:rPr>
          <w:rFonts w:hint="eastAsia" w:ascii="宋体" w:hAnsi="宋体"/>
          <w:sz w:val="24"/>
        </w:rPr>
        <w:t>由</w:t>
      </w:r>
      <w:r>
        <w:rPr>
          <w:rFonts w:hint="eastAsia" w:ascii="宋体" w:hAnsi="宋体"/>
          <w:sz w:val="24"/>
          <w:lang w:val="en-US" w:eastAsia="zh-CN"/>
        </w:rPr>
        <w:t>投标人</w:t>
      </w:r>
      <w:r>
        <w:rPr>
          <w:rFonts w:hint="eastAsia" w:ascii="宋体" w:hAnsi="宋体"/>
          <w:sz w:val="24"/>
        </w:rPr>
        <w:t>结合项目实际</w:t>
      </w:r>
      <w:r>
        <w:rPr>
          <w:rFonts w:hint="eastAsia" w:ascii="宋体" w:hAnsi="宋体"/>
          <w:sz w:val="24"/>
          <w:lang w:val="en-US" w:eastAsia="zh-CN"/>
        </w:rPr>
        <w:t>以及自身</w:t>
      </w:r>
      <w:r>
        <w:rPr>
          <w:rFonts w:hint="eastAsia" w:ascii="宋体" w:hAnsi="宋体"/>
          <w:sz w:val="24"/>
        </w:rPr>
        <w:t>情况自行编制拟定</w:t>
      </w:r>
      <w:r>
        <w:rPr>
          <w:rFonts w:hint="eastAsia" w:ascii="宋体" w:hAnsi="宋体"/>
          <w:sz w:val="24"/>
          <w:lang w:eastAsia="zh-CN"/>
        </w:rPr>
        <w:t>，</w:t>
      </w:r>
      <w:r>
        <w:rPr>
          <w:rFonts w:hint="eastAsia" w:ascii="宋体" w:hAnsi="宋体"/>
          <w:sz w:val="24"/>
          <w:lang w:val="en-US" w:eastAsia="zh-CN"/>
        </w:rPr>
        <w:t>格式自拟。</w:t>
      </w:r>
      <w:r>
        <w:rPr>
          <w:rFonts w:hint="eastAsia" w:ascii="宋体" w:hAnsi="宋体"/>
          <w:sz w:val="24"/>
          <w:lang w:eastAsia="zh-CN"/>
        </w:rPr>
        <w:t>）</w:t>
      </w:r>
      <w:bookmarkEnd w:id="127"/>
    </w:p>
    <w:p w14:paraId="4295D3A1">
      <w:pPr>
        <w:spacing w:line="500" w:lineRule="exact"/>
        <w:outlineLvl w:val="9"/>
        <w:rPr>
          <w:rFonts w:hint="eastAsia" w:ascii="宋体" w:hAnsi="宋体"/>
          <w:sz w:val="24"/>
        </w:rPr>
      </w:pPr>
    </w:p>
    <w:p w14:paraId="3BFE1B35">
      <w:pPr>
        <w:spacing w:line="400" w:lineRule="exact"/>
        <w:ind w:firstLine="480" w:firstLineChars="200"/>
        <w:outlineLvl w:val="9"/>
        <w:rPr>
          <w:rFonts w:ascii="宋体" w:hAnsi="宋体"/>
          <w:sz w:val="24"/>
        </w:rPr>
      </w:pPr>
    </w:p>
    <w:p w14:paraId="7D0D32AE">
      <w:pPr>
        <w:pStyle w:val="17"/>
        <w:outlineLvl w:val="9"/>
        <w:rPr>
          <w:rFonts w:hint="eastAsia" w:hAnsi="宋体"/>
          <w:b/>
          <w:sz w:val="28"/>
          <w:szCs w:val="28"/>
        </w:rPr>
      </w:pPr>
      <w:r>
        <w:rPr>
          <w:rFonts w:hAnsi="宋体"/>
          <w:sz w:val="24"/>
        </w:rPr>
        <w:br w:type="page"/>
      </w: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bookmarkStart w:id="128" w:name="_Toc373625405"/>
      <w:bookmarkStart w:id="129" w:name="_Toc386093490"/>
    </w:p>
    <w:bookmarkEnd w:id="128"/>
    <w:bookmarkEnd w:id="129"/>
    <w:p w14:paraId="0326B12A">
      <w:pPr>
        <w:keepNext w:val="0"/>
        <w:keepLines w:val="0"/>
        <w:pageBreakBefore w:val="0"/>
        <w:widowControl w:val="0"/>
        <w:tabs>
          <w:tab w:val="left" w:pos="900"/>
          <w:tab w:val="left" w:pos="1588"/>
        </w:tabs>
        <w:kinsoku/>
        <w:wordWrap/>
        <w:overflowPunct/>
        <w:topLinePunct w:val="0"/>
        <w:autoSpaceDE/>
        <w:autoSpaceDN/>
        <w:bidi w:val="0"/>
        <w:adjustRightInd/>
        <w:snapToGrid/>
        <w:spacing w:line="500" w:lineRule="exact"/>
        <w:ind w:left="851" w:firstLine="0"/>
        <w:jc w:val="center"/>
        <w:textAlignment w:val="auto"/>
        <w:outlineLvl w:val="9"/>
        <w:rPr>
          <w:rFonts w:hint="eastAsia" w:ascii="宋体" w:hAnsi="宋体" w:eastAsia="宋体" w:cs="Times New Roman"/>
          <w:sz w:val="32"/>
          <w:szCs w:val="32"/>
          <w:lang w:val="en-US" w:eastAsia="zh-CN"/>
        </w:rPr>
      </w:pPr>
      <w:bookmarkStart w:id="130" w:name="_Toc386046247"/>
      <w:bookmarkStart w:id="131" w:name="_Toc364351267"/>
      <w:r>
        <w:rPr>
          <w:rFonts w:hint="eastAsia" w:ascii="宋体" w:hAnsi="宋体" w:eastAsia="宋体" w:cs="Times New Roman"/>
          <w:b/>
          <w:bCs/>
          <w:sz w:val="32"/>
          <w:szCs w:val="32"/>
          <w:lang w:val="en-US" w:eastAsia="zh-CN"/>
        </w:rPr>
        <w:t>针对本项目配备的配送车辆</w:t>
      </w:r>
    </w:p>
    <w:bookmarkEnd w:id="130"/>
    <w:bookmarkEnd w:id="131"/>
    <w:p w14:paraId="6D19E82D">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rFonts w:ascii="宋体" w:hAnsi="宋体"/>
          <w:sz w:val="24"/>
        </w:rPr>
        <w:sectPr>
          <w:pgSz w:w="11906" w:h="16838"/>
          <w:pgMar w:top="1440" w:right="1134" w:bottom="1440" w:left="1134" w:header="851" w:footer="851" w:gutter="0"/>
          <w:pgNumType w:fmt="decimal"/>
          <w:cols w:space="720" w:num="1"/>
          <w:docGrid w:linePitch="312" w:charSpace="0"/>
        </w:sectPr>
      </w:pPr>
      <w:r>
        <w:rPr>
          <w:rFonts w:hint="eastAsia" w:ascii="宋体" w:hAnsi="宋体"/>
          <w:sz w:val="24"/>
          <w:lang w:val="en-US" w:eastAsia="zh-CN"/>
        </w:rPr>
        <w:t xml:space="preserve">         </w:t>
      </w:r>
      <w:r>
        <w:rPr>
          <w:rFonts w:hint="eastAsia" w:ascii="宋体" w:hAnsi="宋体"/>
          <w:sz w:val="24"/>
          <w:lang w:eastAsia="zh-CN"/>
        </w:rPr>
        <w:t>（</w:t>
      </w:r>
      <w:r>
        <w:rPr>
          <w:rFonts w:hint="eastAsia" w:ascii="宋体" w:hAnsi="宋体"/>
          <w:sz w:val="24"/>
        </w:rPr>
        <w:t>由</w:t>
      </w:r>
      <w:r>
        <w:rPr>
          <w:rFonts w:hint="eastAsia" w:ascii="宋体" w:hAnsi="宋体"/>
          <w:sz w:val="24"/>
          <w:lang w:val="en-US" w:eastAsia="zh-CN"/>
        </w:rPr>
        <w:t>投标人</w:t>
      </w:r>
      <w:r>
        <w:rPr>
          <w:rFonts w:hint="eastAsia" w:ascii="宋体" w:hAnsi="宋体"/>
          <w:sz w:val="24"/>
        </w:rPr>
        <w:t>结合项目实际</w:t>
      </w:r>
      <w:r>
        <w:rPr>
          <w:rFonts w:hint="eastAsia" w:ascii="宋体" w:hAnsi="宋体"/>
          <w:sz w:val="24"/>
          <w:lang w:val="en-US" w:eastAsia="zh-CN"/>
        </w:rPr>
        <w:t>以及自身</w:t>
      </w:r>
      <w:r>
        <w:rPr>
          <w:rFonts w:hint="eastAsia" w:ascii="宋体" w:hAnsi="宋体"/>
          <w:sz w:val="24"/>
        </w:rPr>
        <w:t>情况自行编制拟定</w:t>
      </w:r>
      <w:r>
        <w:rPr>
          <w:rFonts w:hint="eastAsia" w:ascii="宋体" w:hAnsi="宋体"/>
          <w:sz w:val="24"/>
          <w:lang w:eastAsia="zh-CN"/>
        </w:rPr>
        <w:t>，</w:t>
      </w:r>
      <w:r>
        <w:rPr>
          <w:rFonts w:hint="eastAsia" w:ascii="宋体" w:hAnsi="宋体"/>
          <w:sz w:val="24"/>
          <w:lang w:val="en-US" w:eastAsia="zh-CN"/>
        </w:rPr>
        <w:t>格式自拟。</w:t>
      </w:r>
      <w:r>
        <w:rPr>
          <w:rFonts w:hint="eastAsia" w:ascii="宋体" w:hAnsi="宋体"/>
          <w:sz w:val="24"/>
          <w:lang w:eastAsia="zh-CN"/>
        </w:rPr>
        <w:t>）</w:t>
      </w:r>
    </w:p>
    <w:p w14:paraId="3834F4BF">
      <w:pPr>
        <w:pStyle w:val="17"/>
        <w:outlineLvl w:val="9"/>
        <w:rPr>
          <w:rFonts w:hint="eastAsia" w:hAnsi="宋体"/>
          <w:b/>
          <w:sz w:val="28"/>
          <w:szCs w:val="28"/>
        </w:rPr>
      </w:pPr>
      <w:bookmarkStart w:id="132" w:name="OLE_LINK17"/>
      <w:r>
        <w:rPr>
          <w:rFonts w:hint="eastAsia" w:hAnsi="宋体"/>
          <w:b/>
          <w:sz w:val="28"/>
          <w:szCs w:val="28"/>
        </w:rPr>
        <w:t>格式</w:t>
      </w:r>
      <w:r>
        <w:rPr>
          <w:rFonts w:hint="eastAsia" w:hAnsi="宋体"/>
          <w:b/>
          <w:sz w:val="28"/>
          <w:szCs w:val="28"/>
          <w:lang w:val="en-US" w:eastAsia="zh-CN"/>
        </w:rPr>
        <w:t>3</w:t>
      </w:r>
      <w:r>
        <w:rPr>
          <w:rFonts w:hint="eastAsia" w:hAnsi="宋体"/>
          <w:b/>
          <w:sz w:val="28"/>
          <w:szCs w:val="28"/>
        </w:rPr>
        <w:t>：</w:t>
      </w:r>
    </w:p>
    <w:p w14:paraId="0E1D8EB7">
      <w:pPr>
        <w:keepNext w:val="0"/>
        <w:keepLines w:val="0"/>
        <w:pageBreakBefore w:val="0"/>
        <w:widowControl w:val="0"/>
        <w:tabs>
          <w:tab w:val="left" w:pos="900"/>
          <w:tab w:val="left" w:pos="1588"/>
        </w:tabs>
        <w:kinsoku/>
        <w:wordWrap/>
        <w:overflowPunct/>
        <w:topLinePunct w:val="0"/>
        <w:autoSpaceDE/>
        <w:autoSpaceDN/>
        <w:bidi w:val="0"/>
        <w:adjustRightInd/>
        <w:snapToGrid/>
        <w:spacing w:line="500" w:lineRule="exact"/>
        <w:ind w:left="851" w:firstLine="0"/>
        <w:jc w:val="center"/>
        <w:textAlignment w:val="auto"/>
        <w:outlineLvl w:val="9"/>
        <w:rPr>
          <w:rFonts w:hint="eastAsia" w:ascii="宋体" w:hAnsi="宋体" w:eastAsia="宋体" w:cs="Times New Roman"/>
          <w:b/>
          <w:bCs/>
          <w:sz w:val="32"/>
          <w:szCs w:val="32"/>
          <w:lang w:val="en-US" w:eastAsia="zh-CN"/>
        </w:rPr>
      </w:pPr>
      <w:r>
        <w:rPr>
          <w:rFonts w:hint="eastAsia" w:ascii="宋体" w:hAnsi="宋体" w:eastAsia="宋体" w:cs="Times New Roman"/>
          <w:b/>
          <w:bCs/>
          <w:sz w:val="32"/>
          <w:szCs w:val="32"/>
          <w:lang w:val="en-US" w:eastAsia="zh-CN"/>
        </w:rPr>
        <w:t>针对本项目配备的服务团队人员</w:t>
      </w:r>
    </w:p>
    <w:p w14:paraId="548B6CCF">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sz w:val="24"/>
          <w:lang w:eastAsia="zh-CN"/>
        </w:rPr>
        <w:sectPr>
          <w:pgSz w:w="11906" w:h="16838"/>
          <w:pgMar w:top="1440" w:right="1134" w:bottom="1440" w:left="1134" w:header="851" w:footer="851" w:gutter="0"/>
          <w:pgNumType w:fmt="decimal"/>
          <w:cols w:space="720" w:num="1"/>
          <w:docGrid w:linePitch="312" w:charSpace="0"/>
        </w:sectPr>
      </w:pPr>
      <w:r>
        <w:rPr>
          <w:rFonts w:hint="eastAsia" w:ascii="宋体" w:hAnsi="宋体"/>
          <w:sz w:val="24"/>
          <w:lang w:eastAsia="zh-CN"/>
        </w:rPr>
        <w:t>（</w:t>
      </w:r>
      <w:r>
        <w:rPr>
          <w:rFonts w:hint="eastAsia" w:ascii="宋体" w:hAnsi="宋体"/>
          <w:sz w:val="24"/>
        </w:rPr>
        <w:t>由</w:t>
      </w:r>
      <w:r>
        <w:rPr>
          <w:rFonts w:hint="eastAsia" w:ascii="宋体" w:hAnsi="宋体"/>
          <w:sz w:val="24"/>
          <w:lang w:val="en-US" w:eastAsia="zh-CN"/>
        </w:rPr>
        <w:t>投标人</w:t>
      </w:r>
      <w:r>
        <w:rPr>
          <w:rFonts w:hint="eastAsia" w:ascii="宋体" w:hAnsi="宋体"/>
          <w:sz w:val="24"/>
        </w:rPr>
        <w:t>结合项目实际</w:t>
      </w:r>
      <w:r>
        <w:rPr>
          <w:rFonts w:hint="eastAsia" w:ascii="宋体" w:hAnsi="宋体"/>
          <w:sz w:val="24"/>
          <w:lang w:val="en-US" w:eastAsia="zh-CN"/>
        </w:rPr>
        <w:t>以及自身</w:t>
      </w:r>
      <w:r>
        <w:rPr>
          <w:rFonts w:hint="eastAsia" w:ascii="宋体" w:hAnsi="宋体"/>
          <w:sz w:val="24"/>
        </w:rPr>
        <w:t>情况自行编制拟定</w:t>
      </w:r>
      <w:r>
        <w:rPr>
          <w:rFonts w:hint="eastAsia" w:ascii="宋体" w:hAnsi="宋体"/>
          <w:sz w:val="24"/>
          <w:lang w:eastAsia="zh-CN"/>
        </w:rPr>
        <w:t>，</w:t>
      </w:r>
      <w:r>
        <w:rPr>
          <w:rFonts w:hint="eastAsia" w:ascii="宋体" w:hAnsi="宋体"/>
          <w:sz w:val="24"/>
          <w:lang w:val="en-US" w:eastAsia="zh-CN"/>
        </w:rPr>
        <w:t>格式自拟。</w:t>
      </w:r>
      <w:r>
        <w:rPr>
          <w:rFonts w:hint="eastAsia" w:ascii="宋体" w:hAnsi="宋体"/>
          <w:sz w:val="24"/>
          <w:lang w:eastAsia="zh-CN"/>
        </w:rPr>
        <w:t>）</w:t>
      </w:r>
    </w:p>
    <w:bookmarkEnd w:id="132"/>
    <w:p w14:paraId="1A0B9339">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sz w:val="32"/>
          <w:szCs w:val="32"/>
          <w:lang w:val="en-US" w:eastAsia="zh-CN"/>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p>
    <w:p w14:paraId="3F24A2DE">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ind w:left="851" w:firstLine="0"/>
        <w:jc w:val="center"/>
        <w:textAlignment w:val="auto"/>
        <w:outlineLvl w:val="9"/>
        <w:rPr>
          <w:rFonts w:hint="eastAsia" w:ascii="宋体" w:hAnsi="宋体" w:eastAsia="宋体" w:cs="Times New Roman"/>
          <w:sz w:val="32"/>
          <w:szCs w:val="32"/>
          <w:lang w:val="en-US" w:eastAsia="zh-CN"/>
        </w:rPr>
      </w:pPr>
      <w:r>
        <w:rPr>
          <w:rFonts w:hint="eastAsia" w:ascii="宋体" w:hAnsi="宋体" w:eastAsia="宋体" w:cs="宋体"/>
          <w:b/>
          <w:bCs/>
          <w:color w:val="auto"/>
          <w:sz w:val="32"/>
          <w:szCs w:val="32"/>
          <w:highlight w:val="none"/>
          <w:lang w:val="en-US" w:eastAsia="zh-CN"/>
        </w:rPr>
        <w:t>食品安全责任险</w:t>
      </w:r>
    </w:p>
    <w:p w14:paraId="46F909D9">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ind w:left="851" w:firstLine="0"/>
        <w:jc w:val="center"/>
        <w:textAlignment w:val="auto"/>
        <w:outlineLvl w:val="9"/>
        <w:rPr>
          <w:rFonts w:hint="eastAsia" w:ascii="宋体" w:hAnsi="宋体" w:eastAsia="宋体"/>
          <w:sz w:val="24"/>
          <w:szCs w:val="24"/>
          <w:lang w:val="en-US" w:eastAsia="zh-CN"/>
        </w:rPr>
        <w:sectPr>
          <w:pgSz w:w="11906" w:h="16838"/>
          <w:pgMar w:top="1440" w:right="1134" w:bottom="1440" w:left="1134" w:header="851" w:footer="851" w:gutter="0"/>
          <w:pgNumType w:fmt="decimal"/>
          <w:cols w:space="720" w:num="1"/>
          <w:docGrid w:linePitch="312" w:charSpace="0"/>
        </w:sectPr>
      </w:pPr>
      <w:r>
        <w:rPr>
          <w:rFonts w:hint="eastAsia" w:ascii="宋体" w:hAnsi="宋体" w:eastAsia="宋体"/>
          <w:sz w:val="24"/>
          <w:szCs w:val="24"/>
          <w:lang w:val="en-US" w:eastAsia="zh-CN"/>
        </w:rPr>
        <w:t>（</w:t>
      </w:r>
      <w:r>
        <w:rPr>
          <w:rFonts w:hint="eastAsia" w:ascii="宋体" w:hAnsi="宋体"/>
          <w:sz w:val="24"/>
        </w:rPr>
        <w:t>由</w:t>
      </w:r>
      <w:r>
        <w:rPr>
          <w:rFonts w:hint="eastAsia" w:ascii="宋体" w:hAnsi="宋体"/>
          <w:sz w:val="24"/>
          <w:lang w:val="en-US" w:eastAsia="zh-CN"/>
        </w:rPr>
        <w:t>投标人</w:t>
      </w:r>
      <w:r>
        <w:rPr>
          <w:rFonts w:hint="eastAsia" w:ascii="宋体" w:hAnsi="宋体"/>
          <w:sz w:val="24"/>
        </w:rPr>
        <w:t>结合项目实际</w:t>
      </w:r>
      <w:r>
        <w:rPr>
          <w:rFonts w:hint="eastAsia" w:ascii="宋体" w:hAnsi="宋体"/>
          <w:sz w:val="24"/>
          <w:lang w:val="en-US" w:eastAsia="zh-CN"/>
        </w:rPr>
        <w:t>以及自身</w:t>
      </w:r>
      <w:r>
        <w:rPr>
          <w:rFonts w:hint="eastAsia" w:ascii="宋体" w:hAnsi="宋体"/>
          <w:sz w:val="24"/>
        </w:rPr>
        <w:t>情况自行编制拟定</w:t>
      </w:r>
      <w:r>
        <w:rPr>
          <w:rFonts w:hint="eastAsia" w:ascii="宋体" w:hAnsi="宋体"/>
          <w:sz w:val="24"/>
          <w:lang w:eastAsia="zh-CN"/>
        </w:rPr>
        <w:t>，</w:t>
      </w:r>
      <w:r>
        <w:rPr>
          <w:rFonts w:hint="eastAsia" w:ascii="宋体" w:hAnsi="宋体"/>
          <w:sz w:val="24"/>
          <w:lang w:val="en-US" w:eastAsia="zh-CN"/>
        </w:rPr>
        <w:t>格式自拟。</w:t>
      </w:r>
      <w:r>
        <w:rPr>
          <w:rFonts w:hint="eastAsia" w:ascii="宋体" w:hAnsi="宋体" w:eastAsia="宋体"/>
          <w:sz w:val="24"/>
          <w:szCs w:val="24"/>
          <w:lang w:val="en-US" w:eastAsia="zh-CN"/>
        </w:rPr>
        <w:t>）</w:t>
      </w:r>
    </w:p>
    <w:p w14:paraId="79A8764C">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sz w:val="32"/>
          <w:szCs w:val="32"/>
          <w:lang w:val="en-US" w:eastAsia="zh-CN"/>
        </w:rPr>
      </w:pPr>
      <w:r>
        <w:rPr>
          <w:rFonts w:hint="eastAsia" w:hAnsi="宋体"/>
          <w:b/>
          <w:sz w:val="28"/>
          <w:szCs w:val="28"/>
        </w:rPr>
        <w:t>格式</w:t>
      </w:r>
      <w:r>
        <w:rPr>
          <w:rFonts w:hint="eastAsia" w:hAnsi="宋体"/>
          <w:b/>
          <w:sz w:val="28"/>
          <w:szCs w:val="28"/>
          <w:lang w:val="en-US" w:eastAsia="zh-CN"/>
        </w:rPr>
        <w:t>5</w:t>
      </w:r>
      <w:r>
        <w:rPr>
          <w:rFonts w:hint="eastAsia" w:hAnsi="宋体"/>
          <w:b/>
          <w:sz w:val="28"/>
          <w:szCs w:val="28"/>
        </w:rPr>
        <w:t>：</w:t>
      </w:r>
    </w:p>
    <w:p w14:paraId="66F799B7">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ind w:left="851" w:firstLine="0"/>
        <w:jc w:val="center"/>
        <w:textAlignment w:val="auto"/>
        <w:outlineLvl w:val="9"/>
        <w:rPr>
          <w:rFonts w:hint="eastAsia" w:ascii="宋体" w:hAnsi="宋体" w:eastAsia="宋体" w:cs="Times New Roman"/>
          <w:sz w:val="32"/>
          <w:szCs w:val="32"/>
          <w:lang w:val="en-US" w:eastAsia="zh-CN"/>
        </w:rPr>
      </w:pPr>
      <w:r>
        <w:rPr>
          <w:rFonts w:hint="eastAsia" w:ascii="宋体" w:hAnsi="宋体" w:eastAsia="宋体" w:cs="宋体"/>
          <w:b/>
          <w:bCs/>
          <w:color w:val="auto"/>
          <w:sz w:val="32"/>
          <w:szCs w:val="32"/>
          <w:highlight w:val="none"/>
          <w:lang w:val="en-US" w:eastAsia="zh-CN"/>
        </w:rPr>
        <w:t>卫生保障措施</w:t>
      </w:r>
    </w:p>
    <w:p w14:paraId="04731003">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ind w:left="851" w:firstLine="0"/>
        <w:jc w:val="center"/>
        <w:textAlignment w:val="auto"/>
        <w:outlineLvl w:val="9"/>
        <w:rPr>
          <w:rFonts w:hint="eastAsia" w:ascii="宋体" w:hAnsi="宋体" w:eastAsia="宋体"/>
          <w:sz w:val="24"/>
          <w:szCs w:val="24"/>
          <w:lang w:val="en-US" w:eastAsia="zh-CN"/>
        </w:rPr>
        <w:sectPr>
          <w:pgSz w:w="11906" w:h="16838"/>
          <w:pgMar w:top="1440" w:right="1134" w:bottom="1440" w:left="1134" w:header="851" w:footer="851" w:gutter="0"/>
          <w:pgNumType w:fmt="decimal"/>
          <w:cols w:space="720" w:num="1"/>
          <w:docGrid w:linePitch="312" w:charSpace="0"/>
        </w:sectPr>
      </w:pPr>
      <w:r>
        <w:rPr>
          <w:rFonts w:hint="eastAsia" w:ascii="宋体" w:hAnsi="宋体" w:eastAsia="宋体"/>
          <w:sz w:val="24"/>
          <w:szCs w:val="24"/>
          <w:lang w:val="en-US" w:eastAsia="zh-CN"/>
        </w:rPr>
        <w:t>（</w:t>
      </w:r>
      <w:r>
        <w:rPr>
          <w:rFonts w:hint="eastAsia" w:ascii="宋体" w:hAnsi="宋体"/>
          <w:sz w:val="24"/>
        </w:rPr>
        <w:t>由</w:t>
      </w:r>
      <w:r>
        <w:rPr>
          <w:rFonts w:hint="eastAsia" w:ascii="宋体" w:hAnsi="宋体"/>
          <w:sz w:val="24"/>
          <w:lang w:val="en-US" w:eastAsia="zh-CN"/>
        </w:rPr>
        <w:t>投标人</w:t>
      </w:r>
      <w:r>
        <w:rPr>
          <w:rFonts w:hint="eastAsia" w:ascii="宋体" w:hAnsi="宋体"/>
          <w:sz w:val="24"/>
        </w:rPr>
        <w:t>结合项目实际</w:t>
      </w:r>
      <w:r>
        <w:rPr>
          <w:rFonts w:hint="eastAsia" w:ascii="宋体" w:hAnsi="宋体"/>
          <w:sz w:val="24"/>
          <w:lang w:val="en-US" w:eastAsia="zh-CN"/>
        </w:rPr>
        <w:t>以及自身</w:t>
      </w:r>
      <w:r>
        <w:rPr>
          <w:rFonts w:hint="eastAsia" w:ascii="宋体" w:hAnsi="宋体"/>
          <w:sz w:val="24"/>
        </w:rPr>
        <w:t>情况自行编制拟定</w:t>
      </w:r>
      <w:r>
        <w:rPr>
          <w:rFonts w:hint="eastAsia" w:ascii="宋体" w:hAnsi="宋体"/>
          <w:sz w:val="24"/>
          <w:lang w:eastAsia="zh-CN"/>
        </w:rPr>
        <w:t>，</w:t>
      </w:r>
      <w:r>
        <w:rPr>
          <w:rFonts w:hint="eastAsia" w:ascii="宋体" w:hAnsi="宋体"/>
          <w:sz w:val="24"/>
          <w:lang w:val="en-US" w:eastAsia="zh-CN"/>
        </w:rPr>
        <w:t>格式自拟。</w:t>
      </w:r>
      <w:r>
        <w:rPr>
          <w:rFonts w:hint="eastAsia" w:ascii="宋体" w:hAnsi="宋体" w:eastAsia="宋体"/>
          <w:sz w:val="24"/>
          <w:szCs w:val="24"/>
          <w:lang w:val="en-US" w:eastAsia="zh-CN"/>
        </w:rPr>
        <w:t>）</w:t>
      </w:r>
    </w:p>
    <w:p w14:paraId="0E87F894">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sz w:val="32"/>
          <w:szCs w:val="32"/>
          <w:lang w:val="en-US" w:eastAsia="zh-CN"/>
        </w:rPr>
      </w:pPr>
      <w:r>
        <w:rPr>
          <w:rFonts w:hint="eastAsia" w:hAnsi="宋体"/>
          <w:b/>
          <w:sz w:val="28"/>
          <w:szCs w:val="28"/>
        </w:rPr>
        <w:t>格式</w:t>
      </w:r>
      <w:r>
        <w:rPr>
          <w:rFonts w:hint="eastAsia" w:hAnsi="宋体"/>
          <w:b/>
          <w:sz w:val="28"/>
          <w:szCs w:val="28"/>
          <w:lang w:val="en-US" w:eastAsia="zh-CN"/>
        </w:rPr>
        <w:t>6</w:t>
      </w:r>
      <w:r>
        <w:rPr>
          <w:rFonts w:hint="eastAsia" w:hAnsi="宋体"/>
          <w:b/>
          <w:sz w:val="28"/>
          <w:szCs w:val="28"/>
        </w:rPr>
        <w:t>：</w:t>
      </w:r>
    </w:p>
    <w:p w14:paraId="068D2B1D">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ind w:left="851" w:firstLine="0"/>
        <w:jc w:val="center"/>
        <w:textAlignment w:val="auto"/>
        <w:outlineLvl w:val="9"/>
        <w:rPr>
          <w:rFonts w:hint="eastAsia" w:ascii="宋体" w:hAnsi="宋体" w:eastAsia="宋体" w:cs="Times New Roman"/>
          <w:sz w:val="32"/>
          <w:szCs w:val="32"/>
          <w:lang w:val="en-US" w:eastAsia="zh-CN"/>
        </w:rPr>
      </w:pPr>
      <w:r>
        <w:rPr>
          <w:rFonts w:hint="eastAsia" w:ascii="宋体" w:hAnsi="宋体" w:eastAsia="宋体" w:cs="宋体"/>
          <w:b/>
          <w:bCs/>
          <w:color w:val="auto"/>
          <w:sz w:val="32"/>
          <w:szCs w:val="32"/>
          <w:highlight w:val="none"/>
          <w:lang w:val="en-US" w:eastAsia="zh-CN"/>
        </w:rPr>
        <w:t>配送服务方案</w:t>
      </w:r>
    </w:p>
    <w:p w14:paraId="79A06442">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ind w:left="851" w:firstLine="0"/>
        <w:jc w:val="center"/>
        <w:textAlignment w:val="auto"/>
        <w:outlineLvl w:val="9"/>
        <w:rPr>
          <w:rFonts w:hint="eastAsia" w:ascii="宋体" w:hAnsi="宋体" w:eastAsia="宋体"/>
          <w:sz w:val="24"/>
          <w:szCs w:val="24"/>
          <w:lang w:val="en-US" w:eastAsia="zh-CN"/>
        </w:rPr>
        <w:sectPr>
          <w:pgSz w:w="11906" w:h="16838"/>
          <w:pgMar w:top="1440" w:right="1134" w:bottom="1440" w:left="1134" w:header="851" w:footer="851" w:gutter="0"/>
          <w:pgNumType w:fmt="decimal"/>
          <w:cols w:space="720" w:num="1"/>
          <w:docGrid w:linePitch="312" w:charSpace="0"/>
        </w:sectPr>
      </w:pPr>
      <w:r>
        <w:rPr>
          <w:rFonts w:hint="eastAsia" w:ascii="宋体" w:hAnsi="宋体" w:eastAsia="宋体"/>
          <w:sz w:val="24"/>
          <w:szCs w:val="24"/>
          <w:lang w:val="en-US" w:eastAsia="zh-CN"/>
        </w:rPr>
        <w:t>（</w:t>
      </w:r>
      <w:r>
        <w:rPr>
          <w:rFonts w:hint="eastAsia" w:ascii="宋体" w:hAnsi="宋体"/>
          <w:sz w:val="24"/>
        </w:rPr>
        <w:t>由</w:t>
      </w:r>
      <w:r>
        <w:rPr>
          <w:rFonts w:hint="eastAsia" w:ascii="宋体" w:hAnsi="宋体"/>
          <w:sz w:val="24"/>
          <w:lang w:val="en-US" w:eastAsia="zh-CN"/>
        </w:rPr>
        <w:t>投标人</w:t>
      </w:r>
      <w:r>
        <w:rPr>
          <w:rFonts w:hint="eastAsia" w:ascii="宋体" w:hAnsi="宋体"/>
          <w:sz w:val="24"/>
        </w:rPr>
        <w:t>结合项目实际</w:t>
      </w:r>
      <w:r>
        <w:rPr>
          <w:rFonts w:hint="eastAsia" w:ascii="宋体" w:hAnsi="宋体"/>
          <w:sz w:val="24"/>
          <w:lang w:val="en-US" w:eastAsia="zh-CN"/>
        </w:rPr>
        <w:t>以及自身</w:t>
      </w:r>
      <w:r>
        <w:rPr>
          <w:rFonts w:hint="eastAsia" w:ascii="宋体" w:hAnsi="宋体"/>
          <w:sz w:val="24"/>
        </w:rPr>
        <w:t>情况自行编制拟定</w:t>
      </w:r>
      <w:r>
        <w:rPr>
          <w:rFonts w:hint="eastAsia" w:ascii="宋体" w:hAnsi="宋体"/>
          <w:sz w:val="24"/>
          <w:lang w:eastAsia="zh-CN"/>
        </w:rPr>
        <w:t>，</w:t>
      </w:r>
      <w:r>
        <w:rPr>
          <w:rFonts w:hint="eastAsia" w:ascii="宋体" w:hAnsi="宋体"/>
          <w:sz w:val="24"/>
          <w:lang w:val="en-US" w:eastAsia="zh-CN"/>
        </w:rPr>
        <w:t>格式自拟。</w:t>
      </w:r>
      <w:r>
        <w:rPr>
          <w:rFonts w:hint="eastAsia" w:ascii="宋体" w:hAnsi="宋体" w:eastAsia="宋体"/>
          <w:sz w:val="24"/>
          <w:szCs w:val="24"/>
          <w:lang w:val="en-US" w:eastAsia="zh-CN"/>
        </w:rPr>
        <w:t>）</w:t>
      </w:r>
    </w:p>
    <w:p w14:paraId="30AA9A3B">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sz w:val="32"/>
          <w:szCs w:val="32"/>
          <w:lang w:val="en-US" w:eastAsia="zh-CN"/>
        </w:rPr>
      </w:pPr>
      <w:r>
        <w:rPr>
          <w:rFonts w:hint="eastAsia" w:hAnsi="宋体"/>
          <w:b/>
          <w:sz w:val="28"/>
          <w:szCs w:val="28"/>
        </w:rPr>
        <w:t>格式</w:t>
      </w:r>
      <w:r>
        <w:rPr>
          <w:rFonts w:hint="eastAsia" w:hAnsi="宋体"/>
          <w:b/>
          <w:sz w:val="28"/>
          <w:szCs w:val="28"/>
          <w:lang w:val="en-US" w:eastAsia="zh-CN"/>
        </w:rPr>
        <w:t>7</w:t>
      </w:r>
      <w:r>
        <w:rPr>
          <w:rFonts w:hint="eastAsia" w:hAnsi="宋体"/>
          <w:b/>
          <w:sz w:val="28"/>
          <w:szCs w:val="28"/>
        </w:rPr>
        <w:t>：</w:t>
      </w:r>
    </w:p>
    <w:p w14:paraId="261CD164">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ind w:left="851" w:firstLine="0"/>
        <w:jc w:val="center"/>
        <w:textAlignment w:val="auto"/>
        <w:outlineLvl w:val="9"/>
        <w:rPr>
          <w:rFonts w:hint="eastAsia" w:ascii="宋体" w:hAnsi="宋体" w:eastAsia="宋体" w:cs="Times New Roman"/>
          <w:sz w:val="32"/>
          <w:szCs w:val="32"/>
          <w:lang w:val="en-US" w:eastAsia="zh-CN"/>
        </w:rPr>
      </w:pPr>
      <w:r>
        <w:rPr>
          <w:rFonts w:hint="eastAsia" w:ascii="宋体" w:hAnsi="宋体" w:eastAsia="宋体" w:cs="宋体"/>
          <w:b/>
          <w:bCs/>
          <w:color w:val="auto"/>
          <w:sz w:val="32"/>
          <w:szCs w:val="32"/>
          <w:highlight w:val="none"/>
          <w:lang w:val="en-US" w:eastAsia="zh-CN"/>
        </w:rPr>
        <w:t>应急方案</w:t>
      </w:r>
    </w:p>
    <w:p w14:paraId="746D6834">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ind w:left="851" w:firstLine="0"/>
        <w:jc w:val="center"/>
        <w:textAlignment w:val="auto"/>
        <w:outlineLvl w:val="9"/>
        <w:rPr>
          <w:rFonts w:hint="eastAsia" w:ascii="宋体" w:hAnsi="宋体" w:eastAsia="宋体"/>
          <w:sz w:val="24"/>
          <w:szCs w:val="24"/>
          <w:lang w:val="en-US" w:eastAsia="zh-CN"/>
        </w:rPr>
        <w:sectPr>
          <w:pgSz w:w="11906" w:h="16838"/>
          <w:pgMar w:top="1440" w:right="1134" w:bottom="1440" w:left="1134" w:header="851" w:footer="851" w:gutter="0"/>
          <w:pgNumType w:fmt="decimal"/>
          <w:cols w:space="720" w:num="1"/>
          <w:docGrid w:linePitch="312" w:charSpace="0"/>
        </w:sectPr>
      </w:pPr>
      <w:r>
        <w:rPr>
          <w:rFonts w:hint="eastAsia" w:ascii="宋体" w:hAnsi="宋体" w:eastAsia="宋体"/>
          <w:sz w:val="24"/>
          <w:szCs w:val="24"/>
          <w:lang w:val="en-US" w:eastAsia="zh-CN"/>
        </w:rPr>
        <w:t>（</w:t>
      </w:r>
      <w:r>
        <w:rPr>
          <w:rFonts w:hint="eastAsia" w:ascii="宋体" w:hAnsi="宋体"/>
          <w:sz w:val="24"/>
        </w:rPr>
        <w:t>由</w:t>
      </w:r>
      <w:r>
        <w:rPr>
          <w:rFonts w:hint="eastAsia" w:ascii="宋体" w:hAnsi="宋体"/>
          <w:sz w:val="24"/>
          <w:lang w:val="en-US" w:eastAsia="zh-CN"/>
        </w:rPr>
        <w:t>投标人</w:t>
      </w:r>
      <w:r>
        <w:rPr>
          <w:rFonts w:hint="eastAsia" w:ascii="宋体" w:hAnsi="宋体"/>
          <w:sz w:val="24"/>
        </w:rPr>
        <w:t>结合项目实际</w:t>
      </w:r>
      <w:r>
        <w:rPr>
          <w:rFonts w:hint="eastAsia" w:ascii="宋体" w:hAnsi="宋体"/>
          <w:sz w:val="24"/>
          <w:lang w:val="en-US" w:eastAsia="zh-CN"/>
        </w:rPr>
        <w:t>以及自身</w:t>
      </w:r>
      <w:r>
        <w:rPr>
          <w:rFonts w:hint="eastAsia" w:ascii="宋体" w:hAnsi="宋体"/>
          <w:sz w:val="24"/>
        </w:rPr>
        <w:t>情况自行编制拟定</w:t>
      </w:r>
      <w:r>
        <w:rPr>
          <w:rFonts w:hint="eastAsia" w:ascii="宋体" w:hAnsi="宋体"/>
          <w:sz w:val="24"/>
          <w:lang w:eastAsia="zh-CN"/>
        </w:rPr>
        <w:t>，</w:t>
      </w:r>
      <w:r>
        <w:rPr>
          <w:rFonts w:hint="eastAsia" w:ascii="宋体" w:hAnsi="宋体"/>
          <w:sz w:val="24"/>
          <w:lang w:val="en-US" w:eastAsia="zh-CN"/>
        </w:rPr>
        <w:t>格式自拟。</w:t>
      </w:r>
      <w:r>
        <w:rPr>
          <w:rFonts w:hint="eastAsia" w:ascii="宋体" w:hAnsi="宋体" w:eastAsia="宋体"/>
          <w:sz w:val="24"/>
          <w:szCs w:val="24"/>
          <w:lang w:val="en-US" w:eastAsia="zh-CN"/>
        </w:rPr>
        <w:t>）</w:t>
      </w:r>
    </w:p>
    <w:p w14:paraId="2066718C">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sz w:val="32"/>
          <w:szCs w:val="32"/>
          <w:lang w:val="en-US" w:eastAsia="zh-CN"/>
        </w:rPr>
      </w:pPr>
      <w:r>
        <w:rPr>
          <w:rFonts w:hint="eastAsia" w:hAnsi="宋体"/>
          <w:b/>
          <w:sz w:val="28"/>
          <w:szCs w:val="28"/>
        </w:rPr>
        <w:t>格式</w:t>
      </w:r>
      <w:r>
        <w:rPr>
          <w:rFonts w:hint="eastAsia" w:hAnsi="宋体"/>
          <w:b/>
          <w:sz w:val="28"/>
          <w:szCs w:val="28"/>
          <w:lang w:val="en-US" w:eastAsia="zh-CN"/>
        </w:rPr>
        <w:t>8</w:t>
      </w:r>
      <w:r>
        <w:rPr>
          <w:rFonts w:hint="eastAsia" w:hAnsi="宋体"/>
          <w:b/>
          <w:sz w:val="28"/>
          <w:szCs w:val="28"/>
        </w:rPr>
        <w:t>：</w:t>
      </w:r>
    </w:p>
    <w:p w14:paraId="354DB001">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ind w:left="851" w:firstLine="0"/>
        <w:jc w:val="center"/>
        <w:textAlignment w:val="auto"/>
        <w:outlineLvl w:val="9"/>
        <w:rPr>
          <w:rFonts w:hint="eastAsia" w:ascii="宋体" w:hAnsi="宋体" w:eastAsia="宋体" w:cs="Times New Roman"/>
          <w:sz w:val="32"/>
          <w:szCs w:val="32"/>
          <w:lang w:val="en-US" w:eastAsia="zh-CN"/>
        </w:rPr>
      </w:pPr>
      <w:r>
        <w:rPr>
          <w:rFonts w:hint="eastAsia" w:ascii="宋体" w:hAnsi="宋体" w:eastAsia="宋体" w:cs="宋体"/>
          <w:b/>
          <w:bCs/>
          <w:color w:val="auto"/>
          <w:sz w:val="32"/>
          <w:szCs w:val="32"/>
          <w:highlight w:val="none"/>
          <w:lang w:val="en-US" w:eastAsia="zh-CN"/>
        </w:rPr>
        <w:t>售后服务承诺及保证措施</w:t>
      </w:r>
    </w:p>
    <w:p w14:paraId="4CD29D4E">
      <w:pPr>
        <w:keepNext w:val="0"/>
        <w:keepLines w:val="0"/>
        <w:pageBreakBefore w:val="0"/>
        <w:widowControl w:val="0"/>
        <w:tabs>
          <w:tab w:val="left" w:pos="900"/>
          <w:tab w:val="left" w:pos="1588"/>
        </w:tabs>
        <w:kinsoku/>
        <w:wordWrap/>
        <w:overflowPunct/>
        <w:topLinePunct w:val="0"/>
        <w:autoSpaceDE/>
        <w:autoSpaceDN/>
        <w:bidi w:val="0"/>
        <w:adjustRightInd/>
        <w:snapToGrid/>
        <w:spacing w:line="360" w:lineRule="auto"/>
        <w:ind w:left="851" w:firstLine="0"/>
        <w:jc w:val="center"/>
        <w:textAlignment w:val="auto"/>
        <w:outlineLvl w:val="9"/>
        <w:rPr>
          <w:rFonts w:hint="eastAsia" w:ascii="宋体" w:hAnsi="宋体" w:eastAsia="宋体"/>
          <w:sz w:val="24"/>
          <w:szCs w:val="24"/>
          <w:lang w:val="en-US" w:eastAsia="zh-CN"/>
        </w:rPr>
        <w:sectPr>
          <w:pgSz w:w="11906" w:h="16838"/>
          <w:pgMar w:top="1440" w:right="1134" w:bottom="1440" w:left="1134" w:header="851" w:footer="851" w:gutter="0"/>
          <w:pgNumType w:fmt="decimal"/>
          <w:cols w:space="720" w:num="1"/>
          <w:docGrid w:linePitch="312" w:charSpace="0"/>
        </w:sectPr>
      </w:pPr>
      <w:r>
        <w:rPr>
          <w:rFonts w:hint="eastAsia" w:ascii="宋体" w:hAnsi="宋体" w:eastAsia="宋体"/>
          <w:sz w:val="24"/>
          <w:szCs w:val="24"/>
          <w:lang w:val="en-US" w:eastAsia="zh-CN"/>
        </w:rPr>
        <w:t>（</w:t>
      </w:r>
      <w:r>
        <w:rPr>
          <w:rFonts w:hint="eastAsia" w:ascii="宋体" w:hAnsi="宋体"/>
          <w:sz w:val="24"/>
        </w:rPr>
        <w:t>由</w:t>
      </w:r>
      <w:r>
        <w:rPr>
          <w:rFonts w:hint="eastAsia" w:ascii="宋体" w:hAnsi="宋体"/>
          <w:sz w:val="24"/>
          <w:lang w:val="en-US" w:eastAsia="zh-CN"/>
        </w:rPr>
        <w:t>投标人</w:t>
      </w:r>
      <w:r>
        <w:rPr>
          <w:rFonts w:hint="eastAsia" w:ascii="宋体" w:hAnsi="宋体"/>
          <w:sz w:val="24"/>
        </w:rPr>
        <w:t>结合项目实际</w:t>
      </w:r>
      <w:r>
        <w:rPr>
          <w:rFonts w:hint="eastAsia" w:ascii="宋体" w:hAnsi="宋体"/>
          <w:sz w:val="24"/>
          <w:lang w:val="en-US" w:eastAsia="zh-CN"/>
        </w:rPr>
        <w:t>以及自身</w:t>
      </w:r>
      <w:r>
        <w:rPr>
          <w:rFonts w:hint="eastAsia" w:ascii="宋体" w:hAnsi="宋体"/>
          <w:sz w:val="24"/>
        </w:rPr>
        <w:t>情况自行编制拟定</w:t>
      </w:r>
      <w:r>
        <w:rPr>
          <w:rFonts w:hint="eastAsia" w:ascii="宋体" w:hAnsi="宋体"/>
          <w:sz w:val="24"/>
          <w:lang w:eastAsia="zh-CN"/>
        </w:rPr>
        <w:t>，</w:t>
      </w:r>
      <w:r>
        <w:rPr>
          <w:rFonts w:hint="eastAsia" w:ascii="宋体" w:hAnsi="宋体"/>
          <w:sz w:val="24"/>
          <w:lang w:val="en-US" w:eastAsia="zh-CN"/>
        </w:rPr>
        <w:t>格式自拟。</w:t>
      </w:r>
      <w:r>
        <w:rPr>
          <w:rFonts w:hint="eastAsia" w:ascii="宋体" w:hAnsi="宋体" w:eastAsia="宋体"/>
          <w:sz w:val="24"/>
          <w:szCs w:val="24"/>
          <w:lang w:val="en-US" w:eastAsia="zh-CN"/>
        </w:rPr>
        <w:t>）</w:t>
      </w:r>
    </w:p>
    <w:p w14:paraId="2FBF7A1B">
      <w:pPr>
        <w:pStyle w:val="17"/>
        <w:outlineLvl w:val="9"/>
        <w:rPr>
          <w:rFonts w:hAnsi="宋体"/>
          <w:b/>
          <w:sz w:val="28"/>
          <w:szCs w:val="28"/>
        </w:rPr>
      </w:pPr>
      <w:r>
        <w:rPr>
          <w:rFonts w:hint="eastAsia" w:hAnsi="宋体"/>
          <w:b/>
          <w:sz w:val="28"/>
          <w:szCs w:val="28"/>
        </w:rPr>
        <w:t>格式</w:t>
      </w:r>
      <w:r>
        <w:rPr>
          <w:rFonts w:hint="eastAsia" w:hAnsi="宋体"/>
          <w:b/>
          <w:sz w:val="28"/>
          <w:szCs w:val="28"/>
          <w:lang w:val="en-US" w:eastAsia="zh-CN"/>
        </w:rPr>
        <w:t>9</w:t>
      </w:r>
      <w:r>
        <w:rPr>
          <w:rFonts w:hint="eastAsia" w:hAnsi="宋体"/>
          <w:b/>
          <w:sz w:val="28"/>
          <w:szCs w:val="28"/>
        </w:rPr>
        <w:t>：</w:t>
      </w:r>
    </w:p>
    <w:p w14:paraId="63961012">
      <w:pPr>
        <w:tabs>
          <w:tab w:val="left" w:pos="900"/>
          <w:tab w:val="left" w:pos="1588"/>
        </w:tabs>
        <w:ind w:left="851" w:firstLine="0"/>
        <w:jc w:val="center"/>
        <w:outlineLvl w:val="9"/>
        <w:rPr>
          <w:rFonts w:ascii="宋体" w:hAnsi="宋体" w:eastAsia="宋体"/>
          <w:b/>
          <w:bCs/>
          <w:sz w:val="32"/>
          <w:szCs w:val="32"/>
        </w:rPr>
      </w:pPr>
      <w:bookmarkStart w:id="133" w:name="_Toc496122216"/>
      <w:r>
        <w:rPr>
          <w:rFonts w:ascii="宋体" w:hAnsi="宋体" w:eastAsia="宋体"/>
          <w:b/>
          <w:bCs/>
          <w:sz w:val="32"/>
          <w:szCs w:val="32"/>
        </w:rPr>
        <w:t>构成投标文件技术部分的其</w:t>
      </w:r>
      <w:r>
        <w:rPr>
          <w:rFonts w:hint="eastAsia" w:ascii="宋体" w:hAnsi="宋体" w:eastAsia="宋体"/>
          <w:b/>
          <w:bCs/>
          <w:sz w:val="32"/>
          <w:szCs w:val="32"/>
        </w:rPr>
        <w:t>他</w:t>
      </w:r>
      <w:r>
        <w:rPr>
          <w:rFonts w:ascii="宋体" w:hAnsi="宋体" w:eastAsia="宋体"/>
          <w:b/>
          <w:bCs/>
          <w:sz w:val="32"/>
          <w:szCs w:val="32"/>
        </w:rPr>
        <w:t>资料</w:t>
      </w:r>
      <w:bookmarkEnd w:id="133"/>
    </w:p>
    <w:p w14:paraId="6B5FDA68">
      <w:pPr>
        <w:spacing w:line="360" w:lineRule="auto"/>
        <w:ind w:firstLine="1440" w:firstLineChars="600"/>
        <w:jc w:val="center"/>
        <w:outlineLvl w:val="9"/>
        <w:rPr>
          <w:rFonts w:ascii="宋体" w:hAnsi="宋体"/>
          <w:sz w:val="24"/>
        </w:rPr>
      </w:pPr>
    </w:p>
    <w:p w14:paraId="1CB443FB">
      <w:pPr>
        <w:spacing w:line="588" w:lineRule="exact"/>
        <w:jc w:val="left"/>
        <w:outlineLvl w:val="9"/>
        <w:rPr>
          <w:rFonts w:hAnsi="宋体"/>
          <w:sz w:val="24"/>
        </w:rPr>
      </w:pPr>
      <w:r>
        <w:rPr>
          <w:rFonts w:hint="eastAsia" w:hAnsi="宋体"/>
          <w:sz w:val="24"/>
        </w:rPr>
        <w:t xml:space="preserve"> </w:t>
      </w:r>
    </w:p>
    <w:p w14:paraId="323927B3">
      <w:pPr>
        <w:pStyle w:val="28"/>
        <w:outlineLvl w:val="0"/>
        <w:rPr>
          <w:rFonts w:ascii="宋体" w:hAnsi="宋体"/>
          <w:sz w:val="36"/>
        </w:rPr>
      </w:pPr>
      <w:r>
        <w:rPr>
          <w:rFonts w:ascii="宋体" w:hAnsi="宋体"/>
          <w:sz w:val="24"/>
          <w:szCs w:val="24"/>
        </w:rPr>
        <w:br w:type="page"/>
      </w:r>
      <w:bookmarkStart w:id="134" w:name="_Toc27790"/>
      <w:bookmarkStart w:id="135" w:name="_Toc17874"/>
      <w:bookmarkStart w:id="136" w:name="_Toc21179"/>
      <w:bookmarkStart w:id="137" w:name="_Toc7684"/>
      <w:bookmarkStart w:id="138" w:name="_Toc70446118"/>
      <w:r>
        <w:rPr>
          <w:rFonts w:hint="eastAsia" w:ascii="宋体" w:hAnsi="宋体"/>
          <w:bCs w:val="0"/>
          <w:kern w:val="44"/>
          <w:sz w:val="36"/>
          <w:szCs w:val="20"/>
        </w:rPr>
        <w:t xml:space="preserve">第五章 </w:t>
      </w:r>
      <w:r>
        <w:rPr>
          <w:rFonts w:hint="eastAsia" w:ascii="宋体" w:hAnsi="宋体"/>
          <w:sz w:val="36"/>
        </w:rPr>
        <w:t>项目需求及</w:t>
      </w:r>
      <w:r>
        <w:rPr>
          <w:rFonts w:ascii="宋体" w:hAnsi="宋体"/>
          <w:sz w:val="36"/>
        </w:rPr>
        <w:t>服务要求</w:t>
      </w:r>
      <w:bookmarkEnd w:id="134"/>
      <w:bookmarkEnd w:id="135"/>
      <w:bookmarkEnd w:id="136"/>
      <w:bookmarkEnd w:id="137"/>
      <w:bookmarkEnd w:id="138"/>
    </w:p>
    <w:p w14:paraId="70A27E44">
      <w:pPr>
        <w:spacing w:line="360" w:lineRule="auto"/>
        <w:ind w:firstLine="480" w:firstLineChars="200"/>
        <w:outlineLvl w:val="9"/>
        <w:rPr>
          <w:rFonts w:hint="eastAsia" w:ascii="Times New Roman" w:hAnsi="Times New Roman" w:eastAsia="宋体" w:cs="Times New Roman"/>
          <w:b/>
          <w:sz w:val="24"/>
          <w:u w:val="single"/>
        </w:rPr>
      </w:pPr>
      <w:r>
        <w:rPr>
          <w:rFonts w:hint="eastAsia"/>
          <w:b/>
          <w:sz w:val="24"/>
        </w:rPr>
        <w:t>注：</w:t>
      </w:r>
      <w:r>
        <w:rPr>
          <w:rFonts w:hint="eastAsia" w:ascii="宋体" w:hAnsi="宋体"/>
          <w:b/>
          <w:sz w:val="24"/>
        </w:rPr>
        <w:t>本项目标的所属《关于印发中小企业划型标准规定的通知》（工信部联企业〔2011〕300号）中所列“</w:t>
      </w:r>
      <w:r>
        <w:rPr>
          <w:rFonts w:hint="eastAsia" w:ascii="宋体" w:hAnsi="宋体"/>
          <w:b/>
          <w:sz w:val="24"/>
          <w:u w:val="single"/>
          <w:lang w:val="en-US" w:eastAsia="zh-CN"/>
        </w:rPr>
        <w:t>批发业</w:t>
      </w:r>
      <w:r>
        <w:rPr>
          <w:rFonts w:hint="eastAsia" w:ascii="宋体" w:hAnsi="宋体"/>
          <w:b/>
          <w:sz w:val="24"/>
        </w:rPr>
        <w:t>”。</w:t>
      </w:r>
    </w:p>
    <w:p w14:paraId="45673196">
      <w:pPr>
        <w:spacing w:line="360" w:lineRule="auto"/>
        <w:ind w:firstLine="480" w:firstLineChars="200"/>
        <w:outlineLvl w:val="9"/>
        <w:rPr>
          <w:rFonts w:hint="eastAsia" w:ascii="Times New Roman" w:hAnsi="Times New Roman" w:eastAsia="宋体" w:cs="Times New Roman"/>
          <w:b/>
          <w:sz w:val="24"/>
          <w:u w:val="single"/>
        </w:rPr>
        <w:sectPr>
          <w:pgSz w:w="11906" w:h="16838"/>
          <w:pgMar w:top="1134" w:right="851" w:bottom="1304" w:left="1276" w:header="720" w:footer="720" w:gutter="0"/>
          <w:pgNumType w:fmt="decimal"/>
          <w:cols w:space="720" w:num="1"/>
          <w:docGrid w:type="linesAndChars" w:linePitch="331" w:charSpace="0"/>
        </w:sectPr>
      </w:pPr>
    </w:p>
    <w:p w14:paraId="5BB962F6">
      <w:pPr>
        <w:tabs>
          <w:tab w:val="left" w:pos="360"/>
        </w:tabs>
        <w:snapToGrid w:val="0"/>
        <w:spacing w:before="0"/>
        <w:jc w:val="center"/>
        <w:outlineLvl w:val="9"/>
        <w:rPr>
          <w:rFonts w:hint="eastAsia" w:ascii="宋体" w:hAnsi="宋体" w:eastAsia="宋体" w:cs="宋体"/>
          <w:highlight w:val="none"/>
        </w:rPr>
      </w:pPr>
      <w:bookmarkStart w:id="139" w:name="_Toc27906"/>
      <w:bookmarkStart w:id="140" w:name="_Toc70446119"/>
      <w:bookmarkStart w:id="141" w:name="_Toc63070522"/>
      <w:bookmarkStart w:id="142" w:name="_Toc14084"/>
      <w:r>
        <w:rPr>
          <w:rFonts w:hint="eastAsia" w:ascii="宋体" w:hAnsi="宋体" w:eastAsia="宋体" w:cs="宋体"/>
          <w:b/>
          <w:bCs/>
          <w:kern w:val="2"/>
          <w:sz w:val="36"/>
          <w:szCs w:val="32"/>
          <w:highlight w:val="none"/>
          <w:lang w:val="en-US" w:eastAsia="zh-CN" w:bidi="ar-SA"/>
        </w:rPr>
        <w:t>采购需求一览表</w:t>
      </w:r>
    </w:p>
    <w:p w14:paraId="2EC74D0A">
      <w:pPr>
        <w:tabs>
          <w:tab w:val="left" w:pos="360"/>
        </w:tabs>
        <w:snapToGrid w:val="0"/>
        <w:spacing w:before="0"/>
        <w:jc w:val="left"/>
        <w:outlineLvl w:val="9"/>
        <w:rPr>
          <w:rFonts w:hint="eastAsia" w:ascii="宋体" w:hAnsi="宋体" w:eastAsia="宋体" w:cs="Times New Roman"/>
          <w:b/>
          <w:bCs/>
          <w:kern w:val="2"/>
          <w:sz w:val="36"/>
          <w:szCs w:val="32"/>
          <w:lang w:val="en-US" w:eastAsia="zh-CN" w:bidi="ar-SA"/>
        </w:rPr>
      </w:pPr>
    </w:p>
    <w:p w14:paraId="650FBA83">
      <w:pPr>
        <w:tabs>
          <w:tab w:val="left" w:pos="360"/>
        </w:tabs>
        <w:snapToGrid w:val="0"/>
        <w:spacing w:before="0"/>
        <w:jc w:val="left"/>
        <w:outlineLvl w:val="9"/>
        <w:rPr>
          <w:rFonts w:hint="eastAsia" w:ascii="宋体" w:hAnsi="宋体" w:eastAsia="宋体" w:cs="Times New Roman"/>
          <w:b/>
          <w:bCs/>
          <w:kern w:val="2"/>
          <w:sz w:val="36"/>
          <w:szCs w:val="32"/>
          <w:lang w:val="en-US" w:eastAsia="zh-CN" w:bidi="ar-SA"/>
        </w:rPr>
      </w:pPr>
      <w:r>
        <w:rPr>
          <w:rFonts w:hint="eastAsia" w:ascii="宋体" w:hAnsi="宋体" w:eastAsia="宋体" w:cs="Times New Roman"/>
          <w:b/>
          <w:bCs/>
          <w:kern w:val="2"/>
          <w:sz w:val="36"/>
          <w:szCs w:val="32"/>
          <w:lang w:val="en-US" w:eastAsia="zh-CN" w:bidi="ar-SA"/>
        </w:rPr>
        <w:t>包1：猪肉类</w:t>
      </w:r>
    </w:p>
    <w:tbl>
      <w:tblPr>
        <w:tblStyle w:val="32"/>
        <w:tblW w:w="10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
        <w:gridCol w:w="1296"/>
        <w:gridCol w:w="777"/>
        <w:gridCol w:w="887"/>
        <w:gridCol w:w="5918"/>
        <w:gridCol w:w="1036"/>
      </w:tblGrid>
      <w:tr w14:paraId="54F1C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297" w:type="dxa"/>
            <w:noWrap w:val="0"/>
            <w:vAlign w:val="center"/>
          </w:tcPr>
          <w:p w14:paraId="5B291176">
            <w:pPr>
              <w:widowControl/>
              <w:jc w:val="center"/>
              <w:textAlignment w:val="center"/>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296" w:type="dxa"/>
            <w:noWrap w:val="0"/>
            <w:vAlign w:val="center"/>
          </w:tcPr>
          <w:p w14:paraId="6BF9EF5E">
            <w:pPr>
              <w:widowControl/>
              <w:jc w:val="center"/>
              <w:textAlignment w:val="center"/>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物资</w:t>
            </w:r>
            <w:r>
              <w:rPr>
                <w:rFonts w:hint="eastAsia" w:ascii="宋体" w:hAnsi="宋体" w:eastAsia="宋体" w:cs="宋体"/>
                <w:b/>
                <w:bCs/>
                <w:color w:val="000000"/>
                <w:sz w:val="21"/>
                <w:szCs w:val="21"/>
              </w:rPr>
              <w:t>名称</w:t>
            </w:r>
          </w:p>
        </w:tc>
        <w:tc>
          <w:tcPr>
            <w:tcW w:w="777" w:type="dxa"/>
            <w:noWrap w:val="0"/>
            <w:vAlign w:val="center"/>
          </w:tcPr>
          <w:p w14:paraId="13C35A97">
            <w:pPr>
              <w:widowControl/>
              <w:jc w:val="center"/>
              <w:textAlignment w:val="center"/>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计量单位</w:t>
            </w:r>
          </w:p>
        </w:tc>
        <w:tc>
          <w:tcPr>
            <w:tcW w:w="887" w:type="dxa"/>
            <w:noWrap w:val="0"/>
            <w:vAlign w:val="center"/>
          </w:tcPr>
          <w:p w14:paraId="266BAB58">
            <w:pPr>
              <w:widowControl/>
              <w:jc w:val="center"/>
              <w:textAlignment w:val="center"/>
              <w:outlineLvl w:val="9"/>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预计采购</w:t>
            </w:r>
            <w:r>
              <w:rPr>
                <w:rFonts w:hint="eastAsia" w:ascii="宋体" w:hAnsi="宋体" w:eastAsia="宋体" w:cs="宋体"/>
                <w:b/>
                <w:bCs/>
                <w:color w:val="000000"/>
                <w:sz w:val="21"/>
                <w:szCs w:val="21"/>
              </w:rPr>
              <w:t>数量</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lang w:val="en-US" w:eastAsia="zh-CN"/>
              </w:rPr>
              <w:t>kg</w:t>
            </w:r>
            <w:r>
              <w:rPr>
                <w:rFonts w:hint="eastAsia" w:ascii="宋体" w:hAnsi="宋体" w:eastAsia="宋体" w:cs="宋体"/>
                <w:b/>
                <w:bCs/>
                <w:color w:val="000000"/>
                <w:sz w:val="21"/>
                <w:szCs w:val="21"/>
                <w:lang w:eastAsia="zh-CN"/>
              </w:rPr>
              <w:t>）</w:t>
            </w:r>
          </w:p>
        </w:tc>
        <w:tc>
          <w:tcPr>
            <w:tcW w:w="5918" w:type="dxa"/>
            <w:noWrap w:val="0"/>
            <w:vAlign w:val="center"/>
          </w:tcPr>
          <w:p w14:paraId="5EEAC876">
            <w:pPr>
              <w:widowControl/>
              <w:jc w:val="center"/>
              <w:textAlignment w:val="center"/>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规格（技术参数、性能要求）</w:t>
            </w:r>
          </w:p>
        </w:tc>
        <w:tc>
          <w:tcPr>
            <w:tcW w:w="1036" w:type="dxa"/>
            <w:noWrap w:val="0"/>
            <w:vAlign w:val="center"/>
          </w:tcPr>
          <w:p w14:paraId="2641CF0B">
            <w:pPr>
              <w:widowControl/>
              <w:jc w:val="both"/>
              <w:textAlignment w:val="center"/>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单价</w:t>
            </w:r>
            <w:r>
              <w:rPr>
                <w:rFonts w:hint="eastAsia" w:ascii="宋体" w:hAnsi="宋体" w:eastAsia="宋体" w:cs="宋体"/>
                <w:b/>
                <w:bCs/>
                <w:color w:val="000000"/>
                <w:sz w:val="21"/>
                <w:szCs w:val="21"/>
                <w:lang w:val="en-US" w:eastAsia="zh-CN"/>
              </w:rPr>
              <w:t>最高限价</w:t>
            </w:r>
            <w:r>
              <w:rPr>
                <w:rFonts w:hint="eastAsia" w:ascii="宋体" w:hAnsi="宋体" w:eastAsia="宋体" w:cs="宋体"/>
                <w:b/>
                <w:bCs/>
                <w:color w:val="000000"/>
                <w:sz w:val="21"/>
                <w:szCs w:val="21"/>
              </w:rPr>
              <w:t>（元）</w:t>
            </w:r>
          </w:p>
        </w:tc>
      </w:tr>
      <w:tr w14:paraId="490F2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297" w:type="dxa"/>
            <w:noWrap w:val="0"/>
            <w:vAlign w:val="center"/>
          </w:tcPr>
          <w:p w14:paraId="2D9950A1">
            <w:pPr>
              <w:widowControl/>
              <w:jc w:val="center"/>
              <w:textAlignment w:val="center"/>
              <w:outlineLvl w:val="9"/>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w:t>
            </w:r>
          </w:p>
        </w:tc>
        <w:tc>
          <w:tcPr>
            <w:tcW w:w="1296" w:type="dxa"/>
            <w:noWrap w:val="0"/>
            <w:vAlign w:val="center"/>
          </w:tcPr>
          <w:p w14:paraId="36C4F4D7">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b/>
                <w:bCs/>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净瘦肉</w:t>
            </w:r>
          </w:p>
        </w:tc>
        <w:tc>
          <w:tcPr>
            <w:tcW w:w="777" w:type="dxa"/>
            <w:noWrap w:val="0"/>
            <w:vAlign w:val="center"/>
          </w:tcPr>
          <w:p w14:paraId="6C0567D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元/KG</w:t>
            </w:r>
          </w:p>
        </w:tc>
        <w:tc>
          <w:tcPr>
            <w:tcW w:w="887" w:type="dxa"/>
            <w:noWrap w:val="0"/>
            <w:vAlign w:val="center"/>
          </w:tcPr>
          <w:p w14:paraId="33E1F5B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98000</w:t>
            </w:r>
          </w:p>
        </w:tc>
        <w:tc>
          <w:tcPr>
            <w:tcW w:w="5918" w:type="dxa"/>
            <w:vMerge w:val="restart"/>
            <w:noWrap w:val="0"/>
            <w:vAlign w:val="center"/>
          </w:tcPr>
          <w:p w14:paraId="57DC741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猪肉须新鲜洁净、无腐烂、无变质、无虫害、无油脂酸败、无污秽不洁，且不混有异物或其他异常感官性状异物；不得提供种猪、老母猪、病猪、未经检疫、注水、来源不明、违禁药物残留等不符合食品安全标准的猪肉，严格遵守《中华人民共和国食品安全法》国家食品卫生安全法的相关要求标准，并符合 GB 2707-2016《鲜、冻畜肉卫生标准》、GB/T 9959.1-2019、GB/T 9959.3-2019、GB/T 9959.4-2019 等国家标准，保障食品安全，禁止供应品质不合格的猪肉产品。</w:t>
            </w:r>
          </w:p>
          <w:p w14:paraId="3A66112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每次供货须随货提供当前批次猪肉品品质检验合格证和动物检疫证明，猪肉按部位分类包装。</w:t>
            </w:r>
          </w:p>
          <w:p w14:paraId="244D887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分割及预处理要求：净瘦肉：切为3-5cm 可以使用绞肉机磨的小块；带皮三线肉：清洗处理，切为2-3cm适合红烧的小块；排骨：斩切成可直接烹饪的小块；肥肉：切为 3-5cm小块；板油：切为3-5cm小块；猪脚：清洗处理，斩切成可直接烹饪的小块。</w:t>
            </w:r>
          </w:p>
        </w:tc>
        <w:tc>
          <w:tcPr>
            <w:tcW w:w="1036" w:type="dxa"/>
            <w:noWrap w:val="0"/>
            <w:vAlign w:val="center"/>
          </w:tcPr>
          <w:p w14:paraId="1745573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24.59 </w:t>
            </w:r>
          </w:p>
        </w:tc>
      </w:tr>
      <w:tr w14:paraId="271A2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297" w:type="dxa"/>
            <w:noWrap w:val="0"/>
            <w:vAlign w:val="center"/>
          </w:tcPr>
          <w:p w14:paraId="4A01E7C9">
            <w:pPr>
              <w:widowControl/>
              <w:jc w:val="center"/>
              <w:textAlignment w:val="center"/>
              <w:outlineLvl w:val="9"/>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2</w:t>
            </w:r>
          </w:p>
        </w:tc>
        <w:tc>
          <w:tcPr>
            <w:tcW w:w="1296" w:type="dxa"/>
            <w:noWrap w:val="0"/>
            <w:vAlign w:val="center"/>
          </w:tcPr>
          <w:p w14:paraId="4B38BD7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带皮三线肉</w:t>
            </w:r>
          </w:p>
        </w:tc>
        <w:tc>
          <w:tcPr>
            <w:tcW w:w="777" w:type="dxa"/>
            <w:noWrap w:val="0"/>
            <w:vAlign w:val="center"/>
          </w:tcPr>
          <w:p w14:paraId="5740850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元/KG</w:t>
            </w:r>
          </w:p>
        </w:tc>
        <w:tc>
          <w:tcPr>
            <w:tcW w:w="887" w:type="dxa"/>
            <w:noWrap w:val="0"/>
            <w:vAlign w:val="center"/>
          </w:tcPr>
          <w:p w14:paraId="599A88F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4000</w:t>
            </w:r>
          </w:p>
        </w:tc>
        <w:tc>
          <w:tcPr>
            <w:tcW w:w="5918" w:type="dxa"/>
            <w:vMerge w:val="continue"/>
            <w:noWrap w:val="0"/>
            <w:vAlign w:val="center"/>
          </w:tcPr>
          <w:p w14:paraId="6F013E5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36" w:type="dxa"/>
            <w:noWrap w:val="0"/>
            <w:vAlign w:val="center"/>
          </w:tcPr>
          <w:p w14:paraId="2A002BAF">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22.33 </w:t>
            </w:r>
          </w:p>
        </w:tc>
      </w:tr>
      <w:tr w14:paraId="1478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97" w:type="dxa"/>
            <w:noWrap w:val="0"/>
            <w:vAlign w:val="center"/>
          </w:tcPr>
          <w:p w14:paraId="7DD9E349">
            <w:pPr>
              <w:widowControl/>
              <w:jc w:val="center"/>
              <w:textAlignment w:val="center"/>
              <w:outlineLvl w:val="9"/>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3</w:t>
            </w:r>
          </w:p>
        </w:tc>
        <w:tc>
          <w:tcPr>
            <w:tcW w:w="1296" w:type="dxa"/>
            <w:noWrap w:val="0"/>
            <w:vAlign w:val="center"/>
          </w:tcPr>
          <w:p w14:paraId="08BD4B8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排骨</w:t>
            </w:r>
          </w:p>
        </w:tc>
        <w:tc>
          <w:tcPr>
            <w:tcW w:w="777" w:type="dxa"/>
            <w:noWrap w:val="0"/>
            <w:vAlign w:val="center"/>
          </w:tcPr>
          <w:p w14:paraId="4FD762A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元/KG</w:t>
            </w:r>
          </w:p>
        </w:tc>
        <w:tc>
          <w:tcPr>
            <w:tcW w:w="887" w:type="dxa"/>
            <w:noWrap w:val="0"/>
            <w:vAlign w:val="center"/>
          </w:tcPr>
          <w:p w14:paraId="4057E4C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5500</w:t>
            </w:r>
          </w:p>
        </w:tc>
        <w:tc>
          <w:tcPr>
            <w:tcW w:w="5918" w:type="dxa"/>
            <w:vMerge w:val="continue"/>
            <w:noWrap w:val="0"/>
            <w:vAlign w:val="center"/>
          </w:tcPr>
          <w:p w14:paraId="5D1B3C5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36" w:type="dxa"/>
            <w:noWrap w:val="0"/>
            <w:vAlign w:val="center"/>
          </w:tcPr>
          <w:p w14:paraId="0D4CE67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23.51 </w:t>
            </w:r>
          </w:p>
        </w:tc>
      </w:tr>
      <w:tr w14:paraId="3ECF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97" w:type="dxa"/>
            <w:noWrap w:val="0"/>
            <w:vAlign w:val="center"/>
          </w:tcPr>
          <w:p w14:paraId="141CAF02">
            <w:pPr>
              <w:widowControl/>
              <w:jc w:val="center"/>
              <w:textAlignment w:val="center"/>
              <w:outlineLvl w:val="9"/>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4</w:t>
            </w:r>
          </w:p>
        </w:tc>
        <w:tc>
          <w:tcPr>
            <w:tcW w:w="1296" w:type="dxa"/>
            <w:noWrap w:val="0"/>
            <w:vAlign w:val="center"/>
          </w:tcPr>
          <w:p w14:paraId="2DD057C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猪脚</w:t>
            </w:r>
          </w:p>
        </w:tc>
        <w:tc>
          <w:tcPr>
            <w:tcW w:w="777" w:type="dxa"/>
            <w:noWrap w:val="0"/>
            <w:vAlign w:val="center"/>
          </w:tcPr>
          <w:p w14:paraId="74947E65">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元/KG</w:t>
            </w:r>
          </w:p>
        </w:tc>
        <w:tc>
          <w:tcPr>
            <w:tcW w:w="887" w:type="dxa"/>
            <w:noWrap w:val="0"/>
            <w:vAlign w:val="center"/>
          </w:tcPr>
          <w:p w14:paraId="67F8A7B6">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6000</w:t>
            </w:r>
          </w:p>
        </w:tc>
        <w:tc>
          <w:tcPr>
            <w:tcW w:w="5918" w:type="dxa"/>
            <w:vMerge w:val="continue"/>
            <w:noWrap w:val="0"/>
            <w:vAlign w:val="center"/>
          </w:tcPr>
          <w:p w14:paraId="0AEAEA09">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36" w:type="dxa"/>
            <w:noWrap w:val="0"/>
            <w:vAlign w:val="center"/>
          </w:tcPr>
          <w:p w14:paraId="5B4D2CB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18.87 </w:t>
            </w:r>
          </w:p>
        </w:tc>
      </w:tr>
      <w:tr w14:paraId="38EBB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97" w:type="dxa"/>
            <w:noWrap w:val="0"/>
            <w:vAlign w:val="center"/>
          </w:tcPr>
          <w:p w14:paraId="1AC2EE9B">
            <w:pPr>
              <w:widowControl/>
              <w:jc w:val="center"/>
              <w:textAlignment w:val="center"/>
              <w:outlineLvl w:val="9"/>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5</w:t>
            </w:r>
          </w:p>
        </w:tc>
        <w:tc>
          <w:tcPr>
            <w:tcW w:w="1296" w:type="dxa"/>
            <w:noWrap w:val="0"/>
            <w:vAlign w:val="center"/>
          </w:tcPr>
          <w:p w14:paraId="6FE9EAF7">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肥肉</w:t>
            </w:r>
          </w:p>
        </w:tc>
        <w:tc>
          <w:tcPr>
            <w:tcW w:w="777" w:type="dxa"/>
            <w:noWrap w:val="0"/>
            <w:vAlign w:val="center"/>
          </w:tcPr>
          <w:p w14:paraId="5A39B27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元/KG</w:t>
            </w:r>
          </w:p>
        </w:tc>
        <w:tc>
          <w:tcPr>
            <w:tcW w:w="887" w:type="dxa"/>
            <w:noWrap w:val="0"/>
            <w:vAlign w:val="center"/>
          </w:tcPr>
          <w:p w14:paraId="558868A9">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10000</w:t>
            </w:r>
          </w:p>
        </w:tc>
        <w:tc>
          <w:tcPr>
            <w:tcW w:w="5918" w:type="dxa"/>
            <w:vMerge w:val="continue"/>
            <w:noWrap w:val="0"/>
            <w:vAlign w:val="center"/>
          </w:tcPr>
          <w:p w14:paraId="133A9CBF">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36" w:type="dxa"/>
            <w:noWrap w:val="0"/>
            <w:vAlign w:val="center"/>
          </w:tcPr>
          <w:p w14:paraId="75CE3207">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15.78 </w:t>
            </w:r>
          </w:p>
        </w:tc>
      </w:tr>
      <w:tr w14:paraId="2A16C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297" w:type="dxa"/>
            <w:noWrap w:val="0"/>
            <w:vAlign w:val="center"/>
          </w:tcPr>
          <w:p w14:paraId="217099A8">
            <w:pPr>
              <w:widowControl/>
              <w:jc w:val="center"/>
              <w:textAlignment w:val="center"/>
              <w:outlineLvl w:val="9"/>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6</w:t>
            </w:r>
          </w:p>
        </w:tc>
        <w:tc>
          <w:tcPr>
            <w:tcW w:w="1296" w:type="dxa"/>
            <w:noWrap w:val="0"/>
            <w:vAlign w:val="center"/>
          </w:tcPr>
          <w:p w14:paraId="5765498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板油</w:t>
            </w:r>
          </w:p>
        </w:tc>
        <w:tc>
          <w:tcPr>
            <w:tcW w:w="777" w:type="dxa"/>
            <w:noWrap w:val="0"/>
            <w:vAlign w:val="center"/>
          </w:tcPr>
          <w:p w14:paraId="16BC0A7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元/KG</w:t>
            </w:r>
          </w:p>
        </w:tc>
        <w:tc>
          <w:tcPr>
            <w:tcW w:w="887" w:type="dxa"/>
            <w:noWrap w:val="0"/>
            <w:vAlign w:val="center"/>
          </w:tcPr>
          <w:p w14:paraId="7F214CA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12000</w:t>
            </w:r>
          </w:p>
        </w:tc>
        <w:tc>
          <w:tcPr>
            <w:tcW w:w="5918" w:type="dxa"/>
            <w:vMerge w:val="continue"/>
            <w:noWrap w:val="0"/>
            <w:vAlign w:val="center"/>
          </w:tcPr>
          <w:p w14:paraId="37E2E6A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36" w:type="dxa"/>
            <w:noWrap w:val="0"/>
            <w:vAlign w:val="center"/>
          </w:tcPr>
          <w:p w14:paraId="1E83756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14.58 </w:t>
            </w:r>
          </w:p>
        </w:tc>
      </w:tr>
      <w:tr w14:paraId="0BCF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0211" w:type="dxa"/>
            <w:gridSpan w:val="6"/>
            <w:noWrap w:val="0"/>
            <w:vAlign w:val="center"/>
          </w:tcPr>
          <w:p w14:paraId="00730D61">
            <w:pPr>
              <w:keepNext w:val="0"/>
              <w:keepLines w:val="0"/>
              <w:widowControl/>
              <w:suppressLineNumbers w:val="0"/>
              <w:jc w:val="center"/>
              <w:textAlignment w:val="center"/>
              <w:outlineLvl w:val="9"/>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预算金额：3074425.00元（大写：叁佰零柒万肆仟肆佰贰拾伍元整）</w:t>
            </w:r>
          </w:p>
        </w:tc>
      </w:tr>
    </w:tbl>
    <w:p w14:paraId="140CEBC2">
      <w:pPr>
        <w:keepNext w:val="0"/>
        <w:keepLines w:val="0"/>
        <w:pageBreakBefore w:val="0"/>
        <w:kinsoku/>
        <w:wordWrap/>
        <w:overflowPunct/>
        <w:topLinePunct w:val="0"/>
        <w:autoSpaceDE/>
        <w:autoSpaceDN/>
        <w:bidi w:val="0"/>
        <w:adjustRightInd/>
        <w:snapToGrid/>
        <w:spacing w:line="500" w:lineRule="exact"/>
        <w:textAlignment w:val="auto"/>
        <w:outlineLvl w:val="9"/>
        <w:rPr>
          <w:rFonts w:hint="eastAsia" w:ascii="宋体" w:hAnsi="宋体" w:eastAsia="宋体" w:cs="Times New Roman"/>
          <w:b/>
          <w:bCs/>
          <w:kern w:val="2"/>
          <w:sz w:val="36"/>
          <w:szCs w:val="32"/>
          <w:lang w:val="en-US" w:eastAsia="zh-CN" w:bidi="ar-SA"/>
        </w:rPr>
      </w:pPr>
    </w:p>
    <w:p w14:paraId="135A42BE">
      <w:pPr>
        <w:keepNext w:val="0"/>
        <w:keepLines w:val="0"/>
        <w:pageBreakBefore w:val="0"/>
        <w:kinsoku/>
        <w:wordWrap/>
        <w:overflowPunct/>
        <w:topLinePunct w:val="0"/>
        <w:autoSpaceDE/>
        <w:autoSpaceDN/>
        <w:bidi w:val="0"/>
        <w:adjustRightInd/>
        <w:snapToGrid/>
        <w:spacing w:line="500" w:lineRule="exact"/>
        <w:textAlignment w:val="auto"/>
        <w:outlineLvl w:val="9"/>
        <w:rPr>
          <w:rFonts w:hint="eastAsia" w:ascii="宋体" w:hAnsi="宋体" w:eastAsia="宋体" w:cs="Times New Roman"/>
          <w:b/>
          <w:bCs/>
          <w:kern w:val="2"/>
          <w:sz w:val="36"/>
          <w:szCs w:val="32"/>
          <w:lang w:val="en-US" w:eastAsia="zh-CN" w:bidi="ar-SA"/>
        </w:rPr>
      </w:pPr>
      <w:r>
        <w:rPr>
          <w:rFonts w:hint="eastAsia" w:ascii="宋体" w:hAnsi="宋体" w:eastAsia="宋体" w:cs="Times New Roman"/>
          <w:b/>
          <w:bCs/>
          <w:kern w:val="2"/>
          <w:sz w:val="36"/>
          <w:szCs w:val="32"/>
          <w:lang w:val="en-US" w:eastAsia="zh-CN" w:bidi="ar-SA"/>
        </w:rPr>
        <w:br w:type="page"/>
      </w:r>
      <w:r>
        <w:rPr>
          <w:rFonts w:hint="eastAsia" w:ascii="宋体" w:hAnsi="宋体" w:eastAsia="宋体" w:cs="Times New Roman"/>
          <w:b/>
          <w:bCs/>
          <w:kern w:val="2"/>
          <w:sz w:val="36"/>
          <w:szCs w:val="32"/>
          <w:lang w:val="en-US" w:eastAsia="zh-CN" w:bidi="ar-SA"/>
        </w:rPr>
        <w:t>包2：鸡肉类、冻品（鱼虾）类</w:t>
      </w:r>
    </w:p>
    <w:tbl>
      <w:tblPr>
        <w:tblStyle w:val="32"/>
        <w:tblW w:w="10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
        <w:gridCol w:w="730"/>
        <w:gridCol w:w="545"/>
        <w:gridCol w:w="832"/>
        <w:gridCol w:w="7295"/>
        <w:gridCol w:w="764"/>
      </w:tblGrid>
      <w:tr w14:paraId="30F1A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jc w:val="center"/>
        </w:trPr>
        <w:tc>
          <w:tcPr>
            <w:tcW w:w="326" w:type="dxa"/>
            <w:noWrap w:val="0"/>
            <w:vAlign w:val="center"/>
          </w:tcPr>
          <w:p w14:paraId="0731FB1A">
            <w:pPr>
              <w:widowControl/>
              <w:jc w:val="center"/>
              <w:textAlignment w:val="center"/>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730" w:type="dxa"/>
            <w:noWrap w:val="0"/>
            <w:vAlign w:val="center"/>
          </w:tcPr>
          <w:p w14:paraId="3AB9EA96">
            <w:pPr>
              <w:widowControl/>
              <w:jc w:val="center"/>
              <w:textAlignment w:val="center"/>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物资</w:t>
            </w:r>
            <w:r>
              <w:rPr>
                <w:rFonts w:hint="eastAsia" w:ascii="宋体" w:hAnsi="宋体" w:eastAsia="宋体" w:cs="宋体"/>
                <w:b/>
                <w:bCs/>
                <w:color w:val="000000"/>
                <w:sz w:val="21"/>
                <w:szCs w:val="21"/>
              </w:rPr>
              <w:t>名称</w:t>
            </w:r>
          </w:p>
        </w:tc>
        <w:tc>
          <w:tcPr>
            <w:tcW w:w="545" w:type="dxa"/>
            <w:noWrap w:val="0"/>
            <w:vAlign w:val="center"/>
          </w:tcPr>
          <w:p w14:paraId="3E32DDC0">
            <w:pPr>
              <w:widowControl/>
              <w:jc w:val="center"/>
              <w:textAlignment w:val="center"/>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计量单位</w:t>
            </w:r>
          </w:p>
        </w:tc>
        <w:tc>
          <w:tcPr>
            <w:tcW w:w="832" w:type="dxa"/>
            <w:noWrap w:val="0"/>
            <w:vAlign w:val="center"/>
          </w:tcPr>
          <w:p w14:paraId="6A1486EF">
            <w:pPr>
              <w:widowControl/>
              <w:jc w:val="center"/>
              <w:textAlignment w:val="center"/>
              <w:outlineLvl w:val="9"/>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预计采购数量</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lang w:val="en-US" w:eastAsia="zh-CN"/>
              </w:rPr>
              <w:t>kg</w:t>
            </w:r>
            <w:r>
              <w:rPr>
                <w:rFonts w:hint="eastAsia" w:ascii="宋体" w:hAnsi="宋体" w:eastAsia="宋体" w:cs="宋体"/>
                <w:b/>
                <w:bCs/>
                <w:color w:val="000000"/>
                <w:sz w:val="21"/>
                <w:szCs w:val="21"/>
                <w:lang w:eastAsia="zh-CN"/>
              </w:rPr>
              <w:t>）</w:t>
            </w:r>
          </w:p>
        </w:tc>
        <w:tc>
          <w:tcPr>
            <w:tcW w:w="7295" w:type="dxa"/>
            <w:noWrap w:val="0"/>
            <w:vAlign w:val="center"/>
          </w:tcPr>
          <w:p w14:paraId="16CD11DB">
            <w:pPr>
              <w:widowControl/>
              <w:jc w:val="center"/>
              <w:textAlignment w:val="center"/>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规格（技术参数、性能要求）</w:t>
            </w:r>
          </w:p>
        </w:tc>
        <w:tc>
          <w:tcPr>
            <w:tcW w:w="764" w:type="dxa"/>
            <w:noWrap w:val="0"/>
            <w:vAlign w:val="center"/>
          </w:tcPr>
          <w:p w14:paraId="2EC7B771">
            <w:pPr>
              <w:widowControl/>
              <w:jc w:val="center"/>
              <w:textAlignment w:val="center"/>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单价</w:t>
            </w:r>
            <w:r>
              <w:rPr>
                <w:rFonts w:hint="eastAsia" w:ascii="宋体" w:hAnsi="宋体" w:eastAsia="宋体" w:cs="宋体"/>
                <w:b/>
                <w:bCs/>
                <w:color w:val="000000"/>
                <w:sz w:val="21"/>
                <w:szCs w:val="21"/>
                <w:lang w:val="en-US" w:eastAsia="zh-CN"/>
              </w:rPr>
              <w:t>最高限价</w:t>
            </w:r>
            <w:r>
              <w:rPr>
                <w:rFonts w:hint="eastAsia" w:ascii="宋体" w:hAnsi="宋体" w:eastAsia="宋体" w:cs="宋体"/>
                <w:b/>
                <w:bCs/>
                <w:color w:val="000000"/>
                <w:sz w:val="21"/>
                <w:szCs w:val="21"/>
              </w:rPr>
              <w:t>（元）</w:t>
            </w:r>
          </w:p>
        </w:tc>
      </w:tr>
      <w:tr w14:paraId="6A545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4" w:hRule="atLeast"/>
          <w:jc w:val="center"/>
        </w:trPr>
        <w:tc>
          <w:tcPr>
            <w:tcW w:w="326" w:type="dxa"/>
            <w:noWrap w:val="0"/>
            <w:vAlign w:val="center"/>
          </w:tcPr>
          <w:p w14:paraId="00C97E8D">
            <w:pPr>
              <w:widowControl/>
              <w:jc w:val="center"/>
              <w:textAlignment w:val="center"/>
              <w:outlineLvl w:val="9"/>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w:t>
            </w:r>
          </w:p>
        </w:tc>
        <w:tc>
          <w:tcPr>
            <w:tcW w:w="730" w:type="dxa"/>
            <w:noWrap w:val="0"/>
            <w:vAlign w:val="center"/>
          </w:tcPr>
          <w:p w14:paraId="4F36743F">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鸡肉</w:t>
            </w:r>
          </w:p>
        </w:tc>
        <w:tc>
          <w:tcPr>
            <w:tcW w:w="545" w:type="dxa"/>
            <w:noWrap w:val="0"/>
            <w:vAlign w:val="center"/>
          </w:tcPr>
          <w:p w14:paraId="30CE1CE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元/KG</w:t>
            </w:r>
          </w:p>
        </w:tc>
        <w:tc>
          <w:tcPr>
            <w:tcW w:w="832" w:type="dxa"/>
            <w:noWrap w:val="0"/>
            <w:vAlign w:val="center"/>
          </w:tcPr>
          <w:p w14:paraId="589BA7BF">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16000</w:t>
            </w:r>
          </w:p>
        </w:tc>
        <w:tc>
          <w:tcPr>
            <w:tcW w:w="7295" w:type="dxa"/>
            <w:noWrap w:val="0"/>
            <w:vAlign w:val="center"/>
          </w:tcPr>
          <w:p w14:paraId="511B27E7">
            <w:pPr>
              <w:pStyle w:val="31"/>
              <w:ind w:left="0" w:leftChars="0" w:firstLine="0" w:firstLineChars="0"/>
              <w:jc w:val="left"/>
              <w:rPr>
                <w:rFonts w:hint="eastAsia"/>
                <w:lang w:val="en-US" w:eastAsia="zh-CN"/>
              </w:rPr>
            </w:pPr>
            <w:r>
              <w:rPr>
                <w:rFonts w:hint="eastAsia" w:ascii="Times New Roman" w:hAnsi="Times New Roman" w:eastAsia="宋体" w:cs="Times New Roman"/>
                <w:color w:val="auto"/>
                <w:lang w:val="en-US" w:eastAsia="zh-CN"/>
              </w:rPr>
              <w:t>鲜宰肉鸡，去毛去内脏，按要求分割成均匀小块。每次送货时，鸡头、鸡脚、鸡脖子等部位需单独分篮（或袋）装；产品必须保证新鲜，肌肉色泽正常、有光泽，组织状态致密、有弹性，外表微干或微湿润、不粘手，气味正常；无腐败、无变质、无异味、无生虫、无油脂酸败、无污秽不洁、无淤血、无病变、无注水、不能混有异物或者其它感官性状异物，且符合《食品安全国家标准 鲜（冻）畜、禽产品》（GB 2707-2016）的相关要求。鸡肉须来自合法定点屠宰企业，来源可追溯；每次送货必须随货提供当前批次的肉品品质检验合格证和动物检疫证明，证明需真实、完整、在有效期内。若提供的鸡肉类冻品类物资如出现品质不达标等情况采购人将退货，中标人无条件承担所有后果。</w:t>
            </w:r>
          </w:p>
        </w:tc>
        <w:tc>
          <w:tcPr>
            <w:tcW w:w="764" w:type="dxa"/>
            <w:noWrap w:val="0"/>
            <w:vAlign w:val="center"/>
          </w:tcPr>
          <w:p w14:paraId="0B9FE495">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21.47 </w:t>
            </w:r>
          </w:p>
        </w:tc>
      </w:tr>
      <w:tr w14:paraId="6B140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1" w:hRule="atLeast"/>
          <w:jc w:val="center"/>
        </w:trPr>
        <w:tc>
          <w:tcPr>
            <w:tcW w:w="326" w:type="dxa"/>
            <w:noWrap w:val="0"/>
            <w:vAlign w:val="center"/>
          </w:tcPr>
          <w:p w14:paraId="66006386">
            <w:pPr>
              <w:widowControl/>
              <w:jc w:val="center"/>
              <w:textAlignment w:val="center"/>
              <w:outlineLvl w:val="9"/>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2</w:t>
            </w:r>
          </w:p>
        </w:tc>
        <w:tc>
          <w:tcPr>
            <w:tcW w:w="730" w:type="dxa"/>
            <w:noWrap w:val="0"/>
            <w:vAlign w:val="center"/>
          </w:tcPr>
          <w:p w14:paraId="2E75018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冻虾丸</w:t>
            </w:r>
          </w:p>
        </w:tc>
        <w:tc>
          <w:tcPr>
            <w:tcW w:w="545" w:type="dxa"/>
            <w:noWrap w:val="0"/>
            <w:vAlign w:val="center"/>
          </w:tcPr>
          <w:p w14:paraId="209111F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元/KG</w:t>
            </w:r>
          </w:p>
        </w:tc>
        <w:tc>
          <w:tcPr>
            <w:tcW w:w="832" w:type="dxa"/>
            <w:noWrap w:val="0"/>
            <w:vAlign w:val="center"/>
          </w:tcPr>
          <w:p w14:paraId="083E0D9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w:t>
            </w:r>
          </w:p>
        </w:tc>
        <w:tc>
          <w:tcPr>
            <w:tcW w:w="7295" w:type="dxa"/>
            <w:noWrap w:val="0"/>
            <w:vAlign w:val="center"/>
          </w:tcPr>
          <w:p w14:paraId="54EDEAF3">
            <w:pPr>
              <w:widowControl/>
              <w:jc w:val="left"/>
              <w:textAlignment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提供优质并同时符合以下现行有效食品安全国家标准及相关规定，符合《食品安全国家标准 鲜、冻动物性水产品》（GB 2733-2015）、《食品安全国家标准 速冻食品生产和经营卫生规范》（GB 31646-2018）、《食品安全国家标准 预包装食品标签通则》（GB 7718-2011）如在合同履行期内《食品安全国家标准 预包装食品标签通则》（GB 7718-2025 ）开始实施应符合GB 7718-2025 、《冷冻水产品冰衣限量》（SC/T 3054-2020）及国家其他相关法规标准。所供产品为国产非进口的淡水鱼虾类动物性水产品，须为预包装食品，不接受任何形式的散装食品。产品包装标签须符合 GB 7718 要求，对含有固、液两相且固相为主要原料的产品，必须清晰标注沥干物（固形物）含量；纯固态产品按规定标注净含量（不含冰衣），冻品类产品冰衣含量≤20%（符合 SC/T 3054-2020）；产品标注净含量为去除冰衣后的实际食品重量，冰衣不计入净含量。</w:t>
            </w:r>
          </w:p>
        </w:tc>
        <w:tc>
          <w:tcPr>
            <w:tcW w:w="764" w:type="dxa"/>
            <w:noWrap w:val="0"/>
            <w:vAlign w:val="center"/>
          </w:tcPr>
          <w:p w14:paraId="3036D0E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16.15 </w:t>
            </w:r>
          </w:p>
        </w:tc>
      </w:tr>
      <w:tr w14:paraId="075D9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5" w:hRule="atLeast"/>
          <w:jc w:val="center"/>
        </w:trPr>
        <w:tc>
          <w:tcPr>
            <w:tcW w:w="326" w:type="dxa"/>
            <w:noWrap w:val="0"/>
            <w:vAlign w:val="center"/>
          </w:tcPr>
          <w:p w14:paraId="22461B93">
            <w:pPr>
              <w:widowControl/>
              <w:jc w:val="center"/>
              <w:textAlignment w:val="center"/>
              <w:outlineLvl w:val="9"/>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3</w:t>
            </w:r>
          </w:p>
        </w:tc>
        <w:tc>
          <w:tcPr>
            <w:tcW w:w="730" w:type="dxa"/>
            <w:noWrap w:val="0"/>
            <w:vAlign w:val="center"/>
          </w:tcPr>
          <w:p w14:paraId="41B8FD55">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冻虾仁</w:t>
            </w:r>
          </w:p>
        </w:tc>
        <w:tc>
          <w:tcPr>
            <w:tcW w:w="545" w:type="dxa"/>
            <w:noWrap w:val="0"/>
            <w:vAlign w:val="center"/>
          </w:tcPr>
          <w:p w14:paraId="4833F8F6">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元/KG</w:t>
            </w:r>
          </w:p>
        </w:tc>
        <w:tc>
          <w:tcPr>
            <w:tcW w:w="832" w:type="dxa"/>
            <w:noWrap w:val="0"/>
            <w:vAlign w:val="center"/>
          </w:tcPr>
          <w:p w14:paraId="647F36E6">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3000</w:t>
            </w:r>
          </w:p>
        </w:tc>
        <w:tc>
          <w:tcPr>
            <w:tcW w:w="7295" w:type="dxa"/>
            <w:noWrap w:val="0"/>
            <w:vAlign w:val="center"/>
          </w:tcPr>
          <w:p w14:paraId="1670D974">
            <w:pPr>
              <w:widowControl/>
              <w:jc w:val="left"/>
              <w:textAlignment w:val="center"/>
              <w:outlineLvl w:val="9"/>
              <w:rPr>
                <w:rFonts w:hint="eastAsia" w:ascii="宋体" w:hAnsi="宋体" w:eastAsia="宋体" w:cs="宋体"/>
                <w:b w:val="0"/>
                <w:bCs w:val="0"/>
                <w:color w:val="auto"/>
                <w:sz w:val="21"/>
                <w:szCs w:val="21"/>
              </w:rPr>
            </w:pPr>
            <w:r>
              <w:rPr>
                <w:rStyle w:val="35"/>
                <w:rFonts w:hint="eastAsia" w:ascii="宋体" w:hAnsi="宋体" w:eastAsia="宋体" w:cs="宋体"/>
                <w:b/>
                <w:bCs/>
                <w:color w:val="auto"/>
                <w:sz w:val="21"/>
                <w:szCs w:val="21"/>
                <w:lang w:val="en-US" w:eastAsia="zh-CN"/>
              </w:rPr>
              <w:t>冻虾仁需去虾头、虾壳，</w:t>
            </w:r>
            <w:r>
              <w:rPr>
                <w:rFonts w:hint="eastAsia" w:ascii="宋体" w:hAnsi="宋体" w:eastAsia="宋体" w:cs="宋体"/>
                <w:b w:val="0"/>
                <w:bCs w:val="0"/>
                <w:color w:val="auto"/>
                <w:sz w:val="21"/>
                <w:szCs w:val="21"/>
                <w:highlight w:val="none"/>
                <w:lang w:val="en-US" w:eastAsia="zh-CN"/>
              </w:rPr>
              <w:t>提供优质并同时符合以下现行有效食品安全国家标准及相关规定，符合《食品安全国家标准 鲜、冻动物性水产品》（GB 2733-2015）、《食品安全国家标准 速冻食品生产和经营卫生规范》（GB 31646-2018）、《食品安全国家标准 预包装食品标签通则》（GB 7718-2011）如在合同履行期内《食品安全国家标准 预包装食品标签通则》（GB 7718-2025 ）开始实施应符合GB 7718-2025 、《冷冻水产品冰衣限量》（SC/T 3054-2020）及国家其他相关法规标准。所供产品为国产非进口的淡水鱼虾类动物性水产品，须为预包装食品，不接受任何形式的散装食品。产品包装标签须符合 GB 7718 要求，对含有固、液两相且固相为主要原料的产品，必须清晰标注沥干物（固形物）含量；纯固态产品按规定标注净含量（不含冰衣），冻品类产品冰衣含量≤20%（符合 SC/T 3054-2020）；产品标注净含量为去除冰衣后的实际食品重量，冰衣不计入净含量。</w:t>
            </w:r>
          </w:p>
        </w:tc>
        <w:tc>
          <w:tcPr>
            <w:tcW w:w="764" w:type="dxa"/>
            <w:noWrap w:val="0"/>
            <w:vAlign w:val="center"/>
          </w:tcPr>
          <w:p w14:paraId="367E35D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51.78 </w:t>
            </w:r>
          </w:p>
        </w:tc>
      </w:tr>
      <w:tr w14:paraId="5A08B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1" w:hRule="atLeast"/>
          <w:jc w:val="center"/>
        </w:trPr>
        <w:tc>
          <w:tcPr>
            <w:tcW w:w="326" w:type="dxa"/>
            <w:noWrap w:val="0"/>
            <w:vAlign w:val="center"/>
          </w:tcPr>
          <w:p w14:paraId="3656ACA0">
            <w:pPr>
              <w:widowControl/>
              <w:jc w:val="center"/>
              <w:textAlignment w:val="center"/>
              <w:outlineLvl w:val="9"/>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4</w:t>
            </w:r>
          </w:p>
        </w:tc>
        <w:tc>
          <w:tcPr>
            <w:tcW w:w="730" w:type="dxa"/>
            <w:noWrap w:val="0"/>
            <w:vAlign w:val="center"/>
          </w:tcPr>
          <w:p w14:paraId="074382A5">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冰冻虾（整只）</w:t>
            </w:r>
          </w:p>
        </w:tc>
        <w:tc>
          <w:tcPr>
            <w:tcW w:w="545" w:type="dxa"/>
            <w:noWrap w:val="0"/>
            <w:vAlign w:val="center"/>
          </w:tcPr>
          <w:p w14:paraId="1312035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元/KG</w:t>
            </w:r>
          </w:p>
        </w:tc>
        <w:tc>
          <w:tcPr>
            <w:tcW w:w="832" w:type="dxa"/>
            <w:noWrap w:val="0"/>
            <w:vAlign w:val="center"/>
          </w:tcPr>
          <w:p w14:paraId="0D21038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3000</w:t>
            </w:r>
          </w:p>
        </w:tc>
        <w:tc>
          <w:tcPr>
            <w:tcW w:w="7295" w:type="dxa"/>
            <w:noWrap w:val="0"/>
            <w:vAlign w:val="center"/>
          </w:tcPr>
          <w:p w14:paraId="244B1999">
            <w:pPr>
              <w:widowControl/>
              <w:jc w:val="left"/>
              <w:textAlignment w:val="center"/>
              <w:outlineLvl w:val="9"/>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none"/>
                <w:lang w:val="en-US" w:eastAsia="zh-CN"/>
              </w:rPr>
              <w:t>提供优质并同时符合以下现行有效食品安全国家标准及相关规定，符合《食品安全国家标准鲜、冻动物性水产品》（GB 2733-2015）、《食品安全国家标准 速冻食品生产和经营卫生规范》（GB 31646-2018）、《食品安全国家标准 预包装食品标签通则》（GB 7718-2011）如在合同履行期内《食品安全国家标准 预包装食品标签通则》（GB 7718-2025 ）开始实施应符合GB 7718-2025 、《冷冻水产品冰衣限量》（SC/T 3054-2020）及国家其他相关法规标准。所供产品为国产非进口的淡水鱼虾类动物性水产品，须为预包装食品，不接受任何形式的散装食品。产品包装标签须符合 GB 7718 要求，对含有固、液两相且固相为主要原料的产品，必须清晰标注沥干物（固形物）含量；纯固态产品按规定标注净含量（不含冰衣），冻品类产品冰衣含量≤20%（符合 SC/T 3054-2020）；产品标注净含量为去除冰衣后的实际食品重量，冰衣不计入净含量。</w:t>
            </w:r>
          </w:p>
        </w:tc>
        <w:tc>
          <w:tcPr>
            <w:tcW w:w="764" w:type="dxa"/>
            <w:noWrap w:val="0"/>
            <w:vAlign w:val="center"/>
          </w:tcPr>
          <w:p w14:paraId="1027D789">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55.81 </w:t>
            </w:r>
          </w:p>
        </w:tc>
      </w:tr>
      <w:tr w14:paraId="2B5EB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9" w:hRule="atLeast"/>
          <w:jc w:val="center"/>
        </w:trPr>
        <w:tc>
          <w:tcPr>
            <w:tcW w:w="326" w:type="dxa"/>
            <w:noWrap w:val="0"/>
            <w:vAlign w:val="center"/>
          </w:tcPr>
          <w:p w14:paraId="6E740F56">
            <w:pPr>
              <w:widowControl/>
              <w:jc w:val="center"/>
              <w:textAlignment w:val="center"/>
              <w:outlineLvl w:val="9"/>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5</w:t>
            </w:r>
          </w:p>
        </w:tc>
        <w:tc>
          <w:tcPr>
            <w:tcW w:w="730" w:type="dxa"/>
            <w:noWrap w:val="0"/>
            <w:vAlign w:val="center"/>
          </w:tcPr>
          <w:p w14:paraId="39E91CB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b/>
                <w:bCs/>
                <w:color w:val="00000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冻巴沙鱼片（核心产品）</w:t>
            </w:r>
          </w:p>
        </w:tc>
        <w:tc>
          <w:tcPr>
            <w:tcW w:w="545" w:type="dxa"/>
            <w:noWrap w:val="0"/>
            <w:vAlign w:val="center"/>
          </w:tcPr>
          <w:p w14:paraId="510406FD">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元/KG</w:t>
            </w:r>
          </w:p>
        </w:tc>
        <w:tc>
          <w:tcPr>
            <w:tcW w:w="832" w:type="dxa"/>
            <w:noWrap w:val="0"/>
            <w:vAlign w:val="center"/>
          </w:tcPr>
          <w:p w14:paraId="35E65A39">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9000</w:t>
            </w:r>
          </w:p>
        </w:tc>
        <w:tc>
          <w:tcPr>
            <w:tcW w:w="7295" w:type="dxa"/>
            <w:noWrap w:val="0"/>
            <w:vAlign w:val="center"/>
          </w:tcPr>
          <w:p w14:paraId="3585605B">
            <w:pPr>
              <w:widowControl/>
              <w:jc w:val="left"/>
              <w:textAlignment w:val="center"/>
              <w:outlineLvl w:val="9"/>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none"/>
                <w:lang w:val="en-US" w:eastAsia="zh-CN"/>
              </w:rPr>
              <w:t>提供优质并同时符合以下现行有效食品安全国家标准及相关规定，符合《食品安全国家标准鲜、冻动物性水产品》（GB 2733-2015）、《食品安全国家标准 速冻食品生产和经营卫生规范》（GB 31646-2018）、《食品安全国家标准 预包装食品标签通则》（GB 7718-2011）如在合同履行期内《食品安全国家标准 预包装食品标签通则》（GB 7718-2025 ）开始实施应符合GB 7718-2025 、《冷冻水产品冰衣限量》（SC/T 3054-2020）及国家其他相关法规标准。所供产品为国产非进口的淡水鱼虾类动物性水产品，须为预包装食品，不接受任何形式的散装食品。产品包装标签须符合 GB 7718 要求，对含有固、液两相且固相为主要原料的产品，必须清晰标注沥干物（固形物）含量；纯固态产品按规定标注净含量（不含冰衣），冻品类产品冰衣含量≤20%（符合 SC/T 3054-2020）；产品标注净含量为去除冰衣后的实际食品重量，冰衣不计入净含量。</w:t>
            </w:r>
          </w:p>
        </w:tc>
        <w:tc>
          <w:tcPr>
            <w:tcW w:w="764" w:type="dxa"/>
            <w:noWrap w:val="0"/>
            <w:vAlign w:val="center"/>
          </w:tcPr>
          <w:p w14:paraId="361D30F9">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16.46 </w:t>
            </w:r>
          </w:p>
        </w:tc>
      </w:tr>
      <w:tr w14:paraId="4DAB0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492" w:type="dxa"/>
            <w:gridSpan w:val="6"/>
            <w:noWrap w:val="0"/>
            <w:vAlign w:val="center"/>
          </w:tcPr>
          <w:p w14:paraId="4DD141BF">
            <w:pPr>
              <w:widowControl/>
              <w:jc w:val="center"/>
              <w:textAlignment w:val="center"/>
              <w:outlineLvl w:val="9"/>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预算金额：846730.00元（大写：捌拾肆万陆仟柒佰叁拾元整）</w:t>
            </w:r>
          </w:p>
        </w:tc>
      </w:tr>
    </w:tbl>
    <w:p w14:paraId="58F0A585">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420" w:firstLineChars="200"/>
        <w:textAlignment w:val="auto"/>
        <w:rPr>
          <w:rFonts w:hint="eastAsia" w:ascii="宋体" w:hAnsi="宋体" w:cs="宋体"/>
          <w:b/>
          <w:bCs/>
          <w:color w:val="00B050"/>
          <w:kern w:val="2"/>
          <w:sz w:val="24"/>
          <w:szCs w:val="24"/>
          <w:highlight w:val="none"/>
          <w:lang w:val="en-US" w:eastAsia="zh-CN" w:bidi="ar-SA"/>
        </w:rPr>
      </w:pPr>
      <w:r>
        <w:rPr>
          <w:rFonts w:hint="eastAsia" w:ascii="宋体" w:hAnsi="宋体" w:eastAsia="宋体" w:cs="宋体"/>
          <w:b/>
          <w:bCs/>
          <w:color w:val="00B050"/>
          <w:sz w:val="21"/>
          <w:szCs w:val="21"/>
          <w:highlight w:val="none"/>
          <w:lang w:val="en-US" w:eastAsia="zh-CN"/>
        </w:rPr>
        <w:t>冻虾仁、冻巴沙鱼片等鲜冻动物性水产品须符合 GB 2733-2015；冻虾丸等速冻调制食品须同时符合 GB 31646-2018 及《食品安全国家标准 速冻面米与调制食品》（GB 19295-2021 ）等相关标准。每年至少提供一次第三方质量检验（检测）报告。如有保质期的剩余保质期为保质期的1/2以上。若提供的鸡肉类冻品类物资如出现品质不达标等情况采购人有权退货，中标人无条件承担所有后果。</w:t>
      </w:r>
    </w:p>
    <w:p w14:paraId="6E1BBF5B">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480" w:firstLineChars="200"/>
        <w:textAlignment w:val="auto"/>
        <w:rPr>
          <w:rFonts w:hint="eastAsia" w:ascii="宋体" w:hAnsi="宋体" w:eastAsia="宋体" w:cs="宋体"/>
          <w:b/>
          <w:bCs/>
          <w:color w:val="0000FF"/>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注：1.上述表中所有标的物数量为暂(预)估数量，具体按实际采购品种、数量及中标单价结算。因影响实际采购数量的因素多且复杂，暂(预)估数量与实际采购数量的差异不作为采购方过错而受到投诉、质疑和承担任何责任，</w:t>
      </w:r>
      <w:r>
        <w:rPr>
          <w:rFonts w:hint="eastAsia" w:ascii="宋体" w:hAnsi="宋体" w:eastAsia="宋体" w:cs="宋体"/>
          <w:b/>
          <w:bCs/>
          <w:color w:val="0000FF"/>
          <w:kern w:val="2"/>
          <w:sz w:val="24"/>
          <w:szCs w:val="24"/>
          <w:highlight w:val="none"/>
          <w:lang w:val="en-US" w:eastAsia="zh-CN" w:bidi="ar-SA"/>
        </w:rPr>
        <w:t>以上规格（技术参数、性能要求）要求的执行标准如有更新，按最新标准执行。</w:t>
      </w:r>
    </w:p>
    <w:p w14:paraId="09656D5A">
      <w:pPr>
        <w:pStyle w:val="31"/>
        <w:numPr>
          <w:ilvl w:val="0"/>
          <w:numId w:val="3"/>
        </w:numPr>
        <w:spacing w:line="360" w:lineRule="auto"/>
        <w:ind w:left="0" w:leftChars="0" w:firstLine="480" w:firstLineChars="200"/>
        <w:rPr>
          <w:rFonts w:hint="eastAsia" w:ascii="宋体" w:hAnsi="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中标后，</w:t>
      </w:r>
      <w:r>
        <w:rPr>
          <w:rFonts w:hint="eastAsia" w:ascii="宋体" w:hAnsi="宋体" w:eastAsia="宋体" w:cs="宋体"/>
          <w:b/>
          <w:bCs/>
          <w:color w:val="auto"/>
          <w:kern w:val="2"/>
          <w:sz w:val="24"/>
          <w:szCs w:val="24"/>
          <w:highlight w:val="none"/>
          <w:lang w:val="en-US" w:eastAsia="zh-CN" w:bidi="ar-SA"/>
        </w:rPr>
        <w:t>拟供物资与投标文件一致性核验要求</w:t>
      </w:r>
    </w:p>
    <w:p w14:paraId="18304260">
      <w:pPr>
        <w:pStyle w:val="31"/>
        <w:numPr>
          <w:ilvl w:val="0"/>
          <w:numId w:val="0"/>
        </w:numPr>
        <w:spacing w:line="360" w:lineRule="auto"/>
        <w:ind w:left="0" w:leftChars="0" w:firstLine="420" w:firstLineChars="175"/>
        <w:rPr>
          <w:rFonts w:hint="eastAsia" w:ascii="宋体" w:hAnsi="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合同签订前，中标人须将拟供应货物(与投标文件承诺一致的货物)带至采购人处进行“拟供物资与投标文件一致性核验”，</w:t>
      </w:r>
      <w:r>
        <w:rPr>
          <w:rFonts w:hint="eastAsia" w:ascii="宋体" w:hAnsi="宋体" w:cs="宋体"/>
          <w:b w:val="0"/>
          <w:bCs w:val="0"/>
          <w:color w:val="auto"/>
          <w:kern w:val="2"/>
          <w:sz w:val="24"/>
          <w:szCs w:val="24"/>
          <w:highlight w:val="none"/>
          <w:lang w:val="en-US" w:eastAsia="zh-CN" w:bidi="ar-SA"/>
        </w:rPr>
        <w:t>核验物资为上述清单中每标段每一项货物。</w:t>
      </w:r>
    </w:p>
    <w:p w14:paraId="0DC8E333">
      <w:pPr>
        <w:pStyle w:val="31"/>
        <w:numPr>
          <w:ilvl w:val="0"/>
          <w:numId w:val="0"/>
        </w:num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包1(猪肉类):</w:t>
      </w:r>
      <w:r>
        <w:rPr>
          <w:rFonts w:hint="eastAsia" w:ascii="宋体" w:hAnsi="宋体" w:eastAsia="宋体" w:cs="宋体"/>
          <w:color w:val="auto"/>
          <w:kern w:val="2"/>
          <w:sz w:val="24"/>
          <w:szCs w:val="24"/>
          <w:highlight w:val="none"/>
          <w:lang w:val="en-US" w:eastAsia="zh-CN" w:bidi="ar-SA"/>
        </w:rPr>
        <w:t>净瘦肉、带皮三线肉、排骨、猪脚、肥肉、板油各提供1kg；</w:t>
      </w:r>
    </w:p>
    <w:p w14:paraId="766F8181">
      <w:pPr>
        <w:numPr>
          <w:ilvl w:val="0"/>
          <w:numId w:val="0"/>
        </w:numPr>
        <w:spacing w:line="360" w:lineRule="auto"/>
        <w:ind w:firstLine="480" w:firstLineChars="200"/>
        <w:rPr>
          <w:rFonts w:hint="eastAsia"/>
          <w:color w:val="auto"/>
          <w:lang w:val="en-US" w:eastAsia="zh-CN"/>
        </w:rPr>
      </w:pPr>
      <w:r>
        <w:rPr>
          <w:rFonts w:hint="eastAsia" w:ascii="宋体" w:hAnsi="宋体" w:eastAsia="宋体" w:cs="宋体"/>
          <w:b/>
          <w:bCs/>
          <w:color w:val="auto"/>
          <w:kern w:val="2"/>
          <w:sz w:val="24"/>
          <w:szCs w:val="24"/>
          <w:highlight w:val="none"/>
          <w:lang w:val="en-US" w:eastAsia="zh-CN" w:bidi="ar-SA"/>
        </w:rPr>
        <w:t>包2(鸡肉类、冻品（鱼虾）类):</w:t>
      </w:r>
      <w:r>
        <w:rPr>
          <w:rFonts w:hint="eastAsia" w:ascii="宋体" w:hAnsi="宋体" w:eastAsia="宋体" w:cs="宋体"/>
          <w:color w:val="auto"/>
          <w:kern w:val="2"/>
          <w:sz w:val="24"/>
          <w:szCs w:val="24"/>
          <w:highlight w:val="none"/>
          <w:lang w:val="en-US" w:eastAsia="zh-CN" w:bidi="ar-SA"/>
        </w:rPr>
        <w:t>鸡肉、冻虾丸、冻虾仁、冰冻虾（整只）</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color w:val="auto"/>
          <w:kern w:val="2"/>
          <w:sz w:val="24"/>
          <w:szCs w:val="24"/>
          <w:highlight w:val="none"/>
          <w:lang w:val="en-US" w:eastAsia="zh-CN" w:bidi="ar-SA"/>
        </w:rPr>
        <w:t>冻巴沙鱼片各提供1 kg样品，有原厂包装的按实际包装提供。</w:t>
      </w:r>
    </w:p>
    <w:p w14:paraId="6D424840">
      <w:pPr>
        <w:pStyle w:val="31"/>
        <w:numPr>
          <w:ilvl w:val="0"/>
          <w:numId w:val="0"/>
        </w:numPr>
        <w:spacing w:line="360" w:lineRule="auto"/>
        <w:ind w:left="0" w:leftChars="0" w:firstLine="420" w:firstLineChars="175"/>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核验合格后双方签订合同，如不一致的，采购人将依据《中华人民共和国政府采购法》、《中华人民共和国政府采购法实施条例》等相关法律法规执行。</w:t>
      </w:r>
    </w:p>
    <w:p w14:paraId="4EB63AE1">
      <w:pPr>
        <w:pStyle w:val="31"/>
        <w:numPr>
          <w:ilvl w:val="0"/>
          <w:numId w:val="0"/>
        </w:numPr>
        <w:spacing w:line="360" w:lineRule="auto"/>
        <w:ind w:left="0" w:leftChars="0" w:firstLine="420" w:firstLineChars="175"/>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核验货物要求</w:t>
      </w:r>
      <w:r>
        <w:rPr>
          <w:rFonts w:hint="eastAsia" w:ascii="宋体" w:hAnsi="宋体" w:eastAsia="宋体" w:cs="宋体"/>
          <w:b w:val="0"/>
          <w:bCs w:val="0"/>
          <w:color w:val="auto"/>
          <w:kern w:val="2"/>
          <w:sz w:val="24"/>
          <w:szCs w:val="24"/>
          <w:highlight w:val="none"/>
          <w:lang w:val="en-US" w:eastAsia="zh-CN" w:bidi="ar-SA"/>
        </w:rPr>
        <w:t>:每种货物须单独包装，正中位置粘贴加盖有清晰供应商公章的标识（标注名称、制造商/生产企业名称(如有)、品牌(如有)等常规标识）。确定中标人后，中标人提供核验的货物作为验收依据，中标人不能提供投标文件承诺和封存样品图片标准的，必须与采购人协商并依法依规处置。</w:t>
      </w:r>
    </w:p>
    <w:p w14:paraId="7B33F816">
      <w:pPr>
        <w:pStyle w:val="20"/>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Times New Roman"/>
          <w:b/>
          <w:bCs w:val="0"/>
          <w:kern w:val="2"/>
          <w:sz w:val="28"/>
          <w:szCs w:val="21"/>
          <w:lang w:val="en-US" w:eastAsia="zh-CN" w:bidi="ar-SA"/>
        </w:rPr>
      </w:pPr>
      <w:r>
        <w:rPr>
          <w:rFonts w:hint="eastAsia" w:ascii="宋体" w:hAnsi="宋体" w:eastAsia="宋体" w:cs="Times New Roman"/>
          <w:b/>
          <w:bCs w:val="0"/>
          <w:kern w:val="2"/>
          <w:sz w:val="28"/>
          <w:szCs w:val="21"/>
          <w:lang w:val="en-US" w:eastAsia="zh-CN" w:bidi="ar-SA"/>
        </w:rPr>
        <w:t>一、上述两个包适用的调价机制如下：</w:t>
      </w:r>
    </w:p>
    <w:p w14:paraId="345FB5C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bookmarkStart w:id="143" w:name="_Toc23396"/>
      <w:r>
        <w:rPr>
          <w:rFonts w:hint="eastAsia" w:ascii="宋体" w:hAnsi="宋体" w:cs="宋体"/>
          <w:color w:val="auto"/>
          <w:sz w:val="24"/>
          <w:szCs w:val="24"/>
          <w:highlight w:val="none"/>
          <w:lang w:val="en-US" w:eastAsia="zh-CN"/>
        </w:rPr>
        <w:t>（1）自合同签订次月首日起，三个月内执行中标单价，不做调价。</w:t>
      </w:r>
    </w:p>
    <w:p w14:paraId="73A4D7B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采购人每月对玉溪市红塔区的猪肉类；鸡肉类、冻品（鱼虾）类物资进行一次市场询价，根据市场询价结果，自合同签订次月首日起每三个月即将结束时可以协商调价一次，同时满足以下条件可启动调价机制：</w:t>
      </w:r>
    </w:p>
    <w:p w14:paraId="2B27CE8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市场波动条件：自合同签订次月首日起，采购人每三个月的市场询价平均价格与合同签订当月采购人的市场询价价格相比，波动达到±15%以上（保留两位小数，不含本数）。已调整过合同执行价的，则调价后采购人每三个月的市场询价平均价格与最新一次调价主要参照的市场询价当月（自合同签订次月首日起，第三、六、九个月）的市场询价价格相比，波动达到±15%以上（保留两位小数，不含本数）。</w:t>
      </w:r>
    </w:p>
    <w:p w14:paraId="0996428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②市场询价价格与合同执行价格偏离条件：自合同签订次月首日起每三个月的市场询价价格平均值与合同执行价格偏离±15％以上（不含本数）。</w:t>
      </w:r>
    </w:p>
    <w:p w14:paraId="551814D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上述①②项偏离值需同向变化即同时为正偏离或同时为负偏离时方可启动调价机制。若一个为正偏离，一个为负偏离，则不进行调价。</w:t>
      </w:r>
    </w:p>
    <w:p w14:paraId="0EFB6418">
      <w:pPr>
        <w:keepNext w:val="0"/>
        <w:keepLines w:val="0"/>
        <w:pageBreakBefore w:val="0"/>
        <w:widowControl w:val="0"/>
        <w:numPr>
          <w:ilvl w:val="0"/>
          <w:numId w:val="0"/>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kern w:val="2"/>
          <w:sz w:val="24"/>
          <w:szCs w:val="24"/>
          <w:lang w:val="en-US" w:eastAsia="zh-CN" w:bidi="ar-SA"/>
        </w:rPr>
        <w:t>（4）</w:t>
      </w:r>
      <w:r>
        <w:rPr>
          <w:rFonts w:hint="eastAsia" w:ascii="宋体" w:hAnsi="宋体" w:cs="宋体"/>
          <w:color w:val="auto"/>
          <w:sz w:val="24"/>
          <w:szCs w:val="24"/>
          <w:highlight w:val="none"/>
          <w:lang w:val="en-US" w:eastAsia="zh-CN"/>
        </w:rPr>
        <w:t>拟调整的价格以自合同签订次月首日起每三个月最后一个月的市场询价情况为主要参照（即自合同签订次月首日起，第三、六、九个月玉溪市红塔区内所询价格为准）。双方协商一致的情况下，确定调价方案，签订调价协议，新的价格自调价执行之日起执行到下一次调价。</w:t>
      </w:r>
    </w:p>
    <w:p w14:paraId="5E0C6E98">
      <w:pPr>
        <w:keepNext w:val="0"/>
        <w:keepLines w:val="0"/>
        <w:pageBreakBefore w:val="0"/>
        <w:widowControl w:val="0"/>
        <w:numPr>
          <w:ilvl w:val="0"/>
          <w:numId w:val="0"/>
        </w:numPr>
        <w:tabs>
          <w:tab w:val="left" w:pos="360"/>
        </w:tabs>
        <w:kinsoku/>
        <w:wordWrap/>
        <w:overflowPunct/>
        <w:topLinePunct w:val="0"/>
        <w:autoSpaceDE/>
        <w:autoSpaceDN/>
        <w:bidi w:val="0"/>
        <w:adjustRightInd/>
        <w:snapToGrid/>
        <w:spacing w:line="500" w:lineRule="exact"/>
        <w:ind w:firstLine="560" w:firstLineChars="200"/>
        <w:jc w:val="both"/>
        <w:textAlignment w:val="auto"/>
        <w:outlineLvl w:val="9"/>
        <w:rPr>
          <w:rFonts w:hint="eastAsia" w:ascii="宋体" w:hAnsi="宋体" w:eastAsia="宋体"/>
          <w:b/>
          <w:bCs w:val="0"/>
          <w:sz w:val="28"/>
          <w:szCs w:val="21"/>
          <w:lang w:val="en-US" w:eastAsia="zh-CN"/>
        </w:rPr>
      </w:pPr>
      <w:r>
        <w:rPr>
          <w:rFonts w:hint="eastAsia" w:ascii="宋体" w:hAnsi="宋体" w:eastAsia="宋体" w:cs="Times New Roman"/>
          <w:b/>
          <w:bCs w:val="0"/>
          <w:sz w:val="28"/>
          <w:szCs w:val="21"/>
          <w:lang w:val="en-US" w:eastAsia="zh-CN"/>
        </w:rPr>
        <w:t>二、</w:t>
      </w:r>
      <w:r>
        <w:rPr>
          <w:rFonts w:hint="eastAsia" w:ascii="宋体" w:hAnsi="宋体" w:eastAsia="宋体"/>
          <w:b/>
          <w:bCs w:val="0"/>
          <w:sz w:val="28"/>
          <w:szCs w:val="21"/>
          <w:lang w:val="en-US" w:eastAsia="zh-CN"/>
        </w:rPr>
        <w:t>具体要求</w:t>
      </w:r>
    </w:p>
    <w:p w14:paraId="77BD1F34">
      <w:pPr>
        <w:pStyle w:val="63"/>
        <w:spacing w:line="500" w:lineRule="exact"/>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在服务活动开展前，</w:t>
      </w:r>
      <w:r>
        <w:rPr>
          <w:rFonts w:hint="eastAsia" w:ascii="宋体" w:hAnsi="宋体" w:cs="宋体"/>
          <w:color w:val="000000"/>
          <w:sz w:val="24"/>
          <w:szCs w:val="24"/>
          <w:highlight w:val="none"/>
          <w:lang w:val="en-US" w:eastAsia="zh-CN"/>
        </w:rPr>
        <w:t>中标方</w:t>
      </w:r>
      <w:r>
        <w:rPr>
          <w:rFonts w:hint="eastAsia" w:ascii="宋体" w:hAnsi="宋体" w:eastAsia="宋体" w:cs="宋体"/>
          <w:color w:val="000000"/>
          <w:sz w:val="24"/>
          <w:szCs w:val="24"/>
          <w:highlight w:val="none"/>
        </w:rPr>
        <w:t>向</w:t>
      </w:r>
      <w:r>
        <w:rPr>
          <w:rFonts w:hint="eastAsia" w:ascii="宋体" w:hAnsi="宋体" w:cs="宋体"/>
          <w:color w:val="000000"/>
          <w:sz w:val="24"/>
          <w:szCs w:val="24"/>
          <w:highlight w:val="none"/>
          <w:lang w:val="en-US" w:eastAsia="zh-CN"/>
        </w:rPr>
        <w:t>采购</w:t>
      </w:r>
      <w:r>
        <w:rPr>
          <w:rFonts w:hint="eastAsia" w:ascii="宋体" w:hAnsi="宋体" w:eastAsia="宋体" w:cs="宋体"/>
          <w:color w:val="000000"/>
          <w:sz w:val="24"/>
          <w:szCs w:val="24"/>
          <w:highlight w:val="none"/>
          <w:lang w:eastAsia="zh-CN"/>
        </w:rPr>
        <w:t>人</w:t>
      </w:r>
      <w:r>
        <w:rPr>
          <w:rFonts w:hint="eastAsia" w:ascii="宋体" w:hAnsi="宋体" w:eastAsia="宋体" w:cs="宋体"/>
          <w:color w:val="000000"/>
          <w:sz w:val="24"/>
          <w:szCs w:val="24"/>
          <w:highlight w:val="none"/>
        </w:rPr>
        <w:t>提供服务人员名单（包括但不限于项目负责人、配送专员、售后服务等相关人员），应有</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名</w:t>
      </w:r>
      <w:r>
        <w:rPr>
          <w:rFonts w:hint="eastAsia" w:ascii="宋体" w:hAnsi="宋体" w:cs="宋体"/>
          <w:color w:val="000000"/>
          <w:sz w:val="24"/>
          <w:szCs w:val="24"/>
          <w:highlight w:val="none"/>
          <w:lang w:val="en-US" w:eastAsia="zh-CN"/>
        </w:rPr>
        <w:t>及以上</w:t>
      </w:r>
      <w:r>
        <w:rPr>
          <w:rFonts w:hint="eastAsia" w:ascii="宋体" w:hAnsi="宋体" w:eastAsia="宋体" w:cs="宋体"/>
          <w:color w:val="000000"/>
          <w:sz w:val="24"/>
          <w:szCs w:val="24"/>
          <w:highlight w:val="none"/>
        </w:rPr>
        <w:t>配送员，并向</w:t>
      </w:r>
      <w:r>
        <w:rPr>
          <w:rFonts w:hint="eastAsia" w:ascii="宋体" w:hAnsi="宋体" w:cs="宋体"/>
          <w:color w:val="000000"/>
          <w:sz w:val="24"/>
          <w:szCs w:val="24"/>
          <w:highlight w:val="none"/>
          <w:lang w:val="en-US" w:eastAsia="zh-CN"/>
        </w:rPr>
        <w:t>采购</w:t>
      </w:r>
      <w:r>
        <w:rPr>
          <w:rFonts w:hint="eastAsia" w:ascii="宋体" w:hAnsi="宋体" w:eastAsia="宋体" w:cs="宋体"/>
          <w:color w:val="000000"/>
          <w:sz w:val="24"/>
          <w:szCs w:val="24"/>
          <w:highlight w:val="none"/>
          <w:lang w:eastAsia="zh-CN"/>
        </w:rPr>
        <w:t>人</w:t>
      </w:r>
      <w:r>
        <w:rPr>
          <w:rFonts w:hint="eastAsia" w:ascii="宋体" w:hAnsi="宋体" w:eastAsia="宋体" w:cs="宋体"/>
          <w:color w:val="000000"/>
          <w:sz w:val="24"/>
          <w:szCs w:val="24"/>
          <w:highlight w:val="none"/>
        </w:rPr>
        <w:t>提供配送员身份证、健康证等相关资料进行备案，并接受</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无条件更换服务人员的要求。</w:t>
      </w:r>
    </w:p>
    <w:p w14:paraId="68EB47DE">
      <w:pPr>
        <w:pStyle w:val="63"/>
        <w:spacing w:line="50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中标方</w:t>
      </w:r>
      <w:r>
        <w:rPr>
          <w:rFonts w:hint="eastAsia" w:ascii="宋体" w:hAnsi="宋体" w:eastAsia="宋体" w:cs="宋体"/>
          <w:color w:val="auto"/>
          <w:sz w:val="24"/>
          <w:szCs w:val="24"/>
          <w:highlight w:val="none"/>
        </w:rPr>
        <w:t>须</w:t>
      </w:r>
      <w:r>
        <w:rPr>
          <w:rFonts w:hint="eastAsia" w:ascii="宋体" w:hAnsi="宋体" w:eastAsia="宋体" w:cs="宋体"/>
          <w:color w:val="auto"/>
          <w:sz w:val="24"/>
          <w:szCs w:val="24"/>
          <w:highlight w:val="none"/>
          <w:lang w:val="zh-CN"/>
        </w:rPr>
        <w:t>安排一名项目负责人，负责该项目的组织、</w:t>
      </w:r>
      <w:r>
        <w:rPr>
          <w:rFonts w:hint="eastAsia" w:ascii="宋体" w:hAnsi="宋体" w:eastAsia="宋体" w:cs="宋体"/>
          <w:color w:val="auto"/>
          <w:sz w:val="24"/>
          <w:szCs w:val="24"/>
          <w:highlight w:val="none"/>
        </w:rPr>
        <w:t>实施、</w:t>
      </w:r>
      <w:r>
        <w:rPr>
          <w:rFonts w:hint="eastAsia" w:ascii="宋体" w:hAnsi="宋体" w:eastAsia="宋体" w:cs="宋体"/>
          <w:color w:val="auto"/>
          <w:sz w:val="24"/>
          <w:szCs w:val="24"/>
          <w:highlight w:val="none"/>
          <w:lang w:val="zh-CN"/>
        </w:rPr>
        <w:t>沟通联络</w:t>
      </w:r>
      <w:r>
        <w:rPr>
          <w:rFonts w:hint="eastAsia" w:ascii="宋体" w:hAnsi="宋体" w:eastAsia="宋体" w:cs="宋体"/>
          <w:color w:val="auto"/>
          <w:sz w:val="24"/>
          <w:szCs w:val="24"/>
          <w:highlight w:val="none"/>
        </w:rPr>
        <w:t>事宜</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zh-CN"/>
        </w:rPr>
        <w:t>负责人</w:t>
      </w:r>
      <w:r>
        <w:rPr>
          <w:rFonts w:hint="eastAsia" w:ascii="宋体" w:hAnsi="宋体" w:eastAsia="宋体" w:cs="宋体"/>
          <w:color w:val="auto"/>
          <w:sz w:val="24"/>
          <w:szCs w:val="24"/>
          <w:highlight w:val="none"/>
        </w:rPr>
        <w:t>须</w:t>
      </w:r>
      <w:r>
        <w:rPr>
          <w:rFonts w:hint="eastAsia" w:ascii="宋体" w:hAnsi="宋体" w:eastAsia="宋体" w:cs="宋体"/>
          <w:color w:val="auto"/>
          <w:sz w:val="24"/>
          <w:szCs w:val="24"/>
          <w:highlight w:val="none"/>
          <w:lang w:val="zh-CN"/>
        </w:rPr>
        <w:t>保持电话畅通，能主动沟通配送情况</w:t>
      </w:r>
      <w:r>
        <w:rPr>
          <w:rFonts w:hint="eastAsia" w:ascii="宋体" w:hAnsi="宋体" w:eastAsia="宋体" w:cs="宋体"/>
          <w:color w:val="auto"/>
          <w:sz w:val="24"/>
          <w:szCs w:val="24"/>
          <w:highlight w:val="none"/>
        </w:rPr>
        <w:t>等相关事宜，并保证在接到</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配送服务需求</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分钟</w:t>
      </w:r>
      <w:r>
        <w:rPr>
          <w:rFonts w:hint="eastAsia" w:ascii="宋体" w:hAnsi="宋体" w:eastAsia="宋体" w:cs="宋体"/>
          <w:color w:val="auto"/>
          <w:sz w:val="24"/>
          <w:szCs w:val="24"/>
          <w:highlight w:val="none"/>
        </w:rPr>
        <w:t>内做出响应。</w:t>
      </w:r>
    </w:p>
    <w:p w14:paraId="27667DF1">
      <w:pPr>
        <w:pStyle w:val="63"/>
        <w:spacing w:line="50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中标方</w:t>
      </w:r>
      <w:r>
        <w:rPr>
          <w:rFonts w:hint="eastAsia" w:ascii="宋体" w:hAnsi="宋体" w:eastAsia="宋体" w:cs="宋体"/>
          <w:color w:val="auto"/>
          <w:sz w:val="24"/>
          <w:szCs w:val="24"/>
          <w:highlight w:val="none"/>
        </w:rPr>
        <w:t>在服务工作开展过程中，须有专人对接配送需求及清单的报送工作。若</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服务人员工作不满意，</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应当在收到</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通知的48小时内更换相应人员。</w:t>
      </w:r>
    </w:p>
    <w:p w14:paraId="5098859C">
      <w:pPr>
        <w:pStyle w:val="63"/>
        <w:spacing w:line="500" w:lineRule="exact"/>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val="zh-CN"/>
        </w:rPr>
        <w:t>根据</w:t>
      </w:r>
      <w:r>
        <w:rPr>
          <w:rFonts w:hint="eastAsia" w:ascii="宋体" w:hAnsi="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rPr>
        <w:t>人的需求在</w:t>
      </w:r>
      <w:r>
        <w:rPr>
          <w:rFonts w:hint="eastAsia" w:ascii="宋体" w:hAnsi="宋体" w:eastAsia="宋体" w:cs="宋体"/>
          <w:color w:val="000000"/>
          <w:sz w:val="24"/>
          <w:szCs w:val="24"/>
          <w:highlight w:val="none"/>
        </w:rPr>
        <w:t>规定</w:t>
      </w:r>
      <w:r>
        <w:rPr>
          <w:rFonts w:hint="eastAsia" w:ascii="宋体" w:hAnsi="宋体" w:eastAsia="宋体" w:cs="宋体"/>
          <w:color w:val="000000"/>
          <w:sz w:val="24"/>
          <w:szCs w:val="24"/>
          <w:highlight w:val="none"/>
          <w:lang w:val="zh-CN"/>
        </w:rPr>
        <w:t>时间内</w:t>
      </w:r>
      <w:r>
        <w:rPr>
          <w:rFonts w:hint="eastAsia" w:ascii="宋体" w:hAnsi="宋体" w:eastAsia="宋体" w:cs="宋体"/>
          <w:color w:val="000000"/>
          <w:sz w:val="24"/>
          <w:szCs w:val="24"/>
          <w:highlight w:val="none"/>
        </w:rPr>
        <w:t>保质保量的</w:t>
      </w:r>
      <w:r>
        <w:rPr>
          <w:rFonts w:hint="eastAsia" w:ascii="宋体" w:hAnsi="宋体" w:eastAsia="宋体" w:cs="宋体"/>
          <w:color w:val="000000"/>
          <w:sz w:val="24"/>
          <w:szCs w:val="24"/>
          <w:highlight w:val="none"/>
          <w:lang w:val="zh-CN"/>
        </w:rPr>
        <w:t>完成供货，</w:t>
      </w:r>
      <w:r>
        <w:rPr>
          <w:rFonts w:hint="eastAsia" w:ascii="宋体" w:hAnsi="宋体" w:eastAsia="宋体" w:cs="宋体"/>
          <w:color w:val="000000"/>
          <w:sz w:val="24"/>
          <w:szCs w:val="24"/>
          <w:highlight w:val="none"/>
        </w:rPr>
        <w:t>在验收过程中出现质量不符的情况时，</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有权要求对不符合要求的产品进行更换或按照相关规定</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招标文件、合同</w:t>
      </w:r>
      <w:r>
        <w:rPr>
          <w:rFonts w:hint="eastAsia" w:ascii="宋体" w:hAnsi="宋体" w:eastAsia="宋体" w:cs="宋体"/>
          <w:color w:val="000000"/>
          <w:sz w:val="24"/>
          <w:szCs w:val="24"/>
          <w:highlight w:val="none"/>
        </w:rPr>
        <w:t>及承诺对</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进行处罚，</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应当在接到</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通知</w:t>
      </w:r>
      <w:r>
        <w:rPr>
          <w:rFonts w:hint="eastAsia" w:ascii="宋体" w:hAnsi="宋体" w:eastAsia="宋体" w:cs="宋体"/>
          <w:color w:val="auto"/>
          <w:sz w:val="24"/>
          <w:szCs w:val="24"/>
          <w:highlight w:val="none"/>
        </w:rPr>
        <w:t>之时起</w:t>
      </w: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rPr>
        <w:t>小时内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紧急情况下</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小时内</w:t>
      </w:r>
      <w:r>
        <w:rPr>
          <w:rFonts w:hint="eastAsia" w:ascii="宋体" w:hAnsi="宋体" w:cs="宋体"/>
          <w:color w:val="auto"/>
          <w:sz w:val="24"/>
          <w:szCs w:val="24"/>
          <w:highlight w:val="none"/>
          <w:lang w:eastAsia="zh-CN"/>
        </w:rPr>
        <w:t>）</w:t>
      </w:r>
      <w:r>
        <w:rPr>
          <w:rFonts w:hint="eastAsia" w:ascii="宋体" w:hAnsi="宋体" w:eastAsia="宋体" w:cs="宋体"/>
          <w:color w:val="000000"/>
          <w:sz w:val="24"/>
          <w:szCs w:val="24"/>
          <w:highlight w:val="none"/>
        </w:rPr>
        <w:t>对不符合要求的产品进行更换并送至</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指定地点。</w:t>
      </w:r>
    </w:p>
    <w:p w14:paraId="60C81C41">
      <w:pPr>
        <w:pStyle w:val="63"/>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cs="宋体"/>
          <w:color w:val="000000"/>
          <w:sz w:val="24"/>
          <w:szCs w:val="24"/>
          <w:highlight w:val="none"/>
          <w:lang w:val="en-US" w:eastAsia="zh-CN"/>
        </w:rPr>
        <w:t>中标方</w:t>
      </w:r>
      <w:r>
        <w:rPr>
          <w:rFonts w:hint="eastAsia" w:ascii="宋体" w:hAnsi="宋体" w:eastAsia="宋体" w:cs="宋体"/>
          <w:color w:val="000000"/>
          <w:sz w:val="24"/>
          <w:szCs w:val="24"/>
          <w:highlight w:val="none"/>
        </w:rPr>
        <w:t>配送货物须</w:t>
      </w:r>
      <w:r>
        <w:rPr>
          <w:rFonts w:hint="eastAsia" w:ascii="宋体" w:hAnsi="宋体" w:cs="宋体"/>
          <w:color w:val="000000"/>
          <w:sz w:val="24"/>
          <w:szCs w:val="24"/>
          <w:highlight w:val="none"/>
          <w:lang w:val="en-US" w:eastAsia="zh-CN"/>
        </w:rPr>
        <w:t>按照招标文件及合同提供</w:t>
      </w:r>
      <w:r>
        <w:rPr>
          <w:rFonts w:hint="eastAsia" w:ascii="宋体" w:hAnsi="宋体" w:eastAsia="宋体" w:cs="宋体"/>
          <w:color w:val="000000"/>
          <w:sz w:val="24"/>
          <w:szCs w:val="24"/>
          <w:highlight w:val="none"/>
        </w:rPr>
        <w:t>相关检疫（检验）报告等相关资料供</w:t>
      </w:r>
      <w:r>
        <w:rPr>
          <w:rFonts w:hint="eastAsia" w:ascii="宋体" w:hAnsi="宋体" w:cs="宋体"/>
          <w:color w:val="000000"/>
          <w:sz w:val="24"/>
          <w:szCs w:val="24"/>
          <w:highlight w:val="none"/>
          <w:lang w:val="en-US" w:eastAsia="zh-CN"/>
        </w:rPr>
        <w:t>采购</w:t>
      </w:r>
      <w:r>
        <w:rPr>
          <w:rFonts w:hint="eastAsia" w:ascii="宋体" w:hAnsi="宋体" w:eastAsia="宋体" w:cs="宋体"/>
          <w:color w:val="000000"/>
          <w:sz w:val="24"/>
          <w:szCs w:val="24"/>
          <w:highlight w:val="none"/>
          <w:lang w:eastAsia="zh-CN"/>
        </w:rPr>
        <w:t>人</w:t>
      </w:r>
      <w:r>
        <w:rPr>
          <w:rFonts w:hint="eastAsia" w:ascii="宋体" w:hAnsi="宋体" w:eastAsia="宋体" w:cs="宋体"/>
          <w:color w:val="000000"/>
          <w:sz w:val="24"/>
          <w:szCs w:val="24"/>
          <w:highlight w:val="none"/>
        </w:rPr>
        <w:t>备查，如不能提供检疫（检验）报告或检疫（检验）报告内容不合格，</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有权拒收。</w:t>
      </w:r>
    </w:p>
    <w:p w14:paraId="154391B7">
      <w:pPr>
        <w:pStyle w:val="63"/>
        <w:spacing w:line="500" w:lineRule="exact"/>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val="zh-CN"/>
        </w:rPr>
        <w:t>因食材质量问题发生争议，由当地市场监督管理局或国家法定的质量鉴定单位进行质量鉴定。食材符合质量标准的，鉴定费由</w:t>
      </w:r>
      <w:r>
        <w:rPr>
          <w:rFonts w:hint="eastAsia" w:ascii="宋体" w:hAnsi="宋体" w:cs="宋体"/>
          <w:color w:val="000000"/>
          <w:sz w:val="24"/>
          <w:szCs w:val="24"/>
          <w:highlight w:val="none"/>
          <w:lang w:val="zh-CN"/>
        </w:rPr>
        <w:t>采购人</w:t>
      </w:r>
      <w:r>
        <w:rPr>
          <w:rFonts w:hint="eastAsia" w:ascii="宋体" w:hAnsi="宋体" w:eastAsia="宋体" w:cs="宋体"/>
          <w:color w:val="000000"/>
          <w:sz w:val="24"/>
          <w:szCs w:val="24"/>
          <w:highlight w:val="none"/>
          <w:lang w:val="zh-CN"/>
        </w:rPr>
        <w:t>承担；食材不符合质量标准的，鉴定费由投标人承担，并且</w:t>
      </w:r>
      <w:r>
        <w:rPr>
          <w:rFonts w:hint="eastAsia" w:ascii="宋体" w:hAnsi="宋体" w:cs="宋体"/>
          <w:color w:val="000000"/>
          <w:sz w:val="24"/>
          <w:szCs w:val="24"/>
          <w:highlight w:val="none"/>
          <w:lang w:val="zh-CN"/>
        </w:rPr>
        <w:t>采购人</w:t>
      </w:r>
      <w:r>
        <w:rPr>
          <w:rFonts w:hint="eastAsia" w:ascii="宋体" w:hAnsi="宋体" w:eastAsia="宋体" w:cs="宋体"/>
          <w:color w:val="000000"/>
          <w:sz w:val="24"/>
          <w:szCs w:val="24"/>
          <w:highlight w:val="none"/>
          <w:lang w:val="zh-CN"/>
        </w:rPr>
        <w:t>有权追究投标人相关责任。</w:t>
      </w:r>
    </w:p>
    <w:p w14:paraId="45795F61">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hAnsi="宋体" w:cs="宋体"/>
          <w:color w:val="000000"/>
          <w:sz w:val="24"/>
          <w:szCs w:val="24"/>
          <w:highlight w:val="none"/>
          <w:lang w:eastAsia="zh-CN"/>
        </w:rPr>
        <w:t>中标人车辆和人员进入监管区必须严格遵守监狱的相关规定，严禁私自和罪犯接触;严禁为罪犯传递信件和物品；严禁把手机、烟、酒、刃具等违规品、违禁品带入监管区内或遗落在货物中。否则视为严重影响甲方安全稳定，采购人有权扣除中标人所交履约保证金5万-10万元(如递交银行保函(或保证保险)的，则中标人提交5万-10万元违约金)或立即解除合同，也有权既扣除履约保证金5万-10万元(如递交银行保函(或保证保险)的，则中标人提交5万-10万元违约金)又解除合同，造成严重后果的，交由司法机关处理。</w:t>
      </w:r>
    </w:p>
    <w:p w14:paraId="75293D98">
      <w:pPr>
        <w:pStyle w:val="63"/>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中标人需承诺所提供的食品质量满足国家相关法律法规及现行相关标准规定，并对所提供的食品安全负责。对提供的食品因假冒伪劣、腐烂变质、过期等导致就餐人员中毒或损害健康的，经疾病预防控制中心或有关法定检测机构鉴定确为食品质量原因引起的，中标人必须承担法律责任和赔偿责任，由此产生的一切后果均由中标人承担。</w:t>
      </w:r>
    </w:p>
    <w:p w14:paraId="4732A0D5">
      <w:pPr>
        <w:spacing w:line="500" w:lineRule="exact"/>
        <w:outlineLvl w:val="1"/>
        <w:rPr>
          <w:rFonts w:hint="eastAsia" w:ascii="宋体" w:hAnsi="宋体" w:eastAsia="宋体" w:cs="宋体"/>
          <w:b/>
          <w:bCs/>
          <w:color w:val="auto"/>
          <w:sz w:val="28"/>
          <w:szCs w:val="28"/>
          <w:highlight w:val="none"/>
        </w:rPr>
      </w:pPr>
      <w:bookmarkStart w:id="144" w:name="_Toc30838"/>
      <w:bookmarkStart w:id="145" w:name="_Toc6459"/>
      <w:bookmarkStart w:id="146" w:name="_Toc6430"/>
      <w:bookmarkStart w:id="147" w:name="_Toc32662"/>
      <w:r>
        <w:rPr>
          <w:rFonts w:hint="eastAsia" w:ascii="宋体" w:hAnsi="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、配送要求</w:t>
      </w:r>
      <w:bookmarkEnd w:id="144"/>
      <w:bookmarkEnd w:id="145"/>
      <w:bookmarkEnd w:id="146"/>
      <w:bookmarkEnd w:id="147"/>
    </w:p>
    <w:p w14:paraId="23555816">
      <w:pPr>
        <w:pStyle w:val="63"/>
        <w:spacing w:line="500" w:lineRule="exact"/>
        <w:ind w:firstLine="480"/>
        <w:rPr>
          <w:rFonts w:hint="eastAsia" w:ascii="宋体" w:hAnsi="宋体" w:eastAsia="宋体" w:cs="宋体"/>
          <w:color w:val="000000"/>
          <w:sz w:val="24"/>
          <w:szCs w:val="24"/>
          <w:highlight w:val="none"/>
        </w:rPr>
      </w:pPr>
      <w:bookmarkStart w:id="148" w:name="_Toc1438"/>
      <w:r>
        <w:rPr>
          <w:rFonts w:hint="eastAsia" w:ascii="宋体" w:hAnsi="宋体" w:eastAsia="宋体" w:cs="宋体"/>
          <w:color w:val="000000"/>
          <w:sz w:val="24"/>
          <w:szCs w:val="24"/>
          <w:highlight w:val="none"/>
          <w:lang w:val="en-US" w:eastAsia="zh-CN"/>
        </w:rPr>
        <w:t>1.</w:t>
      </w:r>
      <w:r>
        <w:rPr>
          <w:rFonts w:hint="eastAsia" w:ascii="宋体" w:hAnsi="宋体" w:cs="宋体"/>
          <w:color w:val="000000"/>
          <w:sz w:val="24"/>
          <w:szCs w:val="24"/>
          <w:highlight w:val="none"/>
          <w:lang w:val="en-US" w:eastAsia="zh-CN"/>
        </w:rPr>
        <w:t>中标方</w:t>
      </w:r>
      <w:r>
        <w:rPr>
          <w:rFonts w:hint="eastAsia" w:ascii="宋体" w:hAnsi="宋体" w:eastAsia="宋体" w:cs="宋体"/>
          <w:color w:val="000000"/>
          <w:sz w:val="24"/>
          <w:szCs w:val="24"/>
          <w:highlight w:val="none"/>
        </w:rPr>
        <w:t>按</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实际需求提供配送服务，每次配送的时间和数量以</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实际下达需求为准，以到达验收地的实际数量结算。</w:t>
      </w:r>
    </w:p>
    <w:p w14:paraId="1DBD33A4">
      <w:pPr>
        <w:pStyle w:val="63"/>
        <w:keepNext w:val="0"/>
        <w:keepLines w:val="0"/>
        <w:pageBreakBefore w:val="0"/>
        <w:widowControl/>
        <w:kinsoku/>
        <w:wordWrap w:val="0"/>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cs="宋体"/>
          <w:color w:val="000000"/>
          <w:sz w:val="24"/>
          <w:szCs w:val="24"/>
          <w:highlight w:val="none"/>
          <w:lang w:val="en-US" w:eastAsia="zh-CN"/>
        </w:rPr>
        <w:t>中标方</w:t>
      </w:r>
      <w:r>
        <w:rPr>
          <w:rFonts w:hint="eastAsia" w:ascii="宋体" w:hAnsi="宋体" w:eastAsia="宋体" w:cs="宋体"/>
          <w:color w:val="000000"/>
          <w:sz w:val="24"/>
          <w:szCs w:val="24"/>
          <w:highlight w:val="none"/>
        </w:rPr>
        <w:t>为本项目安排专门用于配送的服务车辆，在运输过程中应当采用符合相关卫生标</w:t>
      </w:r>
      <w:r>
        <w:rPr>
          <w:rFonts w:hint="eastAsia" w:ascii="宋体" w:hAnsi="宋体" w:eastAsia="宋体" w:cs="宋体"/>
          <w:color w:val="auto"/>
          <w:sz w:val="24"/>
          <w:szCs w:val="24"/>
          <w:highlight w:val="none"/>
        </w:rPr>
        <w:t>准的外包装和运载工具。配送车辆及运输工具应清洁卫生无污染，不得和其它用途混用，并定期消毒，保持车辆清洁、卫生、无异味。</w:t>
      </w:r>
    </w:p>
    <w:p w14:paraId="079CCDD0">
      <w:pPr>
        <w:pStyle w:val="63"/>
        <w:keepNext w:val="0"/>
        <w:keepLines w:val="0"/>
        <w:pageBreakBefore w:val="0"/>
        <w:widowControl/>
        <w:kinsoku/>
        <w:wordWrap w:val="0"/>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日常配送要求：</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提前向</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发出配送货品清单，</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须按照配送清单内容、时间、地点等要求按时完成供货及配送服务工作。</w:t>
      </w:r>
    </w:p>
    <w:p w14:paraId="4A4E313D">
      <w:pPr>
        <w:tabs>
          <w:tab w:val="left" w:pos="360"/>
        </w:tabs>
        <w:spacing w:line="50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4.紧急配送要求：</w:t>
      </w:r>
      <w:r>
        <w:rPr>
          <w:rFonts w:hint="eastAsia" w:ascii="宋体" w:hAnsi="宋体" w:eastAsia="宋体" w:cs="宋体"/>
          <w:color w:val="000000"/>
          <w:sz w:val="24"/>
          <w:szCs w:val="24"/>
          <w:highlight w:val="none"/>
          <w:lang w:val="en-US" w:eastAsia="zh-CN"/>
        </w:rPr>
        <w:t>在收到</w:t>
      </w:r>
      <w:r>
        <w:rPr>
          <w:rFonts w:hint="eastAsia" w:ascii="宋体" w:hAnsi="宋体" w:cs="宋体"/>
          <w:color w:val="000000"/>
          <w:sz w:val="24"/>
          <w:szCs w:val="24"/>
          <w:highlight w:val="none"/>
          <w:lang w:val="en-US" w:eastAsia="zh-CN"/>
        </w:rPr>
        <w:t>采购人</w:t>
      </w:r>
      <w:r>
        <w:rPr>
          <w:rFonts w:hint="eastAsia" w:ascii="宋体" w:hAnsi="宋体" w:eastAsia="宋体" w:cs="宋体"/>
          <w:color w:val="000000"/>
          <w:sz w:val="24"/>
          <w:szCs w:val="24"/>
          <w:highlight w:val="none"/>
          <w:lang w:val="en-US" w:eastAsia="zh-CN"/>
        </w:rPr>
        <w:t>需要临时保障和紧急需求服务的情况下，应配送需求清单</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2小时内配送至</w:t>
      </w:r>
      <w:r>
        <w:rPr>
          <w:rFonts w:hint="eastAsia" w:ascii="宋体" w:hAnsi="宋体" w:cs="宋体"/>
          <w:color w:val="000000"/>
          <w:sz w:val="24"/>
          <w:szCs w:val="24"/>
          <w:highlight w:val="none"/>
          <w:lang w:val="en-US" w:eastAsia="zh-CN"/>
        </w:rPr>
        <w:t>采购人</w:t>
      </w:r>
      <w:r>
        <w:rPr>
          <w:rFonts w:hint="eastAsia" w:ascii="宋体" w:hAnsi="宋体" w:eastAsia="宋体" w:cs="宋体"/>
          <w:color w:val="000000"/>
          <w:sz w:val="24"/>
          <w:szCs w:val="24"/>
          <w:highlight w:val="none"/>
          <w:lang w:val="en-US" w:eastAsia="zh-CN"/>
        </w:rPr>
        <w:t>指定地点。</w:t>
      </w:r>
    </w:p>
    <w:p w14:paraId="2567675B">
      <w:pPr>
        <w:tabs>
          <w:tab w:val="left" w:pos="360"/>
        </w:tabs>
        <w:spacing w:line="50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满足</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的其它配送服务相关需求。</w:t>
      </w:r>
    </w:p>
    <w:p w14:paraId="536655EF">
      <w:pPr>
        <w:tabs>
          <w:tab w:val="left" w:pos="360"/>
        </w:tabs>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中标方配送人员需进入采购方特定区域参与现场验收货物的，需持有身份证原件和公安机关出具的《无犯罪记录证明》（有效期内使用）。</w:t>
      </w:r>
    </w:p>
    <w:p w14:paraId="0EBDFED4">
      <w:pPr>
        <w:tabs>
          <w:tab w:val="left" w:pos="360"/>
        </w:tabs>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.中标方参与</w:t>
      </w:r>
      <w:r>
        <w:rPr>
          <w:rFonts w:hint="eastAsia" w:ascii="宋体" w:hAnsi="宋体" w:eastAsia="宋体" w:cs="宋体"/>
          <w:color w:val="auto"/>
          <w:sz w:val="24"/>
          <w:szCs w:val="24"/>
          <w:highlight w:val="none"/>
          <w:lang w:val="en-US" w:eastAsia="zh-CN"/>
        </w:rPr>
        <w:t>验收人员应为法人或授权代理人，如为授权代理人应向</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提供授权委托书。</w:t>
      </w:r>
    </w:p>
    <w:p w14:paraId="7CB872F5">
      <w:pPr>
        <w:pStyle w:val="31"/>
        <w:spacing w:line="360" w:lineRule="auto"/>
        <w:ind w:left="0" w:leftChars="0" w:firstLine="480"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8.货物供应承诺</w:t>
      </w:r>
    </w:p>
    <w:p w14:paraId="6219657A">
      <w:pPr>
        <w:pStyle w:val="31"/>
        <w:spacing w:line="360" w:lineRule="auto"/>
        <w:ind w:left="0" w:leftChars="0" w:firstLine="480" w:firstLineChars="200"/>
        <w:rPr>
          <w:rFonts w:hint="eastAsia"/>
          <w:lang w:val="en-US" w:eastAsia="zh-CN"/>
        </w:rPr>
      </w:pPr>
      <w:r>
        <w:rPr>
          <w:rFonts w:hint="eastAsia" w:ascii="宋体" w:hAnsi="宋体" w:eastAsia="宋体" w:cs="宋体"/>
          <w:color w:val="auto"/>
          <w:sz w:val="24"/>
          <w:szCs w:val="24"/>
          <w:lang w:val="en-US" w:eastAsia="zh-CN"/>
        </w:rPr>
        <w:t>投标人须</w:t>
      </w:r>
      <w:r>
        <w:rPr>
          <w:rFonts w:ascii="宋体" w:hAnsi="宋体" w:eastAsia="宋体" w:cs="宋体"/>
          <w:color w:val="auto"/>
          <w:sz w:val="24"/>
          <w:szCs w:val="24"/>
        </w:rPr>
        <w:t>承诺：</w:t>
      </w:r>
      <w:r>
        <w:rPr>
          <w:rFonts w:hint="eastAsia" w:ascii="宋体" w:hAnsi="宋体" w:eastAsia="宋体" w:cs="宋体"/>
          <w:color w:val="auto"/>
          <w:sz w:val="24"/>
          <w:szCs w:val="24"/>
          <w:lang w:val="en-US" w:eastAsia="zh-CN"/>
        </w:rPr>
        <w:t>若中标</w:t>
      </w:r>
      <w:r>
        <w:rPr>
          <w:rFonts w:ascii="宋体" w:hAnsi="宋体" w:eastAsia="宋体" w:cs="宋体"/>
          <w:color w:val="auto"/>
          <w:sz w:val="24"/>
          <w:szCs w:val="24"/>
        </w:rPr>
        <w:t>所供应全部货物，其品牌、规格型号、技术参数、质量标准、数量、包装方式、交货周期及售后服务等所有相关要求，均与</w:t>
      </w:r>
      <w:r>
        <w:rPr>
          <w:rFonts w:hint="eastAsia" w:ascii="宋体" w:hAnsi="宋体" w:eastAsia="宋体" w:cs="宋体"/>
          <w:color w:val="auto"/>
          <w:sz w:val="24"/>
          <w:szCs w:val="24"/>
          <w:lang w:val="en-US" w:eastAsia="zh-CN"/>
        </w:rPr>
        <w:t>投标人</w:t>
      </w:r>
      <w:r>
        <w:rPr>
          <w:rFonts w:ascii="宋体" w:hAnsi="宋体" w:eastAsia="宋体" w:cs="宋体"/>
          <w:color w:val="auto"/>
          <w:sz w:val="24"/>
          <w:szCs w:val="24"/>
        </w:rPr>
        <w:t>提交的投标文件（含投标函、投标报价表、技术响应文件等全部资料）内容保持</w:t>
      </w:r>
      <w:r>
        <w:rPr>
          <w:rStyle w:val="35"/>
          <w:rFonts w:ascii="宋体" w:hAnsi="宋体" w:eastAsia="宋体" w:cs="宋体"/>
          <w:b w:val="0"/>
          <w:bCs w:val="0"/>
          <w:color w:val="auto"/>
          <w:sz w:val="24"/>
          <w:szCs w:val="24"/>
        </w:rPr>
        <w:t>一致</w:t>
      </w:r>
      <w:r>
        <w:rPr>
          <w:rFonts w:ascii="宋体" w:hAnsi="宋体" w:eastAsia="宋体" w:cs="宋体"/>
          <w:color w:val="auto"/>
          <w:sz w:val="24"/>
          <w:szCs w:val="24"/>
        </w:rPr>
        <w:t>。承诺严格遵照执行，不存在偏离、更改、替代或缩水。若发生与承诺不符的情况，愿承担相应法律责任及由此给采购人造成的一切损失</w:t>
      </w:r>
      <w:r>
        <w:rPr>
          <w:rFonts w:hint="eastAsia" w:ascii="宋体" w:hAnsi="宋体" w:eastAsia="宋体" w:cs="宋体"/>
          <w:color w:val="auto"/>
          <w:sz w:val="24"/>
          <w:szCs w:val="24"/>
          <w:lang w:eastAsia="zh-CN"/>
        </w:rPr>
        <w:t>。</w:t>
      </w:r>
    </w:p>
    <w:p w14:paraId="4AD72D32">
      <w:pPr>
        <w:spacing w:line="500" w:lineRule="exact"/>
        <w:outlineLvl w:val="1"/>
        <w:rPr>
          <w:rFonts w:hint="eastAsia" w:ascii="宋体" w:hAnsi="宋体" w:eastAsia="宋体" w:cs="宋体"/>
          <w:b/>
          <w:bCs/>
          <w:color w:val="auto"/>
          <w:sz w:val="28"/>
          <w:szCs w:val="28"/>
          <w:highlight w:val="none"/>
          <w:lang w:eastAsia="zh-CN"/>
        </w:rPr>
      </w:pPr>
      <w:bookmarkStart w:id="149" w:name="_Toc27214"/>
      <w:r>
        <w:rPr>
          <w:rFonts w:hint="eastAsia" w:ascii="宋体" w:hAnsi="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lang w:eastAsia="zh-CN"/>
        </w:rPr>
        <w:t>、验收要求</w:t>
      </w:r>
      <w:bookmarkEnd w:id="148"/>
      <w:bookmarkEnd w:id="149"/>
    </w:p>
    <w:p w14:paraId="46225983">
      <w:pPr>
        <w:pStyle w:val="63"/>
        <w:spacing w:line="50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验收方法：中标人将货物按时送达采购人指定验收地点后，采购人以中标方提交的投标文件（含投标函、技术响应文件等全部资料）作为核心验收依据，重点核对货物品种、规格、数量、质量、包装及技术参数等内容；若发现货物相关指标不符合投标文件约定及采购需求的，采购人有权直接拒收不符合要求的货物，相关往返运输、损耗等全部损失由中标方自行承担，同时中标方需按要求及时更换合格货品，保障采购人正常使用。</w:t>
      </w:r>
    </w:p>
    <w:p w14:paraId="1A463AC8">
      <w:pPr>
        <w:pStyle w:val="63"/>
        <w:spacing w:line="5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.验收地点：</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zh-CN"/>
        </w:rPr>
        <w:t>人指定地点。</w:t>
      </w:r>
    </w:p>
    <w:p w14:paraId="0416F5D4">
      <w:pPr>
        <w:spacing w:line="500" w:lineRule="exact"/>
        <w:outlineLvl w:val="1"/>
        <w:rPr>
          <w:rFonts w:hint="eastAsia" w:ascii="宋体" w:hAnsi="宋体" w:eastAsia="宋体" w:cs="宋体"/>
          <w:b/>
          <w:bCs/>
          <w:color w:val="auto"/>
          <w:sz w:val="28"/>
          <w:szCs w:val="28"/>
          <w:highlight w:val="none"/>
          <w:lang w:eastAsia="zh-CN"/>
        </w:rPr>
      </w:pPr>
      <w:bookmarkStart w:id="150" w:name="_Toc10226"/>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lang w:eastAsia="zh-CN"/>
        </w:rPr>
        <w:t>、</w:t>
      </w:r>
      <w:bookmarkEnd w:id="150"/>
      <w:r>
        <w:rPr>
          <w:rFonts w:hint="eastAsia" w:ascii="宋体" w:hAnsi="宋体" w:eastAsia="宋体" w:cs="宋体"/>
          <w:b/>
          <w:bCs/>
          <w:color w:val="auto"/>
          <w:sz w:val="28"/>
          <w:szCs w:val="28"/>
          <w:highlight w:val="none"/>
          <w:lang w:eastAsia="zh-CN"/>
        </w:rPr>
        <w:t>保质期</w:t>
      </w:r>
    </w:p>
    <w:p w14:paraId="28D0A114">
      <w:pPr>
        <w:pStyle w:val="63"/>
        <w:spacing w:line="50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货物存在保质期的，中标人应给</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的货物剩余保质期不得低于整个保质期间的</w:t>
      </w:r>
      <w:r>
        <w:rPr>
          <w:rFonts w:hint="eastAsia" w:ascii="宋体" w:hAnsi="宋体" w:cs="宋体"/>
          <w:color w:val="auto"/>
          <w:sz w:val="24"/>
          <w:szCs w:val="24"/>
          <w:highlight w:val="none"/>
          <w:lang w:val="en-US" w:eastAsia="zh-CN"/>
        </w:rPr>
        <w:t>二分之一以上（避免临期产品）</w:t>
      </w:r>
      <w:r>
        <w:rPr>
          <w:rFonts w:hint="eastAsia" w:ascii="宋体" w:hAnsi="宋体" w:eastAsia="宋体" w:cs="宋体"/>
          <w:color w:val="auto"/>
          <w:sz w:val="24"/>
          <w:szCs w:val="24"/>
          <w:highlight w:val="none"/>
          <w:lang w:val="en-US" w:eastAsia="zh-CN"/>
        </w:rPr>
        <w:t>。保质期内，如需换货，中标人提供上门更换（费用包含在投标报价中）；在保质期内，因同一货物、同一质量问题更换仍无法正常使用的，中标人必须予以更换同品牌、同规格或不低于投标标准要求的其他货物。中标人在收到</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质量问题通知后24小时内到达现场，保证在24小时内解决</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紧急情况下</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小时内</w:t>
      </w:r>
      <w:r>
        <w:rPr>
          <w:rFonts w:hint="eastAsia" w:ascii="宋体" w:hAnsi="宋体" w:eastAsia="宋体" w:cs="宋体"/>
          <w:color w:val="auto"/>
          <w:sz w:val="24"/>
          <w:szCs w:val="24"/>
          <w:highlight w:val="none"/>
          <w:lang w:val="en-US" w:eastAsia="zh-CN"/>
        </w:rPr>
        <w:t>解决；若因中标人提供的产品质量问题导致的一切直接或间接后果，均由中标人承担责任，</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因此遭受损失的，由中标人承担损失赔偿责任。</w:t>
      </w:r>
    </w:p>
    <w:p w14:paraId="70AB73F9">
      <w:pPr>
        <w:numPr>
          <w:ilvl w:val="0"/>
          <w:numId w:val="0"/>
        </w:numPr>
        <w:spacing w:line="500" w:lineRule="exact"/>
        <w:ind w:left="0" w:leftChars="0" w:firstLine="0" w:firstLineChars="0"/>
        <w:outlineLvl w:val="1"/>
        <w:rPr>
          <w:rFonts w:hint="eastAsia" w:ascii="宋体" w:hAnsi="宋体" w:eastAsia="宋体" w:cs="宋体"/>
          <w:b/>
          <w:bCs/>
          <w:color w:val="auto"/>
          <w:sz w:val="28"/>
          <w:szCs w:val="28"/>
          <w:highlight w:val="none"/>
          <w:lang w:val="en-US" w:eastAsia="zh-CN"/>
        </w:rPr>
      </w:pPr>
      <w:bookmarkStart w:id="151" w:name="_Toc25176"/>
      <w:r>
        <w:rPr>
          <w:rFonts w:hint="eastAsia" w:ascii="宋体" w:hAnsi="宋体" w:eastAsia="宋体" w:cs="宋体"/>
          <w:b/>
          <w:bCs/>
          <w:color w:val="auto"/>
          <w:kern w:val="2"/>
          <w:sz w:val="28"/>
          <w:szCs w:val="28"/>
          <w:lang w:val="en-US" w:eastAsia="zh-CN" w:bidi="ar-SA"/>
        </w:rPr>
        <w:t>六、</w:t>
      </w:r>
      <w:r>
        <w:rPr>
          <w:rFonts w:hint="eastAsia" w:ascii="宋体" w:hAnsi="宋体" w:eastAsia="宋体" w:cs="宋体"/>
          <w:b/>
          <w:bCs/>
          <w:color w:val="auto"/>
          <w:sz w:val="28"/>
          <w:szCs w:val="28"/>
          <w:highlight w:val="none"/>
          <w:lang w:val="en-US" w:eastAsia="zh-CN"/>
        </w:rPr>
        <w:t>其他要求</w:t>
      </w:r>
      <w:bookmarkEnd w:id="151"/>
    </w:p>
    <w:p w14:paraId="691664B1">
      <w:pPr>
        <w:pStyle w:val="31"/>
        <w:numPr>
          <w:ilvl w:val="0"/>
          <w:numId w:val="0"/>
        </w:numPr>
        <w:spacing w:line="360" w:lineRule="auto"/>
        <w:ind w:firstLine="480" w:firstLineChars="200"/>
        <w:rPr>
          <w:rFonts w:hint="eastAsia"/>
        </w:rPr>
      </w:pPr>
      <w:r>
        <w:rPr>
          <w:rFonts w:hint="eastAsia" w:ascii="宋体" w:hAnsi="宋体" w:eastAsia="宋体" w:cs="宋体"/>
          <w:b/>
          <w:color w:val="0000FF"/>
          <w:sz w:val="24"/>
          <w:highlight w:val="none"/>
          <w:u w:val="single"/>
          <w:lang w:val="en-US" w:eastAsia="zh-CN"/>
        </w:rPr>
        <w:t>1.</w:t>
      </w:r>
      <w:r>
        <w:rPr>
          <w:rFonts w:hint="eastAsia" w:ascii="宋体" w:hAnsi="宋体" w:eastAsia="宋体" w:cs="宋体"/>
          <w:b/>
          <w:color w:val="0000FF"/>
          <w:sz w:val="24"/>
          <w:highlight w:val="none"/>
          <w:u w:val="single"/>
        </w:rPr>
        <w:t>须在投标文件中提供“监管安全承诺书”、“食品安全承诺书”</w:t>
      </w:r>
      <w:r>
        <w:rPr>
          <w:rFonts w:hint="eastAsia" w:ascii="宋体" w:hAnsi="宋体" w:eastAsia="宋体" w:cs="宋体"/>
          <w:b/>
          <w:color w:val="0000FF"/>
          <w:sz w:val="24"/>
          <w:highlight w:val="none"/>
          <w:u w:val="none"/>
        </w:rPr>
        <w:t>。</w:t>
      </w:r>
    </w:p>
    <w:p w14:paraId="64BA995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出现下列任一违约行为的，</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有权要求</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进行整改并支付相应违约金，违约金</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有权从履约保证金中直接扣除（如递交银行保函（或保证保险）的，则单独提交对应金额的违约金），出现第一次扣除5000.00元，第二次扣除10000.00元，第三次扣除15000.00元，如累计出现第四次，</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除须支付20000.00元违约金外，</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有权单方解除合同，并要求</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承担因此造成的一切损失：</w:t>
      </w:r>
    </w:p>
    <w:p w14:paraId="5ADFE130">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2.1.</w:t>
      </w:r>
      <w:r>
        <w:rPr>
          <w:rFonts w:hint="eastAsia" w:ascii="宋体" w:hAnsi="宋体" w:eastAsia="宋体" w:cs="宋体"/>
          <w:color w:val="000000"/>
          <w:sz w:val="24"/>
          <w:szCs w:val="24"/>
          <w:highlight w:val="none"/>
        </w:rPr>
        <w:t>1. 产品质量明显低</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lang w:val="en-US" w:eastAsia="zh-CN"/>
        </w:rPr>
        <w:t>样品</w:t>
      </w:r>
      <w:r>
        <w:rPr>
          <w:rFonts w:hint="eastAsia" w:ascii="宋体" w:hAnsi="宋体" w:eastAsia="宋体" w:cs="宋体"/>
          <w:color w:val="auto"/>
          <w:sz w:val="24"/>
          <w:szCs w:val="24"/>
          <w:highlight w:val="none"/>
        </w:rPr>
        <w:t>、</w:t>
      </w:r>
      <w:r>
        <w:rPr>
          <w:rFonts w:hint="eastAsia" w:ascii="宋体" w:hAnsi="宋体" w:eastAsia="宋体" w:cs="宋体"/>
          <w:color w:val="000000"/>
          <w:sz w:val="24"/>
          <w:szCs w:val="24"/>
          <w:highlight w:val="none"/>
        </w:rPr>
        <w:t>低于投标承诺或低于正常认知标准的；</w:t>
      </w:r>
    </w:p>
    <w:p w14:paraId="18CCCAD6">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2.1.</w:t>
      </w:r>
      <w:r>
        <w:rPr>
          <w:rFonts w:hint="eastAsia" w:ascii="宋体" w:hAnsi="宋体" w:eastAsia="宋体" w:cs="宋体"/>
          <w:color w:val="000000"/>
          <w:sz w:val="24"/>
          <w:szCs w:val="24"/>
          <w:highlight w:val="none"/>
        </w:rPr>
        <w:t>2. 出现需要退、换、补货情形，但未按</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要求时限完成的；</w:t>
      </w:r>
    </w:p>
    <w:p w14:paraId="1CD3A40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2.1.</w:t>
      </w:r>
      <w:r>
        <w:rPr>
          <w:rFonts w:hint="eastAsia" w:ascii="宋体" w:hAnsi="宋体" w:eastAsia="宋体" w:cs="宋体"/>
          <w:color w:val="000000"/>
          <w:sz w:val="24"/>
          <w:szCs w:val="24"/>
          <w:highlight w:val="none"/>
        </w:rPr>
        <w:t>3. 未经</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书面同意，擅自更换产品品牌、规格或产地的；</w:t>
      </w:r>
    </w:p>
    <w:p w14:paraId="2468514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2.1.</w:t>
      </w:r>
      <w:r>
        <w:rPr>
          <w:rFonts w:hint="eastAsia" w:ascii="宋体" w:hAnsi="宋体" w:eastAsia="宋体" w:cs="宋体"/>
          <w:color w:val="000000"/>
          <w:sz w:val="24"/>
          <w:szCs w:val="24"/>
          <w:highlight w:val="none"/>
        </w:rPr>
        <w:t>4. 供应产品数量不足，且未按</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要求时限补足的；</w:t>
      </w:r>
    </w:p>
    <w:p w14:paraId="21F9DF2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2.1.</w:t>
      </w:r>
      <w:r>
        <w:rPr>
          <w:rFonts w:hint="eastAsia" w:ascii="宋体" w:hAnsi="宋体" w:eastAsia="宋体" w:cs="宋体"/>
          <w:color w:val="000000"/>
          <w:sz w:val="24"/>
          <w:szCs w:val="24"/>
          <w:highlight w:val="none"/>
        </w:rPr>
        <w:t>5. 未按</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要求的时限或地点供货，造成不良后果的；</w:t>
      </w:r>
    </w:p>
    <w:p w14:paraId="0041DD3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2.1.</w:t>
      </w:r>
      <w:r>
        <w:rPr>
          <w:rFonts w:hint="eastAsia" w:ascii="宋体" w:hAnsi="宋体" w:eastAsia="宋体" w:cs="宋体"/>
          <w:color w:val="000000"/>
          <w:sz w:val="24"/>
          <w:szCs w:val="24"/>
          <w:highlight w:val="none"/>
        </w:rPr>
        <w:t>6. 包装方式或保质期不符合合同约定（剩余保质期少于包装保质期二分之一以上）的。</w:t>
      </w:r>
    </w:p>
    <w:p w14:paraId="1434387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2.2.</w:t>
      </w:r>
      <w:r>
        <w:rPr>
          <w:rFonts w:hint="eastAsia" w:ascii="宋体" w:hAnsi="宋体" w:eastAsia="宋体" w:cs="宋体"/>
          <w:color w:val="000000"/>
          <w:sz w:val="24"/>
          <w:szCs w:val="24"/>
          <w:highlight w:val="none"/>
        </w:rPr>
        <w:t>如</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出现下列任一情形的，视为</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严重违约，</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有权立即解除合同，</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有权要求</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支付50000.00元违约金，也可以从履约保证金中扣除，同时承担因此给</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造成的一切损失：</w:t>
      </w:r>
    </w:p>
    <w:p w14:paraId="5C1AB80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2.2.</w:t>
      </w:r>
      <w:r>
        <w:rPr>
          <w:rFonts w:hint="eastAsia" w:ascii="宋体" w:hAnsi="宋体" w:eastAsia="宋体" w:cs="宋体"/>
          <w:color w:val="000000"/>
          <w:sz w:val="24"/>
          <w:szCs w:val="24"/>
          <w:highlight w:val="none"/>
        </w:rPr>
        <w:t>1. 向</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提供发霉变质、“三无”产品或过期产品的；</w:t>
      </w:r>
    </w:p>
    <w:p w14:paraId="1AAC239E">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2.2.</w:t>
      </w:r>
      <w:r>
        <w:rPr>
          <w:rFonts w:hint="eastAsia" w:ascii="宋体" w:hAnsi="宋体" w:eastAsia="宋体" w:cs="宋体"/>
          <w:color w:val="000000"/>
          <w:sz w:val="24"/>
          <w:szCs w:val="24"/>
          <w:highlight w:val="none"/>
        </w:rPr>
        <w:t>2. 产品卫生或安全检测不达标，存在重大安全隐患的（包括但不限于致病菌、农药残留、非法添加物等超标）；</w:t>
      </w:r>
    </w:p>
    <w:p w14:paraId="5800894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2.2.</w:t>
      </w:r>
      <w:r>
        <w:rPr>
          <w:rFonts w:hint="eastAsia" w:ascii="宋体" w:hAnsi="宋体" w:eastAsia="宋体" w:cs="宋体"/>
          <w:color w:val="000000"/>
          <w:sz w:val="24"/>
          <w:szCs w:val="24"/>
          <w:highlight w:val="none"/>
        </w:rPr>
        <w:t>3. 当批次供货中，存在质量问题的产品品种数或数量占比达到50%及以上。</w:t>
      </w:r>
    </w:p>
    <w:p w14:paraId="37A71D60">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2.3.</w:t>
      </w:r>
      <w:r>
        <w:rPr>
          <w:rFonts w:hint="eastAsia" w:ascii="宋体" w:hAnsi="宋体" w:eastAsia="宋体" w:cs="宋体"/>
          <w:color w:val="000000"/>
          <w:sz w:val="24"/>
          <w:szCs w:val="24"/>
          <w:highlight w:val="none"/>
        </w:rPr>
        <w:t>合同履行过程中，</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不得将本项目转让（转包）或者分解（分包）给他人，否则</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应承担由此给</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造成的所有损失，且</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有权解除合同，</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缴纳的履约保证金不予退还。</w:t>
      </w:r>
    </w:p>
    <w:p w14:paraId="5BB63C7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2.4.</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向</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提供的货物因质量引发食品安全问题导致</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损失或罪犯遭受人身损害，由</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承担全部责任，并赔偿</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因此造成的一切损失，且</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有权解除合同。若因此导致</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承担相应赔偿责任的，</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有权向</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追偿。</w:t>
      </w:r>
    </w:p>
    <w:p w14:paraId="71713655">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2.5.</w:t>
      </w:r>
      <w:r>
        <w:rPr>
          <w:rFonts w:hint="eastAsia" w:ascii="宋体" w:hAnsi="宋体" w:eastAsia="宋体" w:cs="宋体"/>
          <w:color w:val="000000"/>
          <w:sz w:val="24"/>
          <w:szCs w:val="24"/>
          <w:highlight w:val="none"/>
        </w:rPr>
        <w:t>本条所约定的</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损失包括但不限于另行采购的差价损失、因断供造成的供餐损失、第三方索赔、行政部门处罚等；如损失难以量化时，</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可视情况要求</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赔偿5万-10万元。</w:t>
      </w:r>
    </w:p>
    <w:p w14:paraId="520006A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2.6.</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有权直接从履约保证金中扣除本条约定的违约金及损失赔偿，不足部分</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保留继续追偿的权利，且违约金及损失赔偿不影响</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依法主张并追究</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所造成的经济、民事、刑事等一切法律责任。</w:t>
      </w:r>
    </w:p>
    <w:p w14:paraId="78A9B376">
      <w:pP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合同期限内，</w:t>
      </w:r>
      <w:r>
        <w:rPr>
          <w:rFonts w:hint="eastAsia" w:ascii="宋体" w:hAnsi="宋体" w:cs="宋体"/>
          <w:color w:val="000000"/>
          <w:sz w:val="24"/>
          <w:szCs w:val="24"/>
          <w:highlight w:val="none"/>
          <w:lang w:eastAsia="zh-CN"/>
        </w:rPr>
        <w:t>如遇采购人上级相关部门的要求或其它不可抗拒性因素</w:t>
      </w:r>
      <w:r>
        <w:rPr>
          <w:rFonts w:hint="eastAsia" w:ascii="宋体" w:hAnsi="宋体" w:eastAsia="宋体" w:cs="宋体"/>
          <w:color w:val="000000"/>
          <w:sz w:val="24"/>
          <w:szCs w:val="24"/>
          <w:highlight w:val="none"/>
        </w:rPr>
        <w:t>导致合作不能继续的，</w:t>
      </w:r>
      <w:r>
        <w:rPr>
          <w:rFonts w:hint="eastAsia" w:ascii="宋体" w:hAnsi="宋体" w:eastAsia="宋体" w:cs="宋体"/>
          <w:color w:val="000000"/>
          <w:sz w:val="24"/>
          <w:szCs w:val="24"/>
          <w:highlight w:val="none"/>
          <w:lang w:val="en-US" w:eastAsia="zh-CN"/>
        </w:rPr>
        <w:t>采购人、中标人</w:t>
      </w:r>
      <w:r>
        <w:rPr>
          <w:rFonts w:hint="eastAsia" w:ascii="宋体" w:hAnsi="宋体" w:eastAsia="宋体" w:cs="宋体"/>
          <w:color w:val="000000"/>
          <w:sz w:val="24"/>
          <w:szCs w:val="24"/>
          <w:highlight w:val="none"/>
        </w:rPr>
        <w:t>双方均有权</w:t>
      </w:r>
      <w:r>
        <w:rPr>
          <w:rFonts w:hint="eastAsia" w:ascii="宋体" w:hAnsi="宋体" w:eastAsia="宋体" w:cs="宋体"/>
          <w:color w:val="000000"/>
          <w:sz w:val="24"/>
          <w:szCs w:val="24"/>
          <w:highlight w:val="none"/>
          <w:lang w:val="en-US" w:eastAsia="zh-CN"/>
        </w:rPr>
        <w:t>协商</w:t>
      </w:r>
      <w:r>
        <w:rPr>
          <w:rFonts w:hint="eastAsia" w:ascii="宋体" w:hAnsi="宋体" w:eastAsia="宋体" w:cs="宋体"/>
          <w:color w:val="000000"/>
          <w:sz w:val="24"/>
          <w:szCs w:val="24"/>
          <w:highlight w:val="none"/>
        </w:rPr>
        <w:t>解除本合同且不视为任何一方违约。同时，合同因此解除后，</w:t>
      </w:r>
      <w:r>
        <w:rPr>
          <w:rFonts w:hint="eastAsia" w:ascii="宋体" w:hAnsi="宋体" w:eastAsia="宋体" w:cs="宋体"/>
          <w:color w:val="000000"/>
          <w:sz w:val="24"/>
          <w:szCs w:val="24"/>
          <w:highlight w:val="none"/>
          <w:lang w:val="en-US" w:eastAsia="zh-CN"/>
        </w:rPr>
        <w:t>采购人、中标人</w:t>
      </w:r>
      <w:r>
        <w:rPr>
          <w:rFonts w:hint="eastAsia" w:ascii="宋体" w:hAnsi="宋体" w:eastAsia="宋体" w:cs="宋体"/>
          <w:color w:val="000000"/>
          <w:sz w:val="24"/>
          <w:szCs w:val="24"/>
          <w:highlight w:val="none"/>
        </w:rPr>
        <w:t>双方本着合法、公平、友好协商的原则办理货款结算等善后事宜。</w:t>
      </w:r>
      <w:r>
        <w:rPr>
          <w:rFonts w:hint="eastAsia" w:ascii="宋体" w:hAnsi="宋体" w:eastAsia="宋体" w:cs="宋体"/>
          <w:color w:val="auto"/>
          <w:sz w:val="24"/>
          <w:szCs w:val="24"/>
          <w:highlight w:val="none"/>
          <w:lang w:val="en-US" w:eastAsia="zh-CN"/>
        </w:rPr>
        <w:t>因不可抗力原因致使本合同不能履行或造成的损失，双方互不承担违约责任。</w:t>
      </w:r>
    </w:p>
    <w:p w14:paraId="5534DFDD">
      <w:pPr>
        <w:keepNext w:val="0"/>
        <w:keepLines w:val="0"/>
        <w:pageBreakBefore w:val="0"/>
        <w:widowControl w:val="0"/>
        <w:numPr>
          <w:ilvl w:val="0"/>
          <w:numId w:val="0"/>
        </w:numPr>
        <w:tabs>
          <w:tab w:val="left" w:pos="360"/>
        </w:tabs>
        <w:kinsoku/>
        <w:wordWrap/>
        <w:overflowPunct/>
        <w:topLinePunct w:val="0"/>
        <w:autoSpaceDE/>
        <w:autoSpaceDN/>
        <w:bidi w:val="0"/>
        <w:adjustRightInd/>
        <w:snapToGrid/>
        <w:spacing w:line="500" w:lineRule="exact"/>
        <w:jc w:val="center"/>
        <w:textAlignment w:val="auto"/>
        <w:outlineLvl w:val="0"/>
        <w:rPr>
          <w:rFonts w:ascii="宋体" w:hAnsi="宋体" w:eastAsia="宋体"/>
          <w:bCs/>
          <w:sz w:val="36"/>
        </w:rPr>
      </w:pPr>
      <w:r>
        <w:rPr>
          <w:rFonts w:hint="eastAsia" w:ascii="宋体" w:hAnsi="宋体" w:eastAsia="宋体"/>
          <w:b/>
          <w:bCs w:val="0"/>
          <w:sz w:val="36"/>
        </w:rPr>
        <w:br w:type="page"/>
      </w:r>
      <w:bookmarkStart w:id="152" w:name="_Toc22342"/>
      <w:r>
        <w:rPr>
          <w:rFonts w:hint="eastAsia" w:ascii="宋体" w:hAnsi="宋体" w:eastAsia="宋体"/>
          <w:b/>
          <w:bCs w:val="0"/>
          <w:sz w:val="36"/>
        </w:rPr>
        <w:t>第六章 资格评审标准</w:t>
      </w:r>
      <w:bookmarkEnd w:id="139"/>
      <w:bookmarkEnd w:id="140"/>
      <w:bookmarkEnd w:id="141"/>
      <w:bookmarkEnd w:id="142"/>
      <w:bookmarkEnd w:id="143"/>
      <w:bookmarkEnd w:id="152"/>
    </w:p>
    <w:p w14:paraId="73DCC002">
      <w:pPr>
        <w:tabs>
          <w:tab w:val="left" w:pos="2472"/>
        </w:tabs>
        <w:spacing w:line="360" w:lineRule="auto"/>
        <w:ind w:firstLine="480" w:firstLineChars="200"/>
        <w:outlineLvl w:val="9"/>
        <w:rPr>
          <w:rFonts w:ascii="宋体" w:hAnsi="宋体"/>
          <w:sz w:val="24"/>
          <w:szCs w:val="21"/>
        </w:rPr>
      </w:pPr>
      <w:r>
        <w:rPr>
          <w:rFonts w:hint="eastAsia" w:ascii="宋体" w:hAnsi="宋体"/>
          <w:sz w:val="24"/>
        </w:rPr>
        <w:t>投标文件出现不满足下列各项评审内容及标准要求之一的，则资格评审为不合格。合格投标人不足3家的，不得评标。下列各项评审内容及标准均为招标文件的实质性要求，除招标文件规定的澄清情形外，投标文件响应各款所列材料在开标后不得后补、修改。</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1"/>
        <w:gridCol w:w="842"/>
        <w:gridCol w:w="7782"/>
      </w:tblGrid>
      <w:tr w14:paraId="59927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1371" w:type="dxa"/>
            <w:noWrap w:val="0"/>
            <w:vAlign w:val="center"/>
          </w:tcPr>
          <w:p w14:paraId="3646E2B6">
            <w:pPr>
              <w:spacing w:before="100" w:beforeAutospacing="1" w:after="100" w:afterAutospacing="1" w:line="360" w:lineRule="auto"/>
              <w:jc w:val="center"/>
              <w:outlineLvl w:val="9"/>
              <w:rPr>
                <w:rFonts w:ascii="宋体" w:hAnsi="宋体" w:eastAsia="宋体" w:cs="Times New Roman"/>
                <w:b/>
                <w:sz w:val="24"/>
              </w:rPr>
            </w:pPr>
            <w:r>
              <w:rPr>
                <w:rFonts w:hint="eastAsia" w:ascii="宋体" w:hAnsi="宋体" w:eastAsia="宋体" w:cs="Times New Roman"/>
                <w:b/>
                <w:sz w:val="24"/>
              </w:rPr>
              <w:t>评审程序</w:t>
            </w:r>
          </w:p>
        </w:tc>
        <w:tc>
          <w:tcPr>
            <w:tcW w:w="8624" w:type="dxa"/>
            <w:gridSpan w:val="2"/>
            <w:noWrap w:val="0"/>
            <w:vAlign w:val="center"/>
          </w:tcPr>
          <w:p w14:paraId="79757F4E">
            <w:pPr>
              <w:spacing w:before="100" w:beforeAutospacing="1" w:after="100" w:afterAutospacing="1" w:line="360" w:lineRule="auto"/>
              <w:jc w:val="center"/>
              <w:outlineLvl w:val="9"/>
              <w:rPr>
                <w:rFonts w:ascii="宋体" w:hAnsi="宋体" w:eastAsia="宋体" w:cs="Times New Roman"/>
                <w:b/>
                <w:sz w:val="24"/>
              </w:rPr>
            </w:pPr>
            <w:r>
              <w:rPr>
                <w:rFonts w:hint="eastAsia" w:ascii="宋体" w:hAnsi="宋体" w:eastAsia="宋体" w:cs="Times New Roman"/>
                <w:b/>
                <w:sz w:val="24"/>
              </w:rPr>
              <w:t>评 审 内 容 及 标 准</w:t>
            </w:r>
          </w:p>
        </w:tc>
      </w:tr>
      <w:tr w14:paraId="4A776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371" w:type="dxa"/>
            <w:vMerge w:val="restart"/>
            <w:noWrap w:val="0"/>
            <w:vAlign w:val="center"/>
          </w:tcPr>
          <w:p w14:paraId="2F3129FE">
            <w:pPr>
              <w:spacing w:before="100" w:beforeAutospacing="1" w:after="100" w:afterAutospacing="1" w:line="360" w:lineRule="auto"/>
              <w:jc w:val="center"/>
              <w:outlineLvl w:val="9"/>
              <w:rPr>
                <w:rFonts w:ascii="宋体" w:hAnsi="宋体" w:eastAsia="宋体" w:cs="Times New Roman"/>
                <w:b/>
                <w:sz w:val="24"/>
              </w:rPr>
            </w:pPr>
            <w:r>
              <w:rPr>
                <w:rFonts w:hint="eastAsia" w:ascii="宋体" w:hAnsi="宋体" w:eastAsia="宋体" w:cs="Times New Roman"/>
                <w:sz w:val="24"/>
              </w:rPr>
              <w:t>资格审查前附表</w:t>
            </w:r>
          </w:p>
        </w:tc>
        <w:tc>
          <w:tcPr>
            <w:tcW w:w="842" w:type="dxa"/>
            <w:noWrap w:val="0"/>
            <w:vAlign w:val="center"/>
          </w:tcPr>
          <w:p w14:paraId="5F8A5744">
            <w:pPr>
              <w:spacing w:before="100" w:beforeAutospacing="1" w:after="100" w:afterAutospacing="1" w:line="360" w:lineRule="auto"/>
              <w:jc w:val="center"/>
              <w:outlineLvl w:val="9"/>
              <w:rPr>
                <w:rFonts w:ascii="宋体" w:hAnsi="宋体" w:eastAsia="宋体" w:cs="Times New Roman"/>
                <w:b/>
                <w:sz w:val="24"/>
              </w:rPr>
            </w:pPr>
            <w:r>
              <w:rPr>
                <w:rFonts w:hint="eastAsia" w:ascii="宋体" w:hAnsi="宋体" w:eastAsia="宋体" w:cs="Times New Roman"/>
                <w:b/>
                <w:sz w:val="24"/>
              </w:rPr>
              <w:t>1</w:t>
            </w:r>
          </w:p>
        </w:tc>
        <w:tc>
          <w:tcPr>
            <w:tcW w:w="7782" w:type="dxa"/>
            <w:noWrap w:val="0"/>
            <w:vAlign w:val="center"/>
          </w:tcPr>
          <w:p w14:paraId="46A7FB1A">
            <w:pPr>
              <w:spacing w:before="100" w:beforeAutospacing="1" w:after="100" w:afterAutospacing="1" w:line="360" w:lineRule="auto"/>
              <w:jc w:val="left"/>
              <w:outlineLvl w:val="9"/>
              <w:rPr>
                <w:rFonts w:ascii="宋体" w:hAnsi="宋体" w:eastAsia="宋体" w:cs="Times New Roman"/>
                <w:b/>
                <w:sz w:val="24"/>
              </w:rPr>
            </w:pPr>
            <w:r>
              <w:rPr>
                <w:rFonts w:hint="eastAsia" w:ascii="宋体" w:hAnsi="宋体" w:eastAsia="宋体" w:cs="Times New Roman"/>
                <w:b/>
                <w:sz w:val="24"/>
              </w:rPr>
              <w:t>满足《中华人民共和国政府采购法》第二十二条规定，</w:t>
            </w:r>
            <w:r>
              <w:rPr>
                <w:rFonts w:ascii="宋体" w:hAnsi="宋体" w:eastAsia="宋体" w:cs="Times New Roman"/>
                <w:b/>
                <w:sz w:val="24"/>
              </w:rPr>
              <w:t>提供下列材料</w:t>
            </w:r>
            <w:r>
              <w:rPr>
                <w:rFonts w:hint="eastAsia" w:ascii="宋体" w:hAnsi="宋体" w:eastAsia="宋体" w:cs="Times New Roman"/>
                <w:b/>
                <w:sz w:val="24"/>
              </w:rPr>
              <w:t>：</w:t>
            </w:r>
          </w:p>
        </w:tc>
      </w:tr>
      <w:tr w14:paraId="1D577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71" w:type="dxa"/>
            <w:vMerge w:val="continue"/>
            <w:noWrap w:val="0"/>
            <w:vAlign w:val="center"/>
          </w:tcPr>
          <w:p w14:paraId="2D21FBF4">
            <w:pPr>
              <w:spacing w:before="100" w:beforeAutospacing="1" w:after="100" w:afterAutospacing="1" w:line="360" w:lineRule="auto"/>
              <w:jc w:val="center"/>
              <w:outlineLvl w:val="9"/>
              <w:rPr>
                <w:rFonts w:ascii="宋体" w:hAnsi="宋体" w:eastAsia="宋体" w:cs="Times New Roman"/>
                <w:sz w:val="24"/>
              </w:rPr>
            </w:pPr>
          </w:p>
        </w:tc>
        <w:tc>
          <w:tcPr>
            <w:tcW w:w="842" w:type="dxa"/>
            <w:noWrap w:val="0"/>
            <w:vAlign w:val="center"/>
          </w:tcPr>
          <w:p w14:paraId="72064F65">
            <w:pPr>
              <w:spacing w:before="100" w:beforeAutospacing="1" w:after="100" w:afterAutospacing="1" w:line="360" w:lineRule="auto"/>
              <w:jc w:val="center"/>
              <w:outlineLvl w:val="9"/>
              <w:rPr>
                <w:rFonts w:ascii="宋体" w:hAnsi="宋体" w:eastAsia="宋体" w:cs="Times New Roman"/>
                <w:sz w:val="24"/>
              </w:rPr>
            </w:pPr>
            <w:r>
              <w:rPr>
                <w:rFonts w:hint="eastAsia" w:ascii="宋体" w:hAnsi="宋体" w:eastAsia="宋体" w:cs="Times New Roman"/>
                <w:sz w:val="24"/>
              </w:rPr>
              <w:t>1.1</w:t>
            </w:r>
          </w:p>
        </w:tc>
        <w:tc>
          <w:tcPr>
            <w:tcW w:w="7782" w:type="dxa"/>
            <w:noWrap w:val="0"/>
            <w:vAlign w:val="center"/>
          </w:tcPr>
          <w:p w14:paraId="67AC5E97">
            <w:pPr>
              <w:spacing w:before="100" w:beforeAutospacing="1" w:after="100" w:afterAutospacing="1" w:line="360" w:lineRule="auto"/>
              <w:ind w:firstLine="480" w:firstLineChars="200"/>
              <w:jc w:val="left"/>
              <w:outlineLvl w:val="9"/>
              <w:rPr>
                <w:rFonts w:hint="eastAsia" w:ascii="宋体" w:hAnsi="宋体" w:eastAsia="宋体" w:cs="Times New Roman"/>
                <w:sz w:val="24"/>
                <w:lang w:eastAsia="zh-CN"/>
              </w:rPr>
            </w:pPr>
            <w:r>
              <w:rPr>
                <w:rFonts w:hint="eastAsia" w:ascii="宋体" w:hAnsi="宋体" w:eastAsia="宋体" w:cs="宋体"/>
                <w:color w:val="auto"/>
                <w:kern w:val="0"/>
                <w:sz w:val="24"/>
                <w:szCs w:val="24"/>
              </w:rPr>
              <w:t>具有独立承担民事责任的能力：投标人为法人、其他组织或者自然人（提供有效的营业执照或事业单位法人证书或民办非企业登记证书或执业许可证或社会团体登记证或自然人身份</w:t>
            </w:r>
            <w:r>
              <w:rPr>
                <w:rFonts w:hint="eastAsia" w:ascii="宋体" w:hAnsi="宋体" w:eastAsia="宋体" w:cs="宋体"/>
                <w:kern w:val="0"/>
                <w:sz w:val="24"/>
                <w:szCs w:val="24"/>
              </w:rPr>
              <w:t>证明）</w:t>
            </w:r>
            <w:r>
              <w:rPr>
                <w:rFonts w:hint="eastAsia" w:ascii="宋体" w:hAnsi="宋体" w:eastAsia="宋体" w:cs="宋体"/>
                <w:kern w:val="0"/>
                <w:sz w:val="24"/>
                <w:szCs w:val="24"/>
                <w:lang w:eastAsia="zh-CN"/>
              </w:rPr>
              <w:t>。</w:t>
            </w:r>
          </w:p>
        </w:tc>
      </w:tr>
      <w:tr w14:paraId="63A29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71" w:type="dxa"/>
            <w:vMerge w:val="continue"/>
            <w:noWrap w:val="0"/>
            <w:vAlign w:val="center"/>
          </w:tcPr>
          <w:p w14:paraId="0EE26C7C">
            <w:pPr>
              <w:spacing w:before="100" w:beforeAutospacing="1" w:after="100" w:afterAutospacing="1" w:line="360" w:lineRule="auto"/>
              <w:jc w:val="center"/>
              <w:outlineLvl w:val="9"/>
              <w:rPr>
                <w:rFonts w:ascii="宋体" w:hAnsi="宋体" w:eastAsia="宋体" w:cs="Times New Roman"/>
                <w:sz w:val="24"/>
              </w:rPr>
            </w:pPr>
          </w:p>
        </w:tc>
        <w:tc>
          <w:tcPr>
            <w:tcW w:w="842" w:type="dxa"/>
            <w:noWrap w:val="0"/>
            <w:vAlign w:val="center"/>
          </w:tcPr>
          <w:p w14:paraId="0DAE9A12">
            <w:pPr>
              <w:spacing w:before="100" w:beforeAutospacing="1" w:after="100" w:afterAutospacing="1" w:line="360" w:lineRule="auto"/>
              <w:jc w:val="center"/>
              <w:outlineLvl w:val="9"/>
              <w:rPr>
                <w:rFonts w:ascii="宋体" w:hAnsi="宋体" w:eastAsia="宋体" w:cs="Times New Roman"/>
                <w:sz w:val="24"/>
              </w:rPr>
            </w:pPr>
            <w:r>
              <w:rPr>
                <w:rFonts w:hint="eastAsia" w:ascii="宋体" w:hAnsi="宋体" w:eastAsia="宋体" w:cs="Times New Roman"/>
                <w:sz w:val="24"/>
              </w:rPr>
              <w:t>1.2</w:t>
            </w:r>
          </w:p>
        </w:tc>
        <w:tc>
          <w:tcPr>
            <w:tcW w:w="7782" w:type="dxa"/>
            <w:noWrap w:val="0"/>
            <w:vAlign w:val="center"/>
          </w:tcPr>
          <w:p w14:paraId="4BF8D7FB">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具有良好的商业信誉和健全的财务会计制度：</w:t>
            </w:r>
            <w:r>
              <w:rPr>
                <w:rFonts w:hint="eastAsia" w:ascii="宋体" w:hAnsi="宋体" w:eastAsia="宋体" w:cs="宋体"/>
                <w:color w:val="auto"/>
                <w:kern w:val="2"/>
                <w:sz w:val="24"/>
                <w:szCs w:val="24"/>
                <w:highlight w:val="none"/>
                <w:lang w:bidi="ar"/>
              </w:rPr>
              <w:t>投标人须提供财务状况报告，内容可为以下</w:t>
            </w:r>
            <w:r>
              <w:rPr>
                <w:rFonts w:hint="eastAsia" w:ascii="宋体" w:hAnsi="宋体" w:eastAsia="宋体" w:cs="宋体"/>
                <w:color w:val="auto"/>
                <w:kern w:val="2"/>
                <w:sz w:val="24"/>
                <w:szCs w:val="24"/>
                <w:highlight w:val="none"/>
                <w:lang w:val="en-US" w:eastAsia="zh-CN" w:bidi="ar"/>
              </w:rPr>
              <w:t>三</w:t>
            </w:r>
            <w:r>
              <w:rPr>
                <w:rFonts w:hint="eastAsia" w:ascii="宋体" w:hAnsi="宋体" w:eastAsia="宋体" w:cs="宋体"/>
                <w:color w:val="auto"/>
                <w:kern w:val="2"/>
                <w:sz w:val="24"/>
                <w:szCs w:val="24"/>
                <w:highlight w:val="none"/>
                <w:lang w:bidi="ar"/>
              </w:rPr>
              <w:t>者之一</w:t>
            </w:r>
            <w:r>
              <w:rPr>
                <w:rFonts w:hint="eastAsia" w:ascii="宋体" w:hAnsi="宋体" w:eastAsia="宋体" w:cs="宋体"/>
                <w:color w:val="auto"/>
                <w:kern w:val="2"/>
                <w:sz w:val="24"/>
                <w:szCs w:val="24"/>
                <w:highlight w:val="none"/>
                <w:lang w:eastAsia="zh-CN" w:bidi="ar"/>
              </w:rPr>
              <w:t>：</w:t>
            </w:r>
          </w:p>
          <w:p w14:paraId="2EBC20E8">
            <w:pPr>
              <w:keepNext w:val="0"/>
              <w:keepLines w:val="0"/>
              <w:pageBreakBefore w:val="0"/>
              <w:kinsoku/>
              <w:overflowPunct/>
              <w:topLinePunct w:val="0"/>
              <w:autoSpaceDE/>
              <w:autoSpaceDN/>
              <w:bidi w:val="0"/>
              <w:spacing w:line="500" w:lineRule="exact"/>
              <w:ind w:firstLine="480" w:firstLineChars="200"/>
              <w:textAlignment w:val="auto"/>
              <w:outlineLvl w:val="9"/>
              <w:rPr>
                <w:rFonts w:hint="eastAsia" w:ascii="宋体" w:hAnsi="宋体" w:eastAsia="宋体" w:cs="宋体"/>
                <w:color w:val="auto"/>
                <w:kern w:val="0"/>
                <w:sz w:val="24"/>
                <w:szCs w:val="24"/>
                <w:lang w:eastAsia="zh-CN"/>
              </w:rPr>
            </w:pPr>
            <w:r>
              <w:rPr>
                <w:rFonts w:hint="default" w:ascii="宋体" w:hAnsi="宋体" w:eastAsia="宋体" w:cs="宋体"/>
                <w:color w:val="auto"/>
                <w:kern w:val="0"/>
                <w:sz w:val="24"/>
                <w:szCs w:val="24"/>
              </w:rPr>
              <w:t>①</w:t>
            </w:r>
            <w:r>
              <w:rPr>
                <w:rFonts w:hint="eastAsia" w:ascii="宋体" w:hAnsi="宋体" w:eastAsia="宋体" w:cs="宋体"/>
                <w:color w:val="auto"/>
                <w:kern w:val="0"/>
                <w:sz w:val="24"/>
                <w:szCs w:val="24"/>
              </w:rPr>
              <w:t>提供</w:t>
            </w:r>
            <w:r>
              <w:rPr>
                <w:rFonts w:hint="eastAsia" w:ascii="宋体" w:hAnsi="宋体" w:eastAsia="宋体" w:cs="宋体"/>
                <w:color w:val="auto"/>
                <w:kern w:val="0"/>
                <w:sz w:val="24"/>
                <w:szCs w:val="24"/>
                <w:lang w:val="en-US" w:eastAsia="zh-CN"/>
              </w:rPr>
              <w:t>2022年至2024年或2023至2025年连续三年度</w:t>
            </w:r>
            <w:r>
              <w:rPr>
                <w:rFonts w:hint="eastAsia" w:ascii="宋体" w:hAnsi="宋体" w:eastAsia="宋体" w:cs="宋体"/>
                <w:color w:val="auto"/>
                <w:kern w:val="0"/>
                <w:sz w:val="24"/>
                <w:szCs w:val="24"/>
              </w:rPr>
              <w:t>经审计的</w:t>
            </w:r>
            <w:r>
              <w:rPr>
                <w:rFonts w:hint="eastAsia" w:ascii="宋体" w:hAnsi="宋体" w:eastAsia="宋体" w:cs="宋体"/>
                <w:color w:val="auto"/>
                <w:kern w:val="0"/>
                <w:sz w:val="24"/>
                <w:szCs w:val="24"/>
                <w:lang w:val="en-US" w:eastAsia="zh-CN"/>
              </w:rPr>
              <w:t>财务报告</w:t>
            </w:r>
            <w:r>
              <w:rPr>
                <w:rFonts w:hint="eastAsia" w:ascii="宋体" w:hAnsi="宋体" w:eastAsia="宋体" w:cs="宋体"/>
                <w:color w:val="auto"/>
                <w:kern w:val="0"/>
                <w:sz w:val="24"/>
                <w:szCs w:val="24"/>
              </w:rPr>
              <w:t>（包括资产负债表、现金流量表、利润表</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所有者权益变动表（执行小企业会计准则的</w:t>
            </w:r>
            <w:r>
              <w:rPr>
                <w:rFonts w:hint="eastAsia" w:ascii="宋体" w:hAnsi="宋体" w:eastAsia="宋体" w:cs="宋体"/>
                <w:color w:val="auto"/>
                <w:kern w:val="0"/>
                <w:sz w:val="24"/>
                <w:szCs w:val="24"/>
                <w:lang w:val="en-US" w:eastAsia="zh-CN"/>
              </w:rPr>
              <w:t>投标人</w:t>
            </w:r>
            <w:r>
              <w:rPr>
                <w:rFonts w:hint="eastAsia" w:ascii="宋体" w:hAnsi="宋体" w:eastAsia="宋体" w:cs="宋体"/>
                <w:color w:val="auto"/>
                <w:kern w:val="0"/>
                <w:sz w:val="24"/>
                <w:szCs w:val="24"/>
              </w:rPr>
              <w:t>可不提供）及附注（执行小企业会计准则的</w:t>
            </w:r>
            <w:r>
              <w:rPr>
                <w:rFonts w:hint="eastAsia" w:ascii="宋体" w:hAnsi="宋体" w:eastAsia="宋体" w:cs="宋体"/>
                <w:color w:val="auto"/>
                <w:kern w:val="0"/>
                <w:sz w:val="24"/>
                <w:szCs w:val="24"/>
                <w:lang w:val="en-US" w:eastAsia="zh-CN"/>
              </w:rPr>
              <w:t>投标人</w:t>
            </w:r>
            <w:r>
              <w:rPr>
                <w:rFonts w:hint="eastAsia" w:ascii="宋体" w:hAnsi="宋体" w:eastAsia="宋体" w:cs="宋体"/>
                <w:color w:val="auto"/>
                <w:kern w:val="0"/>
                <w:sz w:val="24"/>
                <w:szCs w:val="24"/>
              </w:rPr>
              <w:t>可不提供））</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新成立公司，</w:t>
            </w:r>
            <w:r>
              <w:rPr>
                <w:rFonts w:hint="eastAsia" w:ascii="宋体" w:hAnsi="宋体" w:eastAsia="宋体" w:cs="宋体"/>
                <w:color w:val="auto"/>
                <w:kern w:val="0"/>
                <w:sz w:val="24"/>
                <w:szCs w:val="24"/>
              </w:rPr>
              <w:t>提供成立至今的财务报表或财务状况说明</w:t>
            </w:r>
            <w:r>
              <w:rPr>
                <w:rFonts w:hint="eastAsia" w:ascii="宋体" w:hAnsi="宋体" w:eastAsia="宋体" w:cs="宋体"/>
                <w:color w:val="auto"/>
                <w:kern w:val="0"/>
                <w:sz w:val="24"/>
                <w:szCs w:val="24"/>
                <w:lang w:eastAsia="zh-CN"/>
              </w:rPr>
              <w:t>；</w:t>
            </w:r>
          </w:p>
          <w:p w14:paraId="20BDA424">
            <w:pPr>
              <w:keepNext w:val="0"/>
              <w:keepLines w:val="0"/>
              <w:pageBreakBefore w:val="0"/>
              <w:kinsoku/>
              <w:overflowPunct/>
              <w:topLinePunct w:val="0"/>
              <w:autoSpaceDE/>
              <w:autoSpaceDN/>
              <w:bidi w:val="0"/>
              <w:spacing w:line="500" w:lineRule="exact"/>
              <w:ind w:firstLine="480" w:firstLineChars="200"/>
              <w:textAlignment w:val="auto"/>
              <w:outlineLvl w:val="9"/>
              <w:rPr>
                <w:rFonts w:hint="eastAsia" w:ascii="宋体" w:hAnsi="宋体" w:eastAsia="宋体" w:cs="宋体"/>
                <w:color w:val="auto"/>
                <w:kern w:val="0"/>
                <w:sz w:val="24"/>
                <w:szCs w:val="24"/>
                <w:lang w:eastAsia="zh-CN"/>
              </w:rPr>
            </w:pPr>
            <w:r>
              <w:rPr>
                <w:rFonts w:hint="default" w:ascii="宋体" w:hAnsi="宋体" w:eastAsia="宋体" w:cs="宋体"/>
                <w:color w:val="auto"/>
                <w:kern w:val="0"/>
                <w:sz w:val="24"/>
                <w:szCs w:val="24"/>
                <w:lang w:val="en-US" w:eastAsia="zh-CN"/>
              </w:rPr>
              <w:t>②</w:t>
            </w:r>
            <w:r>
              <w:rPr>
                <w:rFonts w:hint="eastAsia" w:ascii="宋体" w:hAnsi="宋体" w:eastAsia="宋体" w:cs="宋体"/>
                <w:color w:val="auto"/>
                <w:kern w:val="0"/>
                <w:sz w:val="24"/>
                <w:szCs w:val="24"/>
                <w:lang w:val="en-US" w:eastAsia="zh-CN"/>
              </w:rPr>
              <w:t>开标时间前</w:t>
            </w:r>
            <w:r>
              <w:rPr>
                <w:rFonts w:hint="eastAsia" w:ascii="宋体" w:hAnsi="宋体" w:eastAsia="宋体" w:cs="宋体"/>
                <w:color w:val="auto"/>
                <w:kern w:val="0"/>
                <w:sz w:val="24"/>
                <w:szCs w:val="24"/>
              </w:rPr>
              <w:t>三个月内（含开标当月）</w:t>
            </w:r>
            <w:r>
              <w:rPr>
                <w:rFonts w:hint="eastAsia" w:ascii="宋体" w:hAnsi="宋体" w:eastAsia="宋体" w:cs="宋体"/>
                <w:color w:val="auto"/>
                <w:kern w:val="0"/>
                <w:sz w:val="24"/>
                <w:szCs w:val="24"/>
                <w:lang w:val="en-US" w:eastAsia="zh-CN"/>
              </w:rPr>
              <w:t>由</w:t>
            </w:r>
            <w:r>
              <w:rPr>
                <w:rFonts w:hint="eastAsia" w:ascii="宋体" w:hAnsi="宋体" w:eastAsia="宋体" w:cs="宋体"/>
                <w:color w:val="auto"/>
                <w:kern w:val="0"/>
                <w:sz w:val="24"/>
                <w:szCs w:val="24"/>
              </w:rPr>
              <w:t>基本开户银行出具的资信证明</w:t>
            </w:r>
            <w:r>
              <w:rPr>
                <w:rFonts w:hint="eastAsia" w:ascii="宋体" w:hAnsi="宋体" w:eastAsia="宋体" w:cs="宋体"/>
                <w:color w:val="auto"/>
                <w:kern w:val="0"/>
                <w:sz w:val="24"/>
                <w:szCs w:val="24"/>
                <w:lang w:eastAsia="zh-CN"/>
              </w:rPr>
              <w:t>；</w:t>
            </w:r>
          </w:p>
          <w:p w14:paraId="3BD2D395">
            <w:pPr>
              <w:spacing w:before="100" w:beforeAutospacing="1" w:after="100" w:afterAutospacing="1" w:line="360" w:lineRule="auto"/>
              <w:ind w:firstLine="480" w:firstLineChars="200"/>
              <w:jc w:val="left"/>
              <w:outlineLvl w:val="9"/>
              <w:rPr>
                <w:rFonts w:ascii="宋体" w:hAnsi="宋体" w:eastAsia="宋体" w:cs="Times New Roman"/>
                <w:sz w:val="24"/>
              </w:rPr>
            </w:pPr>
            <w:r>
              <w:rPr>
                <w:rFonts w:hint="default" w:ascii="宋体" w:hAnsi="宋体" w:eastAsia="宋体" w:cs="宋体"/>
                <w:color w:val="auto"/>
                <w:kern w:val="0"/>
                <w:sz w:val="24"/>
                <w:szCs w:val="24"/>
              </w:rPr>
              <w:t>③</w:t>
            </w:r>
            <w:r>
              <w:rPr>
                <w:rFonts w:hint="eastAsia" w:ascii="宋体" w:hAnsi="宋体" w:eastAsia="宋体" w:cs="宋体"/>
                <w:color w:val="auto"/>
                <w:kern w:val="0"/>
                <w:sz w:val="24"/>
                <w:szCs w:val="24"/>
              </w:rPr>
              <w:t>财政部门认可的政府采购专业担保机构出具的投标担保函</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需同时提供专业担保机构经财政部门认可的证明文件）。</w:t>
            </w:r>
          </w:p>
        </w:tc>
      </w:tr>
      <w:tr w14:paraId="454FB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371" w:type="dxa"/>
            <w:vMerge w:val="continue"/>
            <w:noWrap w:val="0"/>
            <w:vAlign w:val="center"/>
          </w:tcPr>
          <w:p w14:paraId="5E9B00B8">
            <w:pPr>
              <w:spacing w:before="100" w:beforeAutospacing="1" w:after="100" w:afterAutospacing="1" w:line="360" w:lineRule="auto"/>
              <w:outlineLvl w:val="9"/>
              <w:rPr>
                <w:rFonts w:ascii="宋体" w:hAnsi="宋体" w:eastAsia="宋体" w:cs="Times New Roman"/>
                <w:sz w:val="24"/>
              </w:rPr>
            </w:pPr>
          </w:p>
        </w:tc>
        <w:tc>
          <w:tcPr>
            <w:tcW w:w="842" w:type="dxa"/>
            <w:noWrap w:val="0"/>
            <w:vAlign w:val="center"/>
          </w:tcPr>
          <w:p w14:paraId="62D5DCBF">
            <w:pPr>
              <w:spacing w:before="100" w:beforeAutospacing="1" w:after="100" w:afterAutospacing="1" w:line="360" w:lineRule="auto"/>
              <w:jc w:val="center"/>
              <w:outlineLvl w:val="9"/>
              <w:rPr>
                <w:rFonts w:ascii="宋体" w:hAnsi="宋体" w:eastAsia="宋体" w:cs="Times New Roman"/>
                <w:sz w:val="24"/>
              </w:rPr>
            </w:pPr>
            <w:r>
              <w:rPr>
                <w:rFonts w:hint="eastAsia" w:ascii="宋体" w:hAnsi="宋体" w:eastAsia="宋体" w:cs="Times New Roman"/>
                <w:sz w:val="24"/>
              </w:rPr>
              <w:t>1.3</w:t>
            </w:r>
          </w:p>
        </w:tc>
        <w:tc>
          <w:tcPr>
            <w:tcW w:w="7782" w:type="dxa"/>
            <w:noWrap w:val="0"/>
            <w:vAlign w:val="center"/>
          </w:tcPr>
          <w:p w14:paraId="00142B05">
            <w:pPr>
              <w:spacing w:before="100" w:beforeAutospacing="1" w:after="100" w:afterAutospacing="1" w:line="360" w:lineRule="auto"/>
              <w:ind w:firstLine="480" w:firstLineChars="200"/>
              <w:jc w:val="left"/>
              <w:outlineLvl w:val="9"/>
              <w:rPr>
                <w:rFonts w:ascii="宋体" w:hAnsi="宋体" w:eastAsia="宋体" w:cs="Times New Roman"/>
                <w:sz w:val="24"/>
              </w:rPr>
            </w:pPr>
            <w:r>
              <w:rPr>
                <w:rFonts w:hint="eastAsia" w:ascii="宋体" w:hAnsi="宋体" w:eastAsia="宋体" w:cs="宋体"/>
                <w:color w:val="auto"/>
                <w:kern w:val="0"/>
                <w:sz w:val="24"/>
                <w:szCs w:val="24"/>
              </w:rPr>
              <w:t>具有履行合同所必需的设备和专业技术能力：提供书面声明或证明材料。</w:t>
            </w:r>
          </w:p>
        </w:tc>
      </w:tr>
      <w:tr w14:paraId="2D5A5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71" w:type="dxa"/>
            <w:vMerge w:val="continue"/>
            <w:noWrap w:val="0"/>
            <w:vAlign w:val="center"/>
          </w:tcPr>
          <w:p w14:paraId="198BFDC1">
            <w:pPr>
              <w:spacing w:before="100" w:beforeAutospacing="1" w:after="100" w:afterAutospacing="1" w:line="360" w:lineRule="auto"/>
              <w:outlineLvl w:val="9"/>
              <w:rPr>
                <w:rFonts w:ascii="宋体" w:hAnsi="宋体" w:eastAsia="宋体" w:cs="Times New Roman"/>
                <w:sz w:val="24"/>
              </w:rPr>
            </w:pPr>
          </w:p>
        </w:tc>
        <w:tc>
          <w:tcPr>
            <w:tcW w:w="842" w:type="dxa"/>
            <w:noWrap w:val="0"/>
            <w:vAlign w:val="center"/>
          </w:tcPr>
          <w:p w14:paraId="40164DBA">
            <w:pPr>
              <w:spacing w:before="100" w:beforeAutospacing="1" w:after="100" w:afterAutospacing="1" w:line="360" w:lineRule="auto"/>
              <w:jc w:val="center"/>
              <w:outlineLvl w:val="9"/>
              <w:rPr>
                <w:rFonts w:ascii="宋体" w:hAnsi="宋体" w:eastAsia="宋体" w:cs="Times New Roman"/>
                <w:sz w:val="24"/>
              </w:rPr>
            </w:pPr>
            <w:r>
              <w:rPr>
                <w:rFonts w:hint="eastAsia" w:ascii="宋体" w:hAnsi="宋体" w:eastAsia="宋体" w:cs="Times New Roman"/>
                <w:sz w:val="24"/>
              </w:rPr>
              <w:t>1.4</w:t>
            </w:r>
          </w:p>
        </w:tc>
        <w:tc>
          <w:tcPr>
            <w:tcW w:w="7782" w:type="dxa"/>
            <w:noWrap w:val="0"/>
            <w:vAlign w:val="center"/>
          </w:tcPr>
          <w:p w14:paraId="15C2F2DD">
            <w:pPr>
              <w:spacing w:before="100" w:beforeAutospacing="1" w:after="100" w:afterAutospacing="1" w:line="360" w:lineRule="auto"/>
              <w:ind w:firstLine="480" w:firstLineChars="200"/>
              <w:jc w:val="left"/>
              <w:outlineLvl w:val="9"/>
              <w:rPr>
                <w:rFonts w:ascii="宋体" w:hAnsi="宋体" w:eastAsia="宋体" w:cs="Times New Roman"/>
                <w:sz w:val="24"/>
              </w:rPr>
            </w:pPr>
            <w:r>
              <w:rPr>
                <w:rFonts w:hint="eastAsia" w:ascii="宋体" w:hAnsi="宋体" w:eastAsia="宋体" w:cs="宋体"/>
                <w:color w:val="auto"/>
                <w:kern w:val="0"/>
                <w:sz w:val="24"/>
                <w:szCs w:val="24"/>
              </w:rPr>
              <w:t>有依法缴纳税收和社会保障资金的良好记录：提供</w:t>
            </w:r>
            <w:r>
              <w:rPr>
                <w:rFonts w:hint="eastAsia" w:ascii="宋体" w:hAnsi="宋体" w:eastAsia="宋体" w:cs="宋体"/>
                <w:color w:val="auto"/>
                <w:kern w:val="0"/>
                <w:sz w:val="24"/>
                <w:szCs w:val="24"/>
                <w:lang w:val="en-US" w:eastAsia="zh-CN"/>
              </w:rPr>
              <w:t>2025</w:t>
            </w:r>
            <w:r>
              <w:rPr>
                <w:rFonts w:hint="eastAsia" w:ascii="宋体" w:hAnsi="宋体" w:eastAsia="宋体" w:cs="宋体"/>
                <w:color w:val="auto"/>
                <w:kern w:val="0"/>
                <w:sz w:val="24"/>
                <w:szCs w:val="24"/>
              </w:rPr>
              <w:t>年</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月至今任意3个月依法缴纳税收和社会保障资金的证明(</w:t>
            </w:r>
            <w:r>
              <w:rPr>
                <w:rFonts w:hint="eastAsia" w:ascii="宋体" w:hAnsi="宋体" w:eastAsia="宋体" w:cs="宋体"/>
                <w:color w:val="auto"/>
                <w:kern w:val="0"/>
                <w:sz w:val="24"/>
                <w:szCs w:val="24"/>
                <w:lang w:val="en-US" w:eastAsia="zh-CN"/>
              </w:rPr>
              <w:t>若投标人成立时间不足</w:t>
            </w:r>
            <w:r>
              <w:rPr>
                <w:rFonts w:hint="eastAsia" w:ascii="宋体" w:hAnsi="宋体" w:eastAsia="宋体" w:cs="宋体"/>
                <w:color w:val="auto"/>
                <w:kern w:val="0"/>
                <w:sz w:val="24"/>
                <w:szCs w:val="24"/>
              </w:rPr>
              <w:t>3个月</w:t>
            </w:r>
            <w:r>
              <w:rPr>
                <w:rFonts w:hint="eastAsia" w:ascii="宋体" w:hAnsi="宋体" w:eastAsia="宋体" w:cs="宋体"/>
                <w:color w:val="auto"/>
                <w:kern w:val="0"/>
                <w:sz w:val="24"/>
                <w:szCs w:val="24"/>
                <w:lang w:val="en-US" w:eastAsia="zh-CN"/>
              </w:rPr>
              <w:t>的，</w:t>
            </w:r>
            <w:r>
              <w:rPr>
                <w:rFonts w:hint="eastAsia" w:ascii="宋体" w:hAnsi="宋体" w:eastAsia="宋体" w:cs="宋体"/>
                <w:color w:val="auto"/>
                <w:kern w:val="0"/>
                <w:sz w:val="24"/>
                <w:szCs w:val="24"/>
              </w:rPr>
              <w:t>提供成立以来的税收和社会保障资金缴纳凭据；依法免税或不需要缴纳社会保障资金的投标人，应提供相应文件证明其依法免税或不需要缴纳社会保障资金)</w:t>
            </w:r>
            <w:r>
              <w:rPr>
                <w:rFonts w:hint="eastAsia" w:ascii="宋体" w:hAnsi="宋体" w:eastAsia="宋体" w:cs="宋体"/>
                <w:color w:val="auto"/>
                <w:kern w:val="0"/>
                <w:sz w:val="24"/>
                <w:szCs w:val="24"/>
                <w:lang w:eastAsia="zh-CN"/>
              </w:rPr>
              <w:t>。</w:t>
            </w:r>
          </w:p>
        </w:tc>
      </w:tr>
      <w:tr w14:paraId="0E42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371" w:type="dxa"/>
            <w:vMerge w:val="continue"/>
            <w:noWrap w:val="0"/>
            <w:vAlign w:val="center"/>
          </w:tcPr>
          <w:p w14:paraId="010E4422">
            <w:pPr>
              <w:spacing w:before="100" w:beforeAutospacing="1" w:after="100" w:afterAutospacing="1" w:line="360" w:lineRule="auto"/>
              <w:outlineLvl w:val="9"/>
              <w:rPr>
                <w:rFonts w:ascii="宋体" w:hAnsi="宋体" w:eastAsia="宋体" w:cs="Times New Roman"/>
                <w:sz w:val="24"/>
              </w:rPr>
            </w:pPr>
          </w:p>
        </w:tc>
        <w:tc>
          <w:tcPr>
            <w:tcW w:w="842" w:type="dxa"/>
            <w:noWrap w:val="0"/>
            <w:vAlign w:val="center"/>
          </w:tcPr>
          <w:p w14:paraId="7E96AE08">
            <w:pPr>
              <w:spacing w:before="100" w:beforeAutospacing="1" w:after="100" w:afterAutospacing="1" w:line="360" w:lineRule="auto"/>
              <w:jc w:val="center"/>
              <w:outlineLvl w:val="9"/>
              <w:rPr>
                <w:rFonts w:ascii="宋体" w:hAnsi="宋体" w:eastAsia="宋体" w:cs="Times New Roman"/>
                <w:sz w:val="24"/>
              </w:rPr>
            </w:pPr>
            <w:r>
              <w:rPr>
                <w:rFonts w:hint="eastAsia" w:ascii="宋体" w:hAnsi="宋体" w:eastAsia="宋体" w:cs="Times New Roman"/>
                <w:sz w:val="24"/>
              </w:rPr>
              <w:t>1.5</w:t>
            </w:r>
          </w:p>
        </w:tc>
        <w:tc>
          <w:tcPr>
            <w:tcW w:w="7782" w:type="dxa"/>
            <w:noWrap w:val="0"/>
            <w:vAlign w:val="center"/>
          </w:tcPr>
          <w:p w14:paraId="0A7B5D6E">
            <w:pPr>
              <w:spacing w:before="100" w:beforeAutospacing="1" w:after="100" w:afterAutospacing="1" w:line="360" w:lineRule="auto"/>
              <w:ind w:firstLine="480" w:firstLineChars="200"/>
              <w:jc w:val="left"/>
              <w:outlineLvl w:val="9"/>
              <w:rPr>
                <w:rFonts w:ascii="宋体" w:hAnsi="宋体" w:eastAsia="宋体" w:cs="Times New Roman"/>
                <w:sz w:val="24"/>
              </w:rPr>
            </w:pPr>
            <w:r>
              <w:rPr>
                <w:rFonts w:hint="eastAsia" w:ascii="宋体" w:hAnsi="宋体" w:eastAsia="宋体" w:cs="宋体"/>
                <w:color w:val="auto"/>
                <w:kern w:val="0"/>
                <w:sz w:val="24"/>
                <w:szCs w:val="24"/>
              </w:rPr>
              <w:t>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w:t>
            </w:r>
            <w:r>
              <w:rPr>
                <w:rFonts w:hint="eastAsia" w:ascii="宋体" w:hAnsi="宋体" w:eastAsia="宋体" w:cs="宋体"/>
                <w:color w:val="auto"/>
                <w:kern w:val="0"/>
                <w:sz w:val="24"/>
                <w:szCs w:val="24"/>
                <w:lang w:eastAsia="zh-CN"/>
              </w:rPr>
              <w:t>。</w:t>
            </w:r>
          </w:p>
        </w:tc>
      </w:tr>
      <w:tr w14:paraId="085DB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71" w:type="dxa"/>
            <w:vMerge w:val="continue"/>
            <w:noWrap w:val="0"/>
            <w:vAlign w:val="center"/>
          </w:tcPr>
          <w:p w14:paraId="2867C216">
            <w:pPr>
              <w:spacing w:before="100" w:beforeAutospacing="1" w:after="100" w:afterAutospacing="1" w:line="360" w:lineRule="auto"/>
              <w:outlineLvl w:val="9"/>
              <w:rPr>
                <w:rFonts w:ascii="宋体" w:hAnsi="宋体" w:eastAsia="宋体" w:cs="Times New Roman"/>
                <w:sz w:val="24"/>
              </w:rPr>
            </w:pPr>
          </w:p>
        </w:tc>
        <w:tc>
          <w:tcPr>
            <w:tcW w:w="842" w:type="dxa"/>
            <w:noWrap w:val="0"/>
            <w:vAlign w:val="center"/>
          </w:tcPr>
          <w:p w14:paraId="3EC32E05">
            <w:pPr>
              <w:spacing w:before="100" w:beforeAutospacing="1" w:after="100" w:afterAutospacing="1" w:line="360" w:lineRule="auto"/>
              <w:jc w:val="center"/>
              <w:outlineLvl w:val="9"/>
              <w:rPr>
                <w:rFonts w:ascii="宋体" w:hAnsi="宋体" w:eastAsia="宋体" w:cs="Times New Roman"/>
                <w:sz w:val="24"/>
              </w:rPr>
            </w:pPr>
            <w:r>
              <w:rPr>
                <w:rFonts w:hint="eastAsia" w:ascii="宋体" w:hAnsi="宋体" w:eastAsia="宋体" w:cs="Times New Roman"/>
                <w:sz w:val="24"/>
              </w:rPr>
              <w:t>1.6</w:t>
            </w:r>
          </w:p>
        </w:tc>
        <w:tc>
          <w:tcPr>
            <w:tcW w:w="7782" w:type="dxa"/>
            <w:noWrap w:val="0"/>
            <w:vAlign w:val="center"/>
          </w:tcPr>
          <w:p w14:paraId="70FD4641">
            <w:pPr>
              <w:spacing w:line="360" w:lineRule="auto"/>
              <w:ind w:firstLine="480" w:firstLineChars="200"/>
              <w:outlineLvl w:val="9"/>
              <w:rPr>
                <w:rFonts w:hint="eastAsia" w:ascii="宋体" w:hAnsi="宋体" w:eastAsia="宋体" w:cs="Times New Roman"/>
                <w:sz w:val="24"/>
              </w:rPr>
            </w:pPr>
            <w:r>
              <w:rPr>
                <w:rFonts w:hint="eastAsia" w:ascii="宋体" w:hAnsi="宋体" w:eastAsia="宋体" w:cs="宋体"/>
                <w:color w:val="auto"/>
                <w:kern w:val="0"/>
                <w:sz w:val="24"/>
                <w:szCs w:val="24"/>
              </w:rPr>
              <w:t>1.6符合法律、行政法规规定的其他条件：</w:t>
            </w:r>
          </w:p>
          <w:p w14:paraId="1699122E">
            <w:pPr>
              <w:spacing w:line="360" w:lineRule="auto"/>
              <w:ind w:firstLine="480" w:firstLineChars="200"/>
              <w:outlineLvl w:val="9"/>
              <w:rPr>
                <w:rFonts w:hint="eastAsia" w:ascii="宋体" w:hAnsi="宋体" w:eastAsia="宋体" w:cs="宋体"/>
                <w:color w:val="auto"/>
                <w:kern w:val="0"/>
                <w:sz w:val="24"/>
                <w:szCs w:val="24"/>
                <w:lang w:eastAsia="zh-CN"/>
              </w:rPr>
            </w:pPr>
            <w:r>
              <w:rPr>
                <w:rFonts w:hint="eastAsia" w:ascii="宋体" w:hAnsi="宋体" w:eastAsia="宋体" w:cs="Times New Roman"/>
                <w:sz w:val="24"/>
                <w:lang w:val="en-US" w:eastAsia="zh-CN"/>
              </w:rPr>
              <w:t>1.6.1</w:t>
            </w:r>
            <w:r>
              <w:rPr>
                <w:rFonts w:hint="eastAsia" w:ascii="宋体" w:hAnsi="宋体" w:eastAsia="宋体" w:cs="宋体"/>
                <w:color w:val="auto"/>
                <w:kern w:val="0"/>
                <w:sz w:val="24"/>
                <w:szCs w:val="24"/>
              </w:rPr>
              <w:t>单位负责人为同一人或者存在直接控股、管理关系的不同投标人，不得参加同一合同项下的政府采购活动，提供承诺书</w:t>
            </w:r>
            <w:r>
              <w:rPr>
                <w:rFonts w:hint="eastAsia" w:ascii="宋体" w:hAnsi="宋体" w:eastAsia="宋体" w:cs="宋体"/>
                <w:color w:val="auto"/>
                <w:kern w:val="0"/>
                <w:sz w:val="24"/>
                <w:szCs w:val="24"/>
                <w:lang w:eastAsia="zh-CN"/>
              </w:rPr>
              <w:t>；</w:t>
            </w:r>
          </w:p>
          <w:p w14:paraId="740BE187">
            <w:pPr>
              <w:spacing w:line="360" w:lineRule="auto"/>
              <w:ind w:firstLine="480" w:firstLineChars="200"/>
              <w:outlineLvl w:val="9"/>
              <w:rPr>
                <w:rFonts w:hint="default" w:ascii="宋体" w:hAnsi="宋体" w:eastAsia="宋体" w:cs="Times New Roman"/>
                <w:sz w:val="24"/>
                <w:lang w:val="en-US" w:eastAsia="zh-CN"/>
              </w:rPr>
            </w:pPr>
            <w:r>
              <w:rPr>
                <w:rFonts w:hint="eastAsia" w:ascii="宋体" w:hAnsi="宋体" w:eastAsia="宋体" w:cs="Times New Roman"/>
                <w:sz w:val="24"/>
                <w:lang w:val="en-US" w:eastAsia="zh-CN"/>
              </w:rPr>
              <w:t>1.6.2为采购项目提供整体设计、规范编制或者项目管理、监理、检测等服务的投标人，不得再参加该采购项目的其他采购活动</w:t>
            </w:r>
            <w:r>
              <w:rPr>
                <w:rFonts w:hint="eastAsia" w:ascii="宋体" w:hAnsi="宋体" w:eastAsia="宋体" w:cs="宋体"/>
                <w:color w:val="auto"/>
                <w:kern w:val="0"/>
                <w:sz w:val="24"/>
                <w:szCs w:val="24"/>
              </w:rPr>
              <w:t>，提供承诺书</w:t>
            </w:r>
            <w:r>
              <w:rPr>
                <w:rFonts w:hint="eastAsia" w:ascii="宋体" w:hAnsi="宋体" w:eastAsia="宋体" w:cs="Times New Roman"/>
                <w:sz w:val="24"/>
                <w:lang w:val="en-US" w:eastAsia="zh-CN"/>
              </w:rPr>
              <w:t>；</w:t>
            </w:r>
          </w:p>
          <w:p w14:paraId="5BA81008">
            <w:pPr>
              <w:spacing w:line="360" w:lineRule="auto"/>
              <w:ind w:firstLine="480" w:firstLineChars="200"/>
              <w:outlineLvl w:val="9"/>
              <w:rPr>
                <w:rFonts w:hint="eastAsia" w:ascii="宋体" w:hAnsi="宋体" w:eastAsia="宋体" w:cs="Times New Roman"/>
                <w:sz w:val="24"/>
                <w:lang w:val="en-US" w:eastAsia="zh-CN"/>
              </w:rPr>
            </w:pPr>
            <w:r>
              <w:rPr>
                <w:rFonts w:hint="eastAsia" w:ascii="宋体" w:hAnsi="宋体" w:eastAsia="宋体" w:cs="Times New Roman"/>
                <w:sz w:val="24"/>
                <w:lang w:val="en-US" w:eastAsia="zh-CN"/>
              </w:rPr>
              <w:t>1.6.3投标人若中标，不得以任何形式进行转包，提供承诺书；</w:t>
            </w:r>
          </w:p>
          <w:p w14:paraId="6C0D0F0E">
            <w:pPr>
              <w:spacing w:line="360" w:lineRule="auto"/>
              <w:ind w:firstLine="480" w:firstLineChars="200"/>
              <w:outlineLvl w:val="9"/>
              <w:rPr>
                <w:rFonts w:ascii="宋体" w:hAnsi="宋体" w:eastAsia="宋体" w:cs="Times New Roman"/>
                <w:sz w:val="24"/>
              </w:rPr>
            </w:pPr>
            <w:r>
              <w:rPr>
                <w:rFonts w:hint="eastAsia" w:ascii="宋体" w:hAnsi="宋体" w:eastAsia="宋体" w:cs="Times New Roman"/>
                <w:sz w:val="24"/>
                <w:lang w:val="en-US" w:eastAsia="zh-CN"/>
              </w:rPr>
              <w:t>1.6.4投标人未被列入“信用中国”（www.creditchina.gov.cn）失信被执行人、重大税收违法失信主体及“中国政府采购网”（www.ccgp.gov.cn）政府采购严重违法失信行为记录名单，（采购代理机构将于评标前对投标人进行信用信息查询。查询记录为上述网站信用信息查询结果的网页截图或网页打印稿。）</w:t>
            </w:r>
          </w:p>
        </w:tc>
      </w:tr>
      <w:tr w14:paraId="2590A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371" w:type="dxa"/>
            <w:vMerge w:val="continue"/>
            <w:noWrap w:val="0"/>
            <w:vAlign w:val="center"/>
          </w:tcPr>
          <w:p w14:paraId="30660DEB">
            <w:pPr>
              <w:spacing w:before="100" w:beforeAutospacing="1" w:after="100" w:afterAutospacing="1" w:line="360" w:lineRule="auto"/>
              <w:outlineLvl w:val="9"/>
              <w:rPr>
                <w:rFonts w:ascii="宋体" w:hAnsi="宋体" w:eastAsia="宋体" w:cs="Times New Roman"/>
                <w:sz w:val="24"/>
              </w:rPr>
            </w:pPr>
          </w:p>
        </w:tc>
        <w:tc>
          <w:tcPr>
            <w:tcW w:w="842" w:type="dxa"/>
            <w:noWrap w:val="0"/>
            <w:vAlign w:val="center"/>
          </w:tcPr>
          <w:p w14:paraId="16CE1532">
            <w:pPr>
              <w:spacing w:before="100" w:beforeAutospacing="1" w:after="100" w:afterAutospacing="1" w:line="360" w:lineRule="auto"/>
              <w:jc w:val="center"/>
              <w:outlineLvl w:val="9"/>
              <w:rPr>
                <w:rFonts w:ascii="宋体" w:hAnsi="宋体" w:eastAsia="宋体" w:cs="Times New Roman"/>
                <w:b/>
                <w:sz w:val="24"/>
              </w:rPr>
            </w:pPr>
            <w:r>
              <w:rPr>
                <w:rFonts w:hint="eastAsia" w:ascii="宋体" w:hAnsi="宋体" w:eastAsia="宋体" w:cs="Times New Roman"/>
                <w:b/>
                <w:sz w:val="24"/>
              </w:rPr>
              <w:t>2</w:t>
            </w:r>
          </w:p>
        </w:tc>
        <w:tc>
          <w:tcPr>
            <w:tcW w:w="7782" w:type="dxa"/>
            <w:noWrap w:val="0"/>
            <w:vAlign w:val="center"/>
          </w:tcPr>
          <w:p w14:paraId="76F36A85">
            <w:pPr>
              <w:spacing w:before="100" w:beforeAutospacing="1" w:after="100" w:afterAutospacing="1" w:line="360" w:lineRule="auto"/>
              <w:ind w:firstLine="480" w:firstLineChars="200"/>
              <w:jc w:val="left"/>
              <w:outlineLvl w:val="9"/>
              <w:rPr>
                <w:rFonts w:hint="eastAsia" w:ascii="宋体" w:hAnsi="宋体" w:eastAsia="宋体" w:cs="Times New Roman"/>
                <w:b/>
                <w:sz w:val="24"/>
              </w:rPr>
            </w:pPr>
            <w:r>
              <w:rPr>
                <w:rFonts w:hint="eastAsia" w:ascii="宋体" w:hAnsi="宋体" w:eastAsia="宋体" w:cs="Times New Roman"/>
                <w:b/>
                <w:sz w:val="24"/>
              </w:rPr>
              <w:t>落实政府采购政策需满足的资格要求：</w:t>
            </w:r>
            <w:r>
              <w:rPr>
                <w:rFonts w:hint="eastAsia" w:ascii="宋体" w:hAnsi="宋体" w:eastAsia="宋体" w:cs="宋体"/>
                <w:color w:val="000000"/>
                <w:kern w:val="0"/>
                <w:sz w:val="24"/>
                <w:highlight w:val="none"/>
              </w:rPr>
              <w:t>本项目</w:t>
            </w:r>
            <w:r>
              <w:rPr>
                <w:rFonts w:hint="eastAsia" w:ascii="宋体" w:hAnsi="宋体" w:eastAsia="宋体" w:cs="宋体"/>
                <w:color w:val="000000"/>
                <w:kern w:val="0"/>
                <w:sz w:val="24"/>
                <w:highlight w:val="none"/>
                <w:lang w:val="en-US" w:eastAsia="zh-CN"/>
              </w:rPr>
              <w:t>非</w:t>
            </w:r>
            <w:r>
              <w:rPr>
                <w:rFonts w:hint="eastAsia" w:ascii="宋体" w:hAnsi="宋体" w:eastAsia="宋体" w:cs="宋体"/>
                <w:color w:val="000000"/>
                <w:kern w:val="0"/>
                <w:sz w:val="24"/>
                <w:highlight w:val="none"/>
              </w:rPr>
              <w:t>专门面向中小企业采购的项目</w:t>
            </w:r>
            <w:r>
              <w:rPr>
                <w:rFonts w:hint="eastAsia" w:ascii="宋体" w:hAnsi="宋体" w:eastAsia="宋体" w:cs="宋体"/>
                <w:kern w:val="0"/>
                <w:sz w:val="24"/>
                <w:szCs w:val="24"/>
                <w:highlight w:val="none"/>
                <w:lang w:val="en-US" w:eastAsia="zh-CN"/>
              </w:rPr>
              <w:t>。</w:t>
            </w:r>
          </w:p>
        </w:tc>
      </w:tr>
      <w:tr w14:paraId="2AD36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371" w:type="dxa"/>
            <w:vMerge w:val="continue"/>
            <w:noWrap w:val="0"/>
            <w:vAlign w:val="center"/>
          </w:tcPr>
          <w:p w14:paraId="45370C60">
            <w:pPr>
              <w:spacing w:before="100" w:beforeAutospacing="1" w:after="100" w:afterAutospacing="1" w:line="360" w:lineRule="auto"/>
              <w:outlineLvl w:val="9"/>
              <w:rPr>
                <w:rFonts w:ascii="宋体" w:hAnsi="宋体" w:eastAsia="宋体" w:cs="Times New Roman"/>
                <w:sz w:val="24"/>
              </w:rPr>
            </w:pPr>
          </w:p>
        </w:tc>
        <w:tc>
          <w:tcPr>
            <w:tcW w:w="842" w:type="dxa"/>
            <w:noWrap w:val="0"/>
            <w:vAlign w:val="center"/>
          </w:tcPr>
          <w:p w14:paraId="621D826E">
            <w:pPr>
              <w:spacing w:before="100" w:beforeAutospacing="1" w:after="100" w:afterAutospacing="1" w:line="360" w:lineRule="auto"/>
              <w:jc w:val="center"/>
              <w:outlineLvl w:val="9"/>
              <w:rPr>
                <w:rFonts w:ascii="宋体" w:hAnsi="宋体" w:eastAsia="宋体" w:cs="Times New Roman"/>
                <w:b/>
                <w:sz w:val="24"/>
              </w:rPr>
            </w:pPr>
            <w:r>
              <w:rPr>
                <w:rFonts w:hint="eastAsia" w:ascii="宋体" w:hAnsi="宋体" w:eastAsia="宋体" w:cs="Times New Roman"/>
                <w:b/>
                <w:sz w:val="24"/>
              </w:rPr>
              <w:t>3</w:t>
            </w:r>
          </w:p>
        </w:tc>
        <w:tc>
          <w:tcPr>
            <w:tcW w:w="7782" w:type="dxa"/>
            <w:noWrap w:val="0"/>
            <w:vAlign w:val="center"/>
          </w:tcPr>
          <w:p w14:paraId="724D0254">
            <w:pPr>
              <w:spacing w:before="100" w:beforeAutospacing="1" w:after="100" w:afterAutospacing="1" w:line="360" w:lineRule="auto"/>
              <w:ind w:firstLine="480" w:firstLineChars="200"/>
              <w:jc w:val="left"/>
              <w:outlineLvl w:val="9"/>
              <w:rPr>
                <w:rFonts w:ascii="宋体" w:hAnsi="宋体" w:eastAsia="宋体" w:cs="Times New Roman"/>
                <w:b/>
                <w:sz w:val="24"/>
              </w:rPr>
            </w:pPr>
            <w:r>
              <w:rPr>
                <w:rFonts w:hint="eastAsia" w:ascii="宋体" w:hAnsi="宋体" w:eastAsia="宋体" w:cs="Times New Roman"/>
                <w:b/>
                <w:sz w:val="24"/>
              </w:rPr>
              <w:t>本项目的特定资格要求：</w:t>
            </w:r>
            <w:r>
              <w:rPr>
                <w:rFonts w:hint="eastAsia" w:ascii="宋体" w:hAnsi="宋体" w:eastAsia="宋体" w:cs="Times New Roman"/>
                <w:sz w:val="24"/>
                <w:lang w:val="en-US" w:eastAsia="zh-CN"/>
              </w:rPr>
              <w:t>投标人应当具备有效的《食品生产许可证》或《食品经营许可证》（属于销售食用农产品等法律、法规规定的不需要取得食品经营许可情形的，提供相关情况说明），所投产品必须符合国家食品质量标准。</w:t>
            </w:r>
          </w:p>
        </w:tc>
      </w:tr>
    </w:tbl>
    <w:p w14:paraId="41DF286A">
      <w:pPr>
        <w:keepNext/>
        <w:tabs>
          <w:tab w:val="left" w:pos="360"/>
          <w:tab w:val="left" w:pos="1021"/>
        </w:tabs>
        <w:adjustRightInd w:val="0"/>
        <w:spacing w:line="360" w:lineRule="auto"/>
        <w:textAlignment w:val="baseline"/>
        <w:outlineLvl w:val="9"/>
        <w:rPr>
          <w:rFonts w:ascii="宋体" w:hAnsi="宋体" w:cs="宋体"/>
          <w:b/>
          <w:kern w:val="0"/>
          <w:sz w:val="24"/>
        </w:rPr>
      </w:pPr>
      <w:bookmarkStart w:id="153" w:name="_Toc32158"/>
      <w:bookmarkStart w:id="154" w:name="_Toc70446120"/>
      <w:r>
        <w:rPr>
          <w:rFonts w:hint="eastAsia" w:ascii="宋体" w:hAnsi="宋体" w:cs="宋体"/>
          <w:b/>
          <w:kern w:val="0"/>
          <w:sz w:val="24"/>
        </w:rPr>
        <w:t>1. 资格审查</w:t>
      </w:r>
      <w:bookmarkEnd w:id="153"/>
      <w:bookmarkEnd w:id="154"/>
    </w:p>
    <w:p w14:paraId="1D012252">
      <w:pPr>
        <w:ind w:firstLine="480" w:firstLineChars="200"/>
        <w:outlineLvl w:val="9"/>
        <w:rPr>
          <w:rFonts w:ascii="宋体" w:hAnsi="宋体" w:cs="宋体"/>
          <w:sz w:val="24"/>
        </w:rPr>
      </w:pPr>
      <w:r>
        <w:rPr>
          <w:rFonts w:hint="eastAsia" w:ascii="宋体" w:hAnsi="宋体" w:cs="宋体"/>
          <w:sz w:val="24"/>
        </w:rPr>
        <w:t>公开招标采购项目开标结束后，采购代理机构依法对投标人的资格进行审查。</w:t>
      </w:r>
    </w:p>
    <w:p w14:paraId="1D68F58D">
      <w:pPr>
        <w:keepNext/>
        <w:tabs>
          <w:tab w:val="left" w:pos="360"/>
          <w:tab w:val="left" w:pos="1021"/>
        </w:tabs>
        <w:adjustRightInd w:val="0"/>
        <w:spacing w:line="360" w:lineRule="auto"/>
        <w:textAlignment w:val="baseline"/>
        <w:outlineLvl w:val="9"/>
        <w:rPr>
          <w:rFonts w:ascii="宋体" w:hAnsi="宋体" w:cs="宋体"/>
          <w:b/>
          <w:kern w:val="0"/>
          <w:sz w:val="24"/>
        </w:rPr>
      </w:pPr>
      <w:bookmarkStart w:id="155" w:name="_Toc30004"/>
      <w:bookmarkStart w:id="156" w:name="_Toc70446121"/>
      <w:r>
        <w:rPr>
          <w:rFonts w:hint="eastAsia" w:ascii="宋体" w:hAnsi="宋体" w:cs="宋体"/>
          <w:b/>
          <w:kern w:val="0"/>
          <w:sz w:val="24"/>
        </w:rPr>
        <w:t>2. 资格审查标准</w:t>
      </w:r>
      <w:bookmarkEnd w:id="155"/>
      <w:bookmarkEnd w:id="156"/>
    </w:p>
    <w:p w14:paraId="1DBAA4AE">
      <w:pPr>
        <w:spacing w:line="360" w:lineRule="auto"/>
        <w:ind w:firstLine="480" w:firstLineChars="200"/>
        <w:jc w:val="left"/>
        <w:outlineLvl w:val="9"/>
        <w:rPr>
          <w:rFonts w:ascii="宋体" w:hAnsi="宋体" w:cs="宋体"/>
          <w:sz w:val="24"/>
        </w:rPr>
      </w:pPr>
      <w:r>
        <w:rPr>
          <w:rFonts w:hint="eastAsia" w:ascii="宋体" w:hAnsi="宋体" w:cs="宋体"/>
          <w:sz w:val="24"/>
        </w:rPr>
        <w:t>资格审查标准：依据法律法规和招标文件的规定，对投标文件中的资格条件以及证明文件等进行审查，以确定投标人是否具备投标资格；见资格审查前附表。</w:t>
      </w:r>
    </w:p>
    <w:p w14:paraId="6CF789B6">
      <w:pPr>
        <w:keepNext/>
        <w:tabs>
          <w:tab w:val="left" w:pos="360"/>
          <w:tab w:val="left" w:pos="1021"/>
        </w:tabs>
        <w:adjustRightInd w:val="0"/>
        <w:spacing w:line="360" w:lineRule="auto"/>
        <w:textAlignment w:val="baseline"/>
        <w:outlineLvl w:val="9"/>
        <w:rPr>
          <w:rFonts w:ascii="宋体" w:hAnsi="宋体" w:cs="宋体"/>
          <w:b/>
          <w:kern w:val="0"/>
          <w:sz w:val="24"/>
        </w:rPr>
      </w:pPr>
      <w:bookmarkStart w:id="157" w:name="_Toc70446122"/>
      <w:bookmarkStart w:id="158" w:name="_Toc17507"/>
      <w:r>
        <w:rPr>
          <w:rFonts w:hint="eastAsia" w:ascii="宋体" w:hAnsi="宋体" w:cs="宋体"/>
          <w:b/>
          <w:kern w:val="0"/>
          <w:sz w:val="24"/>
        </w:rPr>
        <w:t>3. 资格审查程序</w:t>
      </w:r>
      <w:bookmarkEnd w:id="157"/>
      <w:bookmarkEnd w:id="158"/>
    </w:p>
    <w:p w14:paraId="554EDBE5">
      <w:pPr>
        <w:tabs>
          <w:tab w:val="left" w:pos="2472"/>
        </w:tabs>
        <w:spacing w:line="360" w:lineRule="auto"/>
        <w:ind w:firstLine="480" w:firstLineChars="200"/>
        <w:outlineLvl w:val="9"/>
        <w:rPr>
          <w:rFonts w:hint="eastAsia" w:ascii="宋体" w:hAnsi="宋体" w:cs="宋体"/>
          <w:sz w:val="24"/>
        </w:rPr>
      </w:pPr>
      <w:r>
        <w:rPr>
          <w:rFonts w:hint="eastAsia" w:ascii="宋体" w:hAnsi="宋体" w:cs="宋体"/>
          <w:sz w:val="24"/>
        </w:rPr>
        <w:t>采购代理机构依据本章规定的标准对投标文件进行资格审查。有一项不符合审查标准的，投标无效。</w:t>
      </w:r>
    </w:p>
    <w:p w14:paraId="3EE63CF3">
      <w:pPr>
        <w:tabs>
          <w:tab w:val="left" w:pos="2472"/>
        </w:tabs>
        <w:spacing w:line="360" w:lineRule="auto"/>
        <w:ind w:firstLine="480" w:firstLineChars="200"/>
        <w:outlineLvl w:val="9"/>
        <w:rPr>
          <w:rFonts w:ascii="宋体" w:hAnsi="宋体" w:cs="宋体"/>
          <w:b/>
          <w:sz w:val="24"/>
          <w:u w:val="single"/>
        </w:rPr>
      </w:pPr>
      <w:r>
        <w:rPr>
          <w:rFonts w:hint="eastAsia" w:ascii="宋体" w:hAnsi="宋体" w:cs="宋体"/>
          <w:b/>
          <w:sz w:val="24"/>
          <w:u w:val="single"/>
        </w:rPr>
        <w:t>注：合格投标人不足3家的，不再进入评标程序，作废标处理。</w:t>
      </w:r>
    </w:p>
    <w:p w14:paraId="1C29958B">
      <w:pPr>
        <w:pStyle w:val="28"/>
        <w:outlineLvl w:val="0"/>
        <w:rPr>
          <w:rFonts w:hint="eastAsia" w:ascii="宋体" w:hAnsi="宋体"/>
          <w:szCs w:val="21"/>
        </w:rPr>
      </w:pPr>
      <w:r>
        <w:rPr>
          <w:rFonts w:ascii="宋体" w:hAnsi="宋体"/>
          <w:bCs w:val="0"/>
          <w:kern w:val="44"/>
          <w:sz w:val="36"/>
          <w:szCs w:val="20"/>
        </w:rPr>
        <w:br w:type="page"/>
      </w:r>
      <w:bookmarkStart w:id="159" w:name="_Toc10331"/>
      <w:bookmarkStart w:id="160" w:name="_Toc14489"/>
      <w:bookmarkStart w:id="161" w:name="_Toc70446123"/>
      <w:bookmarkStart w:id="162" w:name="_Toc27038"/>
      <w:bookmarkStart w:id="163" w:name="_Toc27216"/>
      <w:bookmarkStart w:id="164" w:name="_Toc63070523"/>
      <w:r>
        <w:rPr>
          <w:rFonts w:hint="eastAsia" w:ascii="宋体" w:hAnsi="宋体"/>
          <w:sz w:val="36"/>
        </w:rPr>
        <w:t>第七章 评标方法（综合评分法）</w:t>
      </w:r>
      <w:bookmarkEnd w:id="159"/>
      <w:bookmarkEnd w:id="160"/>
      <w:bookmarkEnd w:id="161"/>
      <w:bookmarkEnd w:id="162"/>
      <w:bookmarkEnd w:id="163"/>
      <w:bookmarkEnd w:id="164"/>
    </w:p>
    <w:p w14:paraId="0CC5D692">
      <w:pPr>
        <w:tabs>
          <w:tab w:val="left" w:pos="1021"/>
        </w:tabs>
        <w:ind w:left="420" w:leftChars="200" w:firstLine="514" w:firstLineChars="245"/>
        <w:jc w:val="center"/>
        <w:outlineLvl w:val="9"/>
        <w:rPr>
          <w:rFonts w:hint="eastAsia" w:ascii="宋体" w:hAnsi="宋体" w:eastAsia="宋体"/>
        </w:rPr>
      </w:pPr>
      <w:bookmarkStart w:id="165" w:name="_Toc70446124"/>
      <w:bookmarkStart w:id="166" w:name="_Toc402942147"/>
      <w:bookmarkStart w:id="167" w:name="_Toc398126394"/>
      <w:r>
        <w:rPr>
          <w:rFonts w:hint="eastAsia" w:ascii="宋体" w:hAnsi="宋体" w:eastAsia="宋体"/>
        </w:rPr>
        <w:t>评标方法前附表</w:t>
      </w:r>
      <w:bookmarkEnd w:id="165"/>
      <w:bookmarkEnd w:id="166"/>
      <w:bookmarkEnd w:id="167"/>
    </w:p>
    <w:tbl>
      <w:tblPr>
        <w:tblStyle w:val="32"/>
        <w:tblW w:w="10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276"/>
        <w:gridCol w:w="1570"/>
        <w:gridCol w:w="6226"/>
      </w:tblGrid>
      <w:tr w14:paraId="0CF6E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973" w:type="dxa"/>
            <w:noWrap w:val="0"/>
            <w:vAlign w:val="center"/>
          </w:tcPr>
          <w:p w14:paraId="3F85F4B3">
            <w:pPr>
              <w:spacing w:before="100" w:beforeAutospacing="1" w:after="100" w:afterAutospacing="1"/>
              <w:jc w:val="center"/>
              <w:outlineLvl w:val="9"/>
              <w:rPr>
                <w:rFonts w:ascii="宋体" w:hAnsi="宋体" w:eastAsia="宋体" w:cs="Times New Roman"/>
                <w:b/>
                <w:szCs w:val="21"/>
              </w:rPr>
            </w:pPr>
            <w:r>
              <w:rPr>
                <w:rFonts w:hint="eastAsia" w:ascii="宋体" w:hAnsi="宋体" w:eastAsia="宋体" w:cs="Times New Roman"/>
                <w:b/>
                <w:szCs w:val="21"/>
              </w:rPr>
              <w:t>条款号</w:t>
            </w:r>
          </w:p>
        </w:tc>
        <w:tc>
          <w:tcPr>
            <w:tcW w:w="1276" w:type="dxa"/>
            <w:noWrap w:val="0"/>
            <w:vAlign w:val="center"/>
          </w:tcPr>
          <w:p w14:paraId="56C54750">
            <w:pPr>
              <w:spacing w:before="100" w:beforeAutospacing="1" w:after="100" w:afterAutospacing="1"/>
              <w:jc w:val="center"/>
              <w:outlineLvl w:val="9"/>
              <w:rPr>
                <w:rFonts w:ascii="宋体" w:hAnsi="宋体" w:eastAsia="宋体" w:cs="Times New Roman"/>
                <w:b/>
                <w:szCs w:val="21"/>
              </w:rPr>
            </w:pPr>
            <w:r>
              <w:rPr>
                <w:rFonts w:hint="eastAsia" w:ascii="宋体" w:hAnsi="宋体" w:eastAsia="宋体" w:cs="Times New Roman"/>
                <w:b/>
                <w:szCs w:val="21"/>
              </w:rPr>
              <w:t>评审程序</w:t>
            </w:r>
          </w:p>
        </w:tc>
        <w:tc>
          <w:tcPr>
            <w:tcW w:w="7796" w:type="dxa"/>
            <w:gridSpan w:val="2"/>
            <w:noWrap w:val="0"/>
            <w:vAlign w:val="center"/>
          </w:tcPr>
          <w:p w14:paraId="4AF60FF5">
            <w:pPr>
              <w:spacing w:before="100" w:beforeAutospacing="1" w:after="100" w:afterAutospacing="1"/>
              <w:jc w:val="center"/>
              <w:outlineLvl w:val="9"/>
              <w:rPr>
                <w:rFonts w:ascii="宋体" w:hAnsi="宋体" w:eastAsia="宋体" w:cs="Times New Roman"/>
                <w:b/>
                <w:szCs w:val="21"/>
              </w:rPr>
            </w:pPr>
            <w:r>
              <w:rPr>
                <w:rFonts w:hint="eastAsia" w:ascii="宋体" w:hAnsi="宋体" w:eastAsia="宋体" w:cs="Times New Roman"/>
                <w:b/>
                <w:szCs w:val="21"/>
              </w:rPr>
              <w:t>评 审 内 容 及 标 准</w:t>
            </w:r>
          </w:p>
        </w:tc>
      </w:tr>
      <w:tr w14:paraId="4B282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restart"/>
            <w:noWrap w:val="0"/>
            <w:vAlign w:val="center"/>
          </w:tcPr>
          <w:p w14:paraId="4F566B48">
            <w:pPr>
              <w:spacing w:before="100" w:beforeAutospacing="1" w:after="100" w:afterAutospacing="1"/>
              <w:jc w:val="center"/>
              <w:outlineLvl w:val="9"/>
              <w:rPr>
                <w:rFonts w:ascii="宋体" w:hAnsi="宋体" w:eastAsia="宋体" w:cs="Times New Roman"/>
                <w:szCs w:val="21"/>
              </w:rPr>
            </w:pPr>
            <w:r>
              <w:rPr>
                <w:rFonts w:hint="eastAsia" w:ascii="宋体" w:hAnsi="宋体" w:eastAsia="宋体" w:cs="Times New Roman"/>
                <w:szCs w:val="21"/>
              </w:rPr>
              <w:t>2.2</w:t>
            </w:r>
          </w:p>
        </w:tc>
        <w:tc>
          <w:tcPr>
            <w:tcW w:w="1276" w:type="dxa"/>
            <w:vMerge w:val="restart"/>
            <w:noWrap w:val="0"/>
            <w:vAlign w:val="center"/>
          </w:tcPr>
          <w:p w14:paraId="7B8F9B19">
            <w:pPr>
              <w:spacing w:before="100" w:beforeAutospacing="1" w:after="100" w:afterAutospacing="1"/>
              <w:jc w:val="center"/>
              <w:outlineLvl w:val="9"/>
              <w:rPr>
                <w:rFonts w:ascii="宋体" w:hAnsi="宋体" w:eastAsia="宋体" w:cs="Times New Roman"/>
                <w:szCs w:val="21"/>
              </w:rPr>
            </w:pPr>
            <w:r>
              <w:rPr>
                <w:rFonts w:hint="eastAsia" w:ascii="宋体" w:hAnsi="宋体" w:eastAsia="宋体" w:cs="Times New Roman"/>
                <w:szCs w:val="21"/>
              </w:rPr>
              <w:t>符合性评审标准</w:t>
            </w:r>
          </w:p>
        </w:tc>
        <w:tc>
          <w:tcPr>
            <w:tcW w:w="7796" w:type="dxa"/>
            <w:gridSpan w:val="2"/>
            <w:noWrap w:val="0"/>
            <w:vAlign w:val="center"/>
          </w:tcPr>
          <w:p w14:paraId="2A753C55">
            <w:pPr>
              <w:spacing w:before="100" w:beforeAutospacing="1" w:after="100" w:afterAutospacing="1"/>
              <w:jc w:val="left"/>
              <w:outlineLvl w:val="9"/>
              <w:rPr>
                <w:rFonts w:hint="eastAsia" w:ascii="宋体" w:hAnsi="宋体" w:eastAsia="宋体" w:cs="Times New Roman"/>
                <w:b/>
                <w:szCs w:val="21"/>
              </w:rPr>
            </w:pPr>
            <w:r>
              <w:rPr>
                <w:rFonts w:ascii="宋体" w:hAnsi="宋体" w:eastAsia="宋体" w:cs="Times New Roman"/>
                <w:b/>
                <w:szCs w:val="21"/>
              </w:rPr>
              <w:t>投标人存在下列情况之一的，投标无效</w:t>
            </w:r>
            <w:r>
              <w:rPr>
                <w:rFonts w:hint="eastAsia" w:ascii="宋体" w:hAnsi="宋体" w:eastAsia="宋体" w:cs="Times New Roman"/>
                <w:b/>
                <w:szCs w:val="21"/>
              </w:rPr>
              <w:t>：</w:t>
            </w:r>
          </w:p>
        </w:tc>
      </w:tr>
      <w:tr w14:paraId="490F1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44585DA0">
            <w:pPr>
              <w:spacing w:before="100" w:beforeAutospacing="1" w:after="100" w:afterAutospacing="1"/>
              <w:jc w:val="center"/>
              <w:outlineLvl w:val="9"/>
              <w:rPr>
                <w:rFonts w:ascii="宋体" w:hAnsi="宋体" w:eastAsia="宋体" w:cs="Times New Roman"/>
                <w:szCs w:val="21"/>
              </w:rPr>
            </w:pPr>
          </w:p>
        </w:tc>
        <w:tc>
          <w:tcPr>
            <w:tcW w:w="1276" w:type="dxa"/>
            <w:vMerge w:val="continue"/>
            <w:noWrap w:val="0"/>
            <w:vAlign w:val="center"/>
          </w:tcPr>
          <w:p w14:paraId="3B0CC384">
            <w:pPr>
              <w:spacing w:before="100" w:beforeAutospacing="1" w:after="100" w:afterAutospacing="1"/>
              <w:jc w:val="center"/>
              <w:outlineLvl w:val="9"/>
              <w:rPr>
                <w:rFonts w:ascii="宋体" w:hAnsi="宋体" w:eastAsia="宋体" w:cs="Times New Roman"/>
                <w:szCs w:val="21"/>
              </w:rPr>
            </w:pPr>
          </w:p>
        </w:tc>
        <w:tc>
          <w:tcPr>
            <w:tcW w:w="7796" w:type="dxa"/>
            <w:gridSpan w:val="2"/>
            <w:noWrap w:val="0"/>
            <w:vAlign w:val="center"/>
          </w:tcPr>
          <w:p w14:paraId="0C3DCF06">
            <w:pPr>
              <w:spacing w:before="100" w:beforeAutospacing="1" w:after="100" w:afterAutospacing="1"/>
              <w:jc w:val="left"/>
              <w:outlineLvl w:val="9"/>
              <w:rPr>
                <w:rFonts w:hint="eastAsia" w:ascii="宋体" w:hAnsi="宋体" w:eastAsia="宋体" w:cs="Times New Roman"/>
                <w:szCs w:val="21"/>
              </w:rPr>
            </w:pPr>
            <w:r>
              <w:rPr>
                <w:rFonts w:ascii="宋体" w:hAnsi="宋体" w:eastAsia="宋体" w:cs="Times New Roman"/>
                <w:szCs w:val="21"/>
              </w:rPr>
              <w:t>未按照招标文件的规定提交投标保证金的</w:t>
            </w:r>
            <w:r>
              <w:rPr>
                <w:rFonts w:hint="eastAsia" w:ascii="宋体" w:hAnsi="宋体" w:eastAsia="宋体" w:cs="Times New Roman"/>
                <w:szCs w:val="21"/>
              </w:rPr>
              <w:t>；</w:t>
            </w:r>
          </w:p>
        </w:tc>
      </w:tr>
      <w:tr w14:paraId="2611B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026431CD">
            <w:pPr>
              <w:spacing w:before="100" w:beforeAutospacing="1" w:after="100" w:afterAutospacing="1"/>
              <w:outlineLvl w:val="9"/>
              <w:rPr>
                <w:rFonts w:ascii="宋体" w:hAnsi="宋体" w:eastAsia="宋体" w:cs="Times New Roman"/>
                <w:szCs w:val="21"/>
              </w:rPr>
            </w:pPr>
          </w:p>
        </w:tc>
        <w:tc>
          <w:tcPr>
            <w:tcW w:w="1276" w:type="dxa"/>
            <w:vMerge w:val="continue"/>
            <w:noWrap w:val="0"/>
            <w:vAlign w:val="center"/>
          </w:tcPr>
          <w:p w14:paraId="307628DC">
            <w:pPr>
              <w:spacing w:before="100" w:beforeAutospacing="1" w:after="100" w:afterAutospacing="1"/>
              <w:outlineLvl w:val="9"/>
              <w:rPr>
                <w:rFonts w:ascii="宋体" w:hAnsi="宋体" w:eastAsia="宋体" w:cs="Times New Roman"/>
                <w:szCs w:val="21"/>
              </w:rPr>
            </w:pPr>
          </w:p>
        </w:tc>
        <w:tc>
          <w:tcPr>
            <w:tcW w:w="7796" w:type="dxa"/>
            <w:gridSpan w:val="2"/>
            <w:noWrap w:val="0"/>
            <w:vAlign w:val="center"/>
          </w:tcPr>
          <w:p w14:paraId="332AC467">
            <w:pPr>
              <w:spacing w:before="100" w:beforeAutospacing="1" w:after="100" w:afterAutospacing="1"/>
              <w:jc w:val="left"/>
              <w:outlineLvl w:val="9"/>
              <w:rPr>
                <w:rFonts w:ascii="宋体" w:hAnsi="宋体" w:eastAsia="宋体" w:cs="Times New Roman"/>
                <w:szCs w:val="21"/>
              </w:rPr>
            </w:pPr>
            <w:r>
              <w:rPr>
                <w:rFonts w:ascii="宋体" w:hAnsi="宋体" w:eastAsia="宋体" w:cs="Times New Roman"/>
                <w:szCs w:val="21"/>
              </w:rPr>
              <w:t>投标文件未按招标文件</w:t>
            </w:r>
            <w:r>
              <w:rPr>
                <w:rFonts w:hint="eastAsia" w:ascii="宋体" w:hAnsi="宋体" w:eastAsia="宋体" w:cs="Times New Roman"/>
                <w:szCs w:val="21"/>
              </w:rPr>
              <w:t>要求提供资料、签署、盖章</w:t>
            </w:r>
            <w:r>
              <w:rPr>
                <w:rFonts w:ascii="宋体" w:hAnsi="宋体" w:eastAsia="宋体" w:cs="Times New Roman"/>
                <w:szCs w:val="21"/>
              </w:rPr>
              <w:t>的；</w:t>
            </w:r>
          </w:p>
        </w:tc>
      </w:tr>
      <w:tr w14:paraId="434C5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2AAE7F9C">
            <w:pPr>
              <w:spacing w:before="100" w:beforeAutospacing="1" w:after="100" w:afterAutospacing="1"/>
              <w:outlineLvl w:val="9"/>
              <w:rPr>
                <w:rFonts w:ascii="宋体" w:hAnsi="宋体" w:eastAsia="宋体" w:cs="Times New Roman"/>
                <w:szCs w:val="21"/>
              </w:rPr>
            </w:pPr>
          </w:p>
        </w:tc>
        <w:tc>
          <w:tcPr>
            <w:tcW w:w="1276" w:type="dxa"/>
            <w:vMerge w:val="continue"/>
            <w:noWrap w:val="0"/>
            <w:vAlign w:val="center"/>
          </w:tcPr>
          <w:p w14:paraId="192573C7">
            <w:pPr>
              <w:spacing w:before="100" w:beforeAutospacing="1" w:after="100" w:afterAutospacing="1"/>
              <w:outlineLvl w:val="9"/>
              <w:rPr>
                <w:rFonts w:ascii="宋体" w:hAnsi="宋体" w:eastAsia="宋体" w:cs="Times New Roman"/>
                <w:szCs w:val="21"/>
              </w:rPr>
            </w:pPr>
          </w:p>
        </w:tc>
        <w:tc>
          <w:tcPr>
            <w:tcW w:w="7796" w:type="dxa"/>
            <w:gridSpan w:val="2"/>
            <w:noWrap w:val="0"/>
            <w:vAlign w:val="center"/>
          </w:tcPr>
          <w:p w14:paraId="377311F8">
            <w:pPr>
              <w:spacing w:before="100" w:beforeAutospacing="1" w:after="100" w:afterAutospacing="1"/>
              <w:jc w:val="left"/>
              <w:outlineLvl w:val="9"/>
              <w:rPr>
                <w:rFonts w:ascii="宋体" w:hAnsi="宋体" w:eastAsia="宋体" w:cs="Times New Roman"/>
                <w:szCs w:val="21"/>
              </w:rPr>
            </w:pPr>
            <w:r>
              <w:rPr>
                <w:rFonts w:ascii="宋体" w:hAnsi="宋体" w:eastAsia="宋体" w:cs="Times New Roman"/>
                <w:szCs w:val="21"/>
              </w:rPr>
              <w:t>报价超过招标文件中规定的预算金额或者最高限价的；</w:t>
            </w:r>
          </w:p>
        </w:tc>
      </w:tr>
      <w:tr w14:paraId="11E12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006B4A94">
            <w:pPr>
              <w:spacing w:before="100" w:beforeAutospacing="1" w:after="100" w:afterAutospacing="1"/>
              <w:outlineLvl w:val="9"/>
              <w:rPr>
                <w:rFonts w:ascii="宋体" w:hAnsi="宋体" w:eastAsia="宋体" w:cs="Times New Roman"/>
                <w:szCs w:val="21"/>
              </w:rPr>
            </w:pPr>
          </w:p>
        </w:tc>
        <w:tc>
          <w:tcPr>
            <w:tcW w:w="1276" w:type="dxa"/>
            <w:vMerge w:val="continue"/>
            <w:noWrap w:val="0"/>
            <w:vAlign w:val="center"/>
          </w:tcPr>
          <w:p w14:paraId="4105205D">
            <w:pPr>
              <w:spacing w:before="100" w:beforeAutospacing="1" w:after="100" w:afterAutospacing="1"/>
              <w:outlineLvl w:val="9"/>
              <w:rPr>
                <w:rFonts w:ascii="宋体" w:hAnsi="宋体" w:eastAsia="宋体" w:cs="Times New Roman"/>
                <w:szCs w:val="21"/>
              </w:rPr>
            </w:pPr>
          </w:p>
        </w:tc>
        <w:tc>
          <w:tcPr>
            <w:tcW w:w="7796" w:type="dxa"/>
            <w:gridSpan w:val="2"/>
            <w:noWrap w:val="0"/>
            <w:vAlign w:val="center"/>
          </w:tcPr>
          <w:p w14:paraId="7EAB48B7">
            <w:pPr>
              <w:spacing w:before="100" w:beforeAutospacing="1" w:after="100" w:afterAutospacing="1"/>
              <w:jc w:val="left"/>
              <w:outlineLvl w:val="9"/>
              <w:rPr>
                <w:rFonts w:hint="eastAsia" w:ascii="宋体" w:hAnsi="宋体" w:eastAsia="宋体" w:cs="Times New Roman"/>
                <w:szCs w:val="21"/>
              </w:rPr>
            </w:pPr>
            <w:r>
              <w:rPr>
                <w:rFonts w:ascii="宋体" w:hAnsi="宋体" w:eastAsia="宋体" w:cs="Times New Roman"/>
                <w:szCs w:val="21"/>
              </w:rPr>
              <w:t>投标文件含有采购人不能接受的附加条件的</w:t>
            </w:r>
            <w:r>
              <w:rPr>
                <w:rFonts w:hint="eastAsia" w:ascii="宋体" w:hAnsi="宋体" w:eastAsia="宋体" w:cs="Times New Roman"/>
                <w:szCs w:val="21"/>
              </w:rPr>
              <w:t>；</w:t>
            </w:r>
          </w:p>
        </w:tc>
      </w:tr>
      <w:tr w14:paraId="0ECFC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759CC24D">
            <w:pPr>
              <w:spacing w:before="100" w:beforeAutospacing="1" w:after="100" w:afterAutospacing="1"/>
              <w:outlineLvl w:val="9"/>
              <w:rPr>
                <w:rFonts w:ascii="宋体" w:hAnsi="宋体" w:eastAsia="宋体" w:cs="Times New Roman"/>
                <w:szCs w:val="21"/>
              </w:rPr>
            </w:pPr>
          </w:p>
        </w:tc>
        <w:tc>
          <w:tcPr>
            <w:tcW w:w="1276" w:type="dxa"/>
            <w:vMerge w:val="continue"/>
            <w:noWrap w:val="0"/>
            <w:vAlign w:val="center"/>
          </w:tcPr>
          <w:p w14:paraId="50294EAB">
            <w:pPr>
              <w:spacing w:before="100" w:beforeAutospacing="1" w:after="100" w:afterAutospacing="1"/>
              <w:outlineLvl w:val="9"/>
              <w:rPr>
                <w:rFonts w:ascii="宋体" w:hAnsi="宋体" w:eastAsia="宋体" w:cs="Times New Roman"/>
                <w:szCs w:val="21"/>
              </w:rPr>
            </w:pPr>
          </w:p>
        </w:tc>
        <w:tc>
          <w:tcPr>
            <w:tcW w:w="7796" w:type="dxa"/>
            <w:gridSpan w:val="2"/>
            <w:noWrap w:val="0"/>
            <w:vAlign w:val="center"/>
          </w:tcPr>
          <w:p w14:paraId="17D7E931">
            <w:pPr>
              <w:spacing w:before="100" w:beforeAutospacing="1" w:after="100" w:afterAutospacing="1"/>
              <w:jc w:val="left"/>
              <w:outlineLvl w:val="9"/>
              <w:rPr>
                <w:rFonts w:ascii="宋体" w:hAnsi="宋体" w:eastAsia="宋体" w:cs="Times New Roman"/>
                <w:szCs w:val="21"/>
              </w:rPr>
            </w:pPr>
            <w:bookmarkStart w:id="168" w:name="OLE_LINK24"/>
            <w:r>
              <w:rPr>
                <w:rFonts w:hint="eastAsia" w:ascii="宋体" w:hAnsi="宋体" w:eastAsia="宋体" w:cs="Times New Roman"/>
                <w:szCs w:val="21"/>
              </w:rPr>
              <w:t>未实质性响应招标文件中标注★条款内容的</w:t>
            </w:r>
            <w:bookmarkEnd w:id="168"/>
            <w:r>
              <w:rPr>
                <w:rFonts w:hint="eastAsia" w:ascii="宋体" w:hAnsi="宋体" w:eastAsia="宋体" w:cs="Times New Roman"/>
                <w:szCs w:val="21"/>
              </w:rPr>
              <w:t>；</w:t>
            </w:r>
          </w:p>
        </w:tc>
      </w:tr>
      <w:tr w14:paraId="73C05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noWrap w:val="0"/>
            <w:vAlign w:val="center"/>
          </w:tcPr>
          <w:p w14:paraId="0FA1BA8F">
            <w:pPr>
              <w:spacing w:before="100" w:beforeAutospacing="1" w:after="100" w:afterAutospacing="1"/>
              <w:outlineLvl w:val="9"/>
              <w:rPr>
                <w:rFonts w:ascii="宋体" w:hAnsi="宋体" w:eastAsia="宋体" w:cs="Times New Roman"/>
                <w:szCs w:val="21"/>
              </w:rPr>
            </w:pPr>
          </w:p>
        </w:tc>
        <w:tc>
          <w:tcPr>
            <w:tcW w:w="1276" w:type="dxa"/>
            <w:vMerge w:val="continue"/>
            <w:noWrap w:val="0"/>
            <w:vAlign w:val="center"/>
          </w:tcPr>
          <w:p w14:paraId="0E21AEB2">
            <w:pPr>
              <w:spacing w:before="100" w:beforeAutospacing="1" w:after="100" w:afterAutospacing="1"/>
              <w:outlineLvl w:val="9"/>
              <w:rPr>
                <w:rFonts w:ascii="宋体" w:hAnsi="宋体" w:eastAsia="宋体" w:cs="Times New Roman"/>
                <w:szCs w:val="21"/>
              </w:rPr>
            </w:pPr>
          </w:p>
        </w:tc>
        <w:tc>
          <w:tcPr>
            <w:tcW w:w="7796" w:type="dxa"/>
            <w:gridSpan w:val="2"/>
            <w:noWrap w:val="0"/>
            <w:vAlign w:val="center"/>
          </w:tcPr>
          <w:p w14:paraId="49BC89BB">
            <w:pPr>
              <w:spacing w:before="100" w:beforeAutospacing="1" w:after="100" w:afterAutospacing="1"/>
              <w:jc w:val="left"/>
              <w:outlineLvl w:val="9"/>
              <w:rPr>
                <w:rFonts w:hint="eastAsia" w:ascii="宋体" w:hAnsi="宋体" w:eastAsia="宋体" w:cs="Times New Roman"/>
                <w:szCs w:val="21"/>
              </w:rPr>
            </w:pPr>
            <w:r>
              <w:rPr>
                <w:rFonts w:ascii="宋体" w:hAnsi="宋体" w:eastAsia="宋体" w:cs="Times New Roman"/>
                <w:szCs w:val="21"/>
              </w:rPr>
              <w:t>法律、法规和招标文件规定的其他无效情形</w:t>
            </w:r>
            <w:r>
              <w:rPr>
                <w:rFonts w:hint="eastAsia" w:ascii="宋体" w:hAnsi="宋体" w:eastAsia="宋体" w:cs="Times New Roman"/>
                <w:szCs w:val="21"/>
              </w:rPr>
              <w:t>。</w:t>
            </w:r>
          </w:p>
        </w:tc>
      </w:tr>
      <w:tr w14:paraId="130DF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73" w:type="dxa"/>
            <w:vMerge w:val="restart"/>
            <w:noWrap w:val="0"/>
            <w:vAlign w:val="center"/>
          </w:tcPr>
          <w:p w14:paraId="44CEF9F1">
            <w:pPr>
              <w:jc w:val="center"/>
              <w:outlineLvl w:val="9"/>
              <w:rPr>
                <w:rFonts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3</w:t>
            </w:r>
          </w:p>
        </w:tc>
        <w:tc>
          <w:tcPr>
            <w:tcW w:w="1276" w:type="dxa"/>
            <w:vMerge w:val="restart"/>
            <w:noWrap w:val="0"/>
            <w:vAlign w:val="center"/>
          </w:tcPr>
          <w:p w14:paraId="5D7B5DE1">
            <w:pPr>
              <w:outlineLvl w:val="9"/>
              <w:rPr>
                <w:rFonts w:ascii="宋体" w:hAnsi="宋体" w:eastAsia="宋体" w:cs="Times New Roman"/>
                <w:szCs w:val="21"/>
              </w:rPr>
            </w:pPr>
            <w:r>
              <w:rPr>
                <w:rFonts w:hint="eastAsia" w:ascii="宋体" w:hAnsi="宋体" w:eastAsia="宋体" w:cs="Times New Roman"/>
                <w:szCs w:val="21"/>
              </w:rPr>
              <w:t>详细评审标准</w:t>
            </w:r>
          </w:p>
        </w:tc>
        <w:tc>
          <w:tcPr>
            <w:tcW w:w="1570" w:type="dxa"/>
            <w:noWrap w:val="0"/>
            <w:vAlign w:val="center"/>
          </w:tcPr>
          <w:p w14:paraId="585B5E25">
            <w:pPr>
              <w:jc w:val="center"/>
              <w:outlineLvl w:val="9"/>
              <w:rPr>
                <w:rFonts w:hint="eastAsia" w:ascii="宋体" w:hAnsi="宋体" w:eastAsia="宋体" w:cs="Times New Roman"/>
                <w:szCs w:val="21"/>
              </w:rPr>
            </w:pPr>
            <w:r>
              <w:rPr>
                <w:rFonts w:hint="eastAsia" w:ascii="宋体" w:hAnsi="宋体" w:eastAsia="宋体" w:cs="Times New Roman"/>
                <w:szCs w:val="21"/>
              </w:rPr>
              <w:t>1、评标总得分计算公式</w:t>
            </w:r>
          </w:p>
        </w:tc>
        <w:tc>
          <w:tcPr>
            <w:tcW w:w="6226" w:type="dxa"/>
            <w:noWrap w:val="0"/>
            <w:vAlign w:val="center"/>
          </w:tcPr>
          <w:p w14:paraId="6F9DE1C5">
            <w:pPr>
              <w:outlineLvl w:val="9"/>
              <w:rPr>
                <w:rFonts w:ascii="宋体" w:hAnsi="宋体" w:eastAsia="宋体" w:cs="Times New Roman"/>
                <w:szCs w:val="21"/>
              </w:rPr>
            </w:pPr>
            <w:r>
              <w:rPr>
                <w:rFonts w:ascii="宋体" w:hAnsi="宋体" w:eastAsia="宋体" w:cs="Times New Roman"/>
                <w:szCs w:val="21"/>
              </w:rPr>
              <w:t>投标人的评标总得分＝F1＋F2＋F3</w:t>
            </w:r>
          </w:p>
          <w:p w14:paraId="6876AEB0">
            <w:pPr>
              <w:outlineLvl w:val="9"/>
              <w:rPr>
                <w:rFonts w:ascii="宋体" w:hAnsi="宋体" w:eastAsia="宋体" w:cs="Times New Roman"/>
                <w:szCs w:val="21"/>
              </w:rPr>
            </w:pPr>
            <w:r>
              <w:rPr>
                <w:rFonts w:ascii="宋体" w:hAnsi="宋体" w:eastAsia="宋体" w:cs="Times New Roman"/>
                <w:szCs w:val="21"/>
              </w:rPr>
              <w:t>其中：</w:t>
            </w:r>
          </w:p>
          <w:p w14:paraId="0B8FB295">
            <w:pPr>
              <w:outlineLvl w:val="9"/>
              <w:rPr>
                <w:rFonts w:hint="eastAsia" w:ascii="宋体" w:hAnsi="宋体" w:eastAsia="宋体" w:cs="Times New Roman"/>
                <w:szCs w:val="21"/>
              </w:rPr>
            </w:pPr>
            <w:r>
              <w:rPr>
                <w:rFonts w:ascii="宋体" w:hAnsi="宋体" w:eastAsia="宋体" w:cs="Times New Roman"/>
                <w:szCs w:val="21"/>
              </w:rPr>
              <w:t>①F1、F2、F3分别为投标报价、技术部分、</w:t>
            </w:r>
            <w:r>
              <w:rPr>
                <w:rFonts w:hint="eastAsia" w:ascii="宋体" w:hAnsi="宋体" w:eastAsia="宋体" w:cs="Times New Roman"/>
                <w:szCs w:val="21"/>
              </w:rPr>
              <w:t>商务</w:t>
            </w:r>
            <w:r>
              <w:rPr>
                <w:rFonts w:ascii="宋体" w:hAnsi="宋体" w:eastAsia="宋体" w:cs="Times New Roman"/>
                <w:szCs w:val="21"/>
              </w:rPr>
              <w:t>部分3项评分因素的汇总得分；</w:t>
            </w:r>
          </w:p>
        </w:tc>
      </w:tr>
      <w:tr w14:paraId="3C236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973" w:type="dxa"/>
            <w:vMerge w:val="continue"/>
            <w:noWrap w:val="0"/>
            <w:vAlign w:val="center"/>
          </w:tcPr>
          <w:p w14:paraId="4F9C591F">
            <w:pPr>
              <w:outlineLvl w:val="9"/>
              <w:rPr>
                <w:rFonts w:hint="eastAsia" w:ascii="宋体" w:hAnsi="宋体" w:eastAsia="宋体" w:cs="Times New Roman"/>
                <w:szCs w:val="21"/>
              </w:rPr>
            </w:pPr>
          </w:p>
        </w:tc>
        <w:tc>
          <w:tcPr>
            <w:tcW w:w="1276" w:type="dxa"/>
            <w:vMerge w:val="continue"/>
            <w:noWrap w:val="0"/>
            <w:vAlign w:val="center"/>
          </w:tcPr>
          <w:p w14:paraId="241F9F3A">
            <w:pPr>
              <w:outlineLvl w:val="9"/>
              <w:rPr>
                <w:rFonts w:hint="eastAsia" w:ascii="宋体" w:hAnsi="宋体" w:eastAsia="宋体" w:cs="Times New Roman"/>
                <w:szCs w:val="21"/>
              </w:rPr>
            </w:pPr>
          </w:p>
        </w:tc>
        <w:tc>
          <w:tcPr>
            <w:tcW w:w="1570" w:type="dxa"/>
            <w:noWrap w:val="0"/>
            <w:vAlign w:val="center"/>
          </w:tcPr>
          <w:p w14:paraId="114EEE59">
            <w:pPr>
              <w:jc w:val="center"/>
              <w:outlineLvl w:val="9"/>
              <w:rPr>
                <w:rFonts w:ascii="宋体" w:hAnsi="宋体" w:eastAsia="宋体" w:cs="Times New Roman"/>
                <w:szCs w:val="21"/>
              </w:rPr>
            </w:pPr>
            <w:r>
              <w:rPr>
                <w:rFonts w:hint="eastAsia" w:ascii="宋体" w:hAnsi="宋体" w:eastAsia="宋体" w:cs="Times New Roman"/>
                <w:szCs w:val="21"/>
              </w:rPr>
              <w:t>2、评分因素</w:t>
            </w:r>
          </w:p>
          <w:p w14:paraId="0D8F8746">
            <w:pPr>
              <w:jc w:val="center"/>
              <w:outlineLvl w:val="9"/>
              <w:rPr>
                <w:rFonts w:hint="eastAsia" w:ascii="宋体" w:hAnsi="宋体" w:eastAsia="宋体" w:cs="Times New Roman"/>
                <w:szCs w:val="21"/>
              </w:rPr>
            </w:pPr>
            <w:r>
              <w:rPr>
                <w:rFonts w:hint="eastAsia" w:ascii="宋体" w:hAnsi="宋体" w:eastAsia="宋体" w:cs="Times New Roman"/>
                <w:szCs w:val="21"/>
              </w:rPr>
              <w:t>分值</w:t>
            </w:r>
          </w:p>
        </w:tc>
        <w:tc>
          <w:tcPr>
            <w:tcW w:w="6226" w:type="dxa"/>
            <w:noWrap w:val="0"/>
            <w:vAlign w:val="center"/>
          </w:tcPr>
          <w:p w14:paraId="67E029FF">
            <w:pPr>
              <w:ind w:left="1258" w:hanging="1258"/>
              <w:outlineLvl w:val="9"/>
              <w:rPr>
                <w:rFonts w:hint="default" w:ascii="宋体" w:hAnsi="宋体" w:eastAsia="宋体" w:cs="Times New Roman"/>
                <w:szCs w:val="21"/>
                <w:lang w:val="en-US" w:eastAsia="zh-CN"/>
              </w:rPr>
            </w:pPr>
            <w:r>
              <w:rPr>
                <w:rFonts w:hint="eastAsia" w:ascii="宋体" w:hAnsi="宋体" w:eastAsia="宋体" w:cs="Times New Roman"/>
                <w:szCs w:val="21"/>
              </w:rPr>
              <w:t>投标报价F1：满分</w:t>
            </w:r>
            <w:r>
              <w:rPr>
                <w:rFonts w:hint="eastAsia" w:ascii="宋体" w:hAnsi="宋体" w:eastAsia="宋体" w:cs="Times New Roman"/>
                <w:szCs w:val="21"/>
                <w:lang w:val="en-US" w:eastAsia="zh-CN"/>
              </w:rPr>
              <w:t>40</w:t>
            </w:r>
            <w:r>
              <w:rPr>
                <w:rFonts w:hint="eastAsia" w:ascii="宋体" w:hAnsi="宋体" w:eastAsia="宋体" w:cs="Times New Roman"/>
                <w:szCs w:val="21"/>
              </w:rPr>
              <w:t>分</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权重0.40；</w:t>
            </w:r>
          </w:p>
          <w:p w14:paraId="68ED4205">
            <w:pPr>
              <w:ind w:left="1258" w:hanging="1258"/>
              <w:outlineLvl w:val="9"/>
              <w:rPr>
                <w:rFonts w:hint="default" w:ascii="宋体" w:hAnsi="宋体" w:eastAsia="宋体" w:cs="Times New Roman"/>
                <w:szCs w:val="21"/>
                <w:lang w:val="en-US" w:eastAsia="zh-CN"/>
              </w:rPr>
            </w:pPr>
            <w:r>
              <w:rPr>
                <w:rFonts w:hint="eastAsia" w:ascii="宋体" w:hAnsi="宋体" w:eastAsia="宋体" w:cs="Times New Roman"/>
                <w:szCs w:val="21"/>
              </w:rPr>
              <w:t>技术部分F2：满分</w:t>
            </w:r>
            <w:r>
              <w:rPr>
                <w:rFonts w:hint="eastAsia" w:ascii="宋体" w:hAnsi="宋体" w:eastAsia="宋体" w:cs="Times New Roman"/>
                <w:szCs w:val="21"/>
                <w:lang w:val="en-US" w:eastAsia="zh-CN"/>
              </w:rPr>
              <w:t>50</w:t>
            </w:r>
            <w:r>
              <w:rPr>
                <w:rFonts w:hint="eastAsia" w:ascii="宋体" w:hAnsi="宋体" w:eastAsia="宋体" w:cs="Times New Roman"/>
                <w:szCs w:val="21"/>
              </w:rPr>
              <w:t>分</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权重0.50；</w:t>
            </w:r>
          </w:p>
          <w:p w14:paraId="40808B45">
            <w:pPr>
              <w:outlineLvl w:val="9"/>
              <w:rPr>
                <w:rFonts w:hint="default" w:ascii="宋体" w:hAnsi="宋体" w:eastAsia="宋体" w:cs="Times New Roman"/>
                <w:szCs w:val="21"/>
                <w:lang w:val="en-US" w:eastAsia="zh-CN"/>
              </w:rPr>
            </w:pPr>
            <w:r>
              <w:rPr>
                <w:rFonts w:hint="eastAsia" w:ascii="宋体" w:hAnsi="宋体" w:eastAsia="宋体" w:cs="Times New Roman"/>
                <w:szCs w:val="21"/>
              </w:rPr>
              <w:t>商务部分F3：满分</w:t>
            </w:r>
            <w:r>
              <w:rPr>
                <w:rFonts w:hint="eastAsia" w:ascii="宋体" w:hAnsi="宋体" w:eastAsia="宋体" w:cs="Times New Roman"/>
                <w:szCs w:val="21"/>
                <w:lang w:val="en-US" w:eastAsia="zh-CN"/>
              </w:rPr>
              <w:t>10</w:t>
            </w:r>
            <w:r>
              <w:rPr>
                <w:rFonts w:hint="eastAsia" w:ascii="宋体" w:hAnsi="宋体" w:eastAsia="宋体" w:cs="Times New Roman"/>
                <w:szCs w:val="21"/>
              </w:rPr>
              <w:t>分</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权重0.10。</w:t>
            </w:r>
          </w:p>
        </w:tc>
      </w:tr>
      <w:tr w14:paraId="0A5D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noWrap w:val="0"/>
            <w:vAlign w:val="center"/>
          </w:tcPr>
          <w:p w14:paraId="6BE57CFB">
            <w:pPr>
              <w:outlineLvl w:val="9"/>
              <w:rPr>
                <w:rFonts w:hint="eastAsia" w:ascii="宋体" w:hAnsi="宋体" w:eastAsia="宋体" w:cs="Times New Roman"/>
                <w:szCs w:val="21"/>
              </w:rPr>
            </w:pPr>
          </w:p>
        </w:tc>
        <w:tc>
          <w:tcPr>
            <w:tcW w:w="1276" w:type="dxa"/>
            <w:vMerge w:val="continue"/>
            <w:noWrap w:val="0"/>
            <w:vAlign w:val="center"/>
          </w:tcPr>
          <w:p w14:paraId="3D89F447">
            <w:pPr>
              <w:outlineLvl w:val="9"/>
              <w:rPr>
                <w:rFonts w:hint="eastAsia" w:ascii="宋体" w:hAnsi="宋体" w:eastAsia="宋体" w:cs="Times New Roman"/>
                <w:szCs w:val="21"/>
              </w:rPr>
            </w:pPr>
          </w:p>
        </w:tc>
        <w:tc>
          <w:tcPr>
            <w:tcW w:w="1570" w:type="dxa"/>
            <w:tcBorders>
              <w:bottom w:val="single" w:color="auto" w:sz="4" w:space="0"/>
            </w:tcBorders>
            <w:noWrap w:val="0"/>
            <w:vAlign w:val="center"/>
          </w:tcPr>
          <w:p w14:paraId="23B8C849">
            <w:pPr>
              <w:jc w:val="center"/>
              <w:outlineLvl w:val="9"/>
              <w:rPr>
                <w:rFonts w:hint="eastAsia" w:ascii="宋体" w:hAnsi="宋体" w:eastAsia="宋体" w:cs="Times New Roman"/>
                <w:szCs w:val="21"/>
              </w:rPr>
            </w:pPr>
            <w:r>
              <w:rPr>
                <w:rFonts w:hint="eastAsia" w:ascii="宋体" w:hAnsi="宋体" w:eastAsia="宋体" w:cs="Times New Roman"/>
                <w:szCs w:val="21"/>
              </w:rPr>
              <w:t>3、F1投标报价得分</w:t>
            </w:r>
          </w:p>
          <w:p w14:paraId="13927BF6">
            <w:pPr>
              <w:outlineLvl w:val="9"/>
              <w:rPr>
                <w:rFonts w:hint="eastAsia" w:ascii="宋体" w:hAnsi="宋体" w:eastAsia="宋体" w:cs="Times New Roman"/>
                <w:szCs w:val="21"/>
              </w:rPr>
            </w:pPr>
            <w:r>
              <w:rPr>
                <w:rFonts w:hint="eastAsia" w:ascii="宋体" w:hAnsi="宋体" w:eastAsia="宋体" w:cs="Times New Roman"/>
                <w:szCs w:val="21"/>
              </w:rPr>
              <w:t>（满分</w:t>
            </w:r>
            <w:r>
              <w:rPr>
                <w:rFonts w:hint="eastAsia" w:ascii="宋体" w:hAnsi="宋体" w:eastAsia="宋体" w:cs="Times New Roman"/>
                <w:szCs w:val="21"/>
                <w:lang w:val="en-US" w:eastAsia="zh-CN"/>
              </w:rPr>
              <w:t>40</w:t>
            </w:r>
            <w:r>
              <w:rPr>
                <w:rFonts w:hint="eastAsia" w:ascii="宋体" w:hAnsi="宋体" w:eastAsia="宋体" w:cs="Times New Roman"/>
                <w:szCs w:val="21"/>
              </w:rPr>
              <w:t>分）</w:t>
            </w:r>
          </w:p>
        </w:tc>
        <w:tc>
          <w:tcPr>
            <w:tcW w:w="6226" w:type="dxa"/>
            <w:tcBorders>
              <w:bottom w:val="single" w:color="auto" w:sz="4" w:space="0"/>
            </w:tcBorders>
            <w:noWrap w:val="0"/>
            <w:vAlign w:val="center"/>
          </w:tcPr>
          <w:p w14:paraId="03F2C49B">
            <w:pPr>
              <w:outlineLvl w:val="9"/>
              <w:rPr>
                <w:rFonts w:hint="default" w:ascii="宋体" w:hAnsi="宋体" w:eastAsia="宋体" w:cs="Times New Roman"/>
                <w:szCs w:val="21"/>
                <w:lang w:val="en-US" w:eastAsia="zh-CN"/>
              </w:rPr>
            </w:pPr>
            <w:r>
              <w:rPr>
                <w:rFonts w:hint="eastAsia" w:ascii="宋体" w:hAnsi="宋体" w:eastAsia="宋体" w:cs="Times New Roman"/>
                <w:szCs w:val="21"/>
              </w:rPr>
              <w:t>投标报价得分=（</w:t>
            </w:r>
            <w:r>
              <w:rPr>
                <w:rFonts w:hint="eastAsia" w:ascii="宋体" w:hAnsi="宋体" w:eastAsia="宋体" w:cs="Times New Roman"/>
                <w:szCs w:val="21"/>
                <w:lang w:val="en-US" w:eastAsia="zh-CN"/>
              </w:rPr>
              <w:t>1-</w:t>
            </w:r>
            <w:r>
              <w:rPr>
                <w:rFonts w:hint="eastAsia" w:ascii="宋体" w:hAnsi="宋体" w:eastAsia="宋体" w:cs="Times New Roman"/>
                <w:szCs w:val="21"/>
              </w:rPr>
              <w:t>评标基准价</w:t>
            </w:r>
            <w:r>
              <w:rPr>
                <w:rFonts w:hint="eastAsia" w:ascii="宋体" w:hAnsi="宋体" w:eastAsia="宋体" w:cs="Times New Roman"/>
                <w:szCs w:val="21"/>
                <w:lang w:eastAsia="zh-CN"/>
              </w:rPr>
              <w:t>）</w:t>
            </w:r>
            <w:r>
              <w:rPr>
                <w:rFonts w:hint="eastAsia" w:ascii="宋体" w:hAnsi="宋体" w:eastAsia="宋体" w:cs="Times New Roman"/>
                <w:szCs w:val="21"/>
              </w:rPr>
              <w:t>/</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1-</w:t>
            </w:r>
            <w:r>
              <w:rPr>
                <w:rFonts w:hint="eastAsia" w:ascii="宋体" w:hAnsi="宋体" w:eastAsia="宋体" w:cs="Times New Roman"/>
                <w:szCs w:val="21"/>
              </w:rPr>
              <w:t>投标报价）×</w:t>
            </w:r>
            <w:r>
              <w:rPr>
                <w:rFonts w:hint="eastAsia" w:ascii="宋体" w:hAnsi="宋体" w:eastAsia="宋体" w:cs="Times New Roman"/>
                <w:szCs w:val="21"/>
                <w:lang w:val="en-US" w:eastAsia="zh-CN"/>
              </w:rPr>
              <w:t>40</w:t>
            </w:r>
          </w:p>
          <w:p w14:paraId="69A4D127">
            <w:pPr>
              <w:outlineLvl w:val="9"/>
              <w:rPr>
                <w:rFonts w:ascii="宋体" w:hAnsi="宋体" w:eastAsia="宋体" w:cs="Times New Roman"/>
                <w:szCs w:val="21"/>
              </w:rPr>
            </w:pPr>
            <w:r>
              <w:rPr>
                <w:rFonts w:hint="eastAsia" w:ascii="宋体" w:hAnsi="宋体" w:eastAsia="宋体" w:cs="Times New Roman"/>
                <w:szCs w:val="21"/>
              </w:rPr>
              <w:t>评标基准价：满足招标文件资格评审及符合性评审要求且</w:t>
            </w:r>
            <w:r>
              <w:rPr>
                <w:rFonts w:hint="eastAsia" w:ascii="宋体" w:hAnsi="宋体" w:eastAsia="宋体" w:cs="Times New Roman"/>
                <w:b/>
                <w:bCs/>
                <w:szCs w:val="21"/>
              </w:rPr>
              <w:t>投标价格最低</w:t>
            </w:r>
            <w:r>
              <w:rPr>
                <w:rFonts w:hint="eastAsia" w:ascii="宋体" w:hAnsi="宋体" w:eastAsia="宋体" w:cs="Times New Roman"/>
                <w:b/>
                <w:bCs/>
                <w:szCs w:val="21"/>
                <w:lang w:eastAsia="zh-CN"/>
              </w:rPr>
              <w:t>（</w:t>
            </w:r>
            <w:r>
              <w:rPr>
                <w:rFonts w:hint="eastAsia" w:ascii="宋体" w:hAnsi="宋体" w:eastAsia="宋体" w:cs="Times New Roman"/>
                <w:b/>
                <w:bCs/>
                <w:szCs w:val="21"/>
                <w:lang w:val="en-US" w:eastAsia="zh-CN"/>
              </w:rPr>
              <w:t>下浮率最高</w:t>
            </w:r>
            <w:r>
              <w:rPr>
                <w:rFonts w:hint="eastAsia" w:ascii="宋体" w:hAnsi="宋体" w:eastAsia="宋体" w:cs="Times New Roman"/>
                <w:b/>
                <w:bCs/>
                <w:szCs w:val="21"/>
                <w:lang w:eastAsia="zh-CN"/>
              </w:rPr>
              <w:t>）</w:t>
            </w:r>
            <w:r>
              <w:rPr>
                <w:rFonts w:hint="eastAsia" w:ascii="宋体" w:hAnsi="宋体" w:eastAsia="宋体" w:cs="Times New Roman"/>
                <w:szCs w:val="21"/>
              </w:rPr>
              <w:t>的投标报价。</w:t>
            </w:r>
          </w:p>
          <w:p w14:paraId="12AB5EC6">
            <w:pPr>
              <w:outlineLvl w:val="9"/>
              <w:rPr>
                <w:rFonts w:hint="eastAsia" w:ascii="宋体" w:hAnsi="宋体" w:eastAsia="宋体" w:cs="宋体"/>
                <w:szCs w:val="21"/>
                <w:highlight w:val="none"/>
              </w:rPr>
            </w:pPr>
            <w:r>
              <w:rPr>
                <w:rFonts w:hint="eastAsia" w:ascii="宋体" w:hAnsi="宋体" w:eastAsia="宋体" w:cs="宋体"/>
                <w:szCs w:val="21"/>
                <w:highlight w:val="none"/>
              </w:rPr>
              <w:t>政府采购政策：</w:t>
            </w:r>
          </w:p>
          <w:p w14:paraId="1241CD92">
            <w:pPr>
              <w:outlineLvl w:val="9"/>
              <w:rPr>
                <w:rFonts w:hint="default" w:ascii="宋体" w:hAnsi="宋体" w:eastAsia="宋体" w:cs="Times New Roman"/>
                <w:szCs w:val="21"/>
                <w:lang w:val="en-US"/>
              </w:rPr>
            </w:pPr>
            <w:r>
              <w:rPr>
                <w:rFonts w:hint="eastAsia" w:ascii="宋体" w:hAnsi="宋体" w:eastAsia="宋体" w:cs="宋体"/>
                <w:b/>
                <w:bCs/>
                <w:szCs w:val="21"/>
                <w:highlight w:val="none"/>
              </w:rPr>
              <w:t>小微企业（监狱企业、残疾人福利性单位视同小型或微型企业）应考虑的优先条件和价格折扣</w:t>
            </w:r>
            <w:r>
              <w:rPr>
                <w:rFonts w:hint="eastAsia" w:ascii="宋体" w:hAnsi="宋体" w:eastAsia="宋体" w:cs="宋体"/>
                <w:b/>
                <w:bCs/>
                <w:szCs w:val="21"/>
                <w:highlight w:val="none"/>
                <w:lang w:val="en-US" w:eastAsia="zh-CN"/>
              </w:rPr>
              <w:t>，针对</w:t>
            </w:r>
            <w:r>
              <w:rPr>
                <w:rFonts w:hint="eastAsia" w:ascii="宋体" w:hAnsi="宋体" w:eastAsia="宋体" w:cs="宋体"/>
                <w:b/>
                <w:bCs/>
                <w:szCs w:val="21"/>
                <w:highlight w:val="none"/>
              </w:rPr>
              <w:t>小型和微型企业或监狱企业或残疾人福利性单位的报价给予10%的扣除，用扣除后的价格参与评审，残疾人福利性单位属于小型、微型企业的，不重复享受政策。</w:t>
            </w:r>
          </w:p>
        </w:tc>
      </w:tr>
      <w:tr w14:paraId="616B5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73" w:type="dxa"/>
            <w:vMerge w:val="restart"/>
            <w:noWrap w:val="0"/>
            <w:vAlign w:val="center"/>
          </w:tcPr>
          <w:p w14:paraId="10DC774D">
            <w:pPr>
              <w:jc w:val="center"/>
              <w:outlineLvl w:val="9"/>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3</w:t>
            </w:r>
          </w:p>
        </w:tc>
        <w:tc>
          <w:tcPr>
            <w:tcW w:w="1276" w:type="dxa"/>
            <w:vMerge w:val="restart"/>
            <w:noWrap w:val="0"/>
            <w:vAlign w:val="center"/>
          </w:tcPr>
          <w:p w14:paraId="39BEB6C7">
            <w:pPr>
              <w:outlineLvl w:val="9"/>
              <w:rPr>
                <w:rFonts w:hint="eastAsia" w:ascii="宋体" w:hAnsi="宋体" w:eastAsia="宋体" w:cs="Times New Roman"/>
                <w:szCs w:val="21"/>
              </w:rPr>
            </w:pPr>
            <w:r>
              <w:rPr>
                <w:rFonts w:hint="eastAsia" w:ascii="宋体" w:hAnsi="宋体" w:eastAsia="宋体" w:cs="Times New Roman"/>
                <w:szCs w:val="21"/>
              </w:rPr>
              <w:t>详细评审标准</w:t>
            </w:r>
          </w:p>
        </w:tc>
        <w:tc>
          <w:tcPr>
            <w:tcW w:w="1570" w:type="dxa"/>
            <w:vMerge w:val="restart"/>
            <w:noWrap w:val="0"/>
            <w:vAlign w:val="center"/>
          </w:tcPr>
          <w:p w14:paraId="4D22090C">
            <w:pPr>
              <w:jc w:val="center"/>
              <w:outlineLvl w:val="9"/>
              <w:rPr>
                <w:rFonts w:ascii="宋体" w:hAnsi="宋体" w:eastAsia="宋体" w:cs="Times New Roman"/>
                <w:szCs w:val="21"/>
              </w:rPr>
            </w:pPr>
            <w:r>
              <w:rPr>
                <w:rFonts w:hint="eastAsia" w:ascii="宋体" w:hAnsi="宋体" w:eastAsia="宋体" w:cs="Times New Roman"/>
                <w:szCs w:val="21"/>
              </w:rPr>
              <w:t>4、F2技术部分得分</w:t>
            </w:r>
          </w:p>
          <w:p w14:paraId="24B4C1BB">
            <w:pPr>
              <w:jc w:val="center"/>
              <w:outlineLvl w:val="9"/>
              <w:rPr>
                <w:rFonts w:ascii="宋体" w:hAnsi="宋体" w:eastAsia="宋体" w:cs="Times New Roman"/>
                <w:szCs w:val="21"/>
              </w:rPr>
            </w:pPr>
            <w:r>
              <w:rPr>
                <w:rFonts w:hint="eastAsia" w:ascii="宋体" w:hAnsi="宋体" w:eastAsia="宋体" w:cs="Times New Roman"/>
                <w:szCs w:val="21"/>
              </w:rPr>
              <w:t>（满分</w:t>
            </w:r>
            <w:r>
              <w:rPr>
                <w:rFonts w:hint="eastAsia" w:ascii="宋体" w:hAnsi="宋体" w:eastAsia="宋体" w:cs="Times New Roman"/>
                <w:szCs w:val="21"/>
                <w:lang w:val="en-US" w:eastAsia="zh-CN"/>
              </w:rPr>
              <w:t>50</w:t>
            </w:r>
            <w:r>
              <w:rPr>
                <w:rFonts w:hint="eastAsia" w:ascii="宋体" w:hAnsi="宋体" w:eastAsia="宋体" w:cs="Times New Roman"/>
                <w:szCs w:val="21"/>
              </w:rPr>
              <w:t>分）</w:t>
            </w:r>
          </w:p>
        </w:tc>
        <w:tc>
          <w:tcPr>
            <w:tcW w:w="6226" w:type="dxa"/>
            <w:noWrap w:val="0"/>
            <w:vAlign w:val="center"/>
          </w:tcPr>
          <w:p w14:paraId="5497EF8B">
            <w:pPr>
              <w:wordWrap w:val="0"/>
              <w:overflowPunct w:val="0"/>
              <w:spacing w:line="360" w:lineRule="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1）产品质量保证措施（满分12分）</w:t>
            </w:r>
          </w:p>
          <w:p w14:paraId="589724D1">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1.供货来源明确、正规，货品具有可追溯性，提供了详细的说明或证明材料；</w:t>
            </w:r>
          </w:p>
          <w:p w14:paraId="43B68C5E">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2.有完整、详细、合理的进货采购流程；</w:t>
            </w:r>
          </w:p>
          <w:p w14:paraId="7AA97DD4">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3.针对食品安全问题有相对应的惩处措施及违约责任承诺；</w:t>
            </w:r>
          </w:p>
          <w:p w14:paraId="0EE118D0">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4.提供了切实可行的品控措施，能有效保障供应产品质量；</w:t>
            </w:r>
          </w:p>
          <w:p w14:paraId="60FDC067">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5.提供了仓储保存措施、配送操作规范；</w:t>
            </w:r>
          </w:p>
          <w:p w14:paraId="624D57E4">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6.具有内部筛查检测机制。</w:t>
            </w:r>
          </w:p>
          <w:p w14:paraId="2E4BE22C">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以上6项内容经评审：方案内容全面、阐述详细，满足以上要求，符合本项目实际需求无瑕疵的得12分；每缺少一项内容的扣2分；每项有一处存在不足的扣1分，扣完为止。</w:t>
            </w:r>
          </w:p>
          <w:p w14:paraId="6464A15E">
            <w:pPr>
              <w:ind w:firstLine="420" w:firstLineChars="200"/>
              <w:outlineLvl w:val="9"/>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注：“不足”是指：①方案内容过于简略、与本项目采购需求不符，不完整或缺少关键点；②非专门针对本项目或不适用本项目特性、套用其他项目内容；③对同一问题前后表述矛盾；④存在逻辑漏洞、科学原理或常识错误；⑤不利于本项目目标的实现的任意一种类似缺陷或瑕疵。</w:t>
            </w:r>
          </w:p>
        </w:tc>
      </w:tr>
      <w:tr w14:paraId="2FCB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7" w:hRule="atLeast"/>
          <w:jc w:val="center"/>
        </w:trPr>
        <w:tc>
          <w:tcPr>
            <w:tcW w:w="973" w:type="dxa"/>
            <w:vMerge w:val="continue"/>
            <w:noWrap w:val="0"/>
            <w:vAlign w:val="center"/>
          </w:tcPr>
          <w:p w14:paraId="3108CFE5">
            <w:pPr>
              <w:outlineLvl w:val="9"/>
              <w:rPr>
                <w:rFonts w:ascii="宋体" w:hAnsi="宋体" w:eastAsia="宋体" w:cs="Times New Roman"/>
                <w:szCs w:val="21"/>
              </w:rPr>
            </w:pPr>
          </w:p>
        </w:tc>
        <w:tc>
          <w:tcPr>
            <w:tcW w:w="1276" w:type="dxa"/>
            <w:vMerge w:val="continue"/>
            <w:noWrap w:val="0"/>
            <w:vAlign w:val="center"/>
          </w:tcPr>
          <w:p w14:paraId="2534B629">
            <w:pPr>
              <w:outlineLvl w:val="9"/>
              <w:rPr>
                <w:rFonts w:ascii="宋体" w:hAnsi="宋体" w:eastAsia="宋体" w:cs="Times New Roman"/>
                <w:szCs w:val="21"/>
              </w:rPr>
            </w:pPr>
          </w:p>
        </w:tc>
        <w:tc>
          <w:tcPr>
            <w:tcW w:w="1570" w:type="dxa"/>
            <w:vMerge w:val="continue"/>
            <w:noWrap w:val="0"/>
            <w:vAlign w:val="center"/>
          </w:tcPr>
          <w:p w14:paraId="0FAA6C00">
            <w:pPr>
              <w:jc w:val="center"/>
              <w:outlineLvl w:val="9"/>
              <w:rPr>
                <w:rFonts w:hint="eastAsia" w:ascii="宋体" w:hAnsi="宋体" w:eastAsia="宋体" w:cs="Times New Roman"/>
                <w:szCs w:val="21"/>
              </w:rPr>
            </w:pPr>
          </w:p>
        </w:tc>
        <w:tc>
          <w:tcPr>
            <w:tcW w:w="6226" w:type="dxa"/>
            <w:noWrap w:val="0"/>
            <w:vAlign w:val="center"/>
          </w:tcPr>
          <w:p w14:paraId="47539C33">
            <w:pPr>
              <w:wordWrap w:val="0"/>
              <w:overflowPunct w:val="0"/>
              <w:spacing w:line="360" w:lineRule="auto"/>
              <w:outlineLvl w:val="9"/>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针对本项目配备的配送车辆（满分</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分）</w:t>
            </w:r>
          </w:p>
          <w:p w14:paraId="383D4EDF">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1.投标人针对本项目每提供1辆冷藏（链）车（自有或租赁）的得1分，每增加1辆加1分，本项最多得3分。</w:t>
            </w:r>
          </w:p>
          <w:p w14:paraId="6A803E8E">
            <w:pPr>
              <w:ind w:firstLine="420" w:firstLineChars="200"/>
              <w:outlineLvl w:val="9"/>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注：（1）若配送车辆为投标人自有的，应在投标文件中提供与投标人信息一致的车辆登记证书和行驶证和车辆正面照片的扫描件（或复印件）；（2）若配送车辆为投标人租赁的，应在投标文件中提供车辆租赁合同和出租人信息一致的车辆登记证书和行驶证和车辆正面照片的扫描件（或复印件）。未提供或提供不完整的不得分。</w:t>
            </w:r>
          </w:p>
        </w:tc>
      </w:tr>
      <w:tr w14:paraId="759FB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7" w:hRule="atLeast"/>
          <w:jc w:val="center"/>
        </w:trPr>
        <w:tc>
          <w:tcPr>
            <w:tcW w:w="973" w:type="dxa"/>
            <w:vMerge w:val="continue"/>
            <w:noWrap w:val="0"/>
            <w:vAlign w:val="center"/>
          </w:tcPr>
          <w:p w14:paraId="1C0BA667">
            <w:pPr>
              <w:outlineLvl w:val="9"/>
              <w:rPr>
                <w:rFonts w:ascii="宋体" w:hAnsi="宋体" w:eastAsia="宋体" w:cs="Times New Roman"/>
                <w:szCs w:val="21"/>
              </w:rPr>
            </w:pPr>
          </w:p>
        </w:tc>
        <w:tc>
          <w:tcPr>
            <w:tcW w:w="1276" w:type="dxa"/>
            <w:vMerge w:val="continue"/>
            <w:noWrap w:val="0"/>
            <w:vAlign w:val="center"/>
          </w:tcPr>
          <w:p w14:paraId="268E0B4F">
            <w:pPr>
              <w:outlineLvl w:val="9"/>
              <w:rPr>
                <w:rFonts w:ascii="宋体" w:hAnsi="宋体" w:eastAsia="宋体" w:cs="Times New Roman"/>
                <w:szCs w:val="21"/>
              </w:rPr>
            </w:pPr>
          </w:p>
        </w:tc>
        <w:tc>
          <w:tcPr>
            <w:tcW w:w="1570" w:type="dxa"/>
            <w:vMerge w:val="continue"/>
            <w:noWrap w:val="0"/>
            <w:vAlign w:val="center"/>
          </w:tcPr>
          <w:p w14:paraId="5DB025F4">
            <w:pPr>
              <w:jc w:val="center"/>
              <w:outlineLvl w:val="9"/>
              <w:rPr>
                <w:rFonts w:hint="eastAsia" w:ascii="宋体" w:hAnsi="宋体" w:eastAsia="宋体" w:cs="Times New Roman"/>
                <w:szCs w:val="21"/>
              </w:rPr>
            </w:pPr>
          </w:p>
        </w:tc>
        <w:tc>
          <w:tcPr>
            <w:tcW w:w="6226" w:type="dxa"/>
            <w:noWrap w:val="0"/>
            <w:vAlign w:val="center"/>
          </w:tcPr>
          <w:p w14:paraId="6C28AA17">
            <w:pPr>
              <w:wordWrap w:val="0"/>
              <w:overflowPunct w:val="0"/>
              <w:spacing w:line="360" w:lineRule="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针对本项目配备的</w:t>
            </w:r>
            <w:r>
              <w:rPr>
                <w:rFonts w:hint="eastAsia" w:ascii="宋体" w:hAnsi="宋体" w:eastAsia="宋体" w:cs="宋体"/>
                <w:b/>
                <w:bCs/>
                <w:color w:val="auto"/>
                <w:sz w:val="21"/>
                <w:szCs w:val="21"/>
                <w:highlight w:val="none"/>
                <w:lang w:val="en-US" w:eastAsia="zh-CN"/>
              </w:rPr>
              <w:t>服务团队人员（满分5分）</w:t>
            </w:r>
          </w:p>
          <w:p w14:paraId="28D30BEB">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包含但不限于保管员或仓储管理员、配送人员、送货装备管理及服务人员配备及岗位职责分工情况。</w:t>
            </w:r>
          </w:p>
          <w:p w14:paraId="3B060F60">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第一个档次（5分）：投标人针对本项目提出的人员配备方案内容科学合理、全面完整、切实可行，针对性强，完全满足采购人实际需求；</w:t>
            </w:r>
          </w:p>
          <w:p w14:paraId="39AA5485">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第二个档次（3分）：投标人针对本项目提出的人员配备方案内容基本合理，基本完整，可行性一般，针对性一般，基本满足采购人实际需求；</w:t>
            </w:r>
          </w:p>
          <w:p w14:paraId="278D5562">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第三个档次（1分）：投标人针对本项目提出的人员配备方案内容合理性差，内容缺漏，可行性差，针对性差，难以满足采购人实际需求。</w:t>
            </w:r>
          </w:p>
          <w:p w14:paraId="7FFADCE1">
            <w:pPr>
              <w:ind w:firstLine="420" w:firstLineChars="200"/>
              <w:outlineLvl w:val="9"/>
              <w:rPr>
                <w:rFonts w:hint="default" w:ascii="宋体" w:hAnsi="宋体" w:eastAsia="宋体" w:cs="Times New Roman"/>
                <w:b/>
                <w:bCs/>
                <w:szCs w:val="21"/>
                <w:lang w:val="en-US" w:eastAsia="zh-CN"/>
              </w:rPr>
            </w:pPr>
            <w:r>
              <w:rPr>
                <w:rFonts w:hint="eastAsia" w:ascii="宋体" w:hAnsi="宋体" w:eastAsia="宋体" w:cs="Times New Roman"/>
                <w:szCs w:val="21"/>
                <w:lang w:val="en-US" w:eastAsia="zh-CN"/>
              </w:rPr>
              <w:t>注：在投标文件中提供相关证明材料（身份证、健康证和投标人为其缴纳社保的证明资料（社保开具时间为本项目招标公告发布当日及之后）原件的扫描件（或复印件）；拟配备的驾驶员还须同时提供驾驶证原件的扫描件（或复印件）。未提供或提供不完整的不得分。</w:t>
            </w:r>
          </w:p>
        </w:tc>
      </w:tr>
      <w:tr w14:paraId="796D2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973" w:type="dxa"/>
            <w:vMerge w:val="continue"/>
            <w:noWrap w:val="0"/>
            <w:vAlign w:val="center"/>
          </w:tcPr>
          <w:p w14:paraId="1753F1DC">
            <w:pPr>
              <w:outlineLvl w:val="9"/>
              <w:rPr>
                <w:rFonts w:ascii="宋体" w:hAnsi="宋体" w:eastAsia="宋体" w:cs="Times New Roman"/>
                <w:szCs w:val="21"/>
              </w:rPr>
            </w:pPr>
          </w:p>
        </w:tc>
        <w:tc>
          <w:tcPr>
            <w:tcW w:w="1276" w:type="dxa"/>
            <w:vMerge w:val="continue"/>
            <w:noWrap w:val="0"/>
            <w:vAlign w:val="center"/>
          </w:tcPr>
          <w:p w14:paraId="7BD05BAA">
            <w:pPr>
              <w:outlineLvl w:val="9"/>
              <w:rPr>
                <w:rFonts w:ascii="宋体" w:hAnsi="宋体" w:eastAsia="宋体" w:cs="Times New Roman"/>
                <w:szCs w:val="21"/>
              </w:rPr>
            </w:pPr>
          </w:p>
        </w:tc>
        <w:tc>
          <w:tcPr>
            <w:tcW w:w="1570" w:type="dxa"/>
            <w:vMerge w:val="continue"/>
            <w:noWrap w:val="0"/>
            <w:vAlign w:val="center"/>
          </w:tcPr>
          <w:p w14:paraId="6A164B42">
            <w:pPr>
              <w:jc w:val="center"/>
              <w:outlineLvl w:val="9"/>
              <w:rPr>
                <w:rFonts w:hint="eastAsia" w:ascii="宋体" w:hAnsi="宋体" w:eastAsia="宋体" w:cs="Times New Roman"/>
                <w:szCs w:val="21"/>
              </w:rPr>
            </w:pPr>
          </w:p>
        </w:tc>
        <w:tc>
          <w:tcPr>
            <w:tcW w:w="6226" w:type="dxa"/>
            <w:noWrap w:val="0"/>
            <w:vAlign w:val="center"/>
          </w:tcPr>
          <w:p w14:paraId="633E5BFF">
            <w:pPr>
              <w:wordWrap w:val="0"/>
              <w:overflowPunct w:val="0"/>
              <w:spacing w:line="360" w:lineRule="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4）食品安全责任险（满分3分）</w:t>
            </w:r>
          </w:p>
          <w:p w14:paraId="2AA6093A">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根据投标人所提供的食品安全责任险保额高低进行评分：</w:t>
            </w:r>
          </w:p>
          <w:p w14:paraId="50F30D78">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1.保额2000(含)万元及以上得3分；</w:t>
            </w:r>
          </w:p>
          <w:p w14:paraId="43303A7F">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2.保额1000(含)-2000万元得2分；</w:t>
            </w:r>
          </w:p>
          <w:p w14:paraId="58DD3350">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3.保额500（含）-1000万元得1分；</w:t>
            </w:r>
          </w:p>
          <w:p w14:paraId="57488EA0">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4.500万元以下不得分。</w:t>
            </w:r>
          </w:p>
          <w:p w14:paraId="21A7610D">
            <w:pPr>
              <w:ind w:firstLine="420" w:firstLineChars="200"/>
              <w:outlineLvl w:val="9"/>
              <w:rPr>
                <w:rFonts w:hint="eastAsia" w:ascii="宋体" w:hAnsi="宋体" w:eastAsia="宋体" w:cs="Times New Roman"/>
                <w:b/>
                <w:bCs/>
                <w:szCs w:val="21"/>
                <w:lang w:val="en-US" w:eastAsia="zh-CN"/>
              </w:rPr>
            </w:pPr>
            <w:r>
              <w:rPr>
                <w:rFonts w:hint="eastAsia" w:ascii="宋体" w:hAnsi="宋体" w:eastAsia="宋体" w:cs="Times New Roman"/>
                <w:szCs w:val="21"/>
                <w:lang w:val="en-US" w:eastAsia="zh-CN"/>
              </w:rPr>
              <w:t>注：在投标文件中提供有效的保险保单的扫描件（或复印件）。未提供或提供不完整的不得分。</w:t>
            </w:r>
          </w:p>
        </w:tc>
      </w:tr>
      <w:tr w14:paraId="762B8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973" w:type="dxa"/>
            <w:vMerge w:val="continue"/>
            <w:noWrap w:val="0"/>
            <w:vAlign w:val="center"/>
          </w:tcPr>
          <w:p w14:paraId="6E4C56AB">
            <w:pPr>
              <w:outlineLvl w:val="9"/>
              <w:rPr>
                <w:rFonts w:ascii="宋体" w:hAnsi="宋体" w:eastAsia="宋体" w:cs="Times New Roman"/>
                <w:szCs w:val="21"/>
              </w:rPr>
            </w:pPr>
          </w:p>
        </w:tc>
        <w:tc>
          <w:tcPr>
            <w:tcW w:w="1276" w:type="dxa"/>
            <w:vMerge w:val="continue"/>
            <w:noWrap w:val="0"/>
            <w:vAlign w:val="center"/>
          </w:tcPr>
          <w:p w14:paraId="0F0254F8">
            <w:pPr>
              <w:outlineLvl w:val="9"/>
              <w:rPr>
                <w:rFonts w:ascii="宋体" w:hAnsi="宋体" w:eastAsia="宋体" w:cs="Times New Roman"/>
                <w:szCs w:val="21"/>
              </w:rPr>
            </w:pPr>
          </w:p>
        </w:tc>
        <w:tc>
          <w:tcPr>
            <w:tcW w:w="1570" w:type="dxa"/>
            <w:vMerge w:val="continue"/>
            <w:noWrap w:val="0"/>
            <w:vAlign w:val="center"/>
          </w:tcPr>
          <w:p w14:paraId="5FFB7989">
            <w:pPr>
              <w:jc w:val="center"/>
              <w:outlineLvl w:val="9"/>
              <w:rPr>
                <w:rFonts w:hint="eastAsia" w:ascii="宋体" w:hAnsi="宋体" w:eastAsia="宋体" w:cs="Times New Roman"/>
                <w:szCs w:val="21"/>
              </w:rPr>
            </w:pPr>
          </w:p>
        </w:tc>
        <w:tc>
          <w:tcPr>
            <w:tcW w:w="6226" w:type="dxa"/>
            <w:noWrap w:val="0"/>
            <w:vAlign w:val="center"/>
          </w:tcPr>
          <w:p w14:paraId="59115FA4">
            <w:pPr>
              <w:wordWrap w:val="0"/>
              <w:overflowPunct w:val="0"/>
              <w:spacing w:line="360" w:lineRule="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5）卫生保障措施（满分4分）</w:t>
            </w:r>
          </w:p>
          <w:p w14:paraId="140EDF0B">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1.提供了各环节的卫生保障措施，内容全面详细、科学合理；</w:t>
            </w:r>
          </w:p>
          <w:p w14:paraId="6F6DFC5B">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2.有完善的卫生内部管理机制，针对卫生问题有明确、合理的违约责任及处罚措施；</w:t>
            </w:r>
          </w:p>
          <w:p w14:paraId="37F3E544">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以上2项内容经评审：方案内容全面、阐述详细，满足以上要求，符合本项目实际需求无瑕疵的得4分；每缺少一项内容的扣2分；每项有一处存在不足的扣1分，扣完为止。</w:t>
            </w:r>
          </w:p>
          <w:p w14:paraId="01B43132">
            <w:pPr>
              <w:ind w:firstLine="420" w:firstLineChars="200"/>
              <w:outlineLvl w:val="9"/>
              <w:rPr>
                <w:rFonts w:hint="eastAsia" w:ascii="宋体" w:hAnsi="宋体" w:eastAsia="宋体" w:cs="Times New Roman"/>
                <w:b w:val="0"/>
                <w:bCs w:val="0"/>
                <w:szCs w:val="21"/>
              </w:rPr>
            </w:pPr>
            <w:r>
              <w:rPr>
                <w:rFonts w:hint="eastAsia" w:ascii="宋体" w:hAnsi="宋体" w:eastAsia="宋体" w:cs="Times New Roman"/>
                <w:szCs w:val="21"/>
                <w:lang w:val="en-US" w:eastAsia="zh-CN"/>
              </w:rPr>
              <w:t>注：“不足”是指：①方案内容过于简略、与本项目采购需求不符，不完整或缺少关键点；②非专门针对本项目或不适用本项目特性、套用其他项目内容；③对同一问题前后表述矛盾；④存在逻辑漏洞、科学原理或常识错误；⑤不利于本项目目标的实现的任意一种类似缺陷或瑕疵。</w:t>
            </w:r>
          </w:p>
        </w:tc>
      </w:tr>
      <w:tr w14:paraId="1476E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973" w:type="dxa"/>
            <w:vMerge w:val="continue"/>
            <w:noWrap w:val="0"/>
            <w:vAlign w:val="center"/>
          </w:tcPr>
          <w:p w14:paraId="3D184813">
            <w:pPr>
              <w:outlineLvl w:val="9"/>
              <w:rPr>
                <w:rFonts w:ascii="宋体" w:hAnsi="宋体" w:eastAsia="宋体" w:cs="Times New Roman"/>
                <w:szCs w:val="21"/>
              </w:rPr>
            </w:pPr>
          </w:p>
        </w:tc>
        <w:tc>
          <w:tcPr>
            <w:tcW w:w="1276" w:type="dxa"/>
            <w:vMerge w:val="continue"/>
            <w:noWrap w:val="0"/>
            <w:vAlign w:val="center"/>
          </w:tcPr>
          <w:p w14:paraId="288B22E1">
            <w:pPr>
              <w:outlineLvl w:val="9"/>
              <w:rPr>
                <w:rFonts w:ascii="宋体" w:hAnsi="宋体" w:eastAsia="宋体" w:cs="Times New Roman"/>
                <w:szCs w:val="21"/>
              </w:rPr>
            </w:pPr>
          </w:p>
        </w:tc>
        <w:tc>
          <w:tcPr>
            <w:tcW w:w="1570" w:type="dxa"/>
            <w:vMerge w:val="continue"/>
            <w:noWrap w:val="0"/>
            <w:vAlign w:val="center"/>
          </w:tcPr>
          <w:p w14:paraId="02E88448">
            <w:pPr>
              <w:jc w:val="center"/>
              <w:outlineLvl w:val="9"/>
              <w:rPr>
                <w:rFonts w:hint="eastAsia" w:ascii="宋体" w:hAnsi="宋体" w:eastAsia="宋体" w:cs="Times New Roman"/>
                <w:szCs w:val="21"/>
              </w:rPr>
            </w:pPr>
          </w:p>
        </w:tc>
        <w:tc>
          <w:tcPr>
            <w:tcW w:w="6226" w:type="dxa"/>
            <w:noWrap w:val="0"/>
            <w:vAlign w:val="center"/>
          </w:tcPr>
          <w:p w14:paraId="09C1D6DF">
            <w:pPr>
              <w:wordWrap w:val="0"/>
              <w:overflowPunct w:val="0"/>
              <w:spacing w:line="360" w:lineRule="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6）配送服务方案（满分12分）</w:t>
            </w:r>
          </w:p>
          <w:p w14:paraId="62985086">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1.提供了完整、详细、合理的供货方案；</w:t>
            </w:r>
          </w:p>
          <w:p w14:paraId="0D14E5C7">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2.日常物资配送计划、配送路线、配送设施等方案内容全面、阐述详细；</w:t>
            </w:r>
          </w:p>
          <w:p w14:paraId="5FA9562A">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3.交货时间有明确承诺，响应及时、合理；</w:t>
            </w:r>
          </w:p>
          <w:p w14:paraId="1F6D2BBE">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4.针对配送延误有明确、合理的违约责任及处罚措施。</w:t>
            </w:r>
          </w:p>
          <w:p w14:paraId="619CB8F8">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以上4项内容经评审：方案内容全面、阐述详细，满足以上要求，符合本项目实际需求无瑕疵的得12分；每缺少一项内容的扣3分；每项有一处存在不足的扣1.5分，扣完为止。</w:t>
            </w:r>
          </w:p>
          <w:p w14:paraId="3BBD8EAA">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注：“不足”是指：①方案内容过于简略、与本项目采购需求不符，不完整或缺少关键点；②非专门针对本项目或不适用本项目特性、套用其他项目内容；③对同一问题前后表述矛盾；④存在逻辑漏洞、科学原理或常识错误；⑤不利于本项目目标的实现的任意一种类似缺陷或瑕疵。</w:t>
            </w:r>
          </w:p>
        </w:tc>
      </w:tr>
      <w:tr w14:paraId="08258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973" w:type="dxa"/>
            <w:vMerge w:val="continue"/>
            <w:noWrap w:val="0"/>
            <w:vAlign w:val="center"/>
          </w:tcPr>
          <w:p w14:paraId="5A4A5599">
            <w:pPr>
              <w:outlineLvl w:val="9"/>
              <w:rPr>
                <w:rFonts w:ascii="宋体" w:hAnsi="宋体" w:eastAsia="宋体" w:cs="Times New Roman"/>
                <w:szCs w:val="21"/>
              </w:rPr>
            </w:pPr>
          </w:p>
        </w:tc>
        <w:tc>
          <w:tcPr>
            <w:tcW w:w="1276" w:type="dxa"/>
            <w:vMerge w:val="continue"/>
            <w:noWrap w:val="0"/>
            <w:vAlign w:val="center"/>
          </w:tcPr>
          <w:p w14:paraId="62A4FC9B">
            <w:pPr>
              <w:outlineLvl w:val="9"/>
              <w:rPr>
                <w:rFonts w:ascii="宋体" w:hAnsi="宋体" w:eastAsia="宋体" w:cs="Times New Roman"/>
                <w:szCs w:val="21"/>
              </w:rPr>
            </w:pPr>
          </w:p>
        </w:tc>
        <w:tc>
          <w:tcPr>
            <w:tcW w:w="1570" w:type="dxa"/>
            <w:vMerge w:val="continue"/>
            <w:noWrap w:val="0"/>
            <w:vAlign w:val="center"/>
          </w:tcPr>
          <w:p w14:paraId="2446FE36">
            <w:pPr>
              <w:jc w:val="center"/>
              <w:outlineLvl w:val="9"/>
              <w:rPr>
                <w:rFonts w:hint="eastAsia" w:ascii="宋体" w:hAnsi="宋体" w:eastAsia="宋体" w:cs="Times New Roman"/>
                <w:szCs w:val="21"/>
              </w:rPr>
            </w:pPr>
          </w:p>
        </w:tc>
        <w:tc>
          <w:tcPr>
            <w:tcW w:w="6226" w:type="dxa"/>
            <w:noWrap w:val="0"/>
            <w:vAlign w:val="center"/>
          </w:tcPr>
          <w:p w14:paraId="6D5B45F3">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2"/>
                <w:sz w:val="21"/>
                <w:szCs w:val="21"/>
                <w:lang w:val="en-US" w:eastAsia="zh-CN" w:bidi="ar-SA"/>
              </w:rPr>
              <w:t>7）</w:t>
            </w:r>
            <w:r>
              <w:rPr>
                <w:rFonts w:hint="eastAsia" w:ascii="宋体" w:hAnsi="宋体" w:eastAsia="宋体" w:cs="宋体"/>
                <w:b/>
                <w:bCs/>
                <w:color w:val="auto"/>
                <w:sz w:val="21"/>
                <w:szCs w:val="21"/>
                <w:highlight w:val="none"/>
                <w:lang w:val="en-US" w:eastAsia="zh-CN"/>
              </w:rPr>
              <w:t>应急方案（满分6分）</w:t>
            </w:r>
          </w:p>
          <w:p w14:paraId="63427BF9">
            <w:pPr>
              <w:ind w:firstLine="420" w:firstLineChars="200"/>
              <w:jc w:val="left"/>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1.应急预案内容全面详细、科学合理，针对食品安全问题等方面有充分的考虑；</w:t>
            </w:r>
          </w:p>
          <w:p w14:paraId="20D8D819">
            <w:pPr>
              <w:ind w:firstLine="420" w:firstLineChars="200"/>
              <w:jc w:val="left"/>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2.针对食品安全问题作出了明确承诺；</w:t>
            </w:r>
          </w:p>
          <w:p w14:paraId="53379E47">
            <w:pPr>
              <w:ind w:firstLine="420" w:firstLineChars="200"/>
              <w:jc w:val="left"/>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3.对紧急事件及突发状况响应处理及时，处理流程科学、合理、责任明确，处罚措施切实可行。</w:t>
            </w:r>
          </w:p>
          <w:p w14:paraId="4643B2F8">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以上3项内容经评审：方案内容全面、阐述详细，满足以上要求，符合本项目实际需求无瑕疵的得6分；每缺少一项内容的扣2分；每项有一处存在不足的扣1分，扣完为止。</w:t>
            </w:r>
          </w:p>
          <w:p w14:paraId="4490C97A">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注：“不足”是指：①方案内容过于简略、与本项目采购需求不符，不完整或缺少关键点；②非专门针对本项目或不适用本项目特性、套用其他项目内容；③对同一问题前后表述矛盾；④存在逻辑漏洞、科学原理或常识错误；⑤不利于本项目目标的实现的任意一种类似缺陷或瑕疵。</w:t>
            </w:r>
          </w:p>
        </w:tc>
      </w:tr>
      <w:tr w14:paraId="58C27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973" w:type="dxa"/>
            <w:vMerge w:val="continue"/>
            <w:noWrap w:val="0"/>
            <w:vAlign w:val="center"/>
          </w:tcPr>
          <w:p w14:paraId="5C9BDDA9">
            <w:pPr>
              <w:outlineLvl w:val="9"/>
              <w:rPr>
                <w:rFonts w:ascii="宋体" w:hAnsi="宋体" w:eastAsia="宋体" w:cs="Times New Roman"/>
                <w:szCs w:val="21"/>
              </w:rPr>
            </w:pPr>
          </w:p>
        </w:tc>
        <w:tc>
          <w:tcPr>
            <w:tcW w:w="1276" w:type="dxa"/>
            <w:vMerge w:val="continue"/>
            <w:noWrap w:val="0"/>
            <w:vAlign w:val="center"/>
          </w:tcPr>
          <w:p w14:paraId="57B67D0B">
            <w:pPr>
              <w:outlineLvl w:val="9"/>
              <w:rPr>
                <w:rFonts w:ascii="宋体" w:hAnsi="宋体" w:eastAsia="宋体" w:cs="Times New Roman"/>
                <w:szCs w:val="21"/>
              </w:rPr>
            </w:pPr>
          </w:p>
        </w:tc>
        <w:tc>
          <w:tcPr>
            <w:tcW w:w="1570" w:type="dxa"/>
            <w:vMerge w:val="continue"/>
            <w:noWrap w:val="0"/>
            <w:vAlign w:val="center"/>
          </w:tcPr>
          <w:p w14:paraId="5B9DA7CD">
            <w:pPr>
              <w:jc w:val="center"/>
              <w:outlineLvl w:val="9"/>
              <w:rPr>
                <w:rFonts w:hint="eastAsia" w:ascii="宋体" w:hAnsi="宋体" w:eastAsia="宋体" w:cs="Times New Roman"/>
                <w:szCs w:val="21"/>
              </w:rPr>
            </w:pPr>
          </w:p>
        </w:tc>
        <w:tc>
          <w:tcPr>
            <w:tcW w:w="6226" w:type="dxa"/>
            <w:noWrap w:val="0"/>
            <w:vAlign w:val="center"/>
          </w:tcPr>
          <w:p w14:paraId="0AB25855">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2"/>
                <w:sz w:val="21"/>
                <w:szCs w:val="21"/>
                <w:lang w:val="en-US" w:eastAsia="zh-CN" w:bidi="ar-SA"/>
              </w:rPr>
              <w:t>8）</w:t>
            </w:r>
            <w:r>
              <w:rPr>
                <w:rFonts w:hint="eastAsia" w:ascii="宋体" w:hAnsi="宋体" w:eastAsia="宋体" w:cs="宋体"/>
                <w:b/>
                <w:bCs/>
                <w:color w:val="auto"/>
                <w:sz w:val="21"/>
                <w:szCs w:val="21"/>
                <w:highlight w:val="none"/>
                <w:lang w:val="en-US" w:eastAsia="zh-CN"/>
              </w:rPr>
              <w:t>售后服务承诺及保证措施（满分5分）</w:t>
            </w:r>
          </w:p>
          <w:p w14:paraId="73EAB2E9">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第一个档次（5分）：售后服务承诺全面、响应以及解决问题的时间及时，有具体的保证措施且合理、可行，有具体的违约责任承诺的，完全满足采购人需求；</w:t>
            </w:r>
          </w:p>
          <w:p w14:paraId="58557246">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第二个档次（3分）：售后服务承诺基本完整、响应以及解决问题较及时，保证措施基本合理可行，基本满足采购人需求；</w:t>
            </w:r>
          </w:p>
          <w:p w14:paraId="256A3EF5">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第三个档次（1分）：售后服务承诺内容不全面、响应以及解决问题较慢，保证措施不合理或不可行，难以满足采购人需求；</w:t>
            </w:r>
          </w:p>
          <w:p w14:paraId="27BF3917">
            <w:pPr>
              <w:ind w:firstLine="420" w:firstLineChars="200"/>
              <w:outlineLvl w:val="9"/>
              <w:rPr>
                <w:rFonts w:hint="eastAsia" w:ascii="宋体" w:hAnsi="宋体" w:eastAsia="宋体" w:cs="Times New Roman"/>
                <w:b w:val="0"/>
                <w:bCs w:val="0"/>
                <w:szCs w:val="21"/>
              </w:rPr>
            </w:pPr>
            <w:r>
              <w:rPr>
                <w:rFonts w:hint="eastAsia" w:ascii="宋体" w:hAnsi="宋体" w:eastAsia="宋体" w:cs="Times New Roman"/>
                <w:szCs w:val="21"/>
                <w:lang w:val="en-US" w:eastAsia="zh-CN"/>
              </w:rPr>
              <w:t>第四个档次（0分）：投标人未提供售后服务方案及承诺。</w:t>
            </w:r>
          </w:p>
        </w:tc>
      </w:tr>
      <w:tr w14:paraId="52248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7" w:hRule="atLeast"/>
          <w:jc w:val="center"/>
        </w:trPr>
        <w:tc>
          <w:tcPr>
            <w:tcW w:w="973" w:type="dxa"/>
            <w:vMerge w:val="continue"/>
            <w:noWrap w:val="0"/>
            <w:vAlign w:val="center"/>
          </w:tcPr>
          <w:p w14:paraId="6211C310">
            <w:pPr>
              <w:outlineLvl w:val="9"/>
              <w:rPr>
                <w:rFonts w:ascii="宋体" w:hAnsi="宋体" w:eastAsia="宋体" w:cs="Times New Roman"/>
                <w:szCs w:val="21"/>
              </w:rPr>
            </w:pPr>
          </w:p>
        </w:tc>
        <w:tc>
          <w:tcPr>
            <w:tcW w:w="1276" w:type="dxa"/>
            <w:vMerge w:val="continue"/>
            <w:noWrap w:val="0"/>
            <w:vAlign w:val="center"/>
          </w:tcPr>
          <w:p w14:paraId="141B67E2">
            <w:pPr>
              <w:outlineLvl w:val="9"/>
              <w:rPr>
                <w:rFonts w:ascii="宋体" w:hAnsi="宋体" w:eastAsia="宋体" w:cs="Times New Roman"/>
                <w:szCs w:val="21"/>
              </w:rPr>
            </w:pPr>
          </w:p>
        </w:tc>
        <w:tc>
          <w:tcPr>
            <w:tcW w:w="1570" w:type="dxa"/>
            <w:vMerge w:val="restart"/>
            <w:noWrap w:val="0"/>
            <w:vAlign w:val="center"/>
          </w:tcPr>
          <w:p w14:paraId="6714DCA2">
            <w:pPr>
              <w:jc w:val="center"/>
              <w:outlineLvl w:val="9"/>
              <w:rPr>
                <w:rFonts w:ascii="宋体" w:hAnsi="宋体" w:eastAsia="宋体" w:cs="Times New Roman"/>
                <w:szCs w:val="21"/>
              </w:rPr>
            </w:pPr>
            <w:r>
              <w:rPr>
                <w:rFonts w:ascii="宋体" w:hAnsi="宋体" w:eastAsia="宋体" w:cs="宋体"/>
                <w:szCs w:val="21"/>
              </w:rPr>
              <w:t>5</w:t>
            </w:r>
            <w:r>
              <w:rPr>
                <w:rFonts w:hint="eastAsia" w:ascii="宋体" w:hAnsi="宋体" w:eastAsia="宋体" w:cs="宋体"/>
                <w:szCs w:val="21"/>
              </w:rPr>
              <w:t>、</w:t>
            </w:r>
            <w:r>
              <w:rPr>
                <w:rFonts w:hint="eastAsia" w:ascii="宋体" w:hAnsi="宋体" w:eastAsia="宋体" w:cs="Times New Roman"/>
                <w:szCs w:val="21"/>
              </w:rPr>
              <w:t>F</w:t>
            </w:r>
            <w:r>
              <w:rPr>
                <w:rFonts w:ascii="宋体" w:hAnsi="宋体" w:eastAsia="宋体" w:cs="Times New Roman"/>
                <w:szCs w:val="21"/>
              </w:rPr>
              <w:t>3</w:t>
            </w:r>
            <w:r>
              <w:rPr>
                <w:rFonts w:hint="eastAsia" w:ascii="宋体" w:hAnsi="宋体" w:eastAsia="宋体" w:cs="Times New Roman"/>
                <w:szCs w:val="21"/>
              </w:rPr>
              <w:t>商务部分得分</w:t>
            </w:r>
          </w:p>
          <w:p w14:paraId="17F71E36">
            <w:pPr>
              <w:jc w:val="center"/>
              <w:outlineLvl w:val="9"/>
              <w:rPr>
                <w:rFonts w:ascii="宋体" w:hAnsi="宋体" w:eastAsia="宋体" w:cs="宋体"/>
                <w:szCs w:val="21"/>
              </w:rPr>
            </w:pPr>
            <w:r>
              <w:rPr>
                <w:rFonts w:hint="eastAsia" w:ascii="宋体" w:hAnsi="宋体" w:eastAsia="宋体" w:cs="Times New Roman"/>
                <w:szCs w:val="21"/>
              </w:rPr>
              <w:t>（满分</w:t>
            </w:r>
            <w:r>
              <w:rPr>
                <w:rFonts w:hint="eastAsia" w:ascii="宋体" w:hAnsi="宋体" w:eastAsia="宋体" w:cs="Times New Roman"/>
                <w:szCs w:val="21"/>
                <w:lang w:val="en-US" w:eastAsia="zh-CN"/>
              </w:rPr>
              <w:t>10</w:t>
            </w:r>
            <w:r>
              <w:rPr>
                <w:rFonts w:hint="eastAsia" w:ascii="宋体" w:hAnsi="宋体" w:eastAsia="宋体" w:cs="Times New Roman"/>
                <w:szCs w:val="21"/>
              </w:rPr>
              <w:t>分）</w:t>
            </w:r>
          </w:p>
        </w:tc>
        <w:tc>
          <w:tcPr>
            <w:tcW w:w="6226" w:type="dxa"/>
            <w:noWrap w:val="0"/>
            <w:vAlign w:val="center"/>
          </w:tcPr>
          <w:p w14:paraId="26470038">
            <w:pPr>
              <w:wordWrap w:val="0"/>
              <w:overflowPunct w:val="0"/>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类似项目业绩（满分5分）</w:t>
            </w:r>
          </w:p>
          <w:p w14:paraId="71860158">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根据投标人自2023年1月至今已完成或正在实施过程中的类似项目业绩进行评价打分，每提供一个类似项目业绩得1分，满分5分。</w:t>
            </w:r>
          </w:p>
          <w:p w14:paraId="74513A97">
            <w:pPr>
              <w:ind w:firstLine="420" w:firstLineChars="200"/>
              <w:outlineLvl w:val="9"/>
              <w:rPr>
                <w:rFonts w:hint="default" w:ascii="宋体" w:hAnsi="宋体" w:eastAsia="宋体" w:cs="Times New Roman"/>
                <w:b w:val="0"/>
                <w:bCs w:val="0"/>
                <w:szCs w:val="21"/>
                <w:lang w:val="en-US" w:eastAsia="zh-CN"/>
              </w:rPr>
            </w:pPr>
            <w:r>
              <w:rPr>
                <w:rFonts w:hint="eastAsia" w:ascii="宋体" w:hAnsi="宋体" w:eastAsia="宋体" w:cs="Times New Roman"/>
                <w:szCs w:val="21"/>
                <w:lang w:val="en-US" w:eastAsia="zh-CN"/>
              </w:rPr>
              <w:t xml:space="preserve">注：投标文件中须提供业绩列表及相对应的业绩证明材料，业绩证明材料为中标（成交）通知书或合同（合同首页、标的及金额所在页及合同签字盖章页的扫描件）。无证明材料或证明材料不明确、无法体现业绩内容的，不予认可。  </w:t>
            </w:r>
          </w:p>
        </w:tc>
      </w:tr>
      <w:tr w14:paraId="681F3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973" w:type="dxa"/>
            <w:vMerge w:val="continue"/>
            <w:noWrap w:val="0"/>
            <w:vAlign w:val="center"/>
          </w:tcPr>
          <w:p w14:paraId="5EBE33D9">
            <w:pPr>
              <w:outlineLvl w:val="9"/>
              <w:rPr>
                <w:rFonts w:ascii="宋体" w:hAnsi="宋体" w:eastAsia="宋体" w:cs="Times New Roman"/>
                <w:szCs w:val="21"/>
              </w:rPr>
            </w:pPr>
          </w:p>
        </w:tc>
        <w:tc>
          <w:tcPr>
            <w:tcW w:w="1276" w:type="dxa"/>
            <w:vMerge w:val="continue"/>
            <w:noWrap w:val="0"/>
            <w:vAlign w:val="center"/>
          </w:tcPr>
          <w:p w14:paraId="527565F2">
            <w:pPr>
              <w:outlineLvl w:val="9"/>
              <w:rPr>
                <w:rFonts w:ascii="宋体" w:hAnsi="宋体" w:eastAsia="宋体" w:cs="Times New Roman"/>
                <w:szCs w:val="21"/>
              </w:rPr>
            </w:pPr>
          </w:p>
        </w:tc>
        <w:tc>
          <w:tcPr>
            <w:tcW w:w="1570" w:type="dxa"/>
            <w:vMerge w:val="continue"/>
            <w:noWrap w:val="0"/>
            <w:vAlign w:val="center"/>
          </w:tcPr>
          <w:p w14:paraId="249F62B8">
            <w:pPr>
              <w:jc w:val="center"/>
              <w:outlineLvl w:val="9"/>
              <w:rPr>
                <w:rFonts w:ascii="宋体" w:hAnsi="宋体" w:eastAsia="宋体" w:cs="宋体"/>
                <w:szCs w:val="21"/>
              </w:rPr>
            </w:pPr>
          </w:p>
        </w:tc>
        <w:tc>
          <w:tcPr>
            <w:tcW w:w="6226" w:type="dxa"/>
            <w:noWrap w:val="0"/>
            <w:vAlign w:val="center"/>
          </w:tcPr>
          <w:p w14:paraId="3AE9E033">
            <w:pPr>
              <w:numPr>
                <w:ilvl w:val="0"/>
                <w:numId w:val="0"/>
              </w:numPr>
              <w:wordWrap w:val="0"/>
              <w:overflowPunct w:val="0"/>
              <w:spacing w:line="360" w:lineRule="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2"/>
                <w:sz w:val="21"/>
                <w:szCs w:val="21"/>
                <w:lang w:val="en-US" w:eastAsia="zh-CN" w:bidi="ar-SA"/>
              </w:rPr>
              <w:t>2）</w:t>
            </w:r>
            <w:r>
              <w:rPr>
                <w:rFonts w:hint="eastAsia" w:ascii="宋体" w:hAnsi="宋体" w:eastAsia="宋体" w:cs="宋体"/>
                <w:b/>
                <w:bCs/>
                <w:color w:val="auto"/>
                <w:sz w:val="21"/>
                <w:szCs w:val="21"/>
                <w:highlight w:val="none"/>
                <w:lang w:val="en-US" w:eastAsia="zh-CN"/>
              </w:rPr>
              <w:t>仓储能力（满分5分）</w:t>
            </w:r>
          </w:p>
          <w:p w14:paraId="018AB6E4">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1.投标人具有固定的仓储场所，且设施齐全，提供租赁合同或自有产权证明及场所内外部实景照片，得3分；</w:t>
            </w:r>
          </w:p>
          <w:p w14:paraId="550E1088">
            <w:pPr>
              <w:ind w:firstLine="420" w:firstLineChars="200"/>
              <w:outlineLvl w:val="9"/>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2.投标人提供的仓储场所具有冷藏保鲜设施，提供相对应的证明材料，得2分。</w:t>
            </w:r>
          </w:p>
          <w:p w14:paraId="2C64AF16">
            <w:pPr>
              <w:ind w:firstLine="420" w:firstLineChars="200"/>
              <w:outlineLvl w:val="9"/>
              <w:rPr>
                <w:rFonts w:hint="default" w:ascii="宋体" w:hAnsi="宋体" w:eastAsia="宋体" w:cs="Times New Roman"/>
                <w:b w:val="0"/>
                <w:bCs w:val="0"/>
                <w:szCs w:val="21"/>
                <w:lang w:val="en-US" w:eastAsia="zh-CN"/>
              </w:rPr>
            </w:pPr>
            <w:r>
              <w:rPr>
                <w:rFonts w:hint="eastAsia" w:ascii="宋体" w:hAnsi="宋体" w:eastAsia="宋体" w:cs="Times New Roman"/>
                <w:szCs w:val="21"/>
                <w:lang w:val="en-US" w:eastAsia="zh-CN"/>
              </w:rPr>
              <w:t>注：若涉及转租的，除提供上述需提供的材料外，还须提供完整的证据链材料，在投标文件中提供原件的扫描件（或复印件）。未提供或提供不完整的不得分。</w:t>
            </w:r>
          </w:p>
        </w:tc>
      </w:tr>
    </w:tbl>
    <w:p w14:paraId="07D53CCF">
      <w:pPr>
        <w:pStyle w:val="19"/>
        <w:tabs>
          <w:tab w:val="left" w:pos="540"/>
        </w:tabs>
        <w:adjustRightInd w:val="0"/>
        <w:spacing w:before="240" w:line="360" w:lineRule="auto"/>
        <w:ind w:left="0" w:leftChars="0"/>
        <w:outlineLvl w:val="9"/>
        <w:rPr>
          <w:rFonts w:ascii="宋体" w:hAnsi="宋体"/>
          <w:b/>
          <w:sz w:val="24"/>
        </w:rPr>
      </w:pPr>
      <w:r>
        <w:rPr>
          <w:rFonts w:hAnsi="宋体"/>
          <w:b/>
          <w:bCs/>
          <w:sz w:val="24"/>
        </w:rPr>
        <w:br w:type="page"/>
      </w:r>
      <w:r>
        <w:rPr>
          <w:rFonts w:hint="eastAsia" w:ascii="宋体" w:hAnsi="宋体"/>
          <w:b/>
          <w:sz w:val="24"/>
        </w:rPr>
        <w:t>1.评标方法：</w:t>
      </w:r>
    </w:p>
    <w:p w14:paraId="1BE4BECE">
      <w:pPr>
        <w:pStyle w:val="17"/>
        <w:tabs>
          <w:tab w:val="left" w:pos="2472"/>
        </w:tabs>
        <w:spacing w:line="480" w:lineRule="exact"/>
        <w:outlineLvl w:val="9"/>
        <w:rPr>
          <w:rFonts w:hAnsi="宋体"/>
          <w:b/>
          <w:bCs/>
          <w:sz w:val="24"/>
        </w:rPr>
      </w:pPr>
      <w:r>
        <w:rPr>
          <w:rFonts w:hint="eastAsia" w:hAnsi="宋体"/>
          <w:b/>
          <w:bCs/>
          <w:sz w:val="24"/>
        </w:rPr>
        <w:t>1.1本次评标采用综合评分法。</w:t>
      </w:r>
      <w:r>
        <w:rPr>
          <w:rFonts w:hint="eastAsia" w:hAnsi="宋体"/>
          <w:sz w:val="24"/>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中标候选人。</w:t>
      </w:r>
    </w:p>
    <w:p w14:paraId="08C0A089">
      <w:pPr>
        <w:tabs>
          <w:tab w:val="left" w:pos="540"/>
        </w:tabs>
        <w:adjustRightInd w:val="0"/>
        <w:spacing w:before="240" w:after="120" w:line="360" w:lineRule="auto"/>
        <w:outlineLvl w:val="9"/>
        <w:rPr>
          <w:rFonts w:ascii="宋体" w:hAnsi="宋体"/>
          <w:b/>
          <w:sz w:val="24"/>
        </w:rPr>
      </w:pPr>
      <w:bookmarkStart w:id="169" w:name="_Toc63070526"/>
      <w:bookmarkStart w:id="170" w:name="_Toc70446126"/>
      <w:bookmarkStart w:id="171" w:name="_Toc48742771"/>
      <w:r>
        <w:rPr>
          <w:rFonts w:hint="eastAsia" w:ascii="宋体" w:hAnsi="宋体"/>
          <w:b/>
          <w:sz w:val="24"/>
        </w:rPr>
        <w:t>2.政府采购政策：</w:t>
      </w:r>
    </w:p>
    <w:p w14:paraId="4F61E29C">
      <w:pPr>
        <w:spacing w:line="360" w:lineRule="auto"/>
        <w:outlineLvl w:val="9"/>
        <w:rPr>
          <w:rFonts w:ascii="宋体" w:hAnsi="宋体"/>
          <w:b/>
          <w:sz w:val="24"/>
        </w:rPr>
      </w:pPr>
      <w:r>
        <w:rPr>
          <w:rFonts w:ascii="宋体" w:hAnsi="宋体"/>
          <w:b/>
          <w:sz w:val="24"/>
        </w:rPr>
        <w:t>2.1</w:t>
      </w:r>
      <w:r>
        <w:rPr>
          <w:rFonts w:hint="eastAsia" w:ascii="宋体" w:hAnsi="宋体"/>
          <w:b/>
          <w:sz w:val="24"/>
        </w:rPr>
        <w:t>中小企业</w:t>
      </w:r>
    </w:p>
    <w:p w14:paraId="7D836797">
      <w:pPr>
        <w:spacing w:line="360" w:lineRule="auto"/>
        <w:outlineLvl w:val="9"/>
        <w:rPr>
          <w:rFonts w:hint="eastAsia" w:ascii="宋体" w:hAnsi="宋体"/>
          <w:sz w:val="24"/>
        </w:rPr>
      </w:pPr>
      <w:r>
        <w:rPr>
          <w:rFonts w:ascii="宋体" w:hAnsi="宋体"/>
          <w:sz w:val="24"/>
        </w:rPr>
        <w:t>2</w:t>
      </w:r>
      <w:r>
        <w:rPr>
          <w:rFonts w:hint="eastAsia" w:ascii="宋体" w:hAnsi="宋体"/>
          <w:sz w:val="24"/>
        </w:rPr>
        <w:t>.</w:t>
      </w:r>
      <w:r>
        <w:rPr>
          <w:rFonts w:ascii="宋体" w:hAnsi="宋体"/>
          <w:sz w:val="24"/>
        </w:rPr>
        <w:t>1</w:t>
      </w:r>
      <w:r>
        <w:rPr>
          <w:rFonts w:hint="eastAsia" w:ascii="宋体" w:hAnsi="宋体"/>
          <w:sz w:val="24"/>
        </w:rPr>
        <w:t>.1根据《关于印发《政府采购促进中小企业发展管理办法》的通知》（财库〔2020〕46号）的规定，在政府采购活动中，供应商提供的货物、工程或者服务符合下列情形的，享受本办法规定的中小企业扶持政策：</w:t>
      </w:r>
    </w:p>
    <w:p w14:paraId="4267EE3D">
      <w:pPr>
        <w:spacing w:line="360" w:lineRule="auto"/>
        <w:ind w:firstLine="422" w:firstLineChars="176"/>
        <w:outlineLvl w:val="9"/>
        <w:rPr>
          <w:rFonts w:hint="eastAsia" w:ascii="宋体" w:hAnsi="宋体"/>
          <w:sz w:val="24"/>
        </w:rPr>
      </w:pPr>
      <w:r>
        <w:rPr>
          <w:rFonts w:hint="eastAsia" w:ascii="宋体" w:hAnsi="宋体"/>
          <w:sz w:val="24"/>
        </w:rPr>
        <w:t>（一）在货物采购项目中，货物由中小企业制造，即货物由中小企业生产且使用该中小企业商号或者注册商标；</w:t>
      </w:r>
    </w:p>
    <w:p w14:paraId="42E5CC7B">
      <w:pPr>
        <w:spacing w:line="360" w:lineRule="auto"/>
        <w:ind w:firstLine="422" w:firstLineChars="176"/>
        <w:outlineLvl w:val="9"/>
        <w:rPr>
          <w:rFonts w:hint="eastAsia" w:ascii="宋体" w:hAnsi="宋体"/>
          <w:sz w:val="24"/>
        </w:rPr>
      </w:pPr>
      <w:r>
        <w:rPr>
          <w:rFonts w:hint="eastAsia" w:ascii="宋体" w:hAnsi="宋体"/>
          <w:sz w:val="24"/>
        </w:rPr>
        <w:t>（二）在工程采购项目中，工程由中小企业承建，即工程施工单位为中小企业；</w:t>
      </w:r>
    </w:p>
    <w:p w14:paraId="4DE060FC">
      <w:pPr>
        <w:spacing w:line="360" w:lineRule="auto"/>
        <w:ind w:firstLine="422" w:firstLineChars="176"/>
        <w:outlineLvl w:val="9"/>
        <w:rPr>
          <w:rFonts w:hint="eastAsia" w:ascii="宋体" w:hAnsi="宋体"/>
          <w:sz w:val="24"/>
        </w:rPr>
      </w:pPr>
      <w:r>
        <w:rPr>
          <w:rFonts w:hint="eastAsia" w:ascii="宋体" w:hAnsi="宋体"/>
          <w:sz w:val="24"/>
        </w:rPr>
        <w:t>（三）在服务采购项目中，服务由中小企业承接，即提供服务的人员为中小企业依照《中华人民共和国劳动合同法》订立劳动合同的从业人员。</w:t>
      </w:r>
    </w:p>
    <w:p w14:paraId="6B35486B">
      <w:pPr>
        <w:spacing w:line="360" w:lineRule="auto"/>
        <w:ind w:firstLine="422" w:firstLineChars="176"/>
        <w:outlineLvl w:val="9"/>
        <w:rPr>
          <w:rFonts w:hint="eastAsia" w:ascii="宋体" w:hAnsi="宋体"/>
          <w:sz w:val="24"/>
        </w:rPr>
      </w:pPr>
      <w:r>
        <w:rPr>
          <w:rFonts w:hint="eastAsia" w:ascii="宋体" w:hAnsi="宋体"/>
          <w:sz w:val="24"/>
        </w:rPr>
        <w:t>在货物采购项目中，供应商提供的货物既有中小企业制造货物，也有大型企业制造货物的，不享受本办法规定的中小企业扶持政策。</w:t>
      </w:r>
    </w:p>
    <w:p w14:paraId="1D57F8F1">
      <w:pPr>
        <w:spacing w:line="360" w:lineRule="auto"/>
        <w:outlineLvl w:val="9"/>
        <w:rPr>
          <w:rFonts w:hint="eastAsia" w:ascii="宋体" w:hAnsi="宋体"/>
          <w:sz w:val="24"/>
        </w:rPr>
      </w:pPr>
      <w:r>
        <w:rPr>
          <w:rFonts w:hint="eastAsia" w:ascii="宋体" w:hAnsi="宋体"/>
          <w:sz w:val="24"/>
        </w:rPr>
        <w:t>以联合体形式参加政府采购活动，联合体各方均为中小企业的，联合体视同中小企业。其中，联合体各方均为小微企业的，联合体视同小微企业。</w:t>
      </w:r>
    </w:p>
    <w:p w14:paraId="1899F935">
      <w:pPr>
        <w:spacing w:line="360" w:lineRule="auto"/>
        <w:outlineLvl w:val="9"/>
        <w:rPr>
          <w:rFonts w:ascii="宋体" w:hAnsi="宋体"/>
          <w:sz w:val="24"/>
        </w:rPr>
      </w:pPr>
      <w:r>
        <w:rPr>
          <w:rFonts w:ascii="宋体" w:hAnsi="宋体"/>
          <w:sz w:val="24"/>
        </w:rPr>
        <w:t>2</w:t>
      </w:r>
      <w:r>
        <w:rPr>
          <w:rFonts w:hint="eastAsia" w:ascii="宋体" w:hAnsi="宋体"/>
          <w:sz w:val="24"/>
        </w:rPr>
        <w:t>.</w:t>
      </w:r>
      <w:r>
        <w:rPr>
          <w:rFonts w:ascii="宋体" w:hAnsi="宋体"/>
          <w:sz w:val="24"/>
        </w:rPr>
        <w:t>1</w:t>
      </w:r>
      <w:r>
        <w:rPr>
          <w:rFonts w:hint="eastAsia" w:ascii="宋体" w:hAnsi="宋体"/>
          <w:sz w:val="24"/>
        </w:rPr>
        <w:t>.2</w:t>
      </w:r>
      <w:r>
        <w:rPr>
          <w:rFonts w:ascii="宋体" w:hAnsi="宋体"/>
          <w:sz w:val="24"/>
        </w:rPr>
        <w:t>本</w:t>
      </w:r>
      <w:r>
        <w:rPr>
          <w:rFonts w:hint="eastAsia" w:ascii="宋体" w:hAnsi="宋体"/>
          <w:sz w:val="24"/>
        </w:rPr>
        <w:t>规定</w:t>
      </w:r>
      <w:r>
        <w:rPr>
          <w:rFonts w:ascii="宋体" w:hAnsi="宋体"/>
          <w:sz w:val="24"/>
        </w:rPr>
        <w:t>所称中小企业</w:t>
      </w:r>
      <w:r>
        <w:rPr>
          <w:rFonts w:hint="eastAsia" w:ascii="宋体" w:hAnsi="宋体"/>
          <w:sz w:val="24"/>
        </w:rPr>
        <w:t>，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sz w:val="24"/>
        </w:rPr>
        <w:t>。</w:t>
      </w:r>
    </w:p>
    <w:p w14:paraId="32E70886">
      <w:pPr>
        <w:spacing w:line="360" w:lineRule="auto"/>
        <w:outlineLvl w:val="9"/>
        <w:rPr>
          <w:rFonts w:ascii="宋体" w:hAnsi="宋体"/>
          <w:sz w:val="24"/>
        </w:rPr>
      </w:pPr>
      <w:r>
        <w:rPr>
          <w:rFonts w:ascii="宋体" w:hAnsi="宋体"/>
          <w:sz w:val="24"/>
        </w:rPr>
        <w:t>2</w:t>
      </w:r>
      <w:r>
        <w:rPr>
          <w:rFonts w:hint="eastAsia" w:ascii="宋体" w:hAnsi="宋体"/>
          <w:sz w:val="24"/>
        </w:rPr>
        <w:t>.</w:t>
      </w:r>
      <w:r>
        <w:rPr>
          <w:rFonts w:ascii="宋体" w:hAnsi="宋体"/>
          <w:sz w:val="24"/>
        </w:rPr>
        <w:t>1</w:t>
      </w:r>
      <w:r>
        <w:rPr>
          <w:rFonts w:hint="eastAsia" w:ascii="宋体" w:hAnsi="宋体"/>
          <w:sz w:val="24"/>
        </w:rPr>
        <w:t>.3</w:t>
      </w:r>
      <w:r>
        <w:rPr>
          <w:rFonts w:ascii="宋体" w:hAnsi="宋体"/>
          <w:sz w:val="24"/>
        </w:rPr>
        <w:t>小型、微型企业提供中型企业制造的货物的，视同为中型企业。</w:t>
      </w:r>
    </w:p>
    <w:p w14:paraId="2012FEDC">
      <w:pPr>
        <w:spacing w:line="360" w:lineRule="auto"/>
        <w:outlineLvl w:val="9"/>
        <w:rPr>
          <w:rFonts w:ascii="宋体" w:hAnsi="宋体"/>
          <w:sz w:val="24"/>
        </w:rPr>
      </w:pPr>
      <w:r>
        <w:rPr>
          <w:rFonts w:ascii="宋体" w:hAnsi="宋体"/>
          <w:sz w:val="24"/>
        </w:rPr>
        <w:t>2</w:t>
      </w:r>
      <w:r>
        <w:rPr>
          <w:rFonts w:hint="eastAsia" w:ascii="宋体" w:hAnsi="宋体"/>
          <w:sz w:val="24"/>
        </w:rPr>
        <w:t>.</w:t>
      </w:r>
      <w:r>
        <w:rPr>
          <w:rFonts w:ascii="宋体" w:hAnsi="宋体"/>
          <w:sz w:val="24"/>
        </w:rPr>
        <w:t>1</w:t>
      </w:r>
      <w:r>
        <w:rPr>
          <w:rFonts w:hint="eastAsia" w:ascii="宋体" w:hAnsi="宋体"/>
          <w:sz w:val="24"/>
        </w:rPr>
        <w:t>.4中小企业</w:t>
      </w:r>
      <w:r>
        <w:rPr>
          <w:rFonts w:ascii="宋体" w:hAnsi="宋体"/>
          <w:sz w:val="24"/>
        </w:rPr>
        <w:t>提供本企业制造的货物</w:t>
      </w:r>
      <w:r>
        <w:rPr>
          <w:rFonts w:hint="eastAsia" w:ascii="宋体" w:hAnsi="宋体"/>
          <w:sz w:val="24"/>
        </w:rPr>
        <w:t>参与投标时，须提供本企业的《中小企业声明函》；中小企业</w:t>
      </w:r>
      <w:r>
        <w:rPr>
          <w:rFonts w:ascii="宋体" w:hAnsi="宋体"/>
          <w:sz w:val="24"/>
        </w:rPr>
        <w:t>提供其他中小企业制造的货物</w:t>
      </w:r>
      <w:r>
        <w:rPr>
          <w:rFonts w:hint="eastAsia" w:ascii="宋体" w:hAnsi="宋体"/>
          <w:sz w:val="24"/>
        </w:rPr>
        <w:t>参与投标时，须在《中小企业声明函》中如实填报制造商信息。</w:t>
      </w:r>
    </w:p>
    <w:p w14:paraId="6DF8C551">
      <w:pPr>
        <w:tabs>
          <w:tab w:val="left" w:pos="2472"/>
        </w:tabs>
        <w:spacing w:line="480" w:lineRule="exact"/>
        <w:outlineLvl w:val="9"/>
        <w:rPr>
          <w:rFonts w:ascii="宋体" w:hAnsi="宋体"/>
          <w:b/>
          <w:sz w:val="24"/>
        </w:rPr>
      </w:pPr>
      <w:r>
        <w:rPr>
          <w:rFonts w:ascii="宋体" w:hAnsi="宋体"/>
          <w:b/>
          <w:sz w:val="24"/>
        </w:rPr>
        <w:t>2</w:t>
      </w:r>
      <w:r>
        <w:rPr>
          <w:rFonts w:hint="eastAsia" w:ascii="宋体" w:hAnsi="宋体"/>
          <w:b/>
          <w:sz w:val="24"/>
        </w:rPr>
        <w:t>.</w:t>
      </w:r>
      <w:r>
        <w:rPr>
          <w:rFonts w:ascii="宋体" w:hAnsi="宋体"/>
          <w:b/>
          <w:sz w:val="24"/>
        </w:rPr>
        <w:t>2</w:t>
      </w:r>
      <w:r>
        <w:rPr>
          <w:rFonts w:hint="eastAsia" w:ascii="宋体" w:hAnsi="宋体"/>
          <w:b/>
          <w:sz w:val="24"/>
        </w:rPr>
        <w:t>监狱企业</w:t>
      </w:r>
    </w:p>
    <w:p w14:paraId="25E6A773">
      <w:pPr>
        <w:tabs>
          <w:tab w:val="left" w:pos="2472"/>
        </w:tabs>
        <w:spacing w:line="480" w:lineRule="exact"/>
        <w:outlineLvl w:val="9"/>
        <w:rPr>
          <w:rFonts w:ascii="宋体" w:hAnsi="宋体"/>
          <w:sz w:val="24"/>
        </w:rPr>
      </w:pPr>
      <w:r>
        <w:rPr>
          <w:rFonts w:ascii="宋体" w:hAnsi="宋体"/>
          <w:sz w:val="24"/>
        </w:rPr>
        <w:t>2</w:t>
      </w:r>
      <w:r>
        <w:rPr>
          <w:rFonts w:hint="eastAsia" w:ascii="宋体" w:hAnsi="宋体"/>
          <w:sz w:val="24"/>
        </w:rPr>
        <w:t>.</w:t>
      </w:r>
      <w:r>
        <w:rPr>
          <w:rFonts w:ascii="宋体" w:hAnsi="宋体"/>
          <w:sz w:val="24"/>
        </w:rPr>
        <w:t>2</w:t>
      </w:r>
      <w:r>
        <w:rPr>
          <w:rFonts w:hint="eastAsia" w:ascii="宋体" w:hAnsi="宋体"/>
          <w:sz w:val="24"/>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841BB59">
      <w:pPr>
        <w:tabs>
          <w:tab w:val="left" w:pos="2472"/>
        </w:tabs>
        <w:spacing w:line="480" w:lineRule="exact"/>
        <w:outlineLvl w:val="9"/>
        <w:rPr>
          <w:rFonts w:ascii="宋体" w:hAnsi="宋体"/>
          <w:b/>
          <w:sz w:val="24"/>
        </w:rPr>
      </w:pPr>
      <w:r>
        <w:rPr>
          <w:rFonts w:hint="eastAsia" w:ascii="宋体" w:hAnsi="宋体"/>
          <w:b/>
          <w:sz w:val="24"/>
        </w:rPr>
        <w:t>2.3残疾人福利性单位</w:t>
      </w:r>
    </w:p>
    <w:p w14:paraId="7370D3D4">
      <w:pPr>
        <w:tabs>
          <w:tab w:val="left" w:pos="2472"/>
        </w:tabs>
        <w:spacing w:line="480" w:lineRule="exact"/>
        <w:outlineLvl w:val="9"/>
        <w:rPr>
          <w:rFonts w:ascii="宋体" w:hAnsi="宋体"/>
          <w:sz w:val="24"/>
        </w:rPr>
      </w:pPr>
      <w:r>
        <w:rPr>
          <w:rFonts w:ascii="宋体" w:hAnsi="宋体"/>
          <w:sz w:val="24"/>
        </w:rPr>
        <w:t>2.3</w:t>
      </w:r>
      <w:r>
        <w:rPr>
          <w:rFonts w:hint="eastAsia" w:ascii="宋体" w:hAnsi="宋体"/>
          <w:sz w:val="24"/>
        </w:rPr>
        <w:t>.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296606C4">
      <w:pPr>
        <w:tabs>
          <w:tab w:val="left" w:pos="2472"/>
        </w:tabs>
        <w:spacing w:line="480" w:lineRule="exact"/>
        <w:outlineLvl w:val="9"/>
        <w:rPr>
          <w:rFonts w:ascii="宋体" w:hAnsi="宋体"/>
          <w:sz w:val="24"/>
        </w:rPr>
      </w:pPr>
      <w:r>
        <w:rPr>
          <w:rFonts w:ascii="宋体" w:hAnsi="宋体"/>
          <w:sz w:val="24"/>
        </w:rPr>
        <w:t>2.3</w:t>
      </w:r>
      <w:r>
        <w:rPr>
          <w:rFonts w:hint="eastAsia" w:ascii="宋体" w:hAnsi="宋体"/>
          <w:sz w:val="24"/>
        </w:rPr>
        <w:t>.2在政府采购活动中，残疾人福利性单位视同小型、微型企业。</w:t>
      </w:r>
    </w:p>
    <w:p w14:paraId="70D310A4">
      <w:pPr>
        <w:tabs>
          <w:tab w:val="left" w:pos="2472"/>
        </w:tabs>
        <w:spacing w:line="480" w:lineRule="exact"/>
        <w:outlineLvl w:val="9"/>
        <w:rPr>
          <w:rFonts w:ascii="宋体" w:hAnsi="宋体"/>
          <w:sz w:val="24"/>
        </w:rPr>
      </w:pPr>
      <w:r>
        <w:rPr>
          <w:rFonts w:ascii="宋体" w:hAnsi="宋体"/>
          <w:sz w:val="24"/>
        </w:rPr>
        <w:t>2.3</w:t>
      </w:r>
      <w:r>
        <w:rPr>
          <w:rFonts w:hint="eastAsia" w:ascii="宋体" w:hAnsi="宋体"/>
          <w:sz w:val="24"/>
        </w:rPr>
        <w:t>.3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218A014F">
      <w:pPr>
        <w:tabs>
          <w:tab w:val="left" w:pos="2472"/>
        </w:tabs>
        <w:spacing w:line="480" w:lineRule="exact"/>
        <w:outlineLvl w:val="9"/>
        <w:rPr>
          <w:rFonts w:ascii="宋体" w:hAnsi="宋体"/>
          <w:b/>
          <w:sz w:val="24"/>
          <w:highlight w:val="none"/>
        </w:rPr>
      </w:pPr>
      <w:r>
        <w:rPr>
          <w:rFonts w:hint="eastAsia" w:ascii="宋体" w:hAnsi="宋体"/>
          <w:b/>
          <w:sz w:val="24"/>
        </w:rPr>
        <w:t>2.4</w:t>
      </w:r>
      <w:r>
        <w:rPr>
          <w:rFonts w:hint="eastAsia" w:ascii="宋体" w:hAnsi="宋体" w:eastAsia="宋体" w:cs="宋体"/>
          <w:b/>
          <w:sz w:val="24"/>
          <w:highlight w:val="none"/>
        </w:rPr>
        <w:t>小微企业（监狱企业、残疾人福利性单位视同小型或微型企业）应考虑的优先条件和价格折扣：</w:t>
      </w:r>
      <w:r>
        <w:rPr>
          <w:rFonts w:hint="eastAsia" w:ascii="宋体" w:hAnsi="宋体" w:eastAsia="宋体" w:cs="宋体"/>
          <w:b/>
          <w:sz w:val="24"/>
          <w:highlight w:val="none"/>
          <w:lang w:val="en-US" w:eastAsia="zh-CN"/>
        </w:rPr>
        <w:t>针对</w:t>
      </w:r>
      <w:r>
        <w:rPr>
          <w:rFonts w:hint="eastAsia" w:ascii="宋体" w:hAnsi="宋体" w:eastAsia="宋体" w:cs="宋体"/>
          <w:b/>
          <w:sz w:val="24"/>
          <w:highlight w:val="none"/>
        </w:rPr>
        <w:t>小型和微型企业或监狱企业或残疾人福利性单位的报价给予10%的扣除，用扣除后的价格参与评审，残疾人福利性单位属于小型、微型企业的，不重复享受政策。</w:t>
      </w:r>
    </w:p>
    <w:p w14:paraId="4551A2C3">
      <w:pPr>
        <w:tabs>
          <w:tab w:val="left" w:pos="2472"/>
        </w:tabs>
        <w:spacing w:line="480" w:lineRule="exact"/>
        <w:outlineLvl w:val="9"/>
        <w:rPr>
          <w:rFonts w:ascii="宋体" w:hAnsi="宋体"/>
          <w:b/>
          <w:sz w:val="24"/>
        </w:rPr>
      </w:pPr>
      <w:r>
        <w:rPr>
          <w:rFonts w:hint="eastAsia" w:ascii="宋体" w:hAnsi="宋体"/>
          <w:b/>
          <w:sz w:val="24"/>
        </w:rPr>
        <w:t>2.5节能、环境标志产品</w:t>
      </w:r>
    </w:p>
    <w:p w14:paraId="0926A904">
      <w:pPr>
        <w:tabs>
          <w:tab w:val="left" w:pos="2472"/>
        </w:tabs>
        <w:spacing w:line="480" w:lineRule="exact"/>
        <w:ind w:firstLine="360" w:firstLineChars="150"/>
        <w:outlineLvl w:val="9"/>
        <w:rPr>
          <w:rFonts w:ascii="宋体" w:hAnsi="宋体"/>
          <w:sz w:val="24"/>
        </w:rPr>
      </w:pPr>
      <w:r>
        <w:rPr>
          <w:rFonts w:hint="eastAsia" w:ascii="宋体" w:hAnsi="宋体"/>
          <w:sz w:val="24"/>
        </w:rPr>
        <w:t>2.5.1节能产品是指列入财政部和国家发改委公布的《节能产品政府采购品目清单》中的货物。政府强制采购节能产品是指《节能产品政府采购品目清单》中以“★”标注类别的产品。</w:t>
      </w:r>
    </w:p>
    <w:p w14:paraId="36909424">
      <w:pPr>
        <w:tabs>
          <w:tab w:val="left" w:pos="2472"/>
        </w:tabs>
        <w:spacing w:line="480" w:lineRule="exact"/>
        <w:ind w:firstLine="360" w:firstLineChars="150"/>
        <w:outlineLvl w:val="9"/>
        <w:rPr>
          <w:rFonts w:ascii="宋体" w:hAnsi="宋体"/>
          <w:sz w:val="24"/>
        </w:rPr>
      </w:pPr>
      <w:r>
        <w:rPr>
          <w:rFonts w:hint="eastAsia" w:ascii="宋体" w:hAnsi="宋体"/>
          <w:sz w:val="24"/>
        </w:rPr>
        <w:t>2.5.2环境标志产品是指列入财政部、生态环境部公布的《环境标志产品政府采购品目清单》中的货物。</w:t>
      </w:r>
    </w:p>
    <w:p w14:paraId="56C0DD0E">
      <w:pPr>
        <w:tabs>
          <w:tab w:val="left" w:pos="2472"/>
        </w:tabs>
        <w:spacing w:line="480" w:lineRule="exact"/>
        <w:ind w:firstLine="360" w:firstLineChars="150"/>
        <w:outlineLvl w:val="9"/>
        <w:rPr>
          <w:rFonts w:ascii="宋体" w:hAnsi="宋体"/>
          <w:sz w:val="24"/>
        </w:rPr>
      </w:pPr>
      <w:r>
        <w:rPr>
          <w:rFonts w:hint="eastAsia" w:ascii="宋体" w:hAnsi="宋体"/>
          <w:sz w:val="24"/>
        </w:rPr>
        <w:t>2.5.3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097A51BB">
      <w:pPr>
        <w:tabs>
          <w:tab w:val="left" w:pos="2472"/>
        </w:tabs>
        <w:spacing w:line="480" w:lineRule="exact"/>
        <w:ind w:firstLine="360" w:firstLineChars="150"/>
        <w:outlineLvl w:val="9"/>
        <w:rPr>
          <w:rFonts w:ascii="宋体" w:hAnsi="宋体"/>
          <w:sz w:val="24"/>
        </w:rPr>
      </w:pPr>
      <w:r>
        <w:rPr>
          <w:rFonts w:hint="eastAsia" w:ascii="宋体" w:hAnsi="宋体"/>
          <w:sz w:val="24"/>
        </w:rPr>
        <w:t>2.5.4投标人应在投标文件中提供所投标产品国家确定的认证机构出具的、处于有效期之内的节能产品、环境标志产品认证证书，否则不予认可。</w:t>
      </w:r>
    </w:p>
    <w:p w14:paraId="2EFD9E61">
      <w:pPr>
        <w:tabs>
          <w:tab w:val="left" w:pos="2472"/>
        </w:tabs>
        <w:spacing w:line="480" w:lineRule="exact"/>
        <w:ind w:firstLine="360" w:firstLineChars="150"/>
        <w:outlineLvl w:val="9"/>
        <w:rPr>
          <w:rFonts w:ascii="宋体" w:hAnsi="宋体"/>
          <w:sz w:val="24"/>
        </w:rPr>
      </w:pPr>
      <w:r>
        <w:rPr>
          <w:rFonts w:hint="eastAsia" w:ascii="宋体" w:hAnsi="宋体"/>
          <w:sz w:val="24"/>
        </w:rPr>
        <w:t>2.5.5《节能产品政府采购品目清单》及《环境标志产品政府采购品目清单》可通过中国政府采购网（http://www.ccgp.gov.cn/ ）查阅、下载。</w:t>
      </w:r>
    </w:p>
    <w:p w14:paraId="78ABE357">
      <w:pPr>
        <w:tabs>
          <w:tab w:val="left" w:pos="2472"/>
        </w:tabs>
        <w:spacing w:line="480" w:lineRule="exact"/>
        <w:ind w:firstLine="360" w:firstLineChars="150"/>
        <w:outlineLvl w:val="9"/>
        <w:rPr>
          <w:rFonts w:hint="eastAsia" w:ascii="宋体" w:hAnsi="宋体"/>
          <w:b w:val="0"/>
          <w:bCs/>
          <w:sz w:val="24"/>
        </w:rPr>
      </w:pPr>
      <w:r>
        <w:rPr>
          <w:rFonts w:hint="eastAsia" w:ascii="宋体" w:hAnsi="宋体"/>
          <w:b w:val="0"/>
          <w:bCs/>
          <w:sz w:val="24"/>
        </w:rPr>
        <w:t>投标人所投产品为“节能产品政府采购品目清单”中政府强制采购产品，则选报的该产品必须具备国家确定的认证机构（“市场监管总局关于发布参与实施政府采购节能产品、环境标志产品认证机构名录的公告”所列认证机构；如有新增确定的认证机构，提供相应证明材料即可）出具的、处于有效期之内的节能产品认证证书，并在投标文件中提供该证书（包含证书附录）扫描件，并在附录中标明所投产品型号，否则其投标文件无效；如所投产品型号与认证证书或证书附录不一致，则其投标文件无效。</w:t>
      </w:r>
    </w:p>
    <w:p w14:paraId="614539DB">
      <w:pPr>
        <w:pStyle w:val="17"/>
        <w:tabs>
          <w:tab w:val="left" w:pos="2472"/>
        </w:tabs>
        <w:spacing w:line="480" w:lineRule="exact"/>
        <w:outlineLvl w:val="9"/>
        <w:rPr>
          <w:rFonts w:hAnsi="宋体"/>
          <w:b/>
          <w:bCs/>
          <w:sz w:val="24"/>
        </w:rPr>
      </w:pPr>
      <w:r>
        <w:rPr>
          <w:rFonts w:hint="eastAsia" w:hAnsi="宋体"/>
          <w:b/>
          <w:bCs/>
          <w:sz w:val="24"/>
        </w:rPr>
        <w:t>3. 评标程序及标准</w:t>
      </w:r>
      <w:bookmarkEnd w:id="169"/>
      <w:bookmarkEnd w:id="170"/>
      <w:bookmarkEnd w:id="171"/>
    </w:p>
    <w:p w14:paraId="7ED9E441">
      <w:pPr>
        <w:pStyle w:val="17"/>
        <w:tabs>
          <w:tab w:val="left" w:pos="2472"/>
        </w:tabs>
        <w:spacing w:line="480" w:lineRule="exact"/>
        <w:outlineLvl w:val="9"/>
        <w:rPr>
          <w:rFonts w:hAnsi="宋体"/>
          <w:b/>
          <w:sz w:val="24"/>
          <w:szCs w:val="24"/>
        </w:rPr>
      </w:pPr>
      <w:r>
        <w:rPr>
          <w:rFonts w:hint="eastAsia" w:hAnsi="宋体"/>
          <w:b/>
          <w:bCs/>
          <w:sz w:val="24"/>
        </w:rPr>
        <w:t>3.1</w:t>
      </w:r>
      <w:r>
        <w:rPr>
          <w:rFonts w:hint="eastAsia" w:hAnsi="宋体"/>
          <w:b/>
          <w:sz w:val="24"/>
          <w:szCs w:val="24"/>
        </w:rPr>
        <w:t>符合性评审</w:t>
      </w:r>
    </w:p>
    <w:p w14:paraId="368A8B3F">
      <w:pPr>
        <w:pStyle w:val="17"/>
        <w:tabs>
          <w:tab w:val="left" w:pos="2472"/>
        </w:tabs>
        <w:spacing w:line="480" w:lineRule="exact"/>
        <w:outlineLvl w:val="9"/>
        <w:rPr>
          <w:rFonts w:hAnsi="宋体"/>
          <w:sz w:val="24"/>
          <w:szCs w:val="24"/>
        </w:rPr>
      </w:pPr>
      <w:r>
        <w:rPr>
          <w:rFonts w:hint="eastAsia" w:hAnsi="宋体"/>
          <w:sz w:val="24"/>
          <w:szCs w:val="24"/>
        </w:rPr>
        <w:t>3.1.1依据招标文件的规定，评标委员会对符合资格的投标人的投标文件从有效性、完整性和对招标文件的实质性响应程度等方面进行审查，见评标方法前附表。</w:t>
      </w:r>
    </w:p>
    <w:p w14:paraId="2C15C4A6">
      <w:pPr>
        <w:pStyle w:val="17"/>
        <w:tabs>
          <w:tab w:val="left" w:pos="2472"/>
        </w:tabs>
        <w:spacing w:line="480" w:lineRule="exact"/>
        <w:outlineLvl w:val="9"/>
        <w:rPr>
          <w:rFonts w:hAnsi="宋体"/>
          <w:sz w:val="24"/>
          <w:szCs w:val="24"/>
        </w:rPr>
      </w:pPr>
      <w:r>
        <w:rPr>
          <w:rFonts w:hint="eastAsia" w:hAnsi="宋体"/>
          <w:sz w:val="24"/>
          <w:szCs w:val="24"/>
        </w:rPr>
        <w:t>3.1.2按上述条款执行后，投标人不足3家的，本项目应予废标。</w:t>
      </w:r>
    </w:p>
    <w:p w14:paraId="66CCE1F1">
      <w:pPr>
        <w:spacing w:line="360" w:lineRule="auto"/>
        <w:jc w:val="left"/>
        <w:outlineLvl w:val="9"/>
        <w:rPr>
          <w:rFonts w:ascii="宋体" w:hAnsi="宋体"/>
          <w:b/>
          <w:sz w:val="24"/>
        </w:rPr>
      </w:pPr>
      <w:r>
        <w:rPr>
          <w:rFonts w:hint="eastAsia" w:ascii="宋体" w:hAnsi="宋体"/>
          <w:b/>
          <w:sz w:val="24"/>
        </w:rPr>
        <w:t>3.2详细评审</w:t>
      </w:r>
    </w:p>
    <w:p w14:paraId="1486195C">
      <w:pPr>
        <w:pStyle w:val="17"/>
        <w:tabs>
          <w:tab w:val="left" w:pos="2472"/>
        </w:tabs>
        <w:spacing w:line="360" w:lineRule="auto"/>
        <w:outlineLvl w:val="9"/>
        <w:rPr>
          <w:rFonts w:hAnsi="宋体"/>
          <w:sz w:val="24"/>
          <w:szCs w:val="24"/>
        </w:rPr>
      </w:pPr>
      <w:bookmarkStart w:id="172" w:name="_Toc321836408"/>
      <w:r>
        <w:rPr>
          <w:rFonts w:hint="eastAsia" w:hAnsi="宋体"/>
          <w:sz w:val="24"/>
          <w:szCs w:val="24"/>
        </w:rPr>
        <w:t>3</w:t>
      </w:r>
      <w:r>
        <w:rPr>
          <w:rFonts w:hAnsi="宋体"/>
          <w:sz w:val="24"/>
          <w:szCs w:val="24"/>
        </w:rPr>
        <w:t>.</w:t>
      </w:r>
      <w:r>
        <w:rPr>
          <w:rFonts w:hint="eastAsia" w:hAnsi="宋体"/>
          <w:sz w:val="24"/>
          <w:szCs w:val="24"/>
        </w:rPr>
        <w:t>2</w:t>
      </w:r>
      <w:r>
        <w:rPr>
          <w:rFonts w:hAnsi="宋体"/>
          <w:sz w:val="24"/>
          <w:szCs w:val="24"/>
        </w:rPr>
        <w:t>.1</w:t>
      </w:r>
      <w:bookmarkEnd w:id="172"/>
      <w:r>
        <w:rPr>
          <w:rFonts w:ascii="inherit" w:hAnsi="inherit" w:cs="宋体"/>
          <w:kern w:val="0"/>
          <w:sz w:val="24"/>
          <w:szCs w:val="24"/>
        </w:rPr>
        <w:t>评标委员会按照招标文件中规定的评标方法和标准，对符合性审查合格的投标文件进行商务和技术评估，综合比较与评价</w:t>
      </w:r>
      <w:r>
        <w:rPr>
          <w:rFonts w:hAnsi="宋体"/>
          <w:sz w:val="24"/>
          <w:szCs w:val="24"/>
        </w:rPr>
        <w:t>, 见评标方法前附表。</w:t>
      </w:r>
    </w:p>
    <w:p w14:paraId="53DC79AF">
      <w:pPr>
        <w:pStyle w:val="17"/>
        <w:tabs>
          <w:tab w:val="left" w:pos="2472"/>
        </w:tabs>
        <w:spacing w:line="360" w:lineRule="auto"/>
        <w:outlineLvl w:val="9"/>
        <w:rPr>
          <w:rFonts w:hAnsi="宋体"/>
          <w:sz w:val="24"/>
          <w:szCs w:val="24"/>
        </w:rPr>
      </w:pPr>
      <w:r>
        <w:rPr>
          <w:rFonts w:hint="eastAsia" w:hAnsi="宋体"/>
          <w:sz w:val="24"/>
          <w:szCs w:val="24"/>
        </w:rPr>
        <w:t>3</w:t>
      </w:r>
      <w:r>
        <w:rPr>
          <w:rFonts w:hAnsi="宋体"/>
          <w:sz w:val="24"/>
          <w:szCs w:val="24"/>
        </w:rPr>
        <w:t>.</w:t>
      </w:r>
      <w:r>
        <w:rPr>
          <w:rFonts w:hint="eastAsia" w:hAnsi="宋体"/>
          <w:sz w:val="24"/>
          <w:szCs w:val="24"/>
        </w:rPr>
        <w:t>2</w:t>
      </w:r>
      <w:r>
        <w:rPr>
          <w:rFonts w:hAnsi="宋体"/>
          <w:sz w:val="24"/>
          <w:szCs w:val="24"/>
        </w:rPr>
        <w:t>.2</w:t>
      </w:r>
      <w:r>
        <w:rPr>
          <w:rFonts w:hint="eastAsia" w:hAnsi="宋体"/>
          <w:sz w:val="24"/>
        </w:rPr>
        <w:t>评标委员会各成员要依法独立评审，并对评审意见承担个人责任。</w:t>
      </w:r>
      <w:r>
        <w:rPr>
          <w:rFonts w:hint="eastAsia" w:hAnsi="宋体"/>
          <w:sz w:val="24"/>
          <w:szCs w:val="24"/>
        </w:rPr>
        <w:t>对投标人的客观评分项的评分应当一致，对其他需要借助专业知识评判的主观评分项，应当严格按照评分细则公正评分。</w:t>
      </w:r>
    </w:p>
    <w:p w14:paraId="5A2F0B01">
      <w:pPr>
        <w:pStyle w:val="17"/>
        <w:tabs>
          <w:tab w:val="left" w:pos="2472"/>
        </w:tabs>
        <w:spacing w:line="360" w:lineRule="auto"/>
        <w:outlineLvl w:val="9"/>
        <w:rPr>
          <w:rFonts w:hAnsi="宋体"/>
          <w:sz w:val="24"/>
          <w:szCs w:val="24"/>
        </w:rPr>
      </w:pPr>
      <w:r>
        <w:rPr>
          <w:rFonts w:hint="eastAsia" w:hAnsi="宋体"/>
          <w:sz w:val="24"/>
          <w:szCs w:val="24"/>
        </w:rPr>
        <w:t>3</w:t>
      </w:r>
      <w:r>
        <w:rPr>
          <w:rFonts w:hAnsi="宋体"/>
          <w:sz w:val="24"/>
          <w:szCs w:val="24"/>
        </w:rPr>
        <w:t>.</w:t>
      </w:r>
      <w:r>
        <w:rPr>
          <w:rFonts w:hint="eastAsia" w:hAnsi="宋体"/>
          <w:sz w:val="24"/>
          <w:szCs w:val="24"/>
        </w:rPr>
        <w:t>2</w:t>
      </w:r>
      <w:r>
        <w:rPr>
          <w:rFonts w:hAnsi="宋体"/>
          <w:sz w:val="24"/>
          <w:szCs w:val="24"/>
        </w:rPr>
        <w:t>.3</w:t>
      </w:r>
      <w:r>
        <w:rPr>
          <w:rFonts w:hint="eastAsia" w:hAnsi="宋体"/>
          <w:sz w:val="24"/>
        </w:rPr>
        <w:t>评标委员会成员对需要共同认定的事项存在争议的，按照少数服从多数的原则做出结论。持不同意见的评标委员会成员应当在评标报告上签署不同意见并说明理由，否则视为同意。</w:t>
      </w:r>
    </w:p>
    <w:p w14:paraId="75F8C1CD">
      <w:pPr>
        <w:pStyle w:val="17"/>
        <w:tabs>
          <w:tab w:val="left" w:pos="2472"/>
        </w:tabs>
        <w:spacing w:line="360" w:lineRule="auto"/>
        <w:outlineLvl w:val="9"/>
        <w:rPr>
          <w:rFonts w:hAnsi="宋体"/>
          <w:sz w:val="24"/>
          <w:szCs w:val="24"/>
        </w:rPr>
      </w:pPr>
      <w:r>
        <w:rPr>
          <w:rFonts w:hint="eastAsia" w:hAnsi="宋体"/>
          <w:sz w:val="24"/>
          <w:szCs w:val="24"/>
        </w:rPr>
        <w:t>3</w:t>
      </w:r>
      <w:r>
        <w:rPr>
          <w:rFonts w:hAnsi="宋体"/>
          <w:sz w:val="24"/>
          <w:szCs w:val="24"/>
        </w:rPr>
        <w:t>.</w:t>
      </w:r>
      <w:r>
        <w:rPr>
          <w:rFonts w:hint="eastAsia" w:hAnsi="宋体"/>
          <w:sz w:val="24"/>
          <w:szCs w:val="24"/>
        </w:rPr>
        <w:t>2</w:t>
      </w:r>
      <w:r>
        <w:rPr>
          <w:rFonts w:hAnsi="宋体"/>
          <w:sz w:val="24"/>
          <w:szCs w:val="24"/>
        </w:rPr>
        <w:t>.4</w:t>
      </w:r>
      <w:r>
        <w:rPr>
          <w:rFonts w:ascii="inherit" w:hAnsi="inherit" w:cs="宋体"/>
          <w:kern w:val="0"/>
          <w:sz w:val="24"/>
          <w:szCs w:val="24"/>
        </w:rPr>
        <w:t>投标文件报价出现前后不一致的，按照下列规定修正</w:t>
      </w:r>
      <w:r>
        <w:rPr>
          <w:rFonts w:hAnsi="宋体"/>
          <w:sz w:val="24"/>
          <w:szCs w:val="24"/>
        </w:rPr>
        <w:t>：</w:t>
      </w:r>
    </w:p>
    <w:p w14:paraId="4F36F502">
      <w:pPr>
        <w:pStyle w:val="17"/>
        <w:tabs>
          <w:tab w:val="left" w:pos="2472"/>
        </w:tabs>
        <w:spacing w:line="360" w:lineRule="auto"/>
        <w:ind w:firstLine="480" w:firstLineChars="200"/>
        <w:outlineLvl w:val="9"/>
        <w:rPr>
          <w:rFonts w:hAnsi="宋体"/>
          <w:sz w:val="24"/>
          <w:szCs w:val="24"/>
        </w:rPr>
      </w:pPr>
      <w:r>
        <w:rPr>
          <w:rFonts w:hint="eastAsia" w:hAnsi="宋体"/>
          <w:sz w:val="24"/>
          <w:szCs w:val="24"/>
        </w:rPr>
        <w:t>（一）投标文件中开标一览表（报价表）内容与投标文件中相应内容不一致的，以开标一览表（报价表）为准；</w:t>
      </w:r>
    </w:p>
    <w:p w14:paraId="4A3272A1">
      <w:pPr>
        <w:pStyle w:val="17"/>
        <w:tabs>
          <w:tab w:val="left" w:pos="2472"/>
        </w:tabs>
        <w:spacing w:line="360" w:lineRule="auto"/>
        <w:ind w:firstLine="480" w:firstLineChars="200"/>
        <w:outlineLvl w:val="9"/>
        <w:rPr>
          <w:rFonts w:hAnsi="宋体"/>
          <w:sz w:val="24"/>
          <w:szCs w:val="24"/>
        </w:rPr>
      </w:pPr>
      <w:r>
        <w:rPr>
          <w:rFonts w:hint="eastAsia" w:hAnsi="宋体"/>
          <w:sz w:val="24"/>
          <w:szCs w:val="24"/>
        </w:rPr>
        <w:t>（二）大写金额和小写金额不一致的，以大写金额为准；</w:t>
      </w:r>
    </w:p>
    <w:p w14:paraId="401E6ACF">
      <w:pPr>
        <w:pStyle w:val="17"/>
        <w:tabs>
          <w:tab w:val="left" w:pos="2472"/>
        </w:tabs>
        <w:spacing w:line="360" w:lineRule="auto"/>
        <w:ind w:firstLine="480" w:firstLineChars="200"/>
        <w:outlineLvl w:val="9"/>
        <w:rPr>
          <w:rFonts w:hAnsi="宋体"/>
          <w:sz w:val="24"/>
          <w:szCs w:val="24"/>
        </w:rPr>
      </w:pPr>
      <w:r>
        <w:rPr>
          <w:rFonts w:hint="eastAsia" w:hAnsi="宋体"/>
          <w:sz w:val="24"/>
          <w:szCs w:val="24"/>
        </w:rPr>
        <w:t>（三）单价金额小数点或者百分比有明显错位的，以开标一览表的总价为准，并修改单价；</w:t>
      </w:r>
    </w:p>
    <w:p w14:paraId="49A04D2F">
      <w:pPr>
        <w:pStyle w:val="17"/>
        <w:tabs>
          <w:tab w:val="left" w:pos="2472"/>
        </w:tabs>
        <w:spacing w:line="360" w:lineRule="auto"/>
        <w:ind w:firstLine="480" w:firstLineChars="200"/>
        <w:outlineLvl w:val="9"/>
        <w:rPr>
          <w:rFonts w:hAnsi="宋体"/>
          <w:sz w:val="24"/>
          <w:szCs w:val="24"/>
        </w:rPr>
      </w:pPr>
      <w:r>
        <w:rPr>
          <w:rFonts w:hint="eastAsia" w:hAnsi="宋体"/>
          <w:sz w:val="24"/>
          <w:szCs w:val="24"/>
        </w:rPr>
        <w:t>（四）总价金额与按单价汇总金额不一致的，以单价金额计算结果为准。</w:t>
      </w:r>
    </w:p>
    <w:p w14:paraId="17685B56">
      <w:pPr>
        <w:pStyle w:val="17"/>
        <w:tabs>
          <w:tab w:val="left" w:pos="2472"/>
        </w:tabs>
        <w:spacing w:line="360" w:lineRule="auto"/>
        <w:outlineLvl w:val="9"/>
        <w:rPr>
          <w:rFonts w:hAnsi="宋体"/>
          <w:sz w:val="24"/>
          <w:szCs w:val="24"/>
        </w:rPr>
      </w:pPr>
      <w:r>
        <w:rPr>
          <w:rFonts w:hint="eastAsia" w:hAnsi="宋体"/>
          <w:sz w:val="24"/>
        </w:rPr>
        <w:t>★</w:t>
      </w:r>
      <w:r>
        <w:rPr>
          <w:rFonts w:hint="eastAsia" w:hAnsi="宋体"/>
          <w:sz w:val="24"/>
          <w:szCs w:val="24"/>
        </w:rPr>
        <w:t>同时出现两种以上不一致的，按照前款规定的顺序修正。修正后的报价按照本章4.2款的规定经投标人确认后产生约束力，投标人不确认的，其投标无效。</w:t>
      </w:r>
    </w:p>
    <w:p w14:paraId="712341F3">
      <w:pPr>
        <w:spacing w:line="360" w:lineRule="auto"/>
        <w:jc w:val="left"/>
        <w:outlineLvl w:val="9"/>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2</w:t>
      </w:r>
      <w:r>
        <w:rPr>
          <w:rFonts w:ascii="宋体" w:hAnsi="宋体"/>
          <w:sz w:val="24"/>
        </w:rPr>
        <w:t>.5价格部分</w:t>
      </w:r>
      <w:r>
        <w:rPr>
          <w:rFonts w:hint="eastAsia" w:ascii="宋体" w:hAnsi="宋体"/>
          <w:sz w:val="24"/>
        </w:rPr>
        <w:t>（F1）</w:t>
      </w:r>
      <w:r>
        <w:rPr>
          <w:rFonts w:ascii="宋体" w:hAnsi="宋体"/>
          <w:sz w:val="24"/>
        </w:rPr>
        <w:t>按评标方法前附表规定的</w:t>
      </w:r>
      <w:r>
        <w:rPr>
          <w:rFonts w:hint="eastAsia" w:ascii="宋体" w:hAnsi="宋体"/>
          <w:sz w:val="24"/>
        </w:rPr>
        <w:t>投标报价计算公式，计算出各投标人价格部分得分。技术部分（F2）和商务部分（F3）得分由评标委员会成员独立评分，投标</w:t>
      </w:r>
      <w:r>
        <w:rPr>
          <w:rFonts w:hint="eastAsia" w:ascii="宋体" w:hAnsi="宋体"/>
          <w:bCs/>
          <w:sz w:val="24"/>
        </w:rPr>
        <w:t>人各项评分因素得分为该项因素各评委评分的算术平均值。所有计算结果均保留小数点后两位</w:t>
      </w:r>
      <w:r>
        <w:rPr>
          <w:rFonts w:ascii="宋体" w:hAnsi="宋体"/>
          <w:sz w:val="24"/>
        </w:rPr>
        <w:t>，小数点后第三位“四舍五入”。</w:t>
      </w:r>
    </w:p>
    <w:p w14:paraId="051C9E2F">
      <w:pPr>
        <w:spacing w:line="360" w:lineRule="auto"/>
        <w:jc w:val="left"/>
        <w:outlineLvl w:val="9"/>
        <w:rPr>
          <w:rFonts w:ascii="inherit" w:hAnsi="inherit" w:cs="宋体"/>
          <w:b/>
          <w:kern w:val="0"/>
          <w:sz w:val="24"/>
        </w:rPr>
      </w:pPr>
      <w:r>
        <w:rPr>
          <w:rFonts w:hint="eastAsia" w:hAnsi="宋体"/>
          <w:b/>
          <w:sz w:val="24"/>
        </w:rPr>
        <w:t>★</w:t>
      </w:r>
      <w:r>
        <w:rPr>
          <w:rFonts w:hint="eastAsia" w:ascii="宋体" w:hAnsi="宋体"/>
          <w:b/>
          <w:sz w:val="24"/>
        </w:rPr>
        <w:t>3.2.6</w:t>
      </w:r>
      <w:r>
        <w:rPr>
          <w:rFonts w:ascii="inherit" w:hAnsi="inherit" w:cs="宋体"/>
          <w:b/>
          <w:kern w:val="0"/>
          <w:sz w:val="24"/>
        </w:rPr>
        <w:t>评标委员会认为投标人的报价明显低于其他通过符合性审查投标人的报价，有可能影响</w:t>
      </w:r>
      <w:r>
        <w:rPr>
          <w:rFonts w:hint="eastAsia" w:ascii="inherit" w:hAnsi="inherit" w:cs="宋体"/>
          <w:b/>
          <w:kern w:val="0"/>
          <w:sz w:val="24"/>
          <w:lang w:val="en-US" w:eastAsia="zh-CN"/>
        </w:rPr>
        <w:t>产品</w:t>
      </w:r>
      <w:r>
        <w:rPr>
          <w:rFonts w:ascii="inherit" w:hAnsi="inherit" w:cs="宋体"/>
          <w:b/>
          <w:kern w:val="0"/>
          <w:sz w:val="24"/>
        </w:rPr>
        <w:t>质量或者不能诚信履约的，应当要求其在评标现场合理的时间内提供书面说明，必要时提交相关证明材料；投标人不能证明其报价合理性的，评标委员会应当将其作为无效投标处理。</w:t>
      </w:r>
    </w:p>
    <w:p w14:paraId="0294F544">
      <w:pPr>
        <w:spacing w:line="360" w:lineRule="auto"/>
        <w:jc w:val="left"/>
        <w:outlineLvl w:val="9"/>
        <w:rPr>
          <w:rFonts w:hint="default" w:ascii="宋体" w:hAnsi="宋体" w:eastAsia="宋体" w:cs="Times New Roman"/>
          <w:sz w:val="24"/>
          <w:lang w:val="en-US" w:eastAsia="zh-CN"/>
        </w:rPr>
      </w:pPr>
      <w:bookmarkStart w:id="173" w:name="OLE_LINK53"/>
      <w:bookmarkStart w:id="174" w:name="OLE_LINK75"/>
      <w:r>
        <w:rPr>
          <w:rFonts w:hint="eastAsia" w:ascii="宋体" w:hAnsi="宋体" w:eastAsia="宋体" w:cs="Times New Roman"/>
          <w:sz w:val="24"/>
          <w:lang w:val="en-US" w:eastAsia="zh-CN"/>
        </w:rPr>
        <w:t>3.2.6.1政府采购异常低价审查：</w:t>
      </w:r>
    </w:p>
    <w:p w14:paraId="06D22568">
      <w:pPr>
        <w:spacing w:line="360" w:lineRule="auto"/>
        <w:jc w:val="left"/>
        <w:outlineLvl w:val="9"/>
        <w:rPr>
          <w:rFonts w:hint="eastAsia" w:ascii="宋体" w:hAnsi="宋体" w:eastAsia="宋体" w:cs="Times New Roman"/>
          <w:sz w:val="24"/>
          <w:lang w:val="en-US" w:eastAsia="zh-CN"/>
        </w:rPr>
      </w:pPr>
      <w:r>
        <w:rPr>
          <w:rFonts w:hint="eastAsia" w:ascii="宋体" w:hAnsi="宋体" w:eastAsia="宋体" w:cs="Times New Roman"/>
          <w:sz w:val="24"/>
          <w:lang w:val="en-US" w:eastAsia="zh-CN"/>
        </w:rPr>
        <w:t>（1）评审中出现下列情形之一的，评审委员会应当启动异常低价投标审查程序：</w:t>
      </w:r>
    </w:p>
    <w:p w14:paraId="045AD697">
      <w:pPr>
        <w:spacing w:line="360" w:lineRule="auto"/>
        <w:jc w:val="left"/>
        <w:outlineLvl w:val="9"/>
        <w:rPr>
          <w:rFonts w:hint="eastAsia" w:ascii="宋体" w:hAnsi="宋体" w:eastAsia="宋体" w:cs="Times New Roman"/>
          <w:sz w:val="24"/>
          <w:lang w:val="en-US" w:eastAsia="zh-CN"/>
        </w:rPr>
      </w:pPr>
      <w:r>
        <w:rPr>
          <w:rFonts w:hint="eastAsia" w:ascii="宋体" w:hAnsi="宋体" w:eastAsia="宋体" w:cs="Times New Roman"/>
          <w:sz w:val="24"/>
          <w:lang w:val="en-US" w:eastAsia="zh-CN"/>
        </w:rPr>
        <w:t>①投标报价低于全部通过符合性审查投标人投标报价平均值50%的，即投标报价&lt;全部通过符合性审查投标人投标报价平均值×50%；</w:t>
      </w:r>
    </w:p>
    <w:p w14:paraId="70A4E188">
      <w:pPr>
        <w:spacing w:line="360" w:lineRule="auto"/>
        <w:jc w:val="left"/>
        <w:outlineLvl w:val="9"/>
        <w:rPr>
          <w:rFonts w:hint="eastAsia" w:ascii="宋体" w:hAnsi="宋体" w:eastAsia="宋体" w:cs="Times New Roman"/>
          <w:sz w:val="24"/>
          <w:lang w:val="en-US" w:eastAsia="zh-CN"/>
        </w:rPr>
      </w:pPr>
      <w:r>
        <w:rPr>
          <w:rFonts w:hint="eastAsia" w:ascii="宋体" w:hAnsi="宋体" w:eastAsia="宋体" w:cs="Times New Roman"/>
          <w:sz w:val="24"/>
          <w:lang w:val="en-US" w:eastAsia="zh-CN"/>
        </w:rPr>
        <w:t>②投标报价低于通过符合性审查的次低报价投标人投标报价50%的，即投标报价&lt;通过符合性审查的次低报价投标人投标报价×50%；</w:t>
      </w:r>
    </w:p>
    <w:p w14:paraId="2B4E1244">
      <w:pPr>
        <w:spacing w:line="360" w:lineRule="auto"/>
        <w:jc w:val="left"/>
        <w:outlineLvl w:val="9"/>
        <w:rPr>
          <w:rFonts w:hint="eastAsia" w:ascii="宋体" w:hAnsi="宋体" w:eastAsia="宋体" w:cs="Times New Roman"/>
          <w:sz w:val="24"/>
          <w:lang w:val="en-US" w:eastAsia="zh-CN"/>
        </w:rPr>
      </w:pPr>
      <w:r>
        <w:rPr>
          <w:rFonts w:hint="eastAsia" w:ascii="宋体" w:hAnsi="宋体" w:eastAsia="宋体" w:cs="Times New Roman"/>
          <w:sz w:val="24"/>
          <w:lang w:val="en-US" w:eastAsia="zh-CN"/>
        </w:rPr>
        <w:t>③投标报价低于采购项目最高限价45%的，即投标报价&lt;采购项目最高限价×45%；</w:t>
      </w:r>
    </w:p>
    <w:p w14:paraId="5DE29511">
      <w:pPr>
        <w:spacing w:line="360" w:lineRule="auto"/>
        <w:jc w:val="left"/>
        <w:outlineLvl w:val="9"/>
        <w:rPr>
          <w:rFonts w:hint="eastAsia" w:ascii="宋体" w:hAnsi="宋体" w:eastAsia="宋体" w:cs="Times New Roman"/>
          <w:sz w:val="24"/>
          <w:lang w:val="en-US" w:eastAsia="zh-CN"/>
        </w:rPr>
      </w:pPr>
      <w:r>
        <w:rPr>
          <w:rFonts w:hint="eastAsia" w:ascii="宋体" w:hAnsi="宋体" w:eastAsia="宋体" w:cs="Times New Roman"/>
          <w:sz w:val="24"/>
          <w:lang w:val="en-US" w:eastAsia="zh-CN"/>
        </w:rPr>
        <w:t>④评审委员会基于专业判断，认为投标人报价过低，有可能影响产品质量或者不能诚信履约的其他情形。</w:t>
      </w:r>
    </w:p>
    <w:p w14:paraId="179282BD">
      <w:pPr>
        <w:spacing w:line="360" w:lineRule="auto"/>
        <w:jc w:val="left"/>
        <w:outlineLvl w:val="9"/>
        <w:rPr>
          <w:rFonts w:hint="eastAsia" w:ascii="宋体" w:hAnsi="宋体" w:eastAsia="宋体" w:cs="Times New Roman"/>
          <w:sz w:val="24"/>
          <w:lang w:val="en-US" w:eastAsia="zh-CN"/>
        </w:rPr>
      </w:pPr>
      <w:r>
        <w:rPr>
          <w:rFonts w:hint="eastAsia" w:ascii="宋体" w:hAnsi="宋体" w:eastAsia="宋体" w:cs="Times New Roman"/>
          <w:sz w:val="24"/>
          <w:lang w:val="en-US" w:eastAsia="zh-CN"/>
        </w:rPr>
        <w:t>相关法律法规对投标人报价有规定的，从其规定。</w:t>
      </w:r>
    </w:p>
    <w:p w14:paraId="30539606">
      <w:pPr>
        <w:spacing w:line="360" w:lineRule="auto"/>
        <w:jc w:val="left"/>
        <w:outlineLvl w:val="9"/>
        <w:rPr>
          <w:rFonts w:hint="eastAsia" w:ascii="宋体" w:hAnsi="宋体" w:eastAsia="宋体" w:cs="Times New Roman"/>
          <w:sz w:val="24"/>
          <w:lang w:val="en-US" w:eastAsia="zh-CN"/>
        </w:rPr>
      </w:pPr>
      <w:r>
        <w:rPr>
          <w:rFonts w:hint="eastAsia" w:ascii="宋体" w:hAnsi="宋体" w:eastAsia="宋体" w:cs="Times New Roman"/>
          <w:sz w:val="24"/>
          <w:lang w:val="en-US" w:eastAsia="zh-CN"/>
        </w:rPr>
        <w:t>（2）评审委员会启动异常低价投标审查后，属于前述第①项至第④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③项情形，投标人已随投标文件一并提交相关书面说明及必要的证明材料的，在评审现场可不再重复提交。</w:t>
      </w:r>
    </w:p>
    <w:p w14:paraId="2496C6D0">
      <w:pPr>
        <w:spacing w:line="360" w:lineRule="auto"/>
        <w:jc w:val="left"/>
        <w:outlineLvl w:val="9"/>
      </w:pPr>
      <w:r>
        <w:rPr>
          <w:rFonts w:hint="eastAsia" w:ascii="宋体" w:hAnsi="宋体" w:eastAsia="宋体" w:cs="Times New Roman"/>
          <w:sz w:val="24"/>
          <w:lang w:val="en-US" w:eastAsia="zh-CN"/>
        </w:rPr>
        <w:t>（3）评审委员会依据专业经验，参考同类项目中标价格、类似产品市场价格水平、行业人工费用标准、国家有关部门指导行业协会发布的行业平均成本等情况，对报价合理性进行判断。投标人能提供书面说明、证明材料，或者提供的书面说明、证明材料不能证明其报价合理性的，评审委员会应当将其作为无效投标处理</w:t>
      </w:r>
      <w:r>
        <w:rPr>
          <w:rFonts w:hint="eastAsia" w:ascii="宋体" w:hAnsi="宋体" w:eastAsia="宋体" w:cs="Times New Roman"/>
          <w:sz w:val="24"/>
        </w:rPr>
        <w:t>。</w:t>
      </w:r>
      <w:bookmarkEnd w:id="173"/>
      <w:bookmarkEnd w:id="174"/>
    </w:p>
    <w:p w14:paraId="7B061821">
      <w:pPr>
        <w:pStyle w:val="17"/>
        <w:tabs>
          <w:tab w:val="left" w:pos="2472"/>
        </w:tabs>
        <w:spacing w:line="480" w:lineRule="exact"/>
        <w:outlineLvl w:val="9"/>
        <w:rPr>
          <w:rFonts w:hAnsi="宋体"/>
          <w:b/>
          <w:bCs/>
          <w:sz w:val="24"/>
        </w:rPr>
      </w:pPr>
      <w:bookmarkStart w:id="175" w:name="_Toc63070527"/>
      <w:bookmarkStart w:id="176" w:name="_Toc321836412"/>
      <w:bookmarkStart w:id="177" w:name="_Toc48742772"/>
      <w:bookmarkStart w:id="178" w:name="_Toc70446127"/>
      <w:r>
        <w:rPr>
          <w:rFonts w:hint="eastAsia" w:hAnsi="宋体"/>
          <w:b/>
          <w:bCs/>
          <w:sz w:val="24"/>
        </w:rPr>
        <w:t>4</w:t>
      </w:r>
      <w:r>
        <w:rPr>
          <w:rFonts w:hAnsi="宋体"/>
          <w:b/>
          <w:bCs/>
          <w:sz w:val="24"/>
        </w:rPr>
        <w:t>. 投标文件的澄清</w:t>
      </w:r>
      <w:bookmarkEnd w:id="175"/>
      <w:bookmarkEnd w:id="176"/>
      <w:bookmarkEnd w:id="177"/>
      <w:bookmarkEnd w:id="178"/>
      <w:r>
        <w:rPr>
          <w:rFonts w:hAnsi="宋体"/>
          <w:b/>
          <w:bCs/>
          <w:sz w:val="24"/>
        </w:rPr>
        <w:t xml:space="preserve"> </w:t>
      </w:r>
    </w:p>
    <w:p w14:paraId="27B20280">
      <w:pPr>
        <w:spacing w:line="360" w:lineRule="auto"/>
        <w:jc w:val="left"/>
        <w:outlineLvl w:val="9"/>
        <w:rPr>
          <w:rFonts w:ascii="宋体" w:hAnsi="宋体"/>
          <w:sz w:val="24"/>
        </w:rPr>
      </w:pPr>
      <w:r>
        <w:rPr>
          <w:rFonts w:hint="eastAsia" w:ascii="宋体" w:hAnsi="宋体"/>
          <w:sz w:val="24"/>
        </w:rPr>
        <w:t>4</w:t>
      </w:r>
      <w:r>
        <w:rPr>
          <w:rFonts w:ascii="宋体" w:hAnsi="宋体"/>
          <w:sz w:val="24"/>
        </w:rPr>
        <w:t>.1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784B8F30">
      <w:pPr>
        <w:spacing w:line="360" w:lineRule="auto"/>
        <w:jc w:val="left"/>
        <w:outlineLvl w:val="9"/>
        <w:rPr>
          <w:rFonts w:ascii="宋体" w:hAnsi="宋体"/>
          <w:sz w:val="24"/>
        </w:rPr>
      </w:pPr>
      <w:r>
        <w:rPr>
          <w:rFonts w:hint="eastAsia" w:ascii="宋体" w:hAnsi="宋体"/>
          <w:sz w:val="24"/>
        </w:rPr>
        <w:t>4</w:t>
      </w:r>
      <w:r>
        <w:rPr>
          <w:rFonts w:ascii="宋体" w:hAnsi="宋体"/>
          <w:sz w:val="24"/>
        </w:rPr>
        <w:t>.2 投标人的澄清、说明应当采用书面形式，由法定代表人或其授权的代表签字，</w:t>
      </w:r>
      <w:r>
        <w:rPr>
          <w:rFonts w:hint="eastAsia" w:ascii="宋体" w:hAnsi="宋体"/>
          <w:sz w:val="24"/>
        </w:rPr>
        <w:t>澄清事项不得超出投标文件的范围</w:t>
      </w:r>
      <w:r>
        <w:rPr>
          <w:rFonts w:ascii="宋体" w:hAnsi="宋体"/>
          <w:sz w:val="24"/>
        </w:rPr>
        <w:t>并不得改变投标文件的实质性内容（算术性错误修正的除外）。投标人的书面澄清、说明属于投标文件的组成部分。</w:t>
      </w:r>
    </w:p>
    <w:p w14:paraId="7CF2621C">
      <w:pPr>
        <w:spacing w:line="360" w:lineRule="auto"/>
        <w:jc w:val="left"/>
        <w:outlineLvl w:val="9"/>
        <w:rPr>
          <w:rFonts w:ascii="宋体" w:hAnsi="宋体"/>
          <w:sz w:val="24"/>
        </w:rPr>
      </w:pPr>
      <w:r>
        <w:rPr>
          <w:rFonts w:hint="eastAsia" w:ascii="宋体" w:hAnsi="宋体"/>
          <w:sz w:val="24"/>
        </w:rPr>
        <w:t>4</w:t>
      </w:r>
      <w:r>
        <w:rPr>
          <w:rFonts w:ascii="宋体" w:hAnsi="宋体"/>
          <w:sz w:val="24"/>
        </w:rPr>
        <w:t>.3 评标委员会对投标人提交的澄清、说明有疑问的，可以要求投标人进一步澄清、说明。</w:t>
      </w:r>
    </w:p>
    <w:p w14:paraId="0B09822F">
      <w:pPr>
        <w:pStyle w:val="17"/>
        <w:tabs>
          <w:tab w:val="left" w:pos="2472"/>
        </w:tabs>
        <w:spacing w:line="480" w:lineRule="exact"/>
        <w:outlineLvl w:val="9"/>
        <w:rPr>
          <w:rFonts w:hAnsi="宋体"/>
          <w:b/>
          <w:bCs/>
          <w:sz w:val="24"/>
        </w:rPr>
      </w:pPr>
      <w:bookmarkStart w:id="179" w:name="_Toc70446128"/>
      <w:bookmarkStart w:id="180" w:name="_Toc48742773"/>
      <w:bookmarkStart w:id="181" w:name="_Toc321836413"/>
      <w:bookmarkStart w:id="182" w:name="_Toc63070528"/>
      <w:r>
        <w:rPr>
          <w:rFonts w:hint="eastAsia" w:hAnsi="宋体"/>
          <w:b/>
          <w:bCs/>
          <w:sz w:val="24"/>
        </w:rPr>
        <w:t>5</w:t>
      </w:r>
      <w:r>
        <w:rPr>
          <w:rFonts w:hAnsi="宋体"/>
          <w:b/>
          <w:bCs/>
          <w:sz w:val="24"/>
        </w:rPr>
        <w:t>.评标结果</w:t>
      </w:r>
      <w:bookmarkEnd w:id="179"/>
      <w:bookmarkEnd w:id="180"/>
      <w:bookmarkEnd w:id="181"/>
      <w:bookmarkEnd w:id="182"/>
    </w:p>
    <w:p w14:paraId="6DCB0DD3">
      <w:pPr>
        <w:spacing w:line="360" w:lineRule="auto"/>
        <w:jc w:val="left"/>
        <w:outlineLvl w:val="9"/>
        <w:rPr>
          <w:rFonts w:ascii="宋体" w:hAnsi="宋体"/>
          <w:sz w:val="24"/>
        </w:rPr>
      </w:pPr>
      <w:r>
        <w:rPr>
          <w:rFonts w:hint="eastAsia" w:ascii="宋体" w:hAnsi="宋体"/>
          <w:sz w:val="24"/>
        </w:rPr>
        <w:t>5</w:t>
      </w:r>
      <w:r>
        <w:rPr>
          <w:rFonts w:ascii="宋体" w:hAnsi="宋体"/>
          <w:sz w:val="24"/>
        </w:rPr>
        <w:t>.1</w:t>
      </w:r>
      <w:r>
        <w:rPr>
          <w:rFonts w:hint="eastAsia" w:ascii="宋体" w:hAnsi="宋体"/>
          <w:sz w:val="24"/>
        </w:rPr>
        <w:t>评标委员会按最终得分由高到低顺序推荐3名中标候选人，并提出书面评标报告</w:t>
      </w:r>
      <w:r>
        <w:rPr>
          <w:rFonts w:ascii="宋体" w:hAnsi="宋体"/>
          <w:sz w:val="24"/>
        </w:rPr>
        <w:t>。</w:t>
      </w:r>
    </w:p>
    <w:p w14:paraId="50D30A55">
      <w:pPr>
        <w:spacing w:line="360" w:lineRule="auto"/>
        <w:jc w:val="left"/>
        <w:outlineLvl w:val="9"/>
        <w:rPr>
          <w:rFonts w:ascii="宋体" w:hAnsi="宋体"/>
          <w:sz w:val="24"/>
        </w:rPr>
      </w:pPr>
      <w:r>
        <w:rPr>
          <w:rFonts w:hint="eastAsia" w:ascii="宋体" w:hAnsi="宋体"/>
          <w:sz w:val="24"/>
        </w:rPr>
        <w:t>5</w:t>
      </w:r>
      <w:r>
        <w:rPr>
          <w:rFonts w:ascii="宋体" w:hAnsi="宋体"/>
          <w:sz w:val="24"/>
        </w:rPr>
        <w:t>.2 采购人根据评标委员会提出的书面评标报告和推荐的中标候选人名单，确定中标人。</w:t>
      </w:r>
    </w:p>
    <w:p w14:paraId="5D0156EF">
      <w:pPr>
        <w:pStyle w:val="17"/>
        <w:tabs>
          <w:tab w:val="left" w:pos="2472"/>
        </w:tabs>
        <w:spacing w:line="480" w:lineRule="exact"/>
        <w:outlineLvl w:val="9"/>
        <w:rPr>
          <w:rFonts w:ascii="宋体" w:hAnsi="宋体"/>
          <w:sz w:val="24"/>
        </w:rPr>
      </w:pPr>
      <w:r>
        <w:rPr>
          <w:rFonts w:hint="eastAsia" w:hAnsi="宋体"/>
          <w:sz w:val="24"/>
        </w:rPr>
        <w:t>5</w:t>
      </w:r>
      <w:r>
        <w:rPr>
          <w:rFonts w:hAnsi="宋体"/>
          <w:sz w:val="24"/>
        </w:rPr>
        <w:t>.</w:t>
      </w:r>
      <w:r>
        <w:rPr>
          <w:rFonts w:hint="eastAsia" w:hAnsi="宋体"/>
          <w:sz w:val="24"/>
        </w:rPr>
        <w:t>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sectPr>
      <w:pgSz w:w="11906" w:h="16838"/>
      <w:pgMar w:top="1134" w:right="851" w:bottom="1211" w:left="1276" w:header="720" w:footer="720" w:gutter="0"/>
      <w:pgNumType w:fmt="decimal"/>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01D9F60-1FF6-4A3B-AE5F-55387A1B2C4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2" w:fontKey="{07C320B8-48D1-4037-8D12-39648EFB4491}"/>
  </w:font>
  <w:font w:name="Arial Unicode MS">
    <w:altName w:val="Arial"/>
    <w:panose1 w:val="020B0604020202020204"/>
    <w:charset w:val="00"/>
    <w:family w:val="roman"/>
    <w:pitch w:val="default"/>
    <w:sig w:usb0="00000000" w:usb1="00000000" w:usb2="0000003F" w:usb3="00000000" w:csb0="603F01FF" w:csb1="FFFF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inherit">
    <w:altName w:val="Noto Serif SC"/>
    <w:panose1 w:val="00000000000000000000"/>
    <w:charset w:val="00"/>
    <w:family w:val="roman"/>
    <w:pitch w:val="default"/>
    <w:sig w:usb0="00000000" w:usb1="00000000" w:usb2="00000000" w:usb3="00000000" w:csb0="00040001" w:csb1="00000000"/>
    <w:embedRegular r:id="rId3" w:fontKey="{69D8D488-85C3-44A7-AC13-E4CCD79DC3F6}"/>
  </w:font>
  <w:font w:name="Noto Serif SC">
    <w:panose1 w:val="02020200000000000000"/>
    <w:charset w:val="86"/>
    <w:family w:val="auto"/>
    <w:pitch w:val="default"/>
    <w:sig w:usb0="20000083" w:usb1="2ADF3C10" w:usb2="00000016" w:usb3="00000000" w:csb0="60060107" w:csb1="00000000"/>
  </w:font>
  <w:font w:name="方正小标宋_GBK">
    <w:panose1 w:val="03000509000000000000"/>
    <w:charset w:val="86"/>
    <w:family w:val="script"/>
    <w:pitch w:val="default"/>
    <w:sig w:usb0="00000001" w:usb1="080E0000" w:usb2="00000000" w:usb3="00000000" w:csb0="00040000" w:csb1="00000000"/>
    <w:embedRegular r:id="rId4" w:fontKey="{ED378791-9F34-4507-8828-C615E6E960F9}"/>
  </w:font>
  <w:font w:name="KSOF6398537F">
    <w:panose1 w:val="020B06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BC262">
    <w:pPr>
      <w:pStyle w:val="3"/>
      <w:ind w:right="360"/>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6A8EBC">
                          <w:pPr>
                            <w:pStyle w:val="3"/>
                          </w:pPr>
                          <w:r>
                            <w:fldChar w:fldCharType="begin"/>
                          </w:r>
                          <w:r>
                            <w:instrText xml:space="preserve"> PAGE  \* MERGEFORMAT </w:instrText>
                          </w:r>
                          <w:r>
                            <w:fldChar w:fldCharType="separate"/>
                          </w:r>
                          <w:r>
                            <w:t>0</w:t>
                          </w:r>
                          <w:r>
                            <w:fldChar w:fldCharType="end"/>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n5f773gEAAL4DAAAOAAAAAAAA&#10;AAEAIAAAAB4BAABkcnMvZTJvRG9jLnhtbFBLBQYAAAAABgAGAFkBAABuBQAAAAA=&#10;">
              <v:fill on="f" focussize="0,0"/>
              <v:stroke on="f"/>
              <v:imagedata o:title=""/>
              <o:lock v:ext="edit" aspectratio="f"/>
              <v:textbox inset="0mm,0mm,0mm,0mm" style="mso-fit-shape-to-text:t;">
                <w:txbxContent>
                  <w:p w14:paraId="316A8EBC">
                    <w:pPr>
                      <w:pStyle w:val="3"/>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ABBD1">
    <w:pPr>
      <w:pStyle w:val="3"/>
      <w:framePr w:wrap="around" w:vAnchor="text" w:hAnchor="margin" w:xAlign="center" w:y="1"/>
      <w:rPr>
        <w:rStyle w:val="36"/>
      </w:rPr>
    </w:pPr>
    <w:r>
      <w:fldChar w:fldCharType="begin"/>
    </w:r>
    <w:r>
      <w:rPr>
        <w:rStyle w:val="36"/>
      </w:rPr>
      <w:instrText xml:space="preserve">PAGE  </w:instrText>
    </w:r>
    <w:r>
      <w:fldChar w:fldCharType="separate"/>
    </w:r>
    <w:r>
      <w:rPr>
        <w:rStyle w:val="36"/>
      </w:rPr>
      <w:t>54</w:t>
    </w:r>
    <w:r>
      <w:fldChar w:fldCharType="end"/>
    </w:r>
  </w:p>
  <w:p w14:paraId="0113CF9B">
    <w:pPr>
      <w:pStyle w:val="3"/>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14:paraId="1E43885F">
                          <w:pPr>
                            <w:pStyle w:val="3"/>
                            <w:rPr>
                              <w:rStyle w:val="36"/>
                              <w:sz w:val="21"/>
                            </w:rPr>
                          </w:pPr>
                          <w:r>
                            <w:rPr>
                              <w:sz w:val="21"/>
                            </w:rPr>
                            <w:fldChar w:fldCharType="begin"/>
                          </w:r>
                          <w:r>
                            <w:rPr>
                              <w:rStyle w:val="36"/>
                              <w:sz w:val="21"/>
                            </w:rPr>
                            <w:instrText xml:space="preserve">Page</w:instrText>
                          </w:r>
                          <w:r>
                            <w:rPr>
                              <w:sz w:val="21"/>
                            </w:rPr>
                            <w:fldChar w:fldCharType="separate"/>
                          </w:r>
                          <w:r>
                            <w:rPr>
                              <w:rStyle w:val="36"/>
                              <w:sz w:val="21"/>
                            </w:rPr>
                            <w:t>54</w:t>
                          </w:r>
                          <w:r>
                            <w:rPr>
                              <w:sz w:val="21"/>
                            </w:rP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0n7CvTAAAAAwEAAA8AAAAAAAAAAQAgAAAAIgAAAGRycy9kb3ducmV2LnhtbFBL&#10;AQIUABQAAAAIAIdO4kD66EbowgEAAH4DAAAOAAAAAAAAAAEAIAAAACIBAABkcnMvZTJvRG9jLnht&#10;bFBLBQYAAAAABgAGAFkBAABWBQAAAAA=&#10;">
              <v:fill on="f" focussize="0,0"/>
              <v:stroke on="f"/>
              <v:imagedata o:title=""/>
              <o:lock v:ext="edit" aspectratio="f"/>
              <v:textbox inset="0mm,0mm,0mm,0mm">
                <w:txbxContent>
                  <w:p w14:paraId="1E43885F">
                    <w:pPr>
                      <w:pStyle w:val="3"/>
                      <w:rPr>
                        <w:rStyle w:val="36"/>
                        <w:sz w:val="21"/>
                      </w:rPr>
                    </w:pPr>
                    <w:r>
                      <w:rPr>
                        <w:sz w:val="21"/>
                      </w:rPr>
                      <w:fldChar w:fldCharType="begin"/>
                    </w:r>
                    <w:r>
                      <w:rPr>
                        <w:rStyle w:val="36"/>
                        <w:sz w:val="21"/>
                      </w:rPr>
                      <w:instrText xml:space="preserve">Page</w:instrText>
                    </w:r>
                    <w:r>
                      <w:rPr>
                        <w:sz w:val="21"/>
                      </w:rPr>
                      <w:fldChar w:fldCharType="separate"/>
                    </w:r>
                    <w:r>
                      <w:rPr>
                        <w:rStyle w:val="36"/>
                        <w:sz w:val="21"/>
                      </w:rPr>
                      <w:t>54</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97C3D">
    <w:pPr>
      <w:pStyle w:val="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41E71B">
                          <w:pPr>
                            <w:pStyle w:val="3"/>
                          </w:pPr>
                          <w:r>
                            <w:fldChar w:fldCharType="begin"/>
                          </w:r>
                          <w:r>
                            <w:instrText xml:space="preserve"> PAGE  \* MERGEFORMAT </w:instrText>
                          </w:r>
                          <w:r>
                            <w:fldChar w:fldCharType="separate"/>
                          </w:r>
                          <w:r>
                            <w:t>0</w:t>
                          </w:r>
                          <w:r>
                            <w:fldChar w:fldCharType="end"/>
                          </w:r>
                        </w:p>
                      </w:txbxContent>
                    </wps:txbx>
                    <wps:bodyPr vert="horz" wrap="none" lIns="0" tIns="0" rIns="0" bIns="0" anchor="t" anchorCtr="0"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G4C8N3gEAAL4DAAAOAAAAAAAA&#10;AAEAIAAAAB4BAABkcnMvZTJvRG9jLnhtbFBLBQYAAAAABgAGAFkBAABuBQAAAAA=&#10;">
              <v:fill on="f" focussize="0,0"/>
              <v:stroke on="f"/>
              <v:imagedata o:title=""/>
              <o:lock v:ext="edit" aspectratio="f"/>
              <v:textbox inset="0mm,0mm,0mm,0mm" style="mso-fit-shape-to-text:t;">
                <w:txbxContent>
                  <w:p w14:paraId="6E41E71B">
                    <w:pPr>
                      <w:pStyle w:val="3"/>
                    </w:pPr>
                    <w:r>
                      <w:fldChar w:fldCharType="begin"/>
                    </w:r>
                    <w:r>
                      <w:instrText xml:space="preserve"> PAGE  \* MERGEFORMAT </w:instrText>
                    </w:r>
                    <w:r>
                      <w:fldChar w:fldCharType="separate"/>
                    </w:r>
                    <w:r>
                      <w:t>0</w:t>
                    </w:r>
                    <w:r>
                      <w:fldChar w:fldCharType="end"/>
                    </w:r>
                  </w:p>
                </w:txbxContent>
              </v:textbox>
            </v:shape>
          </w:pict>
        </mc:Fallback>
      </mc:AlternateContent>
    </w:r>
    <w:r>
      <w:drawing>
        <wp:inline distT="0" distB="0" distL="114300" distR="114300">
          <wp:extent cx="1920240" cy="288290"/>
          <wp:effectExtent l="0" t="0" r="3810" b="16510"/>
          <wp:docPr id="8" name="图片 1" descr="b56a1ae7869bed574a0b8cabe0fb1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b56a1ae7869bed574a0b8cabe0fb1e9"/>
                  <pic:cNvPicPr>
                    <a:picLocks noChangeAspect="1"/>
                  </pic:cNvPicPr>
                </pic:nvPicPr>
                <pic:blipFill>
                  <a:blip r:embed="rId1"/>
                  <a:stretch>
                    <a:fillRect/>
                  </a:stretch>
                </pic:blipFill>
                <pic:spPr>
                  <a:xfrm>
                    <a:off x="0" y="0"/>
                    <a:ext cx="1920240" cy="288290"/>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404DB">
    <w:pPr>
      <w:pStyle w:val="3"/>
      <w:ind w:right="360"/>
      <w:jc w:val="both"/>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45278F2">
                          <w:pPr>
                            <w:pStyle w:val="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CmpQT3dAQAAvgMAAA4AAAAAAAAA&#10;AQAgAAAAHgEAAGRycy9lMm9Eb2MueG1sUEsFBgAAAAAGAAYAWQEAAG0FAAAAAA==&#10;">
              <v:fill on="f" focussize="0,0"/>
              <v:stroke on="f"/>
              <v:imagedata o:title=""/>
              <o:lock v:ext="edit" aspectratio="f"/>
              <v:textbox inset="0mm,0mm,0mm,0mm" style="mso-fit-shape-to-text:t;">
                <w:txbxContent>
                  <w:p w14:paraId="345278F2">
                    <w:pPr>
                      <w:pStyle w:val="3"/>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1920240" cy="288290"/>
          <wp:effectExtent l="0" t="0" r="3810" b="16510"/>
          <wp:docPr id="9" name="图片 2" descr="b56a1ae7869bed574a0b8cabe0fb1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b56a1ae7869bed574a0b8cabe0fb1e9"/>
                  <pic:cNvPicPr>
                    <a:picLocks noChangeAspect="1"/>
                  </pic:cNvPicPr>
                </pic:nvPicPr>
                <pic:blipFill>
                  <a:blip r:embed="rId1"/>
                  <a:stretch>
                    <a:fillRect/>
                  </a:stretch>
                </pic:blipFill>
                <pic:spPr>
                  <a:xfrm>
                    <a:off x="0" y="0"/>
                    <a:ext cx="1920240" cy="288290"/>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C65B4">
    <w:pPr>
      <w:pStyle w:val="3"/>
      <w:jc w:val="center"/>
      <w:rPr>
        <w:rFonts w:hint="eastAsia"/>
      </w:rPr>
    </w:pPr>
    <w:r>
      <w:fldChar w:fldCharType="begin"/>
    </w:r>
    <w:r>
      <w:instrText xml:space="preserve">PAGE   \* MERGEFORMAT</w:instrText>
    </w:r>
    <w:r>
      <w:fldChar w:fldCharType="separate"/>
    </w:r>
    <w:r>
      <w:rPr>
        <w:lang w:val="zh-CN"/>
      </w:rPr>
      <w:t>0</w:t>
    </w:r>
    <w:r>
      <w:fldChar w:fldCharType="end"/>
    </w:r>
  </w:p>
  <w:p w14:paraId="689E2DA2">
    <w:pPr>
      <w:pStyle w:val="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5D60">
    <w:pPr>
      <w:pStyle w:val="3"/>
      <w:jc w:val="center"/>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DEB5BE">
                          <w:pPr>
                            <w:pStyle w:val="3"/>
                            <w:jc w:val="center"/>
                          </w:pPr>
                          <w:r>
                            <w:fldChar w:fldCharType="begin"/>
                          </w:r>
                          <w:r>
                            <w:instrText xml:space="preserve">PAGE   \* MERGEFORMAT</w:instrText>
                          </w:r>
                          <w:r>
                            <w:fldChar w:fldCharType="separate"/>
                          </w:r>
                          <w:r>
                            <w:rPr>
                              <w:lang w:val="zh-CN"/>
                            </w:rPr>
                            <w:t>4</w:t>
                          </w:r>
                          <w: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HDZpSndAQAAvwMAAA4AAAAAAAAA&#10;AQAgAAAAHgEAAGRycy9lMm9Eb2MueG1sUEsFBgAAAAAGAAYAWQEAAG0FAAAAAA==&#10;">
              <v:fill on="f" focussize="0,0"/>
              <v:stroke on="f"/>
              <v:imagedata o:title=""/>
              <o:lock v:ext="edit" aspectratio="f"/>
              <v:textbox inset="0mm,0mm,0mm,0mm" style="mso-fit-shape-to-text:t;">
                <w:txbxContent>
                  <w:p w14:paraId="5EDEB5BE">
                    <w:pPr>
                      <w:pStyle w:val="3"/>
                      <w:jc w:val="center"/>
                    </w:pPr>
                    <w:r>
                      <w:fldChar w:fldCharType="begin"/>
                    </w:r>
                    <w:r>
                      <w:instrText xml:space="preserve">PAGE   \* MERGEFORMAT</w:instrText>
                    </w:r>
                    <w:r>
                      <w:fldChar w:fldCharType="separate"/>
                    </w:r>
                    <w:r>
                      <w:rPr>
                        <w:lang w:val="zh-CN"/>
                      </w:rPr>
                      <w:t>4</w:t>
                    </w:r>
                    <w:r>
                      <w:fldChar w:fldCharType="end"/>
                    </w:r>
                  </w:p>
                </w:txbxContent>
              </v:textbox>
            </v:shape>
          </w:pict>
        </mc:Fallback>
      </mc:AlternateContent>
    </w:r>
  </w:p>
  <w:p w14:paraId="3193123B">
    <w:pPr>
      <w:pStyle w:val="3"/>
      <w:ind w:right="360"/>
      <w:jc w:val="both"/>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6EA87">
    <w:pPr>
      <w:pStyle w:val="3"/>
      <w:jc w:val="center"/>
      <w:rPr>
        <w:rFonts w:hint="eastAsia"/>
      </w:rPr>
    </w:pPr>
    <w:r>
      <w:fldChar w:fldCharType="begin"/>
    </w:r>
    <w:r>
      <w:instrText xml:space="preserve">PAGE   \* MERGEFORMAT</w:instrText>
    </w:r>
    <w:r>
      <w:fldChar w:fldCharType="separate"/>
    </w:r>
    <w:r>
      <w:rPr>
        <w:lang w:val="zh-CN"/>
      </w:rPr>
      <w:t>0</w:t>
    </w:r>
    <w:r>
      <w:fldChar w:fldCharType="end"/>
    </w:r>
  </w:p>
  <w:p w14:paraId="05935199">
    <w:pPr>
      <w:pStyle w:val="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6B5E0">
    <w:pPr>
      <w:pStyle w:val="3"/>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54C664">
                          <w:pPr>
                            <w:pStyle w:val="3"/>
                            <w:jc w:val="center"/>
                          </w:pPr>
                          <w:r>
                            <w:fldChar w:fldCharType="begin"/>
                          </w:r>
                          <w:r>
                            <w:instrText xml:space="preserve">PAGE   \* MERGEFORMAT</w:instrText>
                          </w:r>
                          <w:r>
                            <w:fldChar w:fldCharType="separate"/>
                          </w:r>
                          <w:r>
                            <w:rPr>
                              <w:lang w:val="zh-CN"/>
                            </w:rPr>
                            <w:t>4</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Mb65DdAQAAvgMAAA4AAAAAAAAA&#10;AQAgAAAAHgEAAGRycy9lMm9Eb2MueG1sUEsFBgAAAAAGAAYAWQEAAG0FAAAAAA==&#10;">
              <v:fill on="f" focussize="0,0"/>
              <v:stroke on="f"/>
              <v:imagedata o:title=""/>
              <o:lock v:ext="edit" aspectratio="f"/>
              <v:textbox inset="0mm,0mm,0mm,0mm" style="mso-fit-shape-to-text:t;">
                <w:txbxContent>
                  <w:p w14:paraId="4554C664">
                    <w:pPr>
                      <w:pStyle w:val="3"/>
                      <w:jc w:val="center"/>
                    </w:pPr>
                    <w:r>
                      <w:fldChar w:fldCharType="begin"/>
                    </w:r>
                    <w:r>
                      <w:instrText xml:space="preserve">PAGE   \* MERGEFORMAT</w:instrText>
                    </w:r>
                    <w:r>
                      <w:fldChar w:fldCharType="separate"/>
                    </w:r>
                    <w:r>
                      <w:rPr>
                        <w:lang w:val="zh-CN"/>
                      </w:rPr>
                      <w:t>4</w:t>
                    </w:r>
                    <w:r>
                      <w:fldChar w:fldCharType="end"/>
                    </w:r>
                  </w:p>
                </w:txbxContent>
              </v:textbox>
            </v:shape>
          </w:pict>
        </mc:Fallback>
      </mc:AlternateContent>
    </w:r>
  </w:p>
  <w:p w14:paraId="2023407D">
    <w:pPr>
      <w:pStyle w:val="3"/>
      <w:ind w:right="360"/>
      <w:jc w:val="both"/>
    </w:pPr>
    <w:r>
      <w:drawing>
        <wp:inline distT="0" distB="0" distL="114300" distR="114300">
          <wp:extent cx="1920240" cy="288290"/>
          <wp:effectExtent l="0" t="0" r="3810" b="16510"/>
          <wp:docPr id="10" name="图片 5" descr="b56a1ae7869bed574a0b8cabe0fb1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b56a1ae7869bed574a0b8cabe0fb1e9"/>
                  <pic:cNvPicPr>
                    <a:picLocks noChangeAspect="1"/>
                  </pic:cNvPicPr>
                </pic:nvPicPr>
                <pic:blipFill>
                  <a:blip r:embed="rId1"/>
                  <a:stretch>
                    <a:fillRect/>
                  </a:stretch>
                </pic:blipFill>
                <pic:spPr>
                  <a:xfrm>
                    <a:off x="0" y="0"/>
                    <a:ext cx="1920240" cy="288290"/>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FC4D9">
    <w:pPr>
      <w:pStyle w:val="3"/>
      <w:jc w:val="left"/>
      <w:rPr>
        <w:rFonts w:hint="eastAsia"/>
      </w:rPr>
    </w:pPr>
    <w:r>
      <w:drawing>
        <wp:inline distT="0" distB="0" distL="114300" distR="114300">
          <wp:extent cx="1920240" cy="288290"/>
          <wp:effectExtent l="0" t="0" r="3810" b="16510"/>
          <wp:docPr id="11" name="图片 6" descr="b56a1ae7869bed574a0b8cabe0fb1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b56a1ae7869bed574a0b8cabe0fb1e9"/>
                  <pic:cNvPicPr>
                    <a:picLocks noChangeAspect="1"/>
                  </pic:cNvPicPr>
                </pic:nvPicPr>
                <pic:blipFill>
                  <a:blip r:embed="rId1"/>
                  <a:stretch>
                    <a:fillRect/>
                  </a:stretch>
                </pic:blipFill>
                <pic:spPr>
                  <a:xfrm>
                    <a:off x="0" y="0"/>
                    <a:ext cx="1920240" cy="288290"/>
                  </a:xfrm>
                  <a:prstGeom prst="rect">
                    <a:avLst/>
                  </a:prstGeom>
                  <a:noFill/>
                  <a:ln>
                    <a:noFill/>
                  </a:ln>
                </pic:spPr>
              </pic:pic>
            </a:graphicData>
          </a:graphic>
        </wp:inline>
      </w:drawing>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7D10F86">
                          <w:pPr>
                            <w:pStyle w:val="3"/>
                            <w:jc w:val="center"/>
                          </w:pPr>
                          <w:r>
                            <w:fldChar w:fldCharType="begin"/>
                          </w:r>
                          <w:r>
                            <w:instrText xml:space="preserve">PAGE   \* MERGEFORMAT</w:instrText>
                          </w:r>
                          <w:r>
                            <w:fldChar w:fldCharType="separate"/>
                          </w:r>
                          <w:r>
                            <w:rPr>
                              <w:lang w:val="zh-CN"/>
                            </w:rPr>
                            <w:t>27</w:t>
                          </w:r>
                          <w:r>
                            <w:fldChar w:fldCharType="end"/>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Mq2F63gEAAL4DAAAOAAAAAAAA&#10;AAEAIAAAAB4BAABkcnMvZTJvRG9jLnhtbFBLBQYAAAAABgAGAFkBAABuBQAAAAA=&#10;">
              <v:fill on="f" focussize="0,0"/>
              <v:stroke on="f"/>
              <v:imagedata o:title=""/>
              <o:lock v:ext="edit" aspectratio="f"/>
              <v:textbox inset="0mm,0mm,0mm,0mm" style="mso-fit-shape-to-text:t;">
                <w:txbxContent>
                  <w:p w14:paraId="47D10F86">
                    <w:pPr>
                      <w:pStyle w:val="3"/>
                      <w:jc w:val="center"/>
                    </w:pPr>
                    <w:r>
                      <w:fldChar w:fldCharType="begin"/>
                    </w:r>
                    <w:r>
                      <w:instrText xml:space="preserve">PAGE   \* MERGEFORMAT</w:instrText>
                    </w:r>
                    <w:r>
                      <w:fldChar w:fldCharType="separate"/>
                    </w:r>
                    <w:r>
                      <w:rPr>
                        <w:lang w:val="zh-CN"/>
                      </w:rPr>
                      <w:t>27</w:t>
                    </w:r>
                    <w:r>
                      <w:fldChar w:fldCharType="end"/>
                    </w:r>
                  </w:p>
                </w:txbxContent>
              </v:textbox>
            </v:shape>
          </w:pict>
        </mc:Fallback>
      </mc:AlternateContent>
    </w:r>
  </w:p>
  <w:p w14:paraId="2D146F40">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D7B54">
    <w:pPr>
      <w:pStyle w:val="2"/>
      <w:jc w:val="right"/>
      <w:rPr>
        <w:rFonts w:hint="eastAsia" w:eastAsia="宋体"/>
        <w:lang w:eastAsia="zh-CN"/>
      </w:rPr>
    </w:pPr>
    <w:r>
      <w:rPr>
        <w:rFonts w:hint="eastAsia"/>
        <w:lang w:eastAsia="zh-CN"/>
      </w:rPr>
      <w:t>云南省玉溪监狱2026年至2027年罪犯配餐中心生活物资 一 标段(猪肉类；鸡肉类、冻品（鱼虾）类)采购项目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25EA8">
    <w:pPr>
      <w:pStyle w:val="2"/>
      <w:jc w:val="right"/>
      <w:rPr>
        <w:rFonts w:hint="eastAsia" w:ascii="宋体" w:hAnsi="宋体" w:eastAsia="宋体"/>
        <w:lang w:eastAsia="zh-CN"/>
      </w:rPr>
    </w:pPr>
    <w:r>
      <w:rPr>
        <w:rFonts w:hint="eastAsia" w:ascii="宋体" w:hAnsi="宋体"/>
        <w:lang w:eastAsia="zh-CN"/>
      </w:rPr>
      <w:t>云南省玉溪监狱2026年至2027年罪犯配餐中心生活物资 一 标段(猪肉类；鸡肉类、冻品（鱼虾）类)采购项目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D5ACC2"/>
    <w:multiLevelType w:val="singleLevel"/>
    <w:tmpl w:val="C7D5ACC2"/>
    <w:lvl w:ilvl="0" w:tentative="0">
      <w:start w:val="1"/>
      <w:numFmt w:val="chineseCounting"/>
      <w:suff w:val="nothing"/>
      <w:lvlText w:val="%1、"/>
      <w:lvlJc w:val="left"/>
      <w:rPr>
        <w:rFonts w:hint="eastAsia"/>
      </w:rPr>
    </w:lvl>
  </w:abstractNum>
  <w:abstractNum w:abstractNumId="1">
    <w:nsid w:val="0000000B"/>
    <w:multiLevelType w:val="multilevel"/>
    <w:tmpl w:val="0000000B"/>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1738411"/>
    <w:multiLevelType w:val="singleLevel"/>
    <w:tmpl w:val="11738411"/>
    <w:lvl w:ilvl="0" w:tentative="0">
      <w:start w:val="2"/>
      <w:numFmt w:val="decimal"/>
      <w:lvlText w:val="%1."/>
      <w:lvlJc w:val="left"/>
      <w:pPr>
        <w:tabs>
          <w:tab w:val="left" w:pos="312"/>
        </w:tabs>
      </w:pPr>
      <w:rPr>
        <w:rFonts w:hint="default"/>
        <w:color w:val="auto"/>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331"/>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2ZGU1YWM4YTY2NjY4ZDZhM2RhYTQwYTAzMGU5MmEifQ=="/>
  </w:docVars>
  <w:rsids>
    <w:rsidRoot w:val="00172A27"/>
    <w:rsid w:val="00000CA6"/>
    <w:rsid w:val="0000140A"/>
    <w:rsid w:val="00001B50"/>
    <w:rsid w:val="00001C1C"/>
    <w:rsid w:val="00001F08"/>
    <w:rsid w:val="0000237F"/>
    <w:rsid w:val="0000287E"/>
    <w:rsid w:val="00004095"/>
    <w:rsid w:val="0000427F"/>
    <w:rsid w:val="00004999"/>
    <w:rsid w:val="0000551F"/>
    <w:rsid w:val="0000566D"/>
    <w:rsid w:val="0001002D"/>
    <w:rsid w:val="000101CD"/>
    <w:rsid w:val="000109D9"/>
    <w:rsid w:val="00011084"/>
    <w:rsid w:val="00011916"/>
    <w:rsid w:val="00011CB1"/>
    <w:rsid w:val="00011E5C"/>
    <w:rsid w:val="00011E67"/>
    <w:rsid w:val="00012772"/>
    <w:rsid w:val="00012B1D"/>
    <w:rsid w:val="000132DD"/>
    <w:rsid w:val="0001376C"/>
    <w:rsid w:val="00013C21"/>
    <w:rsid w:val="00013CCF"/>
    <w:rsid w:val="0001416D"/>
    <w:rsid w:val="00014AE9"/>
    <w:rsid w:val="00014C89"/>
    <w:rsid w:val="00014CD9"/>
    <w:rsid w:val="00015236"/>
    <w:rsid w:val="000157C2"/>
    <w:rsid w:val="000160A8"/>
    <w:rsid w:val="00016929"/>
    <w:rsid w:val="00017071"/>
    <w:rsid w:val="000175A0"/>
    <w:rsid w:val="0001768D"/>
    <w:rsid w:val="000176C4"/>
    <w:rsid w:val="00017C9C"/>
    <w:rsid w:val="00017E33"/>
    <w:rsid w:val="00017ED7"/>
    <w:rsid w:val="00020431"/>
    <w:rsid w:val="000207C3"/>
    <w:rsid w:val="0002145A"/>
    <w:rsid w:val="00021572"/>
    <w:rsid w:val="0002200A"/>
    <w:rsid w:val="000229DA"/>
    <w:rsid w:val="0002315B"/>
    <w:rsid w:val="000234A0"/>
    <w:rsid w:val="000237A5"/>
    <w:rsid w:val="00023860"/>
    <w:rsid w:val="00023FBC"/>
    <w:rsid w:val="0002466B"/>
    <w:rsid w:val="00024692"/>
    <w:rsid w:val="00024FD7"/>
    <w:rsid w:val="000256B5"/>
    <w:rsid w:val="00025BA8"/>
    <w:rsid w:val="00025C37"/>
    <w:rsid w:val="0002629E"/>
    <w:rsid w:val="00026B8E"/>
    <w:rsid w:val="0002753A"/>
    <w:rsid w:val="0002758B"/>
    <w:rsid w:val="000275E0"/>
    <w:rsid w:val="0002762C"/>
    <w:rsid w:val="000276C4"/>
    <w:rsid w:val="00027C1E"/>
    <w:rsid w:val="00027D06"/>
    <w:rsid w:val="00027E1F"/>
    <w:rsid w:val="00030C3B"/>
    <w:rsid w:val="00030E00"/>
    <w:rsid w:val="000315BD"/>
    <w:rsid w:val="0003180B"/>
    <w:rsid w:val="00032403"/>
    <w:rsid w:val="00032803"/>
    <w:rsid w:val="00032A9F"/>
    <w:rsid w:val="00032B6B"/>
    <w:rsid w:val="00032D5C"/>
    <w:rsid w:val="000331F0"/>
    <w:rsid w:val="0003353C"/>
    <w:rsid w:val="0003354A"/>
    <w:rsid w:val="0003392A"/>
    <w:rsid w:val="00035AA8"/>
    <w:rsid w:val="00035CCA"/>
    <w:rsid w:val="000365A3"/>
    <w:rsid w:val="000366DC"/>
    <w:rsid w:val="000369F6"/>
    <w:rsid w:val="00036A00"/>
    <w:rsid w:val="00036F4F"/>
    <w:rsid w:val="00037367"/>
    <w:rsid w:val="000376EF"/>
    <w:rsid w:val="000401D4"/>
    <w:rsid w:val="00041347"/>
    <w:rsid w:val="00041461"/>
    <w:rsid w:val="00041A2E"/>
    <w:rsid w:val="00041C82"/>
    <w:rsid w:val="0004214C"/>
    <w:rsid w:val="00043330"/>
    <w:rsid w:val="000433EE"/>
    <w:rsid w:val="000448C0"/>
    <w:rsid w:val="000448E1"/>
    <w:rsid w:val="00045B84"/>
    <w:rsid w:val="00045C30"/>
    <w:rsid w:val="00045E29"/>
    <w:rsid w:val="00045F15"/>
    <w:rsid w:val="00046568"/>
    <w:rsid w:val="000465E2"/>
    <w:rsid w:val="00047070"/>
    <w:rsid w:val="00047150"/>
    <w:rsid w:val="0004723A"/>
    <w:rsid w:val="00047318"/>
    <w:rsid w:val="0004770F"/>
    <w:rsid w:val="000477EF"/>
    <w:rsid w:val="00047C59"/>
    <w:rsid w:val="00047D60"/>
    <w:rsid w:val="00047E3E"/>
    <w:rsid w:val="00050498"/>
    <w:rsid w:val="00050AA6"/>
    <w:rsid w:val="00050C1D"/>
    <w:rsid w:val="000515E0"/>
    <w:rsid w:val="000519EA"/>
    <w:rsid w:val="0005215A"/>
    <w:rsid w:val="000524D4"/>
    <w:rsid w:val="00052761"/>
    <w:rsid w:val="00053043"/>
    <w:rsid w:val="000536C5"/>
    <w:rsid w:val="00053D47"/>
    <w:rsid w:val="00054633"/>
    <w:rsid w:val="000548B1"/>
    <w:rsid w:val="00055660"/>
    <w:rsid w:val="000556A6"/>
    <w:rsid w:val="0005699F"/>
    <w:rsid w:val="00056F2B"/>
    <w:rsid w:val="00057008"/>
    <w:rsid w:val="000575A4"/>
    <w:rsid w:val="00057B11"/>
    <w:rsid w:val="00060080"/>
    <w:rsid w:val="000601EF"/>
    <w:rsid w:val="00060702"/>
    <w:rsid w:val="00060EF9"/>
    <w:rsid w:val="00060F7C"/>
    <w:rsid w:val="0006120B"/>
    <w:rsid w:val="00061845"/>
    <w:rsid w:val="00061A95"/>
    <w:rsid w:val="00062150"/>
    <w:rsid w:val="000631AF"/>
    <w:rsid w:val="00063914"/>
    <w:rsid w:val="000641EB"/>
    <w:rsid w:val="00064804"/>
    <w:rsid w:val="00064A94"/>
    <w:rsid w:val="00064E95"/>
    <w:rsid w:val="0006552A"/>
    <w:rsid w:val="000657A1"/>
    <w:rsid w:val="00066418"/>
    <w:rsid w:val="00066602"/>
    <w:rsid w:val="000668EE"/>
    <w:rsid w:val="000673EB"/>
    <w:rsid w:val="00067422"/>
    <w:rsid w:val="00067DBF"/>
    <w:rsid w:val="00070148"/>
    <w:rsid w:val="00070823"/>
    <w:rsid w:val="00070DA0"/>
    <w:rsid w:val="0007141C"/>
    <w:rsid w:val="00071651"/>
    <w:rsid w:val="00071EEF"/>
    <w:rsid w:val="00071FE9"/>
    <w:rsid w:val="00072C0C"/>
    <w:rsid w:val="00072D3F"/>
    <w:rsid w:val="00072D99"/>
    <w:rsid w:val="000733C3"/>
    <w:rsid w:val="00073B26"/>
    <w:rsid w:val="00073CE1"/>
    <w:rsid w:val="00074034"/>
    <w:rsid w:val="000742DC"/>
    <w:rsid w:val="000744EB"/>
    <w:rsid w:val="00074796"/>
    <w:rsid w:val="00075DF9"/>
    <w:rsid w:val="00076EDB"/>
    <w:rsid w:val="00077128"/>
    <w:rsid w:val="00077480"/>
    <w:rsid w:val="0008016B"/>
    <w:rsid w:val="0008062C"/>
    <w:rsid w:val="00080AAB"/>
    <w:rsid w:val="00080C6A"/>
    <w:rsid w:val="000816CB"/>
    <w:rsid w:val="0008182B"/>
    <w:rsid w:val="0008239B"/>
    <w:rsid w:val="000823C3"/>
    <w:rsid w:val="00082948"/>
    <w:rsid w:val="000830A4"/>
    <w:rsid w:val="0008332D"/>
    <w:rsid w:val="0008363D"/>
    <w:rsid w:val="00084572"/>
    <w:rsid w:val="00084A31"/>
    <w:rsid w:val="000851FE"/>
    <w:rsid w:val="0008557E"/>
    <w:rsid w:val="00086855"/>
    <w:rsid w:val="00086A2F"/>
    <w:rsid w:val="00086AD3"/>
    <w:rsid w:val="00086E3F"/>
    <w:rsid w:val="00087195"/>
    <w:rsid w:val="00087655"/>
    <w:rsid w:val="00087980"/>
    <w:rsid w:val="000879E7"/>
    <w:rsid w:val="00087A75"/>
    <w:rsid w:val="00090781"/>
    <w:rsid w:val="0009098F"/>
    <w:rsid w:val="000919B4"/>
    <w:rsid w:val="00091F63"/>
    <w:rsid w:val="00093237"/>
    <w:rsid w:val="00093327"/>
    <w:rsid w:val="000933A8"/>
    <w:rsid w:val="0009363A"/>
    <w:rsid w:val="000938CD"/>
    <w:rsid w:val="00093D12"/>
    <w:rsid w:val="00093EC3"/>
    <w:rsid w:val="00093EE5"/>
    <w:rsid w:val="00094796"/>
    <w:rsid w:val="000947D7"/>
    <w:rsid w:val="000950FB"/>
    <w:rsid w:val="000953B3"/>
    <w:rsid w:val="00095E58"/>
    <w:rsid w:val="00096620"/>
    <w:rsid w:val="0009757D"/>
    <w:rsid w:val="00097A65"/>
    <w:rsid w:val="000A00E6"/>
    <w:rsid w:val="000A0D8F"/>
    <w:rsid w:val="000A113C"/>
    <w:rsid w:val="000A1AD7"/>
    <w:rsid w:val="000A1F81"/>
    <w:rsid w:val="000A26DB"/>
    <w:rsid w:val="000A2A70"/>
    <w:rsid w:val="000A2B8E"/>
    <w:rsid w:val="000A2B92"/>
    <w:rsid w:val="000A421E"/>
    <w:rsid w:val="000A48FE"/>
    <w:rsid w:val="000A4ADA"/>
    <w:rsid w:val="000A4DC9"/>
    <w:rsid w:val="000A512F"/>
    <w:rsid w:val="000A51EE"/>
    <w:rsid w:val="000A544B"/>
    <w:rsid w:val="000A5611"/>
    <w:rsid w:val="000A5651"/>
    <w:rsid w:val="000A5833"/>
    <w:rsid w:val="000A5DB5"/>
    <w:rsid w:val="000A5F55"/>
    <w:rsid w:val="000A602A"/>
    <w:rsid w:val="000A6C07"/>
    <w:rsid w:val="000A7532"/>
    <w:rsid w:val="000A75BB"/>
    <w:rsid w:val="000A77FB"/>
    <w:rsid w:val="000A7CFC"/>
    <w:rsid w:val="000B10B3"/>
    <w:rsid w:val="000B172F"/>
    <w:rsid w:val="000B1AE8"/>
    <w:rsid w:val="000B1C0D"/>
    <w:rsid w:val="000B1F44"/>
    <w:rsid w:val="000B1FBC"/>
    <w:rsid w:val="000B27CB"/>
    <w:rsid w:val="000B2B03"/>
    <w:rsid w:val="000B3278"/>
    <w:rsid w:val="000B3ACA"/>
    <w:rsid w:val="000B3DB3"/>
    <w:rsid w:val="000B3ED6"/>
    <w:rsid w:val="000B423E"/>
    <w:rsid w:val="000B4313"/>
    <w:rsid w:val="000B4BAC"/>
    <w:rsid w:val="000B4EFD"/>
    <w:rsid w:val="000B537E"/>
    <w:rsid w:val="000B57F8"/>
    <w:rsid w:val="000B65E5"/>
    <w:rsid w:val="000B6B5F"/>
    <w:rsid w:val="000B7FF2"/>
    <w:rsid w:val="000C0334"/>
    <w:rsid w:val="000C0A0D"/>
    <w:rsid w:val="000C1FF9"/>
    <w:rsid w:val="000C20B1"/>
    <w:rsid w:val="000C26A5"/>
    <w:rsid w:val="000C2740"/>
    <w:rsid w:val="000C2E0A"/>
    <w:rsid w:val="000C2F95"/>
    <w:rsid w:val="000C305F"/>
    <w:rsid w:val="000C31EA"/>
    <w:rsid w:val="000C3B0A"/>
    <w:rsid w:val="000C3F42"/>
    <w:rsid w:val="000C488A"/>
    <w:rsid w:val="000C5F37"/>
    <w:rsid w:val="000C68E0"/>
    <w:rsid w:val="000C6FFA"/>
    <w:rsid w:val="000C7047"/>
    <w:rsid w:val="000C7057"/>
    <w:rsid w:val="000D0105"/>
    <w:rsid w:val="000D0A37"/>
    <w:rsid w:val="000D0CBC"/>
    <w:rsid w:val="000D1460"/>
    <w:rsid w:val="000D1644"/>
    <w:rsid w:val="000D1E7C"/>
    <w:rsid w:val="000D2015"/>
    <w:rsid w:val="000D2C10"/>
    <w:rsid w:val="000D38A8"/>
    <w:rsid w:val="000D3C42"/>
    <w:rsid w:val="000D3CF1"/>
    <w:rsid w:val="000D43BA"/>
    <w:rsid w:val="000D449A"/>
    <w:rsid w:val="000D47FC"/>
    <w:rsid w:val="000D4BAB"/>
    <w:rsid w:val="000D4EC3"/>
    <w:rsid w:val="000D53D3"/>
    <w:rsid w:val="000D56BD"/>
    <w:rsid w:val="000D5EE1"/>
    <w:rsid w:val="000D6320"/>
    <w:rsid w:val="000D6575"/>
    <w:rsid w:val="000D72BD"/>
    <w:rsid w:val="000D7A20"/>
    <w:rsid w:val="000E01B0"/>
    <w:rsid w:val="000E09F0"/>
    <w:rsid w:val="000E1D4A"/>
    <w:rsid w:val="000E215B"/>
    <w:rsid w:val="000E2D80"/>
    <w:rsid w:val="000E3161"/>
    <w:rsid w:val="000E33BC"/>
    <w:rsid w:val="000E369A"/>
    <w:rsid w:val="000E3EAD"/>
    <w:rsid w:val="000E437E"/>
    <w:rsid w:val="000E4B8F"/>
    <w:rsid w:val="000E4F0E"/>
    <w:rsid w:val="000E5977"/>
    <w:rsid w:val="000E5999"/>
    <w:rsid w:val="000E60DD"/>
    <w:rsid w:val="000E62BA"/>
    <w:rsid w:val="000E744C"/>
    <w:rsid w:val="000F0124"/>
    <w:rsid w:val="000F1787"/>
    <w:rsid w:val="000F1BCB"/>
    <w:rsid w:val="000F2072"/>
    <w:rsid w:val="000F23A6"/>
    <w:rsid w:val="000F3184"/>
    <w:rsid w:val="000F35CB"/>
    <w:rsid w:val="000F36A7"/>
    <w:rsid w:val="000F3BB7"/>
    <w:rsid w:val="000F3FEA"/>
    <w:rsid w:val="000F42CA"/>
    <w:rsid w:val="000F4665"/>
    <w:rsid w:val="000F4D79"/>
    <w:rsid w:val="000F5083"/>
    <w:rsid w:val="000F5C8A"/>
    <w:rsid w:val="000F5DC6"/>
    <w:rsid w:val="000F6178"/>
    <w:rsid w:val="000F6341"/>
    <w:rsid w:val="000F64F2"/>
    <w:rsid w:val="000F6DD0"/>
    <w:rsid w:val="000F6E5C"/>
    <w:rsid w:val="000F77BA"/>
    <w:rsid w:val="000F7DFC"/>
    <w:rsid w:val="001007D7"/>
    <w:rsid w:val="0010091A"/>
    <w:rsid w:val="0010131F"/>
    <w:rsid w:val="001016A2"/>
    <w:rsid w:val="0010192C"/>
    <w:rsid w:val="0010225C"/>
    <w:rsid w:val="00102489"/>
    <w:rsid w:val="001024FF"/>
    <w:rsid w:val="0010291C"/>
    <w:rsid w:val="00102DDE"/>
    <w:rsid w:val="00102FE7"/>
    <w:rsid w:val="001031EA"/>
    <w:rsid w:val="001033BC"/>
    <w:rsid w:val="00103485"/>
    <w:rsid w:val="001035B7"/>
    <w:rsid w:val="00103618"/>
    <w:rsid w:val="00103C66"/>
    <w:rsid w:val="00103E7A"/>
    <w:rsid w:val="00104225"/>
    <w:rsid w:val="00104697"/>
    <w:rsid w:val="001054D6"/>
    <w:rsid w:val="00106141"/>
    <w:rsid w:val="00106258"/>
    <w:rsid w:val="00106846"/>
    <w:rsid w:val="0010697C"/>
    <w:rsid w:val="00106BCB"/>
    <w:rsid w:val="0010711B"/>
    <w:rsid w:val="00107F33"/>
    <w:rsid w:val="00110494"/>
    <w:rsid w:val="00110676"/>
    <w:rsid w:val="00110F00"/>
    <w:rsid w:val="0011133A"/>
    <w:rsid w:val="00111712"/>
    <w:rsid w:val="0011197E"/>
    <w:rsid w:val="00111C17"/>
    <w:rsid w:val="00111E09"/>
    <w:rsid w:val="001124B7"/>
    <w:rsid w:val="00113A32"/>
    <w:rsid w:val="00114590"/>
    <w:rsid w:val="0011463B"/>
    <w:rsid w:val="001153A2"/>
    <w:rsid w:val="00115815"/>
    <w:rsid w:val="00116467"/>
    <w:rsid w:val="00116825"/>
    <w:rsid w:val="00116D71"/>
    <w:rsid w:val="0011705B"/>
    <w:rsid w:val="0011749E"/>
    <w:rsid w:val="00117925"/>
    <w:rsid w:val="00117A59"/>
    <w:rsid w:val="00117AA8"/>
    <w:rsid w:val="00120209"/>
    <w:rsid w:val="0012070E"/>
    <w:rsid w:val="00120FD4"/>
    <w:rsid w:val="001210F7"/>
    <w:rsid w:val="001211C9"/>
    <w:rsid w:val="0012153B"/>
    <w:rsid w:val="001215C8"/>
    <w:rsid w:val="001217E2"/>
    <w:rsid w:val="00121A67"/>
    <w:rsid w:val="00121B3B"/>
    <w:rsid w:val="00122D06"/>
    <w:rsid w:val="00122D6D"/>
    <w:rsid w:val="00122E08"/>
    <w:rsid w:val="001233F0"/>
    <w:rsid w:val="001234CB"/>
    <w:rsid w:val="001236D0"/>
    <w:rsid w:val="00124228"/>
    <w:rsid w:val="00124234"/>
    <w:rsid w:val="00124815"/>
    <w:rsid w:val="00124ACC"/>
    <w:rsid w:val="00124C5A"/>
    <w:rsid w:val="00124D7C"/>
    <w:rsid w:val="001262AB"/>
    <w:rsid w:val="00126C2D"/>
    <w:rsid w:val="00126CF4"/>
    <w:rsid w:val="00126F05"/>
    <w:rsid w:val="0012736F"/>
    <w:rsid w:val="00127A77"/>
    <w:rsid w:val="0013055D"/>
    <w:rsid w:val="00131F2D"/>
    <w:rsid w:val="00131FF4"/>
    <w:rsid w:val="00132F1B"/>
    <w:rsid w:val="00133005"/>
    <w:rsid w:val="001339B8"/>
    <w:rsid w:val="00133DDC"/>
    <w:rsid w:val="001340FA"/>
    <w:rsid w:val="00134693"/>
    <w:rsid w:val="00134B24"/>
    <w:rsid w:val="00134C45"/>
    <w:rsid w:val="001358F1"/>
    <w:rsid w:val="001363A5"/>
    <w:rsid w:val="001364B3"/>
    <w:rsid w:val="001365AF"/>
    <w:rsid w:val="00136D89"/>
    <w:rsid w:val="001401A2"/>
    <w:rsid w:val="00140697"/>
    <w:rsid w:val="001411BC"/>
    <w:rsid w:val="0014151E"/>
    <w:rsid w:val="001420A7"/>
    <w:rsid w:val="001422BE"/>
    <w:rsid w:val="001425DB"/>
    <w:rsid w:val="001425FB"/>
    <w:rsid w:val="00142D3D"/>
    <w:rsid w:val="00142DFC"/>
    <w:rsid w:val="00143B58"/>
    <w:rsid w:val="00143D9E"/>
    <w:rsid w:val="00144004"/>
    <w:rsid w:val="00144CBE"/>
    <w:rsid w:val="001454EB"/>
    <w:rsid w:val="001455AD"/>
    <w:rsid w:val="00145612"/>
    <w:rsid w:val="00145A14"/>
    <w:rsid w:val="00145E82"/>
    <w:rsid w:val="00146268"/>
    <w:rsid w:val="001467D4"/>
    <w:rsid w:val="00146BCF"/>
    <w:rsid w:val="00146CF0"/>
    <w:rsid w:val="00146FD3"/>
    <w:rsid w:val="00146FE2"/>
    <w:rsid w:val="00147319"/>
    <w:rsid w:val="00147A01"/>
    <w:rsid w:val="00147C0C"/>
    <w:rsid w:val="00147E24"/>
    <w:rsid w:val="001505AF"/>
    <w:rsid w:val="00150A8C"/>
    <w:rsid w:val="0015145E"/>
    <w:rsid w:val="00151C18"/>
    <w:rsid w:val="001522B8"/>
    <w:rsid w:val="001522DE"/>
    <w:rsid w:val="00152310"/>
    <w:rsid w:val="00153D25"/>
    <w:rsid w:val="0015416A"/>
    <w:rsid w:val="00154A59"/>
    <w:rsid w:val="00154BCD"/>
    <w:rsid w:val="0015531F"/>
    <w:rsid w:val="001553C8"/>
    <w:rsid w:val="00155605"/>
    <w:rsid w:val="001562E1"/>
    <w:rsid w:val="0015704D"/>
    <w:rsid w:val="00157BBB"/>
    <w:rsid w:val="00157E91"/>
    <w:rsid w:val="001600AF"/>
    <w:rsid w:val="001600B6"/>
    <w:rsid w:val="00160393"/>
    <w:rsid w:val="001617BC"/>
    <w:rsid w:val="001622E2"/>
    <w:rsid w:val="001630E2"/>
    <w:rsid w:val="00163195"/>
    <w:rsid w:val="001633CC"/>
    <w:rsid w:val="001646F4"/>
    <w:rsid w:val="0016488C"/>
    <w:rsid w:val="001648CB"/>
    <w:rsid w:val="00164B80"/>
    <w:rsid w:val="00164D7D"/>
    <w:rsid w:val="001655ED"/>
    <w:rsid w:val="00165EF6"/>
    <w:rsid w:val="00165F94"/>
    <w:rsid w:val="00165FFC"/>
    <w:rsid w:val="00166EE5"/>
    <w:rsid w:val="00167A77"/>
    <w:rsid w:val="00167E7D"/>
    <w:rsid w:val="00170CD4"/>
    <w:rsid w:val="00170F2C"/>
    <w:rsid w:val="0017191F"/>
    <w:rsid w:val="00171938"/>
    <w:rsid w:val="00171F7E"/>
    <w:rsid w:val="00172411"/>
    <w:rsid w:val="0017242D"/>
    <w:rsid w:val="001724D3"/>
    <w:rsid w:val="00172781"/>
    <w:rsid w:val="00172E29"/>
    <w:rsid w:val="0017316F"/>
    <w:rsid w:val="0017335D"/>
    <w:rsid w:val="001739CF"/>
    <w:rsid w:val="001739D1"/>
    <w:rsid w:val="00173FC7"/>
    <w:rsid w:val="0017504F"/>
    <w:rsid w:val="001750E8"/>
    <w:rsid w:val="001752C0"/>
    <w:rsid w:val="001758DC"/>
    <w:rsid w:val="00175A1A"/>
    <w:rsid w:val="00175C85"/>
    <w:rsid w:val="00175D05"/>
    <w:rsid w:val="0017616C"/>
    <w:rsid w:val="0017631A"/>
    <w:rsid w:val="001764E1"/>
    <w:rsid w:val="001767B8"/>
    <w:rsid w:val="0017681F"/>
    <w:rsid w:val="00176CD4"/>
    <w:rsid w:val="00176E89"/>
    <w:rsid w:val="00176EDA"/>
    <w:rsid w:val="00177733"/>
    <w:rsid w:val="00177E06"/>
    <w:rsid w:val="00180190"/>
    <w:rsid w:val="001802C7"/>
    <w:rsid w:val="00180B5D"/>
    <w:rsid w:val="00182000"/>
    <w:rsid w:val="00182DE7"/>
    <w:rsid w:val="001838D7"/>
    <w:rsid w:val="001841EB"/>
    <w:rsid w:val="001842A0"/>
    <w:rsid w:val="00184543"/>
    <w:rsid w:val="001846DF"/>
    <w:rsid w:val="00184C2B"/>
    <w:rsid w:val="00184CDE"/>
    <w:rsid w:val="00185B33"/>
    <w:rsid w:val="00185E76"/>
    <w:rsid w:val="00186590"/>
    <w:rsid w:val="001900F4"/>
    <w:rsid w:val="00190255"/>
    <w:rsid w:val="00191987"/>
    <w:rsid w:val="00191FE2"/>
    <w:rsid w:val="00192197"/>
    <w:rsid w:val="00192AB6"/>
    <w:rsid w:val="00193F91"/>
    <w:rsid w:val="001940E0"/>
    <w:rsid w:val="0019428E"/>
    <w:rsid w:val="00194B7B"/>
    <w:rsid w:val="00195375"/>
    <w:rsid w:val="001957C7"/>
    <w:rsid w:val="00195BC7"/>
    <w:rsid w:val="00196095"/>
    <w:rsid w:val="0019630B"/>
    <w:rsid w:val="001965D4"/>
    <w:rsid w:val="001A0230"/>
    <w:rsid w:val="001A06E1"/>
    <w:rsid w:val="001A107E"/>
    <w:rsid w:val="001A226D"/>
    <w:rsid w:val="001A2362"/>
    <w:rsid w:val="001A269D"/>
    <w:rsid w:val="001A318D"/>
    <w:rsid w:val="001A3311"/>
    <w:rsid w:val="001A3573"/>
    <w:rsid w:val="001A40EF"/>
    <w:rsid w:val="001A4CEA"/>
    <w:rsid w:val="001A5085"/>
    <w:rsid w:val="001A54EB"/>
    <w:rsid w:val="001A572C"/>
    <w:rsid w:val="001A5A77"/>
    <w:rsid w:val="001A68F9"/>
    <w:rsid w:val="001A6C44"/>
    <w:rsid w:val="001A6C48"/>
    <w:rsid w:val="001A6D49"/>
    <w:rsid w:val="001A6D95"/>
    <w:rsid w:val="001A7372"/>
    <w:rsid w:val="001A78A3"/>
    <w:rsid w:val="001A7CC8"/>
    <w:rsid w:val="001A7FF4"/>
    <w:rsid w:val="001B011F"/>
    <w:rsid w:val="001B051D"/>
    <w:rsid w:val="001B0CCE"/>
    <w:rsid w:val="001B168B"/>
    <w:rsid w:val="001B1707"/>
    <w:rsid w:val="001B23EE"/>
    <w:rsid w:val="001B2E33"/>
    <w:rsid w:val="001B2EBB"/>
    <w:rsid w:val="001B35F9"/>
    <w:rsid w:val="001B4253"/>
    <w:rsid w:val="001B45DB"/>
    <w:rsid w:val="001B489A"/>
    <w:rsid w:val="001B4903"/>
    <w:rsid w:val="001B4996"/>
    <w:rsid w:val="001B5214"/>
    <w:rsid w:val="001B65BF"/>
    <w:rsid w:val="001B67DB"/>
    <w:rsid w:val="001B68B5"/>
    <w:rsid w:val="001B68BD"/>
    <w:rsid w:val="001B6E69"/>
    <w:rsid w:val="001B6F30"/>
    <w:rsid w:val="001B7114"/>
    <w:rsid w:val="001B75E2"/>
    <w:rsid w:val="001B7701"/>
    <w:rsid w:val="001B7BBE"/>
    <w:rsid w:val="001C05F4"/>
    <w:rsid w:val="001C093A"/>
    <w:rsid w:val="001C1394"/>
    <w:rsid w:val="001C1699"/>
    <w:rsid w:val="001C1ECE"/>
    <w:rsid w:val="001C20BF"/>
    <w:rsid w:val="001C2307"/>
    <w:rsid w:val="001C2692"/>
    <w:rsid w:val="001C2EFB"/>
    <w:rsid w:val="001C3465"/>
    <w:rsid w:val="001C3DC1"/>
    <w:rsid w:val="001C3F46"/>
    <w:rsid w:val="001C42F9"/>
    <w:rsid w:val="001C43D6"/>
    <w:rsid w:val="001C4460"/>
    <w:rsid w:val="001C538F"/>
    <w:rsid w:val="001C5C39"/>
    <w:rsid w:val="001C5E48"/>
    <w:rsid w:val="001C6094"/>
    <w:rsid w:val="001C6969"/>
    <w:rsid w:val="001C6979"/>
    <w:rsid w:val="001C6C59"/>
    <w:rsid w:val="001C7360"/>
    <w:rsid w:val="001D03C2"/>
    <w:rsid w:val="001D03ED"/>
    <w:rsid w:val="001D04D4"/>
    <w:rsid w:val="001D0F0B"/>
    <w:rsid w:val="001D1EBF"/>
    <w:rsid w:val="001D243E"/>
    <w:rsid w:val="001D27AE"/>
    <w:rsid w:val="001D2CF9"/>
    <w:rsid w:val="001D2D5B"/>
    <w:rsid w:val="001D4B77"/>
    <w:rsid w:val="001D4EFA"/>
    <w:rsid w:val="001D51B9"/>
    <w:rsid w:val="001D5372"/>
    <w:rsid w:val="001D5C56"/>
    <w:rsid w:val="001D60A7"/>
    <w:rsid w:val="001D6321"/>
    <w:rsid w:val="001D6C5C"/>
    <w:rsid w:val="001D6C68"/>
    <w:rsid w:val="001D7450"/>
    <w:rsid w:val="001E0194"/>
    <w:rsid w:val="001E1130"/>
    <w:rsid w:val="001E131A"/>
    <w:rsid w:val="001E1624"/>
    <w:rsid w:val="001E1699"/>
    <w:rsid w:val="001E1853"/>
    <w:rsid w:val="001E1B1A"/>
    <w:rsid w:val="001E1FA3"/>
    <w:rsid w:val="001E1FE6"/>
    <w:rsid w:val="001E22D4"/>
    <w:rsid w:val="001E3979"/>
    <w:rsid w:val="001E3FA9"/>
    <w:rsid w:val="001E4081"/>
    <w:rsid w:val="001E41B6"/>
    <w:rsid w:val="001E473E"/>
    <w:rsid w:val="001E5088"/>
    <w:rsid w:val="001E50AD"/>
    <w:rsid w:val="001E5665"/>
    <w:rsid w:val="001E5C75"/>
    <w:rsid w:val="001E64A5"/>
    <w:rsid w:val="001E752A"/>
    <w:rsid w:val="001E7BAA"/>
    <w:rsid w:val="001E7DA1"/>
    <w:rsid w:val="001F0091"/>
    <w:rsid w:val="001F0354"/>
    <w:rsid w:val="001F0D2C"/>
    <w:rsid w:val="001F0DFB"/>
    <w:rsid w:val="001F206F"/>
    <w:rsid w:val="001F20C8"/>
    <w:rsid w:val="001F250C"/>
    <w:rsid w:val="001F2B87"/>
    <w:rsid w:val="001F2E9C"/>
    <w:rsid w:val="001F35B6"/>
    <w:rsid w:val="001F3787"/>
    <w:rsid w:val="001F3FDF"/>
    <w:rsid w:val="001F4C11"/>
    <w:rsid w:val="001F51F1"/>
    <w:rsid w:val="001F5513"/>
    <w:rsid w:val="001F553C"/>
    <w:rsid w:val="001F595B"/>
    <w:rsid w:val="001F5EA6"/>
    <w:rsid w:val="001F5F99"/>
    <w:rsid w:val="001F6834"/>
    <w:rsid w:val="001F6BAF"/>
    <w:rsid w:val="001F7A37"/>
    <w:rsid w:val="001F7D09"/>
    <w:rsid w:val="00200188"/>
    <w:rsid w:val="002005C2"/>
    <w:rsid w:val="0020152B"/>
    <w:rsid w:val="002015A2"/>
    <w:rsid w:val="002017B9"/>
    <w:rsid w:val="002020DE"/>
    <w:rsid w:val="00203111"/>
    <w:rsid w:val="002034CE"/>
    <w:rsid w:val="002043F1"/>
    <w:rsid w:val="002043FD"/>
    <w:rsid w:val="002044EE"/>
    <w:rsid w:val="00204B31"/>
    <w:rsid w:val="00205E97"/>
    <w:rsid w:val="00205F56"/>
    <w:rsid w:val="0020623C"/>
    <w:rsid w:val="0020636E"/>
    <w:rsid w:val="0020679B"/>
    <w:rsid w:val="00206BF1"/>
    <w:rsid w:val="00206F4A"/>
    <w:rsid w:val="00206F78"/>
    <w:rsid w:val="0020702C"/>
    <w:rsid w:val="00207295"/>
    <w:rsid w:val="002076DF"/>
    <w:rsid w:val="002078CE"/>
    <w:rsid w:val="00207C2D"/>
    <w:rsid w:val="00207D9D"/>
    <w:rsid w:val="002108EC"/>
    <w:rsid w:val="00210FE6"/>
    <w:rsid w:val="0021117C"/>
    <w:rsid w:val="00211347"/>
    <w:rsid w:val="0021167D"/>
    <w:rsid w:val="002120AA"/>
    <w:rsid w:val="0021367A"/>
    <w:rsid w:val="00215143"/>
    <w:rsid w:val="00215284"/>
    <w:rsid w:val="002159F3"/>
    <w:rsid w:val="00215C96"/>
    <w:rsid w:val="0021613B"/>
    <w:rsid w:val="0021671C"/>
    <w:rsid w:val="0021694C"/>
    <w:rsid w:val="002169E5"/>
    <w:rsid w:val="00220360"/>
    <w:rsid w:val="00220A8F"/>
    <w:rsid w:val="00221022"/>
    <w:rsid w:val="002214EB"/>
    <w:rsid w:val="0022186B"/>
    <w:rsid w:val="00222200"/>
    <w:rsid w:val="002229B0"/>
    <w:rsid w:val="0022368A"/>
    <w:rsid w:val="00223733"/>
    <w:rsid w:val="00223A2B"/>
    <w:rsid w:val="00223EA4"/>
    <w:rsid w:val="00224653"/>
    <w:rsid w:val="00224B2F"/>
    <w:rsid w:val="00224DEE"/>
    <w:rsid w:val="00225357"/>
    <w:rsid w:val="00225D7C"/>
    <w:rsid w:val="00225E3C"/>
    <w:rsid w:val="00225FC4"/>
    <w:rsid w:val="002263B5"/>
    <w:rsid w:val="00226C97"/>
    <w:rsid w:val="00226F92"/>
    <w:rsid w:val="0022703B"/>
    <w:rsid w:val="00227062"/>
    <w:rsid w:val="00227C08"/>
    <w:rsid w:val="002308BC"/>
    <w:rsid w:val="002308E2"/>
    <w:rsid w:val="00230B9D"/>
    <w:rsid w:val="00230E92"/>
    <w:rsid w:val="0023112D"/>
    <w:rsid w:val="00231251"/>
    <w:rsid w:val="00231598"/>
    <w:rsid w:val="002318D1"/>
    <w:rsid w:val="00232CDB"/>
    <w:rsid w:val="0023353B"/>
    <w:rsid w:val="00233629"/>
    <w:rsid w:val="00233788"/>
    <w:rsid w:val="002349D1"/>
    <w:rsid w:val="00234D16"/>
    <w:rsid w:val="00235640"/>
    <w:rsid w:val="002358C4"/>
    <w:rsid w:val="002361E9"/>
    <w:rsid w:val="00236392"/>
    <w:rsid w:val="0023639D"/>
    <w:rsid w:val="00236416"/>
    <w:rsid w:val="00236D14"/>
    <w:rsid w:val="00236E16"/>
    <w:rsid w:val="0024035E"/>
    <w:rsid w:val="00240C5F"/>
    <w:rsid w:val="00241E4F"/>
    <w:rsid w:val="00241F1D"/>
    <w:rsid w:val="00243972"/>
    <w:rsid w:val="002439FC"/>
    <w:rsid w:val="00244688"/>
    <w:rsid w:val="002449DD"/>
    <w:rsid w:val="00244AB4"/>
    <w:rsid w:val="00245C3B"/>
    <w:rsid w:val="0024640F"/>
    <w:rsid w:val="00246669"/>
    <w:rsid w:val="002466D5"/>
    <w:rsid w:val="00246C72"/>
    <w:rsid w:val="00246C81"/>
    <w:rsid w:val="00247AF9"/>
    <w:rsid w:val="00247D24"/>
    <w:rsid w:val="002504B2"/>
    <w:rsid w:val="00250C38"/>
    <w:rsid w:val="0025103F"/>
    <w:rsid w:val="00251863"/>
    <w:rsid w:val="00252049"/>
    <w:rsid w:val="00252184"/>
    <w:rsid w:val="00252E23"/>
    <w:rsid w:val="002530B5"/>
    <w:rsid w:val="00253109"/>
    <w:rsid w:val="002533C1"/>
    <w:rsid w:val="002535B2"/>
    <w:rsid w:val="00254B17"/>
    <w:rsid w:val="00254F0A"/>
    <w:rsid w:val="00255715"/>
    <w:rsid w:val="00255803"/>
    <w:rsid w:val="00255B7B"/>
    <w:rsid w:val="00256055"/>
    <w:rsid w:val="00256194"/>
    <w:rsid w:val="0025696F"/>
    <w:rsid w:val="002573DC"/>
    <w:rsid w:val="00257AE0"/>
    <w:rsid w:val="002606CB"/>
    <w:rsid w:val="002614F6"/>
    <w:rsid w:val="00261F3C"/>
    <w:rsid w:val="002621AF"/>
    <w:rsid w:val="00263078"/>
    <w:rsid w:val="002639EC"/>
    <w:rsid w:val="002641DB"/>
    <w:rsid w:val="002642E3"/>
    <w:rsid w:val="002647EC"/>
    <w:rsid w:val="0026489D"/>
    <w:rsid w:val="00264D5D"/>
    <w:rsid w:val="00264E21"/>
    <w:rsid w:val="00265DC4"/>
    <w:rsid w:val="00266958"/>
    <w:rsid w:val="00267827"/>
    <w:rsid w:val="0027031F"/>
    <w:rsid w:val="002703CB"/>
    <w:rsid w:val="002704B9"/>
    <w:rsid w:val="0027144A"/>
    <w:rsid w:val="002716E8"/>
    <w:rsid w:val="0027208C"/>
    <w:rsid w:val="00272272"/>
    <w:rsid w:val="00272903"/>
    <w:rsid w:val="00273499"/>
    <w:rsid w:val="002738B7"/>
    <w:rsid w:val="00273ABD"/>
    <w:rsid w:val="00273C68"/>
    <w:rsid w:val="00273C90"/>
    <w:rsid w:val="00273D0C"/>
    <w:rsid w:val="00275D06"/>
    <w:rsid w:val="00275D62"/>
    <w:rsid w:val="00275DEF"/>
    <w:rsid w:val="002765F1"/>
    <w:rsid w:val="00276630"/>
    <w:rsid w:val="0027696C"/>
    <w:rsid w:val="00277147"/>
    <w:rsid w:val="00277949"/>
    <w:rsid w:val="00277A62"/>
    <w:rsid w:val="00280F67"/>
    <w:rsid w:val="00281230"/>
    <w:rsid w:val="002817AF"/>
    <w:rsid w:val="00281957"/>
    <w:rsid w:val="00281C4F"/>
    <w:rsid w:val="00281D9F"/>
    <w:rsid w:val="00282407"/>
    <w:rsid w:val="00282574"/>
    <w:rsid w:val="00282B9E"/>
    <w:rsid w:val="00282CB1"/>
    <w:rsid w:val="00282E92"/>
    <w:rsid w:val="00283782"/>
    <w:rsid w:val="002839C0"/>
    <w:rsid w:val="00283BE6"/>
    <w:rsid w:val="00283C45"/>
    <w:rsid w:val="002840F9"/>
    <w:rsid w:val="0028424F"/>
    <w:rsid w:val="00285298"/>
    <w:rsid w:val="00285373"/>
    <w:rsid w:val="00285538"/>
    <w:rsid w:val="00286472"/>
    <w:rsid w:val="002878A4"/>
    <w:rsid w:val="00287AFC"/>
    <w:rsid w:val="0029051E"/>
    <w:rsid w:val="002906DD"/>
    <w:rsid w:val="0029099B"/>
    <w:rsid w:val="00291C73"/>
    <w:rsid w:val="0029206F"/>
    <w:rsid w:val="002924FA"/>
    <w:rsid w:val="0029365F"/>
    <w:rsid w:val="00293A98"/>
    <w:rsid w:val="00294872"/>
    <w:rsid w:val="00295130"/>
    <w:rsid w:val="0029553C"/>
    <w:rsid w:val="00295627"/>
    <w:rsid w:val="00295BBF"/>
    <w:rsid w:val="00295F2F"/>
    <w:rsid w:val="0029684D"/>
    <w:rsid w:val="00296D69"/>
    <w:rsid w:val="00296FC9"/>
    <w:rsid w:val="00297A52"/>
    <w:rsid w:val="002A0023"/>
    <w:rsid w:val="002A07D0"/>
    <w:rsid w:val="002A0E88"/>
    <w:rsid w:val="002A15F3"/>
    <w:rsid w:val="002A2150"/>
    <w:rsid w:val="002A2242"/>
    <w:rsid w:val="002A27D6"/>
    <w:rsid w:val="002A31DC"/>
    <w:rsid w:val="002A3531"/>
    <w:rsid w:val="002A3BBE"/>
    <w:rsid w:val="002A3C21"/>
    <w:rsid w:val="002A4274"/>
    <w:rsid w:val="002A48E7"/>
    <w:rsid w:val="002A4FE3"/>
    <w:rsid w:val="002A5034"/>
    <w:rsid w:val="002A50C5"/>
    <w:rsid w:val="002A631F"/>
    <w:rsid w:val="002A651D"/>
    <w:rsid w:val="002A6D5A"/>
    <w:rsid w:val="002A6E4A"/>
    <w:rsid w:val="002A7799"/>
    <w:rsid w:val="002B0DBD"/>
    <w:rsid w:val="002B10ED"/>
    <w:rsid w:val="002B1267"/>
    <w:rsid w:val="002B249C"/>
    <w:rsid w:val="002B2502"/>
    <w:rsid w:val="002B2634"/>
    <w:rsid w:val="002B2689"/>
    <w:rsid w:val="002B28F5"/>
    <w:rsid w:val="002B294F"/>
    <w:rsid w:val="002B2F8A"/>
    <w:rsid w:val="002B3036"/>
    <w:rsid w:val="002B315D"/>
    <w:rsid w:val="002B3D91"/>
    <w:rsid w:val="002B42C5"/>
    <w:rsid w:val="002B460F"/>
    <w:rsid w:val="002B54C4"/>
    <w:rsid w:val="002B6DB1"/>
    <w:rsid w:val="002B7062"/>
    <w:rsid w:val="002B7180"/>
    <w:rsid w:val="002B7ED1"/>
    <w:rsid w:val="002C07B7"/>
    <w:rsid w:val="002C07EA"/>
    <w:rsid w:val="002C0A8D"/>
    <w:rsid w:val="002C2072"/>
    <w:rsid w:val="002C21EF"/>
    <w:rsid w:val="002C2265"/>
    <w:rsid w:val="002C3EEB"/>
    <w:rsid w:val="002C4646"/>
    <w:rsid w:val="002C6244"/>
    <w:rsid w:val="002D02CB"/>
    <w:rsid w:val="002D037E"/>
    <w:rsid w:val="002D0D0F"/>
    <w:rsid w:val="002D1606"/>
    <w:rsid w:val="002D16C5"/>
    <w:rsid w:val="002D22E0"/>
    <w:rsid w:val="002D32C9"/>
    <w:rsid w:val="002D3CF8"/>
    <w:rsid w:val="002D4642"/>
    <w:rsid w:val="002D46A5"/>
    <w:rsid w:val="002D5AC0"/>
    <w:rsid w:val="002D6113"/>
    <w:rsid w:val="002D6A05"/>
    <w:rsid w:val="002D6DC0"/>
    <w:rsid w:val="002D6DFE"/>
    <w:rsid w:val="002D705B"/>
    <w:rsid w:val="002D7B65"/>
    <w:rsid w:val="002E00C6"/>
    <w:rsid w:val="002E0623"/>
    <w:rsid w:val="002E071F"/>
    <w:rsid w:val="002E0DE7"/>
    <w:rsid w:val="002E0E3B"/>
    <w:rsid w:val="002E10C7"/>
    <w:rsid w:val="002E1520"/>
    <w:rsid w:val="002E160A"/>
    <w:rsid w:val="002E2CE0"/>
    <w:rsid w:val="002E3C9D"/>
    <w:rsid w:val="002E3D81"/>
    <w:rsid w:val="002E3E61"/>
    <w:rsid w:val="002E3F90"/>
    <w:rsid w:val="002E44EC"/>
    <w:rsid w:val="002E4763"/>
    <w:rsid w:val="002E4BAC"/>
    <w:rsid w:val="002E5B80"/>
    <w:rsid w:val="002E615E"/>
    <w:rsid w:val="002E617A"/>
    <w:rsid w:val="002E6B61"/>
    <w:rsid w:val="002E747B"/>
    <w:rsid w:val="002E79EA"/>
    <w:rsid w:val="002E7CAD"/>
    <w:rsid w:val="002F005C"/>
    <w:rsid w:val="002F0FBC"/>
    <w:rsid w:val="002F182C"/>
    <w:rsid w:val="002F2744"/>
    <w:rsid w:val="002F277A"/>
    <w:rsid w:val="002F2E4F"/>
    <w:rsid w:val="002F2F42"/>
    <w:rsid w:val="002F410C"/>
    <w:rsid w:val="002F4966"/>
    <w:rsid w:val="002F4C49"/>
    <w:rsid w:val="002F4E91"/>
    <w:rsid w:val="002F4F75"/>
    <w:rsid w:val="002F5B92"/>
    <w:rsid w:val="002F60A4"/>
    <w:rsid w:val="002F724E"/>
    <w:rsid w:val="002F730E"/>
    <w:rsid w:val="002F7B90"/>
    <w:rsid w:val="003007E3"/>
    <w:rsid w:val="00300C3F"/>
    <w:rsid w:val="003022B2"/>
    <w:rsid w:val="00302371"/>
    <w:rsid w:val="0030246D"/>
    <w:rsid w:val="003028B2"/>
    <w:rsid w:val="00302ABE"/>
    <w:rsid w:val="00302CA9"/>
    <w:rsid w:val="00303426"/>
    <w:rsid w:val="0030380C"/>
    <w:rsid w:val="00303A69"/>
    <w:rsid w:val="00303E9D"/>
    <w:rsid w:val="00304272"/>
    <w:rsid w:val="00304340"/>
    <w:rsid w:val="00304591"/>
    <w:rsid w:val="003058EC"/>
    <w:rsid w:val="00305F69"/>
    <w:rsid w:val="003061D2"/>
    <w:rsid w:val="0030646F"/>
    <w:rsid w:val="003064DF"/>
    <w:rsid w:val="00306621"/>
    <w:rsid w:val="00306821"/>
    <w:rsid w:val="00306C2B"/>
    <w:rsid w:val="00306C4E"/>
    <w:rsid w:val="003074BF"/>
    <w:rsid w:val="003079B6"/>
    <w:rsid w:val="00307B16"/>
    <w:rsid w:val="00310258"/>
    <w:rsid w:val="003102D0"/>
    <w:rsid w:val="003103AD"/>
    <w:rsid w:val="00310802"/>
    <w:rsid w:val="003108F8"/>
    <w:rsid w:val="00310932"/>
    <w:rsid w:val="0031097A"/>
    <w:rsid w:val="003109F6"/>
    <w:rsid w:val="00310A1C"/>
    <w:rsid w:val="00310DF1"/>
    <w:rsid w:val="00310F3E"/>
    <w:rsid w:val="00311392"/>
    <w:rsid w:val="003116B8"/>
    <w:rsid w:val="003123E4"/>
    <w:rsid w:val="0031321D"/>
    <w:rsid w:val="003136EB"/>
    <w:rsid w:val="0031431E"/>
    <w:rsid w:val="00314595"/>
    <w:rsid w:val="003146F9"/>
    <w:rsid w:val="00314FD4"/>
    <w:rsid w:val="003150CE"/>
    <w:rsid w:val="00315FCC"/>
    <w:rsid w:val="003169BA"/>
    <w:rsid w:val="00316FDA"/>
    <w:rsid w:val="00317666"/>
    <w:rsid w:val="00317AAA"/>
    <w:rsid w:val="00317ED5"/>
    <w:rsid w:val="00320190"/>
    <w:rsid w:val="0032119E"/>
    <w:rsid w:val="00321A01"/>
    <w:rsid w:val="00322447"/>
    <w:rsid w:val="00322533"/>
    <w:rsid w:val="0032254E"/>
    <w:rsid w:val="00322A49"/>
    <w:rsid w:val="00322D14"/>
    <w:rsid w:val="003230DD"/>
    <w:rsid w:val="003232FD"/>
    <w:rsid w:val="00325C1C"/>
    <w:rsid w:val="00325C6F"/>
    <w:rsid w:val="00325CB6"/>
    <w:rsid w:val="0032782C"/>
    <w:rsid w:val="00327C18"/>
    <w:rsid w:val="00330132"/>
    <w:rsid w:val="0033079D"/>
    <w:rsid w:val="00330CD4"/>
    <w:rsid w:val="00330E54"/>
    <w:rsid w:val="00331451"/>
    <w:rsid w:val="00331640"/>
    <w:rsid w:val="00331D29"/>
    <w:rsid w:val="003321D8"/>
    <w:rsid w:val="00332422"/>
    <w:rsid w:val="0033269A"/>
    <w:rsid w:val="00332904"/>
    <w:rsid w:val="00332A16"/>
    <w:rsid w:val="00332DFA"/>
    <w:rsid w:val="00333107"/>
    <w:rsid w:val="003337E7"/>
    <w:rsid w:val="0033395A"/>
    <w:rsid w:val="003346EE"/>
    <w:rsid w:val="00334795"/>
    <w:rsid w:val="00334C19"/>
    <w:rsid w:val="00334C54"/>
    <w:rsid w:val="00334EDF"/>
    <w:rsid w:val="003350F7"/>
    <w:rsid w:val="003357D4"/>
    <w:rsid w:val="003359F4"/>
    <w:rsid w:val="00336DD0"/>
    <w:rsid w:val="00337265"/>
    <w:rsid w:val="00340521"/>
    <w:rsid w:val="0034097F"/>
    <w:rsid w:val="0034099B"/>
    <w:rsid w:val="00340A36"/>
    <w:rsid w:val="00340A60"/>
    <w:rsid w:val="00340AB9"/>
    <w:rsid w:val="00340D4E"/>
    <w:rsid w:val="0034164D"/>
    <w:rsid w:val="00341724"/>
    <w:rsid w:val="0034220D"/>
    <w:rsid w:val="003423C2"/>
    <w:rsid w:val="00343032"/>
    <w:rsid w:val="00343200"/>
    <w:rsid w:val="00343364"/>
    <w:rsid w:val="00343AE4"/>
    <w:rsid w:val="00343CB7"/>
    <w:rsid w:val="00343ECA"/>
    <w:rsid w:val="00344119"/>
    <w:rsid w:val="003452B6"/>
    <w:rsid w:val="00345C55"/>
    <w:rsid w:val="003465DE"/>
    <w:rsid w:val="0034667D"/>
    <w:rsid w:val="00346DCC"/>
    <w:rsid w:val="00346EEC"/>
    <w:rsid w:val="00347212"/>
    <w:rsid w:val="003479CF"/>
    <w:rsid w:val="00347DF9"/>
    <w:rsid w:val="00347FB6"/>
    <w:rsid w:val="003504D6"/>
    <w:rsid w:val="003504F9"/>
    <w:rsid w:val="003508D4"/>
    <w:rsid w:val="003510E8"/>
    <w:rsid w:val="00352350"/>
    <w:rsid w:val="0035258D"/>
    <w:rsid w:val="00352780"/>
    <w:rsid w:val="00352C48"/>
    <w:rsid w:val="00353C19"/>
    <w:rsid w:val="00353E7B"/>
    <w:rsid w:val="00353EDA"/>
    <w:rsid w:val="00354773"/>
    <w:rsid w:val="00354CBC"/>
    <w:rsid w:val="00354D95"/>
    <w:rsid w:val="003561BA"/>
    <w:rsid w:val="00356993"/>
    <w:rsid w:val="003572AC"/>
    <w:rsid w:val="003574FF"/>
    <w:rsid w:val="00357595"/>
    <w:rsid w:val="003577A2"/>
    <w:rsid w:val="00357942"/>
    <w:rsid w:val="003579D8"/>
    <w:rsid w:val="00357D26"/>
    <w:rsid w:val="0036084F"/>
    <w:rsid w:val="003613C6"/>
    <w:rsid w:val="003628BF"/>
    <w:rsid w:val="003629EB"/>
    <w:rsid w:val="00362AC7"/>
    <w:rsid w:val="0036377B"/>
    <w:rsid w:val="003642A2"/>
    <w:rsid w:val="00364400"/>
    <w:rsid w:val="003645B0"/>
    <w:rsid w:val="003647B5"/>
    <w:rsid w:val="00364A07"/>
    <w:rsid w:val="00364CBF"/>
    <w:rsid w:val="0036543A"/>
    <w:rsid w:val="00365B24"/>
    <w:rsid w:val="00365D91"/>
    <w:rsid w:val="00366987"/>
    <w:rsid w:val="00366B48"/>
    <w:rsid w:val="00366CFD"/>
    <w:rsid w:val="00367033"/>
    <w:rsid w:val="0036762F"/>
    <w:rsid w:val="00370139"/>
    <w:rsid w:val="00370202"/>
    <w:rsid w:val="003707EB"/>
    <w:rsid w:val="00371E81"/>
    <w:rsid w:val="00373B70"/>
    <w:rsid w:val="00373EC2"/>
    <w:rsid w:val="003742C0"/>
    <w:rsid w:val="00374411"/>
    <w:rsid w:val="003747DA"/>
    <w:rsid w:val="00374F09"/>
    <w:rsid w:val="00375383"/>
    <w:rsid w:val="003755B3"/>
    <w:rsid w:val="00375605"/>
    <w:rsid w:val="00375656"/>
    <w:rsid w:val="003769DF"/>
    <w:rsid w:val="00377ED2"/>
    <w:rsid w:val="00381025"/>
    <w:rsid w:val="003810CC"/>
    <w:rsid w:val="00381289"/>
    <w:rsid w:val="00381626"/>
    <w:rsid w:val="003821EB"/>
    <w:rsid w:val="00382732"/>
    <w:rsid w:val="00382769"/>
    <w:rsid w:val="00382E39"/>
    <w:rsid w:val="00383986"/>
    <w:rsid w:val="00383988"/>
    <w:rsid w:val="003839BD"/>
    <w:rsid w:val="00383E21"/>
    <w:rsid w:val="00383F20"/>
    <w:rsid w:val="00384BB4"/>
    <w:rsid w:val="00384DE3"/>
    <w:rsid w:val="00384E1E"/>
    <w:rsid w:val="00385151"/>
    <w:rsid w:val="00385907"/>
    <w:rsid w:val="00385D14"/>
    <w:rsid w:val="00386CD7"/>
    <w:rsid w:val="003874F8"/>
    <w:rsid w:val="00387558"/>
    <w:rsid w:val="00387AAD"/>
    <w:rsid w:val="00387FA6"/>
    <w:rsid w:val="0039025C"/>
    <w:rsid w:val="0039167D"/>
    <w:rsid w:val="0039187A"/>
    <w:rsid w:val="00392020"/>
    <w:rsid w:val="00392BA7"/>
    <w:rsid w:val="0039342E"/>
    <w:rsid w:val="00393AA3"/>
    <w:rsid w:val="00393ADE"/>
    <w:rsid w:val="00393F54"/>
    <w:rsid w:val="003945A0"/>
    <w:rsid w:val="0039484C"/>
    <w:rsid w:val="0039577B"/>
    <w:rsid w:val="00397493"/>
    <w:rsid w:val="00397A8D"/>
    <w:rsid w:val="00397D18"/>
    <w:rsid w:val="003A00C4"/>
    <w:rsid w:val="003A0520"/>
    <w:rsid w:val="003A0CEC"/>
    <w:rsid w:val="003A0DF4"/>
    <w:rsid w:val="003A10A4"/>
    <w:rsid w:val="003A133F"/>
    <w:rsid w:val="003A18D7"/>
    <w:rsid w:val="003A195A"/>
    <w:rsid w:val="003A2CE0"/>
    <w:rsid w:val="003A30AE"/>
    <w:rsid w:val="003A3356"/>
    <w:rsid w:val="003A474B"/>
    <w:rsid w:val="003A47C3"/>
    <w:rsid w:val="003A516E"/>
    <w:rsid w:val="003A5B66"/>
    <w:rsid w:val="003A5D84"/>
    <w:rsid w:val="003A5FB1"/>
    <w:rsid w:val="003A62CD"/>
    <w:rsid w:val="003A65BD"/>
    <w:rsid w:val="003A6980"/>
    <w:rsid w:val="003A6BB8"/>
    <w:rsid w:val="003A6D97"/>
    <w:rsid w:val="003A776A"/>
    <w:rsid w:val="003A7D1A"/>
    <w:rsid w:val="003B08EB"/>
    <w:rsid w:val="003B0CC7"/>
    <w:rsid w:val="003B0F15"/>
    <w:rsid w:val="003B1302"/>
    <w:rsid w:val="003B1E41"/>
    <w:rsid w:val="003B26CA"/>
    <w:rsid w:val="003B28C5"/>
    <w:rsid w:val="003B3477"/>
    <w:rsid w:val="003B3F20"/>
    <w:rsid w:val="003B4254"/>
    <w:rsid w:val="003B451B"/>
    <w:rsid w:val="003B472E"/>
    <w:rsid w:val="003B47AF"/>
    <w:rsid w:val="003B4C74"/>
    <w:rsid w:val="003B516F"/>
    <w:rsid w:val="003B5D92"/>
    <w:rsid w:val="003B6FA5"/>
    <w:rsid w:val="003B7061"/>
    <w:rsid w:val="003B73A0"/>
    <w:rsid w:val="003C019A"/>
    <w:rsid w:val="003C0292"/>
    <w:rsid w:val="003C0645"/>
    <w:rsid w:val="003C1452"/>
    <w:rsid w:val="003C1717"/>
    <w:rsid w:val="003C1B47"/>
    <w:rsid w:val="003C1D8B"/>
    <w:rsid w:val="003C1F8F"/>
    <w:rsid w:val="003C26C5"/>
    <w:rsid w:val="003C2F6F"/>
    <w:rsid w:val="003C3A15"/>
    <w:rsid w:val="003C3B19"/>
    <w:rsid w:val="003C43D3"/>
    <w:rsid w:val="003C47A7"/>
    <w:rsid w:val="003C4893"/>
    <w:rsid w:val="003C53E3"/>
    <w:rsid w:val="003C57B2"/>
    <w:rsid w:val="003C5D48"/>
    <w:rsid w:val="003C68E1"/>
    <w:rsid w:val="003C68E7"/>
    <w:rsid w:val="003C6987"/>
    <w:rsid w:val="003C734F"/>
    <w:rsid w:val="003C7444"/>
    <w:rsid w:val="003C7470"/>
    <w:rsid w:val="003C74DE"/>
    <w:rsid w:val="003C757E"/>
    <w:rsid w:val="003D004C"/>
    <w:rsid w:val="003D046B"/>
    <w:rsid w:val="003D0824"/>
    <w:rsid w:val="003D0A07"/>
    <w:rsid w:val="003D0A2F"/>
    <w:rsid w:val="003D0E6E"/>
    <w:rsid w:val="003D137F"/>
    <w:rsid w:val="003D1553"/>
    <w:rsid w:val="003D1E20"/>
    <w:rsid w:val="003D28B1"/>
    <w:rsid w:val="003D2EB3"/>
    <w:rsid w:val="003D3044"/>
    <w:rsid w:val="003D3214"/>
    <w:rsid w:val="003D357F"/>
    <w:rsid w:val="003D375F"/>
    <w:rsid w:val="003D3D4F"/>
    <w:rsid w:val="003D4224"/>
    <w:rsid w:val="003D4400"/>
    <w:rsid w:val="003D4B1F"/>
    <w:rsid w:val="003D4CCE"/>
    <w:rsid w:val="003D6662"/>
    <w:rsid w:val="003D6A02"/>
    <w:rsid w:val="003E02A4"/>
    <w:rsid w:val="003E0879"/>
    <w:rsid w:val="003E08C6"/>
    <w:rsid w:val="003E0D32"/>
    <w:rsid w:val="003E0F0A"/>
    <w:rsid w:val="003E0FC0"/>
    <w:rsid w:val="003E12C2"/>
    <w:rsid w:val="003E2283"/>
    <w:rsid w:val="003E2576"/>
    <w:rsid w:val="003E3116"/>
    <w:rsid w:val="003E3D78"/>
    <w:rsid w:val="003E3E5D"/>
    <w:rsid w:val="003E4408"/>
    <w:rsid w:val="003E4A87"/>
    <w:rsid w:val="003E4F75"/>
    <w:rsid w:val="003E5087"/>
    <w:rsid w:val="003E6B35"/>
    <w:rsid w:val="003E70FE"/>
    <w:rsid w:val="003E7999"/>
    <w:rsid w:val="003E7C85"/>
    <w:rsid w:val="003F001D"/>
    <w:rsid w:val="003F02B1"/>
    <w:rsid w:val="003F0312"/>
    <w:rsid w:val="003F03EC"/>
    <w:rsid w:val="003F0877"/>
    <w:rsid w:val="003F0DD0"/>
    <w:rsid w:val="003F228A"/>
    <w:rsid w:val="003F25F6"/>
    <w:rsid w:val="003F2A04"/>
    <w:rsid w:val="003F33CC"/>
    <w:rsid w:val="003F47FE"/>
    <w:rsid w:val="003F4B0E"/>
    <w:rsid w:val="003F5306"/>
    <w:rsid w:val="003F55A7"/>
    <w:rsid w:val="003F5BA5"/>
    <w:rsid w:val="003F62B3"/>
    <w:rsid w:val="003F634A"/>
    <w:rsid w:val="003F6475"/>
    <w:rsid w:val="003F69C9"/>
    <w:rsid w:val="003F7688"/>
    <w:rsid w:val="003F7748"/>
    <w:rsid w:val="003F7FA0"/>
    <w:rsid w:val="00400290"/>
    <w:rsid w:val="00400AF9"/>
    <w:rsid w:val="0040132E"/>
    <w:rsid w:val="00403004"/>
    <w:rsid w:val="0040332F"/>
    <w:rsid w:val="00403982"/>
    <w:rsid w:val="0040456A"/>
    <w:rsid w:val="00404B73"/>
    <w:rsid w:val="0040503C"/>
    <w:rsid w:val="00405630"/>
    <w:rsid w:val="00406E81"/>
    <w:rsid w:val="004079C8"/>
    <w:rsid w:val="00407EB3"/>
    <w:rsid w:val="00410C9A"/>
    <w:rsid w:val="00411832"/>
    <w:rsid w:val="00411A81"/>
    <w:rsid w:val="00411A8D"/>
    <w:rsid w:val="004120D5"/>
    <w:rsid w:val="00412C78"/>
    <w:rsid w:val="00413394"/>
    <w:rsid w:val="0041353F"/>
    <w:rsid w:val="004143B6"/>
    <w:rsid w:val="0041458C"/>
    <w:rsid w:val="00416C39"/>
    <w:rsid w:val="00416F8E"/>
    <w:rsid w:val="0041771B"/>
    <w:rsid w:val="00417DDB"/>
    <w:rsid w:val="00420155"/>
    <w:rsid w:val="00420A20"/>
    <w:rsid w:val="0042107D"/>
    <w:rsid w:val="00421303"/>
    <w:rsid w:val="00421847"/>
    <w:rsid w:val="00421E8E"/>
    <w:rsid w:val="00422FDC"/>
    <w:rsid w:val="0042315F"/>
    <w:rsid w:val="004231F7"/>
    <w:rsid w:val="00423238"/>
    <w:rsid w:val="0042360A"/>
    <w:rsid w:val="004236F3"/>
    <w:rsid w:val="00423B1F"/>
    <w:rsid w:val="004242FF"/>
    <w:rsid w:val="0042456D"/>
    <w:rsid w:val="004248CB"/>
    <w:rsid w:val="00424F0F"/>
    <w:rsid w:val="004251B8"/>
    <w:rsid w:val="0042527F"/>
    <w:rsid w:val="004259A2"/>
    <w:rsid w:val="004259BA"/>
    <w:rsid w:val="00425D02"/>
    <w:rsid w:val="00425ECC"/>
    <w:rsid w:val="00425F97"/>
    <w:rsid w:val="004263C2"/>
    <w:rsid w:val="004266AD"/>
    <w:rsid w:val="00426AA9"/>
    <w:rsid w:val="00426C9E"/>
    <w:rsid w:val="0042729C"/>
    <w:rsid w:val="004274DC"/>
    <w:rsid w:val="00427CB2"/>
    <w:rsid w:val="00430145"/>
    <w:rsid w:val="004301E8"/>
    <w:rsid w:val="004304B3"/>
    <w:rsid w:val="004308C3"/>
    <w:rsid w:val="00430971"/>
    <w:rsid w:val="00430E46"/>
    <w:rsid w:val="004314AB"/>
    <w:rsid w:val="00431568"/>
    <w:rsid w:val="004327D4"/>
    <w:rsid w:val="00433481"/>
    <w:rsid w:val="0043383C"/>
    <w:rsid w:val="00433C64"/>
    <w:rsid w:val="00434634"/>
    <w:rsid w:val="00434D77"/>
    <w:rsid w:val="004351A3"/>
    <w:rsid w:val="0043554B"/>
    <w:rsid w:val="00435CE5"/>
    <w:rsid w:val="00435E71"/>
    <w:rsid w:val="00436867"/>
    <w:rsid w:val="00436CD8"/>
    <w:rsid w:val="00436D5E"/>
    <w:rsid w:val="004371F7"/>
    <w:rsid w:val="00437AAF"/>
    <w:rsid w:val="00437EFA"/>
    <w:rsid w:val="00440776"/>
    <w:rsid w:val="0044089F"/>
    <w:rsid w:val="00441E44"/>
    <w:rsid w:val="0044201C"/>
    <w:rsid w:val="00442B0C"/>
    <w:rsid w:val="00443A11"/>
    <w:rsid w:val="004440F2"/>
    <w:rsid w:val="004449F0"/>
    <w:rsid w:val="0044516C"/>
    <w:rsid w:val="00445993"/>
    <w:rsid w:val="00445CCA"/>
    <w:rsid w:val="00446A21"/>
    <w:rsid w:val="00446D49"/>
    <w:rsid w:val="0044701E"/>
    <w:rsid w:val="004471DC"/>
    <w:rsid w:val="00447B93"/>
    <w:rsid w:val="00450386"/>
    <w:rsid w:val="00450B74"/>
    <w:rsid w:val="00452F5F"/>
    <w:rsid w:val="00452F9C"/>
    <w:rsid w:val="00453051"/>
    <w:rsid w:val="00453804"/>
    <w:rsid w:val="00453AF3"/>
    <w:rsid w:val="00453E86"/>
    <w:rsid w:val="004543CB"/>
    <w:rsid w:val="0045480C"/>
    <w:rsid w:val="00455008"/>
    <w:rsid w:val="00455056"/>
    <w:rsid w:val="004550D2"/>
    <w:rsid w:val="0045536E"/>
    <w:rsid w:val="00455493"/>
    <w:rsid w:val="00455C50"/>
    <w:rsid w:val="004565CF"/>
    <w:rsid w:val="00456C4F"/>
    <w:rsid w:val="00456DC2"/>
    <w:rsid w:val="00456EEC"/>
    <w:rsid w:val="00456F0A"/>
    <w:rsid w:val="004577F5"/>
    <w:rsid w:val="00460BF6"/>
    <w:rsid w:val="00460C34"/>
    <w:rsid w:val="00461099"/>
    <w:rsid w:val="00461236"/>
    <w:rsid w:val="004619DC"/>
    <w:rsid w:val="00461B12"/>
    <w:rsid w:val="00461DBB"/>
    <w:rsid w:val="00461EDA"/>
    <w:rsid w:val="00462187"/>
    <w:rsid w:val="0046236D"/>
    <w:rsid w:val="00462E90"/>
    <w:rsid w:val="004631DB"/>
    <w:rsid w:val="00463844"/>
    <w:rsid w:val="00464119"/>
    <w:rsid w:val="004641A0"/>
    <w:rsid w:val="00464926"/>
    <w:rsid w:val="004649C1"/>
    <w:rsid w:val="00464C3C"/>
    <w:rsid w:val="00464D11"/>
    <w:rsid w:val="00464FB8"/>
    <w:rsid w:val="00465068"/>
    <w:rsid w:val="0046546E"/>
    <w:rsid w:val="00465E01"/>
    <w:rsid w:val="004661BF"/>
    <w:rsid w:val="004663B3"/>
    <w:rsid w:val="004674C5"/>
    <w:rsid w:val="0046764D"/>
    <w:rsid w:val="004705E8"/>
    <w:rsid w:val="00470784"/>
    <w:rsid w:val="00470F98"/>
    <w:rsid w:val="0047178C"/>
    <w:rsid w:val="00471C58"/>
    <w:rsid w:val="00471DE5"/>
    <w:rsid w:val="00472EC1"/>
    <w:rsid w:val="00473031"/>
    <w:rsid w:val="004734EE"/>
    <w:rsid w:val="004741A5"/>
    <w:rsid w:val="004741F1"/>
    <w:rsid w:val="004746D9"/>
    <w:rsid w:val="00474C6C"/>
    <w:rsid w:val="0047510F"/>
    <w:rsid w:val="0047512C"/>
    <w:rsid w:val="004753A7"/>
    <w:rsid w:val="00475E06"/>
    <w:rsid w:val="004763EB"/>
    <w:rsid w:val="00476545"/>
    <w:rsid w:val="004765DC"/>
    <w:rsid w:val="00477422"/>
    <w:rsid w:val="004774C5"/>
    <w:rsid w:val="00477BD4"/>
    <w:rsid w:val="00480715"/>
    <w:rsid w:val="0048075A"/>
    <w:rsid w:val="00480A33"/>
    <w:rsid w:val="004814F5"/>
    <w:rsid w:val="004817F2"/>
    <w:rsid w:val="00481BC7"/>
    <w:rsid w:val="00482606"/>
    <w:rsid w:val="00482743"/>
    <w:rsid w:val="00482EC4"/>
    <w:rsid w:val="0048364D"/>
    <w:rsid w:val="004838A1"/>
    <w:rsid w:val="00483BE8"/>
    <w:rsid w:val="0048408C"/>
    <w:rsid w:val="004842D6"/>
    <w:rsid w:val="0048491D"/>
    <w:rsid w:val="004854E5"/>
    <w:rsid w:val="00485512"/>
    <w:rsid w:val="00485D32"/>
    <w:rsid w:val="004863BC"/>
    <w:rsid w:val="00486EE0"/>
    <w:rsid w:val="00487F2A"/>
    <w:rsid w:val="0049176E"/>
    <w:rsid w:val="00491CA8"/>
    <w:rsid w:val="00491F74"/>
    <w:rsid w:val="0049206D"/>
    <w:rsid w:val="00492FD2"/>
    <w:rsid w:val="00493867"/>
    <w:rsid w:val="0049397E"/>
    <w:rsid w:val="00494004"/>
    <w:rsid w:val="004942EF"/>
    <w:rsid w:val="00494683"/>
    <w:rsid w:val="00494D5B"/>
    <w:rsid w:val="004951A9"/>
    <w:rsid w:val="00495898"/>
    <w:rsid w:val="0049598C"/>
    <w:rsid w:val="00495E37"/>
    <w:rsid w:val="004965AF"/>
    <w:rsid w:val="00496EA2"/>
    <w:rsid w:val="004970A8"/>
    <w:rsid w:val="0049770D"/>
    <w:rsid w:val="004A04F1"/>
    <w:rsid w:val="004A05D0"/>
    <w:rsid w:val="004A13E1"/>
    <w:rsid w:val="004A143E"/>
    <w:rsid w:val="004A1447"/>
    <w:rsid w:val="004A152A"/>
    <w:rsid w:val="004A1A41"/>
    <w:rsid w:val="004A1BD6"/>
    <w:rsid w:val="004A1D50"/>
    <w:rsid w:val="004A324B"/>
    <w:rsid w:val="004A33B6"/>
    <w:rsid w:val="004A344D"/>
    <w:rsid w:val="004A35DB"/>
    <w:rsid w:val="004A3652"/>
    <w:rsid w:val="004A3CB5"/>
    <w:rsid w:val="004A4D5A"/>
    <w:rsid w:val="004A519B"/>
    <w:rsid w:val="004A5655"/>
    <w:rsid w:val="004A581D"/>
    <w:rsid w:val="004A58FA"/>
    <w:rsid w:val="004A599F"/>
    <w:rsid w:val="004A5A40"/>
    <w:rsid w:val="004A5D4B"/>
    <w:rsid w:val="004A63E4"/>
    <w:rsid w:val="004A6CA1"/>
    <w:rsid w:val="004A7040"/>
    <w:rsid w:val="004A761D"/>
    <w:rsid w:val="004A7965"/>
    <w:rsid w:val="004B04B7"/>
    <w:rsid w:val="004B07BB"/>
    <w:rsid w:val="004B0A88"/>
    <w:rsid w:val="004B104C"/>
    <w:rsid w:val="004B30B0"/>
    <w:rsid w:val="004B3962"/>
    <w:rsid w:val="004B3C34"/>
    <w:rsid w:val="004B3C56"/>
    <w:rsid w:val="004B429C"/>
    <w:rsid w:val="004B43F2"/>
    <w:rsid w:val="004B4515"/>
    <w:rsid w:val="004B4941"/>
    <w:rsid w:val="004B593C"/>
    <w:rsid w:val="004B5BF1"/>
    <w:rsid w:val="004B5FE7"/>
    <w:rsid w:val="004B6BE9"/>
    <w:rsid w:val="004B6EB4"/>
    <w:rsid w:val="004B730D"/>
    <w:rsid w:val="004B7C02"/>
    <w:rsid w:val="004B7C61"/>
    <w:rsid w:val="004B7E57"/>
    <w:rsid w:val="004C0474"/>
    <w:rsid w:val="004C0CA1"/>
    <w:rsid w:val="004C1BC5"/>
    <w:rsid w:val="004C1EC5"/>
    <w:rsid w:val="004C2E4A"/>
    <w:rsid w:val="004C3B7C"/>
    <w:rsid w:val="004C3CA9"/>
    <w:rsid w:val="004C481B"/>
    <w:rsid w:val="004C4926"/>
    <w:rsid w:val="004C4C8F"/>
    <w:rsid w:val="004C4DB9"/>
    <w:rsid w:val="004C5142"/>
    <w:rsid w:val="004C529C"/>
    <w:rsid w:val="004C5873"/>
    <w:rsid w:val="004C5986"/>
    <w:rsid w:val="004C6154"/>
    <w:rsid w:val="004C6677"/>
    <w:rsid w:val="004C6EE9"/>
    <w:rsid w:val="004C757A"/>
    <w:rsid w:val="004C75E5"/>
    <w:rsid w:val="004C779B"/>
    <w:rsid w:val="004C7BB8"/>
    <w:rsid w:val="004C7C78"/>
    <w:rsid w:val="004D05D7"/>
    <w:rsid w:val="004D0E2C"/>
    <w:rsid w:val="004D18C7"/>
    <w:rsid w:val="004D1A7A"/>
    <w:rsid w:val="004D1F89"/>
    <w:rsid w:val="004D2319"/>
    <w:rsid w:val="004D231C"/>
    <w:rsid w:val="004D285A"/>
    <w:rsid w:val="004D2ED8"/>
    <w:rsid w:val="004D3293"/>
    <w:rsid w:val="004D39A2"/>
    <w:rsid w:val="004D4511"/>
    <w:rsid w:val="004D4A05"/>
    <w:rsid w:val="004D4BBA"/>
    <w:rsid w:val="004D5219"/>
    <w:rsid w:val="004D5A09"/>
    <w:rsid w:val="004D5B43"/>
    <w:rsid w:val="004D5DEC"/>
    <w:rsid w:val="004D6013"/>
    <w:rsid w:val="004D6661"/>
    <w:rsid w:val="004D675E"/>
    <w:rsid w:val="004D6A5E"/>
    <w:rsid w:val="004D6D77"/>
    <w:rsid w:val="004D75A7"/>
    <w:rsid w:val="004D7627"/>
    <w:rsid w:val="004D7FF8"/>
    <w:rsid w:val="004E000B"/>
    <w:rsid w:val="004E0B85"/>
    <w:rsid w:val="004E0F70"/>
    <w:rsid w:val="004E217B"/>
    <w:rsid w:val="004E2604"/>
    <w:rsid w:val="004E2BC1"/>
    <w:rsid w:val="004E2F05"/>
    <w:rsid w:val="004E303E"/>
    <w:rsid w:val="004E38A7"/>
    <w:rsid w:val="004E3C24"/>
    <w:rsid w:val="004E3D4D"/>
    <w:rsid w:val="004E40C5"/>
    <w:rsid w:val="004E561D"/>
    <w:rsid w:val="004E5B7B"/>
    <w:rsid w:val="004E7538"/>
    <w:rsid w:val="004E7672"/>
    <w:rsid w:val="004E7A5E"/>
    <w:rsid w:val="004F07FC"/>
    <w:rsid w:val="004F0819"/>
    <w:rsid w:val="004F09BB"/>
    <w:rsid w:val="004F09D9"/>
    <w:rsid w:val="004F0D17"/>
    <w:rsid w:val="004F1E8C"/>
    <w:rsid w:val="004F26C6"/>
    <w:rsid w:val="004F3D76"/>
    <w:rsid w:val="004F3EDD"/>
    <w:rsid w:val="004F425A"/>
    <w:rsid w:val="004F48AD"/>
    <w:rsid w:val="004F4E98"/>
    <w:rsid w:val="004F5AAE"/>
    <w:rsid w:val="004F5CA0"/>
    <w:rsid w:val="004F6F30"/>
    <w:rsid w:val="004F76C8"/>
    <w:rsid w:val="004F774A"/>
    <w:rsid w:val="0050018B"/>
    <w:rsid w:val="005003C6"/>
    <w:rsid w:val="00500A72"/>
    <w:rsid w:val="00500C42"/>
    <w:rsid w:val="0050168B"/>
    <w:rsid w:val="00501A10"/>
    <w:rsid w:val="00503E8E"/>
    <w:rsid w:val="0050485E"/>
    <w:rsid w:val="005053C8"/>
    <w:rsid w:val="00505417"/>
    <w:rsid w:val="00505ECF"/>
    <w:rsid w:val="0050614C"/>
    <w:rsid w:val="00506AF1"/>
    <w:rsid w:val="00506B58"/>
    <w:rsid w:val="00506C7B"/>
    <w:rsid w:val="00507414"/>
    <w:rsid w:val="00510C66"/>
    <w:rsid w:val="0051259A"/>
    <w:rsid w:val="005127E2"/>
    <w:rsid w:val="00513151"/>
    <w:rsid w:val="0051318C"/>
    <w:rsid w:val="00513210"/>
    <w:rsid w:val="00513337"/>
    <w:rsid w:val="00513A7A"/>
    <w:rsid w:val="00513F7F"/>
    <w:rsid w:val="00513FA5"/>
    <w:rsid w:val="00515C5E"/>
    <w:rsid w:val="00515FBA"/>
    <w:rsid w:val="0051648B"/>
    <w:rsid w:val="005174A8"/>
    <w:rsid w:val="00517C9F"/>
    <w:rsid w:val="005213EF"/>
    <w:rsid w:val="00521B37"/>
    <w:rsid w:val="00521CF6"/>
    <w:rsid w:val="00521D15"/>
    <w:rsid w:val="00521F0A"/>
    <w:rsid w:val="00522B2F"/>
    <w:rsid w:val="00522D1C"/>
    <w:rsid w:val="005242F5"/>
    <w:rsid w:val="005244F4"/>
    <w:rsid w:val="00524A8D"/>
    <w:rsid w:val="00524ED9"/>
    <w:rsid w:val="005258DC"/>
    <w:rsid w:val="00525FF3"/>
    <w:rsid w:val="00526EC4"/>
    <w:rsid w:val="0052719B"/>
    <w:rsid w:val="00527D22"/>
    <w:rsid w:val="00527F86"/>
    <w:rsid w:val="00530C7B"/>
    <w:rsid w:val="00531013"/>
    <w:rsid w:val="005312B5"/>
    <w:rsid w:val="00531A00"/>
    <w:rsid w:val="00531B77"/>
    <w:rsid w:val="005321D8"/>
    <w:rsid w:val="0053234A"/>
    <w:rsid w:val="00532962"/>
    <w:rsid w:val="00533009"/>
    <w:rsid w:val="005330B3"/>
    <w:rsid w:val="00533877"/>
    <w:rsid w:val="00533E82"/>
    <w:rsid w:val="0053438B"/>
    <w:rsid w:val="00534EDD"/>
    <w:rsid w:val="005352FA"/>
    <w:rsid w:val="00535C23"/>
    <w:rsid w:val="00535DA1"/>
    <w:rsid w:val="005364FF"/>
    <w:rsid w:val="005365F8"/>
    <w:rsid w:val="00536771"/>
    <w:rsid w:val="00537B4B"/>
    <w:rsid w:val="00537CD9"/>
    <w:rsid w:val="00540897"/>
    <w:rsid w:val="005408DC"/>
    <w:rsid w:val="00540EE5"/>
    <w:rsid w:val="00542421"/>
    <w:rsid w:val="0054280C"/>
    <w:rsid w:val="00542D39"/>
    <w:rsid w:val="0054362B"/>
    <w:rsid w:val="00543A1F"/>
    <w:rsid w:val="00543F8C"/>
    <w:rsid w:val="00544C56"/>
    <w:rsid w:val="00544E0E"/>
    <w:rsid w:val="00545A85"/>
    <w:rsid w:val="00546541"/>
    <w:rsid w:val="005467FC"/>
    <w:rsid w:val="00546976"/>
    <w:rsid w:val="005469A8"/>
    <w:rsid w:val="00546B34"/>
    <w:rsid w:val="00546D56"/>
    <w:rsid w:val="005470ED"/>
    <w:rsid w:val="00547155"/>
    <w:rsid w:val="00547675"/>
    <w:rsid w:val="0054770F"/>
    <w:rsid w:val="005479EE"/>
    <w:rsid w:val="00550834"/>
    <w:rsid w:val="00550B77"/>
    <w:rsid w:val="00551377"/>
    <w:rsid w:val="0055149E"/>
    <w:rsid w:val="00551505"/>
    <w:rsid w:val="00551FBD"/>
    <w:rsid w:val="00553DD3"/>
    <w:rsid w:val="00553FA2"/>
    <w:rsid w:val="00555409"/>
    <w:rsid w:val="005561EC"/>
    <w:rsid w:val="00556A44"/>
    <w:rsid w:val="00556BB3"/>
    <w:rsid w:val="00556C7A"/>
    <w:rsid w:val="00557398"/>
    <w:rsid w:val="00557C83"/>
    <w:rsid w:val="005600A0"/>
    <w:rsid w:val="0056020D"/>
    <w:rsid w:val="0056050E"/>
    <w:rsid w:val="00560DD6"/>
    <w:rsid w:val="00560EBF"/>
    <w:rsid w:val="00560F53"/>
    <w:rsid w:val="00560F6D"/>
    <w:rsid w:val="00562148"/>
    <w:rsid w:val="0056247F"/>
    <w:rsid w:val="00562544"/>
    <w:rsid w:val="0056277D"/>
    <w:rsid w:val="005631CE"/>
    <w:rsid w:val="005631E0"/>
    <w:rsid w:val="00563654"/>
    <w:rsid w:val="00564439"/>
    <w:rsid w:val="00564723"/>
    <w:rsid w:val="00564854"/>
    <w:rsid w:val="005648B9"/>
    <w:rsid w:val="00564AB1"/>
    <w:rsid w:val="00564CB5"/>
    <w:rsid w:val="00564D6E"/>
    <w:rsid w:val="005650FF"/>
    <w:rsid w:val="0056516B"/>
    <w:rsid w:val="00565B29"/>
    <w:rsid w:val="00565EB5"/>
    <w:rsid w:val="005661BF"/>
    <w:rsid w:val="00566797"/>
    <w:rsid w:val="005667A0"/>
    <w:rsid w:val="0056682F"/>
    <w:rsid w:val="00566B2D"/>
    <w:rsid w:val="005671AB"/>
    <w:rsid w:val="00567243"/>
    <w:rsid w:val="0056767C"/>
    <w:rsid w:val="00567BCA"/>
    <w:rsid w:val="0057101B"/>
    <w:rsid w:val="00571141"/>
    <w:rsid w:val="0057198A"/>
    <w:rsid w:val="00571DC0"/>
    <w:rsid w:val="0057228C"/>
    <w:rsid w:val="005724A6"/>
    <w:rsid w:val="005724C2"/>
    <w:rsid w:val="0057293C"/>
    <w:rsid w:val="005729AA"/>
    <w:rsid w:val="0057304B"/>
    <w:rsid w:val="00573114"/>
    <w:rsid w:val="00573127"/>
    <w:rsid w:val="00573147"/>
    <w:rsid w:val="00573A70"/>
    <w:rsid w:val="00574BC4"/>
    <w:rsid w:val="005752FD"/>
    <w:rsid w:val="00575645"/>
    <w:rsid w:val="00575ABA"/>
    <w:rsid w:val="00576695"/>
    <w:rsid w:val="005778A0"/>
    <w:rsid w:val="005808CE"/>
    <w:rsid w:val="00581AB8"/>
    <w:rsid w:val="00581FA6"/>
    <w:rsid w:val="0058201D"/>
    <w:rsid w:val="00582700"/>
    <w:rsid w:val="0058274F"/>
    <w:rsid w:val="00582985"/>
    <w:rsid w:val="00583690"/>
    <w:rsid w:val="0058370E"/>
    <w:rsid w:val="005838B9"/>
    <w:rsid w:val="00583EF8"/>
    <w:rsid w:val="00584CFA"/>
    <w:rsid w:val="00584F7A"/>
    <w:rsid w:val="005850ED"/>
    <w:rsid w:val="0058527E"/>
    <w:rsid w:val="0058579F"/>
    <w:rsid w:val="00585C7D"/>
    <w:rsid w:val="00585F99"/>
    <w:rsid w:val="00586647"/>
    <w:rsid w:val="00586868"/>
    <w:rsid w:val="005868C8"/>
    <w:rsid w:val="00586EFA"/>
    <w:rsid w:val="00587771"/>
    <w:rsid w:val="00587B18"/>
    <w:rsid w:val="00587E09"/>
    <w:rsid w:val="00590252"/>
    <w:rsid w:val="00590930"/>
    <w:rsid w:val="00590F28"/>
    <w:rsid w:val="005916AD"/>
    <w:rsid w:val="005918B5"/>
    <w:rsid w:val="005925BB"/>
    <w:rsid w:val="00593251"/>
    <w:rsid w:val="00593CA3"/>
    <w:rsid w:val="005945BC"/>
    <w:rsid w:val="005947DF"/>
    <w:rsid w:val="00594DE5"/>
    <w:rsid w:val="00595725"/>
    <w:rsid w:val="00595973"/>
    <w:rsid w:val="00595A8A"/>
    <w:rsid w:val="00595C35"/>
    <w:rsid w:val="00596750"/>
    <w:rsid w:val="005967F9"/>
    <w:rsid w:val="005969F3"/>
    <w:rsid w:val="00597D45"/>
    <w:rsid w:val="00597DB6"/>
    <w:rsid w:val="00597E2E"/>
    <w:rsid w:val="00597E46"/>
    <w:rsid w:val="00597E8C"/>
    <w:rsid w:val="005A0E7E"/>
    <w:rsid w:val="005A1756"/>
    <w:rsid w:val="005A1949"/>
    <w:rsid w:val="005A3046"/>
    <w:rsid w:val="005A3BF1"/>
    <w:rsid w:val="005A40EB"/>
    <w:rsid w:val="005A6795"/>
    <w:rsid w:val="005A67D5"/>
    <w:rsid w:val="005A6904"/>
    <w:rsid w:val="005A6925"/>
    <w:rsid w:val="005A6B14"/>
    <w:rsid w:val="005A7318"/>
    <w:rsid w:val="005A73D2"/>
    <w:rsid w:val="005A788C"/>
    <w:rsid w:val="005B01AE"/>
    <w:rsid w:val="005B046B"/>
    <w:rsid w:val="005B1AC9"/>
    <w:rsid w:val="005B39C0"/>
    <w:rsid w:val="005B4557"/>
    <w:rsid w:val="005B4768"/>
    <w:rsid w:val="005B4DF5"/>
    <w:rsid w:val="005B51FF"/>
    <w:rsid w:val="005B5E82"/>
    <w:rsid w:val="005B610B"/>
    <w:rsid w:val="005B64A3"/>
    <w:rsid w:val="005B67AB"/>
    <w:rsid w:val="005B6ACD"/>
    <w:rsid w:val="005B6B9D"/>
    <w:rsid w:val="005B71ED"/>
    <w:rsid w:val="005B7397"/>
    <w:rsid w:val="005B7C21"/>
    <w:rsid w:val="005B7EE7"/>
    <w:rsid w:val="005C045A"/>
    <w:rsid w:val="005C0636"/>
    <w:rsid w:val="005C08E7"/>
    <w:rsid w:val="005C0CD2"/>
    <w:rsid w:val="005C0F97"/>
    <w:rsid w:val="005C1979"/>
    <w:rsid w:val="005C220B"/>
    <w:rsid w:val="005C22C9"/>
    <w:rsid w:val="005C2D5C"/>
    <w:rsid w:val="005C2F2C"/>
    <w:rsid w:val="005C3138"/>
    <w:rsid w:val="005C32D6"/>
    <w:rsid w:val="005C3510"/>
    <w:rsid w:val="005C3D2F"/>
    <w:rsid w:val="005C4078"/>
    <w:rsid w:val="005C4CAF"/>
    <w:rsid w:val="005C4EAF"/>
    <w:rsid w:val="005C4FD3"/>
    <w:rsid w:val="005C6321"/>
    <w:rsid w:val="005C6585"/>
    <w:rsid w:val="005C696F"/>
    <w:rsid w:val="005C77F3"/>
    <w:rsid w:val="005D00E4"/>
    <w:rsid w:val="005D069E"/>
    <w:rsid w:val="005D1091"/>
    <w:rsid w:val="005D13EB"/>
    <w:rsid w:val="005D1891"/>
    <w:rsid w:val="005D24F9"/>
    <w:rsid w:val="005D26CE"/>
    <w:rsid w:val="005D2E67"/>
    <w:rsid w:val="005D3292"/>
    <w:rsid w:val="005D388A"/>
    <w:rsid w:val="005D58E6"/>
    <w:rsid w:val="005D6F0D"/>
    <w:rsid w:val="005E03A8"/>
    <w:rsid w:val="005E07CA"/>
    <w:rsid w:val="005E0888"/>
    <w:rsid w:val="005E1EE2"/>
    <w:rsid w:val="005E2462"/>
    <w:rsid w:val="005E304D"/>
    <w:rsid w:val="005E38F1"/>
    <w:rsid w:val="005E45E2"/>
    <w:rsid w:val="005E52D6"/>
    <w:rsid w:val="005E5C3D"/>
    <w:rsid w:val="005E6DCC"/>
    <w:rsid w:val="005E706B"/>
    <w:rsid w:val="005E727A"/>
    <w:rsid w:val="005E75DA"/>
    <w:rsid w:val="005E7624"/>
    <w:rsid w:val="005F000F"/>
    <w:rsid w:val="005F15E8"/>
    <w:rsid w:val="005F21B7"/>
    <w:rsid w:val="005F2583"/>
    <w:rsid w:val="005F2F7B"/>
    <w:rsid w:val="005F2FF6"/>
    <w:rsid w:val="005F33F1"/>
    <w:rsid w:val="005F41A9"/>
    <w:rsid w:val="005F4D70"/>
    <w:rsid w:val="005F5244"/>
    <w:rsid w:val="005F54CE"/>
    <w:rsid w:val="005F565C"/>
    <w:rsid w:val="005F5E56"/>
    <w:rsid w:val="005F5F38"/>
    <w:rsid w:val="005F6CC0"/>
    <w:rsid w:val="005F7154"/>
    <w:rsid w:val="005F770E"/>
    <w:rsid w:val="005F7CDC"/>
    <w:rsid w:val="00600472"/>
    <w:rsid w:val="0060075F"/>
    <w:rsid w:val="00600870"/>
    <w:rsid w:val="00600921"/>
    <w:rsid w:val="00600BDC"/>
    <w:rsid w:val="0060139A"/>
    <w:rsid w:val="006015A7"/>
    <w:rsid w:val="006016BA"/>
    <w:rsid w:val="00601759"/>
    <w:rsid w:val="006018C0"/>
    <w:rsid w:val="00601B7D"/>
    <w:rsid w:val="00601EA5"/>
    <w:rsid w:val="00602164"/>
    <w:rsid w:val="006029A0"/>
    <w:rsid w:val="0060373D"/>
    <w:rsid w:val="0060425D"/>
    <w:rsid w:val="00605991"/>
    <w:rsid w:val="00605FA7"/>
    <w:rsid w:val="0060635C"/>
    <w:rsid w:val="006066D3"/>
    <w:rsid w:val="00606A53"/>
    <w:rsid w:val="00606B88"/>
    <w:rsid w:val="00607072"/>
    <w:rsid w:val="00610117"/>
    <w:rsid w:val="00610495"/>
    <w:rsid w:val="006109E4"/>
    <w:rsid w:val="006115D7"/>
    <w:rsid w:val="00613453"/>
    <w:rsid w:val="006136EE"/>
    <w:rsid w:val="006147B3"/>
    <w:rsid w:val="006159BA"/>
    <w:rsid w:val="00616244"/>
    <w:rsid w:val="006169BF"/>
    <w:rsid w:val="00616CDC"/>
    <w:rsid w:val="00616D5B"/>
    <w:rsid w:val="006174F5"/>
    <w:rsid w:val="00617A13"/>
    <w:rsid w:val="00620745"/>
    <w:rsid w:val="00620905"/>
    <w:rsid w:val="00620B02"/>
    <w:rsid w:val="0062162B"/>
    <w:rsid w:val="00621879"/>
    <w:rsid w:val="006222B4"/>
    <w:rsid w:val="006224F1"/>
    <w:rsid w:val="006228F1"/>
    <w:rsid w:val="00622A76"/>
    <w:rsid w:val="006230AC"/>
    <w:rsid w:val="0062369F"/>
    <w:rsid w:val="00623948"/>
    <w:rsid w:val="00623BD7"/>
    <w:rsid w:val="006240A2"/>
    <w:rsid w:val="0062419E"/>
    <w:rsid w:val="00624383"/>
    <w:rsid w:val="006245BA"/>
    <w:rsid w:val="006248B6"/>
    <w:rsid w:val="00624FA9"/>
    <w:rsid w:val="00625457"/>
    <w:rsid w:val="00625547"/>
    <w:rsid w:val="006255AF"/>
    <w:rsid w:val="00625A65"/>
    <w:rsid w:val="0062675E"/>
    <w:rsid w:val="006267A0"/>
    <w:rsid w:val="006269D9"/>
    <w:rsid w:val="0062781C"/>
    <w:rsid w:val="00627CCF"/>
    <w:rsid w:val="00627D56"/>
    <w:rsid w:val="00630408"/>
    <w:rsid w:val="006306F8"/>
    <w:rsid w:val="00631665"/>
    <w:rsid w:val="006321F6"/>
    <w:rsid w:val="00633323"/>
    <w:rsid w:val="00633659"/>
    <w:rsid w:val="006337D6"/>
    <w:rsid w:val="00633A94"/>
    <w:rsid w:val="0063406F"/>
    <w:rsid w:val="006357BE"/>
    <w:rsid w:val="0063715E"/>
    <w:rsid w:val="0063719A"/>
    <w:rsid w:val="00637918"/>
    <w:rsid w:val="00637C8C"/>
    <w:rsid w:val="00637D57"/>
    <w:rsid w:val="00640017"/>
    <w:rsid w:val="0064012C"/>
    <w:rsid w:val="0064087F"/>
    <w:rsid w:val="0064094E"/>
    <w:rsid w:val="00641EAB"/>
    <w:rsid w:val="00641F7E"/>
    <w:rsid w:val="00642593"/>
    <w:rsid w:val="00642BF5"/>
    <w:rsid w:val="00642EF7"/>
    <w:rsid w:val="006439B9"/>
    <w:rsid w:val="00643B89"/>
    <w:rsid w:val="00644A51"/>
    <w:rsid w:val="00644E74"/>
    <w:rsid w:val="00644F44"/>
    <w:rsid w:val="00645094"/>
    <w:rsid w:val="00645E26"/>
    <w:rsid w:val="00647038"/>
    <w:rsid w:val="00650615"/>
    <w:rsid w:val="006515F8"/>
    <w:rsid w:val="00651B9A"/>
    <w:rsid w:val="00651F4C"/>
    <w:rsid w:val="00651F98"/>
    <w:rsid w:val="006535A8"/>
    <w:rsid w:val="00653B71"/>
    <w:rsid w:val="006546C9"/>
    <w:rsid w:val="006549B6"/>
    <w:rsid w:val="00654D1D"/>
    <w:rsid w:val="00656352"/>
    <w:rsid w:val="006563FB"/>
    <w:rsid w:val="0065744C"/>
    <w:rsid w:val="0065790F"/>
    <w:rsid w:val="006607DA"/>
    <w:rsid w:val="0066124A"/>
    <w:rsid w:val="00661421"/>
    <w:rsid w:val="00661910"/>
    <w:rsid w:val="0066192B"/>
    <w:rsid w:val="00662066"/>
    <w:rsid w:val="006621A2"/>
    <w:rsid w:val="00662407"/>
    <w:rsid w:val="00663136"/>
    <w:rsid w:val="00663BB5"/>
    <w:rsid w:val="00664432"/>
    <w:rsid w:val="0066463C"/>
    <w:rsid w:val="006647DF"/>
    <w:rsid w:val="006648F2"/>
    <w:rsid w:val="00664DEF"/>
    <w:rsid w:val="006650A2"/>
    <w:rsid w:val="006651BB"/>
    <w:rsid w:val="006657BA"/>
    <w:rsid w:val="006663C2"/>
    <w:rsid w:val="00666727"/>
    <w:rsid w:val="0066677C"/>
    <w:rsid w:val="006668F2"/>
    <w:rsid w:val="00666D86"/>
    <w:rsid w:val="00666F1B"/>
    <w:rsid w:val="006670DD"/>
    <w:rsid w:val="006675E2"/>
    <w:rsid w:val="0066777F"/>
    <w:rsid w:val="006677FF"/>
    <w:rsid w:val="00667C62"/>
    <w:rsid w:val="006701B1"/>
    <w:rsid w:val="00670409"/>
    <w:rsid w:val="00670584"/>
    <w:rsid w:val="0067097E"/>
    <w:rsid w:val="00670A26"/>
    <w:rsid w:val="00670CFF"/>
    <w:rsid w:val="0067128A"/>
    <w:rsid w:val="00671934"/>
    <w:rsid w:val="00671A0C"/>
    <w:rsid w:val="00671CA1"/>
    <w:rsid w:val="00671DAB"/>
    <w:rsid w:val="00672181"/>
    <w:rsid w:val="006728F7"/>
    <w:rsid w:val="006729D6"/>
    <w:rsid w:val="00672D0A"/>
    <w:rsid w:val="00673394"/>
    <w:rsid w:val="00673724"/>
    <w:rsid w:val="00673AB1"/>
    <w:rsid w:val="006740A0"/>
    <w:rsid w:val="0067446F"/>
    <w:rsid w:val="0067455A"/>
    <w:rsid w:val="00674908"/>
    <w:rsid w:val="00674B3C"/>
    <w:rsid w:val="00674B6D"/>
    <w:rsid w:val="0067609C"/>
    <w:rsid w:val="00676150"/>
    <w:rsid w:val="0067683F"/>
    <w:rsid w:val="00676A0F"/>
    <w:rsid w:val="00677679"/>
    <w:rsid w:val="00677704"/>
    <w:rsid w:val="00677F73"/>
    <w:rsid w:val="00680D1B"/>
    <w:rsid w:val="006826C8"/>
    <w:rsid w:val="00683A7A"/>
    <w:rsid w:val="006842E2"/>
    <w:rsid w:val="006844BA"/>
    <w:rsid w:val="00684731"/>
    <w:rsid w:val="00684A3B"/>
    <w:rsid w:val="006851AD"/>
    <w:rsid w:val="00685902"/>
    <w:rsid w:val="00686718"/>
    <w:rsid w:val="00686D31"/>
    <w:rsid w:val="00686F2B"/>
    <w:rsid w:val="0068761D"/>
    <w:rsid w:val="00687804"/>
    <w:rsid w:val="00690426"/>
    <w:rsid w:val="006904A0"/>
    <w:rsid w:val="00690CD3"/>
    <w:rsid w:val="0069152C"/>
    <w:rsid w:val="00691CE7"/>
    <w:rsid w:val="006928BC"/>
    <w:rsid w:val="00692906"/>
    <w:rsid w:val="006929C0"/>
    <w:rsid w:val="00692ABC"/>
    <w:rsid w:val="006936E1"/>
    <w:rsid w:val="00693E24"/>
    <w:rsid w:val="00694BD1"/>
    <w:rsid w:val="00694C73"/>
    <w:rsid w:val="00694E0D"/>
    <w:rsid w:val="006953C2"/>
    <w:rsid w:val="0069579E"/>
    <w:rsid w:val="00696147"/>
    <w:rsid w:val="006977EF"/>
    <w:rsid w:val="006978F6"/>
    <w:rsid w:val="00697E83"/>
    <w:rsid w:val="00697F96"/>
    <w:rsid w:val="006A0542"/>
    <w:rsid w:val="006A072E"/>
    <w:rsid w:val="006A08FD"/>
    <w:rsid w:val="006A097D"/>
    <w:rsid w:val="006A0D8B"/>
    <w:rsid w:val="006A1732"/>
    <w:rsid w:val="006A2811"/>
    <w:rsid w:val="006A2CE8"/>
    <w:rsid w:val="006A2F2B"/>
    <w:rsid w:val="006A33D2"/>
    <w:rsid w:val="006A3B45"/>
    <w:rsid w:val="006A3BEF"/>
    <w:rsid w:val="006A3E88"/>
    <w:rsid w:val="006A450A"/>
    <w:rsid w:val="006A451D"/>
    <w:rsid w:val="006A493B"/>
    <w:rsid w:val="006A49E6"/>
    <w:rsid w:val="006A519F"/>
    <w:rsid w:val="006A53A0"/>
    <w:rsid w:val="006A5FCA"/>
    <w:rsid w:val="006A619B"/>
    <w:rsid w:val="006A7A27"/>
    <w:rsid w:val="006A7B35"/>
    <w:rsid w:val="006B0205"/>
    <w:rsid w:val="006B043F"/>
    <w:rsid w:val="006B045D"/>
    <w:rsid w:val="006B0683"/>
    <w:rsid w:val="006B0738"/>
    <w:rsid w:val="006B1344"/>
    <w:rsid w:val="006B1BAD"/>
    <w:rsid w:val="006B2770"/>
    <w:rsid w:val="006B284B"/>
    <w:rsid w:val="006B2C07"/>
    <w:rsid w:val="006B2F70"/>
    <w:rsid w:val="006B3356"/>
    <w:rsid w:val="006B370E"/>
    <w:rsid w:val="006B3785"/>
    <w:rsid w:val="006B3821"/>
    <w:rsid w:val="006B3951"/>
    <w:rsid w:val="006B39B4"/>
    <w:rsid w:val="006B3A05"/>
    <w:rsid w:val="006B4137"/>
    <w:rsid w:val="006B4589"/>
    <w:rsid w:val="006B48A2"/>
    <w:rsid w:val="006B4CA2"/>
    <w:rsid w:val="006B4FE1"/>
    <w:rsid w:val="006B5F64"/>
    <w:rsid w:val="006B7036"/>
    <w:rsid w:val="006C09AE"/>
    <w:rsid w:val="006C1268"/>
    <w:rsid w:val="006C1598"/>
    <w:rsid w:val="006C1F98"/>
    <w:rsid w:val="006C2447"/>
    <w:rsid w:val="006C24BD"/>
    <w:rsid w:val="006C2B94"/>
    <w:rsid w:val="006C2C4C"/>
    <w:rsid w:val="006C2FC1"/>
    <w:rsid w:val="006C40F3"/>
    <w:rsid w:val="006C4688"/>
    <w:rsid w:val="006C4D42"/>
    <w:rsid w:val="006C52F6"/>
    <w:rsid w:val="006C5B76"/>
    <w:rsid w:val="006C5FAB"/>
    <w:rsid w:val="006C652E"/>
    <w:rsid w:val="006C6871"/>
    <w:rsid w:val="006C6F63"/>
    <w:rsid w:val="006C7021"/>
    <w:rsid w:val="006C76A3"/>
    <w:rsid w:val="006C7E40"/>
    <w:rsid w:val="006C7EC8"/>
    <w:rsid w:val="006C7F96"/>
    <w:rsid w:val="006C7FEF"/>
    <w:rsid w:val="006D0175"/>
    <w:rsid w:val="006D0503"/>
    <w:rsid w:val="006D0C6E"/>
    <w:rsid w:val="006D0F1C"/>
    <w:rsid w:val="006D1E48"/>
    <w:rsid w:val="006D2708"/>
    <w:rsid w:val="006D271F"/>
    <w:rsid w:val="006D2759"/>
    <w:rsid w:val="006D28D3"/>
    <w:rsid w:val="006D3065"/>
    <w:rsid w:val="006D3351"/>
    <w:rsid w:val="006D37BA"/>
    <w:rsid w:val="006D4A7E"/>
    <w:rsid w:val="006D4F0C"/>
    <w:rsid w:val="006D528A"/>
    <w:rsid w:val="006D53F1"/>
    <w:rsid w:val="006D542F"/>
    <w:rsid w:val="006D596B"/>
    <w:rsid w:val="006D5C05"/>
    <w:rsid w:val="006D5EBC"/>
    <w:rsid w:val="006D6A0E"/>
    <w:rsid w:val="006D6CD7"/>
    <w:rsid w:val="006D6DB2"/>
    <w:rsid w:val="006D745E"/>
    <w:rsid w:val="006E09AE"/>
    <w:rsid w:val="006E1255"/>
    <w:rsid w:val="006E1785"/>
    <w:rsid w:val="006E2003"/>
    <w:rsid w:val="006E23CB"/>
    <w:rsid w:val="006E319E"/>
    <w:rsid w:val="006E32F9"/>
    <w:rsid w:val="006E33A7"/>
    <w:rsid w:val="006E3452"/>
    <w:rsid w:val="006E388A"/>
    <w:rsid w:val="006E3AD5"/>
    <w:rsid w:val="006E3E31"/>
    <w:rsid w:val="006E4CF0"/>
    <w:rsid w:val="006E5351"/>
    <w:rsid w:val="006E536A"/>
    <w:rsid w:val="006E5AAA"/>
    <w:rsid w:val="006E5DB6"/>
    <w:rsid w:val="006E641D"/>
    <w:rsid w:val="006E6CAC"/>
    <w:rsid w:val="006E6DF7"/>
    <w:rsid w:val="006E7606"/>
    <w:rsid w:val="006E7930"/>
    <w:rsid w:val="006F1015"/>
    <w:rsid w:val="006F10F6"/>
    <w:rsid w:val="006F20E7"/>
    <w:rsid w:val="006F22C5"/>
    <w:rsid w:val="006F3510"/>
    <w:rsid w:val="006F35A9"/>
    <w:rsid w:val="006F428B"/>
    <w:rsid w:val="006F4AAA"/>
    <w:rsid w:val="006F4CA2"/>
    <w:rsid w:val="006F5606"/>
    <w:rsid w:val="006F5723"/>
    <w:rsid w:val="006F5932"/>
    <w:rsid w:val="006F634C"/>
    <w:rsid w:val="006F641F"/>
    <w:rsid w:val="006F675F"/>
    <w:rsid w:val="006F7233"/>
    <w:rsid w:val="006F7350"/>
    <w:rsid w:val="006F74ED"/>
    <w:rsid w:val="006F783C"/>
    <w:rsid w:val="00700804"/>
    <w:rsid w:val="007015FA"/>
    <w:rsid w:val="007016E1"/>
    <w:rsid w:val="00701ABD"/>
    <w:rsid w:val="00701DE6"/>
    <w:rsid w:val="00702372"/>
    <w:rsid w:val="00702B89"/>
    <w:rsid w:val="00702D4E"/>
    <w:rsid w:val="007044AC"/>
    <w:rsid w:val="0070466D"/>
    <w:rsid w:val="007046D8"/>
    <w:rsid w:val="00704B35"/>
    <w:rsid w:val="00705119"/>
    <w:rsid w:val="00705732"/>
    <w:rsid w:val="007057A4"/>
    <w:rsid w:val="00706883"/>
    <w:rsid w:val="0070773A"/>
    <w:rsid w:val="00707845"/>
    <w:rsid w:val="00707E76"/>
    <w:rsid w:val="00710489"/>
    <w:rsid w:val="007104DA"/>
    <w:rsid w:val="007115ED"/>
    <w:rsid w:val="00711D4C"/>
    <w:rsid w:val="0071348F"/>
    <w:rsid w:val="007134B6"/>
    <w:rsid w:val="00713F38"/>
    <w:rsid w:val="007147F1"/>
    <w:rsid w:val="007156CD"/>
    <w:rsid w:val="00715BFA"/>
    <w:rsid w:val="007168ED"/>
    <w:rsid w:val="00717292"/>
    <w:rsid w:val="00717688"/>
    <w:rsid w:val="00717737"/>
    <w:rsid w:val="007179F6"/>
    <w:rsid w:val="0072033E"/>
    <w:rsid w:val="007207E5"/>
    <w:rsid w:val="00721037"/>
    <w:rsid w:val="007212C0"/>
    <w:rsid w:val="007213DF"/>
    <w:rsid w:val="00721933"/>
    <w:rsid w:val="00721D3F"/>
    <w:rsid w:val="00722EC1"/>
    <w:rsid w:val="00723339"/>
    <w:rsid w:val="007243D2"/>
    <w:rsid w:val="00724957"/>
    <w:rsid w:val="00724A07"/>
    <w:rsid w:val="00724CC2"/>
    <w:rsid w:val="00724F0E"/>
    <w:rsid w:val="007252B4"/>
    <w:rsid w:val="00725324"/>
    <w:rsid w:val="0072670D"/>
    <w:rsid w:val="00726AD2"/>
    <w:rsid w:val="007270ED"/>
    <w:rsid w:val="007271B0"/>
    <w:rsid w:val="0072776A"/>
    <w:rsid w:val="00727792"/>
    <w:rsid w:val="00727D70"/>
    <w:rsid w:val="007308CA"/>
    <w:rsid w:val="00730BE7"/>
    <w:rsid w:val="0073119E"/>
    <w:rsid w:val="00731239"/>
    <w:rsid w:val="0073191A"/>
    <w:rsid w:val="007319AD"/>
    <w:rsid w:val="007328F3"/>
    <w:rsid w:val="00732FDD"/>
    <w:rsid w:val="007335AE"/>
    <w:rsid w:val="007335B5"/>
    <w:rsid w:val="007341C4"/>
    <w:rsid w:val="00734391"/>
    <w:rsid w:val="00735F74"/>
    <w:rsid w:val="00736B59"/>
    <w:rsid w:val="00737332"/>
    <w:rsid w:val="00740522"/>
    <w:rsid w:val="00740B02"/>
    <w:rsid w:val="00740DFC"/>
    <w:rsid w:val="00740F33"/>
    <w:rsid w:val="007414EE"/>
    <w:rsid w:val="007416A7"/>
    <w:rsid w:val="00741B5F"/>
    <w:rsid w:val="007420FE"/>
    <w:rsid w:val="0074211D"/>
    <w:rsid w:val="00742454"/>
    <w:rsid w:val="007424D3"/>
    <w:rsid w:val="0074271F"/>
    <w:rsid w:val="00742C27"/>
    <w:rsid w:val="00742F9C"/>
    <w:rsid w:val="00743FE1"/>
    <w:rsid w:val="007447A9"/>
    <w:rsid w:val="00744AC3"/>
    <w:rsid w:val="00744E70"/>
    <w:rsid w:val="00745028"/>
    <w:rsid w:val="00745311"/>
    <w:rsid w:val="007457E5"/>
    <w:rsid w:val="00745D03"/>
    <w:rsid w:val="007464B9"/>
    <w:rsid w:val="007477F8"/>
    <w:rsid w:val="00747BAB"/>
    <w:rsid w:val="00747D47"/>
    <w:rsid w:val="00747D84"/>
    <w:rsid w:val="0075011F"/>
    <w:rsid w:val="00750C50"/>
    <w:rsid w:val="00750CDC"/>
    <w:rsid w:val="00750EFA"/>
    <w:rsid w:val="00751910"/>
    <w:rsid w:val="00752122"/>
    <w:rsid w:val="00752190"/>
    <w:rsid w:val="007521B4"/>
    <w:rsid w:val="00753273"/>
    <w:rsid w:val="0075467B"/>
    <w:rsid w:val="0075481C"/>
    <w:rsid w:val="00754C0B"/>
    <w:rsid w:val="00754D75"/>
    <w:rsid w:val="00754E74"/>
    <w:rsid w:val="00754E8D"/>
    <w:rsid w:val="00755124"/>
    <w:rsid w:val="0075586F"/>
    <w:rsid w:val="00756030"/>
    <w:rsid w:val="007561D0"/>
    <w:rsid w:val="00756D89"/>
    <w:rsid w:val="00757915"/>
    <w:rsid w:val="007579DD"/>
    <w:rsid w:val="00757CC1"/>
    <w:rsid w:val="00757F8F"/>
    <w:rsid w:val="007607D7"/>
    <w:rsid w:val="0076086E"/>
    <w:rsid w:val="00760894"/>
    <w:rsid w:val="00760928"/>
    <w:rsid w:val="0076096E"/>
    <w:rsid w:val="007609EA"/>
    <w:rsid w:val="00760B0D"/>
    <w:rsid w:val="00761057"/>
    <w:rsid w:val="00763A82"/>
    <w:rsid w:val="007645D6"/>
    <w:rsid w:val="0076469B"/>
    <w:rsid w:val="00764F68"/>
    <w:rsid w:val="0076500F"/>
    <w:rsid w:val="00765485"/>
    <w:rsid w:val="00765759"/>
    <w:rsid w:val="007659CE"/>
    <w:rsid w:val="00765C2C"/>
    <w:rsid w:val="007669D9"/>
    <w:rsid w:val="00766A48"/>
    <w:rsid w:val="00767F2D"/>
    <w:rsid w:val="00770311"/>
    <w:rsid w:val="00770514"/>
    <w:rsid w:val="00771071"/>
    <w:rsid w:val="007716A4"/>
    <w:rsid w:val="00771E00"/>
    <w:rsid w:val="0077233A"/>
    <w:rsid w:val="00772FCB"/>
    <w:rsid w:val="00773CE4"/>
    <w:rsid w:val="0077431F"/>
    <w:rsid w:val="00774B81"/>
    <w:rsid w:val="00775521"/>
    <w:rsid w:val="007756A1"/>
    <w:rsid w:val="00776563"/>
    <w:rsid w:val="00776B85"/>
    <w:rsid w:val="007803D5"/>
    <w:rsid w:val="007805FC"/>
    <w:rsid w:val="007808D4"/>
    <w:rsid w:val="00781846"/>
    <w:rsid w:val="007818B4"/>
    <w:rsid w:val="00781AF2"/>
    <w:rsid w:val="00782A77"/>
    <w:rsid w:val="007834FC"/>
    <w:rsid w:val="0078418B"/>
    <w:rsid w:val="00784450"/>
    <w:rsid w:val="00784D5E"/>
    <w:rsid w:val="00785B35"/>
    <w:rsid w:val="00785D52"/>
    <w:rsid w:val="00786737"/>
    <w:rsid w:val="007868FC"/>
    <w:rsid w:val="00786CB7"/>
    <w:rsid w:val="00787AF8"/>
    <w:rsid w:val="00787D6A"/>
    <w:rsid w:val="007905EC"/>
    <w:rsid w:val="00790701"/>
    <w:rsid w:val="00790868"/>
    <w:rsid w:val="00790B49"/>
    <w:rsid w:val="00791374"/>
    <w:rsid w:val="0079158B"/>
    <w:rsid w:val="00791850"/>
    <w:rsid w:val="00792F61"/>
    <w:rsid w:val="00792F65"/>
    <w:rsid w:val="007936B1"/>
    <w:rsid w:val="007942A5"/>
    <w:rsid w:val="007947A5"/>
    <w:rsid w:val="007948CD"/>
    <w:rsid w:val="00795799"/>
    <w:rsid w:val="00795CB9"/>
    <w:rsid w:val="00796300"/>
    <w:rsid w:val="007963DD"/>
    <w:rsid w:val="007967B9"/>
    <w:rsid w:val="0079690C"/>
    <w:rsid w:val="00796CF7"/>
    <w:rsid w:val="00797021"/>
    <w:rsid w:val="00797AF4"/>
    <w:rsid w:val="00797E1A"/>
    <w:rsid w:val="007A0735"/>
    <w:rsid w:val="007A1CBD"/>
    <w:rsid w:val="007A2990"/>
    <w:rsid w:val="007A2D42"/>
    <w:rsid w:val="007A3010"/>
    <w:rsid w:val="007A4211"/>
    <w:rsid w:val="007A4484"/>
    <w:rsid w:val="007A45F1"/>
    <w:rsid w:val="007A53AF"/>
    <w:rsid w:val="007A56B8"/>
    <w:rsid w:val="007A5B28"/>
    <w:rsid w:val="007A5BC6"/>
    <w:rsid w:val="007A5EEA"/>
    <w:rsid w:val="007A6561"/>
    <w:rsid w:val="007A6DE5"/>
    <w:rsid w:val="007A6E8E"/>
    <w:rsid w:val="007A7809"/>
    <w:rsid w:val="007B023E"/>
    <w:rsid w:val="007B041D"/>
    <w:rsid w:val="007B0436"/>
    <w:rsid w:val="007B09DC"/>
    <w:rsid w:val="007B0FCA"/>
    <w:rsid w:val="007B10B5"/>
    <w:rsid w:val="007B185E"/>
    <w:rsid w:val="007B1ADA"/>
    <w:rsid w:val="007B2000"/>
    <w:rsid w:val="007B213D"/>
    <w:rsid w:val="007B302C"/>
    <w:rsid w:val="007B312E"/>
    <w:rsid w:val="007B4265"/>
    <w:rsid w:val="007B46F3"/>
    <w:rsid w:val="007B56E8"/>
    <w:rsid w:val="007B677D"/>
    <w:rsid w:val="007B6C42"/>
    <w:rsid w:val="007B711C"/>
    <w:rsid w:val="007B7788"/>
    <w:rsid w:val="007C0809"/>
    <w:rsid w:val="007C0836"/>
    <w:rsid w:val="007C1122"/>
    <w:rsid w:val="007C138B"/>
    <w:rsid w:val="007C248D"/>
    <w:rsid w:val="007C2805"/>
    <w:rsid w:val="007C2894"/>
    <w:rsid w:val="007C3261"/>
    <w:rsid w:val="007C3629"/>
    <w:rsid w:val="007C3933"/>
    <w:rsid w:val="007C3D58"/>
    <w:rsid w:val="007C531A"/>
    <w:rsid w:val="007C5781"/>
    <w:rsid w:val="007C67AF"/>
    <w:rsid w:val="007C67DA"/>
    <w:rsid w:val="007C69A7"/>
    <w:rsid w:val="007C717F"/>
    <w:rsid w:val="007C71EB"/>
    <w:rsid w:val="007C7E6E"/>
    <w:rsid w:val="007D0222"/>
    <w:rsid w:val="007D07FD"/>
    <w:rsid w:val="007D1921"/>
    <w:rsid w:val="007D23A8"/>
    <w:rsid w:val="007D2A9C"/>
    <w:rsid w:val="007D3048"/>
    <w:rsid w:val="007D35FA"/>
    <w:rsid w:val="007D4CD9"/>
    <w:rsid w:val="007D5895"/>
    <w:rsid w:val="007D6F38"/>
    <w:rsid w:val="007D774D"/>
    <w:rsid w:val="007D7865"/>
    <w:rsid w:val="007D7C9D"/>
    <w:rsid w:val="007D7CF3"/>
    <w:rsid w:val="007E0C99"/>
    <w:rsid w:val="007E0D2F"/>
    <w:rsid w:val="007E1359"/>
    <w:rsid w:val="007E14B8"/>
    <w:rsid w:val="007E1756"/>
    <w:rsid w:val="007E2093"/>
    <w:rsid w:val="007E3412"/>
    <w:rsid w:val="007E38EE"/>
    <w:rsid w:val="007E3AAC"/>
    <w:rsid w:val="007E4E50"/>
    <w:rsid w:val="007E552B"/>
    <w:rsid w:val="007E5E93"/>
    <w:rsid w:val="007E687A"/>
    <w:rsid w:val="007E6A09"/>
    <w:rsid w:val="007E6D88"/>
    <w:rsid w:val="007E71D1"/>
    <w:rsid w:val="007F0201"/>
    <w:rsid w:val="007F07C9"/>
    <w:rsid w:val="007F0A34"/>
    <w:rsid w:val="007F10A2"/>
    <w:rsid w:val="007F12D5"/>
    <w:rsid w:val="007F16C6"/>
    <w:rsid w:val="007F1AD0"/>
    <w:rsid w:val="007F24D2"/>
    <w:rsid w:val="007F25D7"/>
    <w:rsid w:val="007F2C38"/>
    <w:rsid w:val="007F4138"/>
    <w:rsid w:val="007F547A"/>
    <w:rsid w:val="007F5F64"/>
    <w:rsid w:val="007F65D6"/>
    <w:rsid w:val="007F6754"/>
    <w:rsid w:val="007F6BDA"/>
    <w:rsid w:val="007F7558"/>
    <w:rsid w:val="007F7979"/>
    <w:rsid w:val="007F7DE2"/>
    <w:rsid w:val="007F7EE3"/>
    <w:rsid w:val="0080083E"/>
    <w:rsid w:val="008008CB"/>
    <w:rsid w:val="00800D20"/>
    <w:rsid w:val="00801E83"/>
    <w:rsid w:val="00802056"/>
    <w:rsid w:val="00802784"/>
    <w:rsid w:val="00803199"/>
    <w:rsid w:val="00803667"/>
    <w:rsid w:val="0080395A"/>
    <w:rsid w:val="008039A6"/>
    <w:rsid w:val="008040DD"/>
    <w:rsid w:val="00805330"/>
    <w:rsid w:val="00805714"/>
    <w:rsid w:val="008062B2"/>
    <w:rsid w:val="0080666D"/>
    <w:rsid w:val="0080687F"/>
    <w:rsid w:val="008069CF"/>
    <w:rsid w:val="008079D8"/>
    <w:rsid w:val="00807ACD"/>
    <w:rsid w:val="00807EBC"/>
    <w:rsid w:val="008111AD"/>
    <w:rsid w:val="00811B9E"/>
    <w:rsid w:val="00811F5E"/>
    <w:rsid w:val="008123FA"/>
    <w:rsid w:val="00812747"/>
    <w:rsid w:val="00812CA7"/>
    <w:rsid w:val="00812E96"/>
    <w:rsid w:val="008138DD"/>
    <w:rsid w:val="00814DE4"/>
    <w:rsid w:val="00815452"/>
    <w:rsid w:val="00815531"/>
    <w:rsid w:val="00815B76"/>
    <w:rsid w:val="00816EFD"/>
    <w:rsid w:val="0081794F"/>
    <w:rsid w:val="00817986"/>
    <w:rsid w:val="00817A23"/>
    <w:rsid w:val="00817A39"/>
    <w:rsid w:val="00817BAE"/>
    <w:rsid w:val="008205B3"/>
    <w:rsid w:val="00820FA1"/>
    <w:rsid w:val="0082182C"/>
    <w:rsid w:val="008218CE"/>
    <w:rsid w:val="008223CC"/>
    <w:rsid w:val="008225B4"/>
    <w:rsid w:val="00822FD6"/>
    <w:rsid w:val="00823233"/>
    <w:rsid w:val="00823830"/>
    <w:rsid w:val="00823EDF"/>
    <w:rsid w:val="008247BB"/>
    <w:rsid w:val="008250DA"/>
    <w:rsid w:val="008250F2"/>
    <w:rsid w:val="0082513F"/>
    <w:rsid w:val="00825B7C"/>
    <w:rsid w:val="00825C0D"/>
    <w:rsid w:val="00825E63"/>
    <w:rsid w:val="0082647E"/>
    <w:rsid w:val="008264FA"/>
    <w:rsid w:val="008266A5"/>
    <w:rsid w:val="008266F3"/>
    <w:rsid w:val="008269CD"/>
    <w:rsid w:val="00826DA0"/>
    <w:rsid w:val="008272A0"/>
    <w:rsid w:val="00827E38"/>
    <w:rsid w:val="00827E63"/>
    <w:rsid w:val="008301CE"/>
    <w:rsid w:val="008306D6"/>
    <w:rsid w:val="00830A9C"/>
    <w:rsid w:val="00830ABC"/>
    <w:rsid w:val="00831557"/>
    <w:rsid w:val="0083174F"/>
    <w:rsid w:val="00831AD6"/>
    <w:rsid w:val="00832D6F"/>
    <w:rsid w:val="00832DEE"/>
    <w:rsid w:val="0083585D"/>
    <w:rsid w:val="00835B33"/>
    <w:rsid w:val="00835F22"/>
    <w:rsid w:val="0083680E"/>
    <w:rsid w:val="00836984"/>
    <w:rsid w:val="00836F47"/>
    <w:rsid w:val="00837063"/>
    <w:rsid w:val="00837909"/>
    <w:rsid w:val="00837A0D"/>
    <w:rsid w:val="0084042F"/>
    <w:rsid w:val="00841061"/>
    <w:rsid w:val="00841800"/>
    <w:rsid w:val="0084194D"/>
    <w:rsid w:val="00841BB7"/>
    <w:rsid w:val="0084289F"/>
    <w:rsid w:val="00842E70"/>
    <w:rsid w:val="00843687"/>
    <w:rsid w:val="00843761"/>
    <w:rsid w:val="00843A75"/>
    <w:rsid w:val="00844EA2"/>
    <w:rsid w:val="008450B7"/>
    <w:rsid w:val="008454E5"/>
    <w:rsid w:val="00845CB9"/>
    <w:rsid w:val="0084636E"/>
    <w:rsid w:val="008465D2"/>
    <w:rsid w:val="008471AA"/>
    <w:rsid w:val="0084723C"/>
    <w:rsid w:val="00847311"/>
    <w:rsid w:val="00847873"/>
    <w:rsid w:val="0085001B"/>
    <w:rsid w:val="00850F25"/>
    <w:rsid w:val="00850F8B"/>
    <w:rsid w:val="00851A5C"/>
    <w:rsid w:val="00852004"/>
    <w:rsid w:val="00852459"/>
    <w:rsid w:val="0085283B"/>
    <w:rsid w:val="0085321F"/>
    <w:rsid w:val="0085353B"/>
    <w:rsid w:val="008538C8"/>
    <w:rsid w:val="00853E6B"/>
    <w:rsid w:val="0085443A"/>
    <w:rsid w:val="0085450D"/>
    <w:rsid w:val="008549D6"/>
    <w:rsid w:val="00855073"/>
    <w:rsid w:val="0085534C"/>
    <w:rsid w:val="00855552"/>
    <w:rsid w:val="0085577C"/>
    <w:rsid w:val="0085608B"/>
    <w:rsid w:val="00856575"/>
    <w:rsid w:val="00856B3F"/>
    <w:rsid w:val="00856DAF"/>
    <w:rsid w:val="00857185"/>
    <w:rsid w:val="00857473"/>
    <w:rsid w:val="0085762A"/>
    <w:rsid w:val="00857A9C"/>
    <w:rsid w:val="00857D6D"/>
    <w:rsid w:val="00860394"/>
    <w:rsid w:val="008604BD"/>
    <w:rsid w:val="0086079D"/>
    <w:rsid w:val="00861072"/>
    <w:rsid w:val="00861D53"/>
    <w:rsid w:val="008626B0"/>
    <w:rsid w:val="00863173"/>
    <w:rsid w:val="008632CF"/>
    <w:rsid w:val="00864B39"/>
    <w:rsid w:val="00865898"/>
    <w:rsid w:val="00865D87"/>
    <w:rsid w:val="00866D4A"/>
    <w:rsid w:val="008670CA"/>
    <w:rsid w:val="008671FB"/>
    <w:rsid w:val="00867BE7"/>
    <w:rsid w:val="00867C80"/>
    <w:rsid w:val="00870EDB"/>
    <w:rsid w:val="008710C9"/>
    <w:rsid w:val="0087189E"/>
    <w:rsid w:val="00871BBA"/>
    <w:rsid w:val="00871D6E"/>
    <w:rsid w:val="0087208B"/>
    <w:rsid w:val="0087247B"/>
    <w:rsid w:val="0087259A"/>
    <w:rsid w:val="0087286C"/>
    <w:rsid w:val="008741BA"/>
    <w:rsid w:val="0087424C"/>
    <w:rsid w:val="00874D78"/>
    <w:rsid w:val="008751A1"/>
    <w:rsid w:val="00875998"/>
    <w:rsid w:val="00875C84"/>
    <w:rsid w:val="0087692C"/>
    <w:rsid w:val="00876EDA"/>
    <w:rsid w:val="00877662"/>
    <w:rsid w:val="00877931"/>
    <w:rsid w:val="00877AAC"/>
    <w:rsid w:val="00877AE3"/>
    <w:rsid w:val="008802D0"/>
    <w:rsid w:val="0088047C"/>
    <w:rsid w:val="008808DF"/>
    <w:rsid w:val="00880D73"/>
    <w:rsid w:val="00880F55"/>
    <w:rsid w:val="008812A0"/>
    <w:rsid w:val="00881CF0"/>
    <w:rsid w:val="008821EA"/>
    <w:rsid w:val="008823EC"/>
    <w:rsid w:val="008826EB"/>
    <w:rsid w:val="008827BD"/>
    <w:rsid w:val="00883809"/>
    <w:rsid w:val="0088438A"/>
    <w:rsid w:val="00884480"/>
    <w:rsid w:val="00884915"/>
    <w:rsid w:val="0088491A"/>
    <w:rsid w:val="00884F81"/>
    <w:rsid w:val="008859A5"/>
    <w:rsid w:val="008860BC"/>
    <w:rsid w:val="008868A0"/>
    <w:rsid w:val="00886B56"/>
    <w:rsid w:val="00886B5B"/>
    <w:rsid w:val="00887353"/>
    <w:rsid w:val="0088778B"/>
    <w:rsid w:val="00887E1B"/>
    <w:rsid w:val="008901D8"/>
    <w:rsid w:val="00890211"/>
    <w:rsid w:val="008903E5"/>
    <w:rsid w:val="00890A99"/>
    <w:rsid w:val="00890B94"/>
    <w:rsid w:val="00890EAE"/>
    <w:rsid w:val="008911F3"/>
    <w:rsid w:val="00891BF5"/>
    <w:rsid w:val="00892678"/>
    <w:rsid w:val="00892B3B"/>
    <w:rsid w:val="00892D75"/>
    <w:rsid w:val="00892E55"/>
    <w:rsid w:val="00892EBC"/>
    <w:rsid w:val="00892F4F"/>
    <w:rsid w:val="00892F90"/>
    <w:rsid w:val="0089323D"/>
    <w:rsid w:val="00893437"/>
    <w:rsid w:val="008936D2"/>
    <w:rsid w:val="008939C1"/>
    <w:rsid w:val="00893C34"/>
    <w:rsid w:val="008945BB"/>
    <w:rsid w:val="00895135"/>
    <w:rsid w:val="008955ED"/>
    <w:rsid w:val="0089570E"/>
    <w:rsid w:val="008958C4"/>
    <w:rsid w:val="00895F18"/>
    <w:rsid w:val="00896AB8"/>
    <w:rsid w:val="00897A42"/>
    <w:rsid w:val="00897B69"/>
    <w:rsid w:val="00897BC9"/>
    <w:rsid w:val="008A0458"/>
    <w:rsid w:val="008A07AB"/>
    <w:rsid w:val="008A10FD"/>
    <w:rsid w:val="008A143A"/>
    <w:rsid w:val="008A1FDC"/>
    <w:rsid w:val="008A2372"/>
    <w:rsid w:val="008A238D"/>
    <w:rsid w:val="008A313E"/>
    <w:rsid w:val="008A323E"/>
    <w:rsid w:val="008A3FC8"/>
    <w:rsid w:val="008A3FFD"/>
    <w:rsid w:val="008A4A01"/>
    <w:rsid w:val="008A4AB4"/>
    <w:rsid w:val="008A4B14"/>
    <w:rsid w:val="008A4B46"/>
    <w:rsid w:val="008A5561"/>
    <w:rsid w:val="008A578E"/>
    <w:rsid w:val="008A5E01"/>
    <w:rsid w:val="008A65A0"/>
    <w:rsid w:val="008A6BDE"/>
    <w:rsid w:val="008A7131"/>
    <w:rsid w:val="008B007B"/>
    <w:rsid w:val="008B0361"/>
    <w:rsid w:val="008B03CA"/>
    <w:rsid w:val="008B0543"/>
    <w:rsid w:val="008B057A"/>
    <w:rsid w:val="008B0FEA"/>
    <w:rsid w:val="008B1696"/>
    <w:rsid w:val="008B199C"/>
    <w:rsid w:val="008B1B3C"/>
    <w:rsid w:val="008B2005"/>
    <w:rsid w:val="008B2009"/>
    <w:rsid w:val="008B2A33"/>
    <w:rsid w:val="008B323B"/>
    <w:rsid w:val="008B34E8"/>
    <w:rsid w:val="008B3500"/>
    <w:rsid w:val="008B3B1B"/>
    <w:rsid w:val="008B43DB"/>
    <w:rsid w:val="008B467B"/>
    <w:rsid w:val="008B46DC"/>
    <w:rsid w:val="008B5105"/>
    <w:rsid w:val="008B51AF"/>
    <w:rsid w:val="008B52F5"/>
    <w:rsid w:val="008B559F"/>
    <w:rsid w:val="008B5D46"/>
    <w:rsid w:val="008B5DA2"/>
    <w:rsid w:val="008B617F"/>
    <w:rsid w:val="008B61C6"/>
    <w:rsid w:val="008B63BC"/>
    <w:rsid w:val="008B65D7"/>
    <w:rsid w:val="008B69D6"/>
    <w:rsid w:val="008B6A30"/>
    <w:rsid w:val="008B788C"/>
    <w:rsid w:val="008B78DF"/>
    <w:rsid w:val="008C00E1"/>
    <w:rsid w:val="008C25CE"/>
    <w:rsid w:val="008C25E3"/>
    <w:rsid w:val="008C262F"/>
    <w:rsid w:val="008C3687"/>
    <w:rsid w:val="008C4564"/>
    <w:rsid w:val="008C4A5D"/>
    <w:rsid w:val="008C4AFC"/>
    <w:rsid w:val="008C4EC2"/>
    <w:rsid w:val="008C575F"/>
    <w:rsid w:val="008C5909"/>
    <w:rsid w:val="008C5AA8"/>
    <w:rsid w:val="008C5ACE"/>
    <w:rsid w:val="008C5D80"/>
    <w:rsid w:val="008C60D9"/>
    <w:rsid w:val="008C621C"/>
    <w:rsid w:val="008C639C"/>
    <w:rsid w:val="008C64AD"/>
    <w:rsid w:val="008C6524"/>
    <w:rsid w:val="008C7179"/>
    <w:rsid w:val="008C754F"/>
    <w:rsid w:val="008D0B98"/>
    <w:rsid w:val="008D1074"/>
    <w:rsid w:val="008D1A01"/>
    <w:rsid w:val="008D22D3"/>
    <w:rsid w:val="008D28CD"/>
    <w:rsid w:val="008D301A"/>
    <w:rsid w:val="008D32D4"/>
    <w:rsid w:val="008D3446"/>
    <w:rsid w:val="008D36CD"/>
    <w:rsid w:val="008D3907"/>
    <w:rsid w:val="008D438B"/>
    <w:rsid w:val="008D43E1"/>
    <w:rsid w:val="008D4423"/>
    <w:rsid w:val="008D4F73"/>
    <w:rsid w:val="008D5415"/>
    <w:rsid w:val="008D5C94"/>
    <w:rsid w:val="008D628B"/>
    <w:rsid w:val="008D6982"/>
    <w:rsid w:val="008D698D"/>
    <w:rsid w:val="008D6B62"/>
    <w:rsid w:val="008D6F52"/>
    <w:rsid w:val="008D7E66"/>
    <w:rsid w:val="008E0449"/>
    <w:rsid w:val="008E0DB3"/>
    <w:rsid w:val="008E1A1A"/>
    <w:rsid w:val="008E2FB3"/>
    <w:rsid w:val="008E31A7"/>
    <w:rsid w:val="008E4920"/>
    <w:rsid w:val="008E4E39"/>
    <w:rsid w:val="008E4E92"/>
    <w:rsid w:val="008E505C"/>
    <w:rsid w:val="008E50B8"/>
    <w:rsid w:val="008E586A"/>
    <w:rsid w:val="008E59E9"/>
    <w:rsid w:val="008E5B94"/>
    <w:rsid w:val="008E5C12"/>
    <w:rsid w:val="008E6095"/>
    <w:rsid w:val="008E6BF3"/>
    <w:rsid w:val="008E6DBF"/>
    <w:rsid w:val="008E7016"/>
    <w:rsid w:val="008F1076"/>
    <w:rsid w:val="008F20EA"/>
    <w:rsid w:val="008F2369"/>
    <w:rsid w:val="008F253C"/>
    <w:rsid w:val="008F2C76"/>
    <w:rsid w:val="008F320C"/>
    <w:rsid w:val="008F388A"/>
    <w:rsid w:val="008F3B57"/>
    <w:rsid w:val="008F3B62"/>
    <w:rsid w:val="008F3CDC"/>
    <w:rsid w:val="008F42CD"/>
    <w:rsid w:val="008F4836"/>
    <w:rsid w:val="008F5183"/>
    <w:rsid w:val="008F5263"/>
    <w:rsid w:val="008F5A28"/>
    <w:rsid w:val="008F60AE"/>
    <w:rsid w:val="008F6E86"/>
    <w:rsid w:val="008F76DC"/>
    <w:rsid w:val="00900254"/>
    <w:rsid w:val="009004DB"/>
    <w:rsid w:val="00900941"/>
    <w:rsid w:val="00900B23"/>
    <w:rsid w:val="0090177C"/>
    <w:rsid w:val="00901791"/>
    <w:rsid w:val="00901991"/>
    <w:rsid w:val="00902045"/>
    <w:rsid w:val="0090293F"/>
    <w:rsid w:val="00902BBA"/>
    <w:rsid w:val="00902DD1"/>
    <w:rsid w:val="00903398"/>
    <w:rsid w:val="00903A5A"/>
    <w:rsid w:val="00903F05"/>
    <w:rsid w:val="00904CFB"/>
    <w:rsid w:val="00905B35"/>
    <w:rsid w:val="00905BAD"/>
    <w:rsid w:val="00905ECA"/>
    <w:rsid w:val="0090662F"/>
    <w:rsid w:val="0090790D"/>
    <w:rsid w:val="00907E91"/>
    <w:rsid w:val="009111E6"/>
    <w:rsid w:val="0091121D"/>
    <w:rsid w:val="0091189A"/>
    <w:rsid w:val="0091277F"/>
    <w:rsid w:val="00912979"/>
    <w:rsid w:val="0091315D"/>
    <w:rsid w:val="00913288"/>
    <w:rsid w:val="00913547"/>
    <w:rsid w:val="00913697"/>
    <w:rsid w:val="0091377D"/>
    <w:rsid w:val="0091420A"/>
    <w:rsid w:val="00914284"/>
    <w:rsid w:val="0091451B"/>
    <w:rsid w:val="00914522"/>
    <w:rsid w:val="009145B6"/>
    <w:rsid w:val="00914974"/>
    <w:rsid w:val="00914ED6"/>
    <w:rsid w:val="00914EFC"/>
    <w:rsid w:val="0091515C"/>
    <w:rsid w:val="009156D7"/>
    <w:rsid w:val="009160F0"/>
    <w:rsid w:val="0091684F"/>
    <w:rsid w:val="0091732F"/>
    <w:rsid w:val="00917E71"/>
    <w:rsid w:val="00920ADD"/>
    <w:rsid w:val="00921732"/>
    <w:rsid w:val="00921AEE"/>
    <w:rsid w:val="00921B8D"/>
    <w:rsid w:val="00921C44"/>
    <w:rsid w:val="00921E6D"/>
    <w:rsid w:val="009222C8"/>
    <w:rsid w:val="00922437"/>
    <w:rsid w:val="0092246A"/>
    <w:rsid w:val="009225C7"/>
    <w:rsid w:val="009229B4"/>
    <w:rsid w:val="00922AC9"/>
    <w:rsid w:val="00922FBC"/>
    <w:rsid w:val="0092327C"/>
    <w:rsid w:val="009237CC"/>
    <w:rsid w:val="00924061"/>
    <w:rsid w:val="00924101"/>
    <w:rsid w:val="00924D9E"/>
    <w:rsid w:val="00925A0A"/>
    <w:rsid w:val="00925A8D"/>
    <w:rsid w:val="00925B60"/>
    <w:rsid w:val="00925F09"/>
    <w:rsid w:val="0092635B"/>
    <w:rsid w:val="009268FE"/>
    <w:rsid w:val="00926AE6"/>
    <w:rsid w:val="00926BD4"/>
    <w:rsid w:val="00926FDB"/>
    <w:rsid w:val="009270D4"/>
    <w:rsid w:val="00927111"/>
    <w:rsid w:val="00927123"/>
    <w:rsid w:val="00927DDA"/>
    <w:rsid w:val="0093095A"/>
    <w:rsid w:val="00930D7E"/>
    <w:rsid w:val="009315D9"/>
    <w:rsid w:val="009316A1"/>
    <w:rsid w:val="0093170A"/>
    <w:rsid w:val="0093173C"/>
    <w:rsid w:val="009318D3"/>
    <w:rsid w:val="0093214B"/>
    <w:rsid w:val="009326CF"/>
    <w:rsid w:val="00932F43"/>
    <w:rsid w:val="00933156"/>
    <w:rsid w:val="009338CB"/>
    <w:rsid w:val="00933C39"/>
    <w:rsid w:val="009348D4"/>
    <w:rsid w:val="00934904"/>
    <w:rsid w:val="0093490E"/>
    <w:rsid w:val="00934972"/>
    <w:rsid w:val="009352E6"/>
    <w:rsid w:val="00936636"/>
    <w:rsid w:val="0093667F"/>
    <w:rsid w:val="00937291"/>
    <w:rsid w:val="00937BBE"/>
    <w:rsid w:val="009400D5"/>
    <w:rsid w:val="00940463"/>
    <w:rsid w:val="00940492"/>
    <w:rsid w:val="00940968"/>
    <w:rsid w:val="00940E66"/>
    <w:rsid w:val="00941AF8"/>
    <w:rsid w:val="00941CA0"/>
    <w:rsid w:val="009427B9"/>
    <w:rsid w:val="009427E0"/>
    <w:rsid w:val="009430DF"/>
    <w:rsid w:val="00943238"/>
    <w:rsid w:val="009432DE"/>
    <w:rsid w:val="009444BE"/>
    <w:rsid w:val="00944BF7"/>
    <w:rsid w:val="00944C77"/>
    <w:rsid w:val="00945A70"/>
    <w:rsid w:val="00946067"/>
    <w:rsid w:val="009461B8"/>
    <w:rsid w:val="00946AD4"/>
    <w:rsid w:val="0094752D"/>
    <w:rsid w:val="00947A4F"/>
    <w:rsid w:val="00947C63"/>
    <w:rsid w:val="00947F2A"/>
    <w:rsid w:val="0095016E"/>
    <w:rsid w:val="009501D9"/>
    <w:rsid w:val="00950235"/>
    <w:rsid w:val="009506C1"/>
    <w:rsid w:val="009520B3"/>
    <w:rsid w:val="009522B8"/>
    <w:rsid w:val="009524B5"/>
    <w:rsid w:val="0095275F"/>
    <w:rsid w:val="0095354C"/>
    <w:rsid w:val="00953EE8"/>
    <w:rsid w:val="00954129"/>
    <w:rsid w:val="009541D7"/>
    <w:rsid w:val="0095487D"/>
    <w:rsid w:val="00955411"/>
    <w:rsid w:val="00955D3F"/>
    <w:rsid w:val="00956A02"/>
    <w:rsid w:val="00956A23"/>
    <w:rsid w:val="00956D79"/>
    <w:rsid w:val="009576E7"/>
    <w:rsid w:val="00957B63"/>
    <w:rsid w:val="00957C03"/>
    <w:rsid w:val="009609C6"/>
    <w:rsid w:val="00960EA0"/>
    <w:rsid w:val="0096151C"/>
    <w:rsid w:val="0096172A"/>
    <w:rsid w:val="0096176F"/>
    <w:rsid w:val="009624D0"/>
    <w:rsid w:val="00962556"/>
    <w:rsid w:val="009625ED"/>
    <w:rsid w:val="00962B73"/>
    <w:rsid w:val="00963CAE"/>
    <w:rsid w:val="00964A5B"/>
    <w:rsid w:val="00964ABE"/>
    <w:rsid w:val="00965104"/>
    <w:rsid w:val="009652B6"/>
    <w:rsid w:val="00965B1F"/>
    <w:rsid w:val="00965BB7"/>
    <w:rsid w:val="009668F9"/>
    <w:rsid w:val="00966954"/>
    <w:rsid w:val="00966F82"/>
    <w:rsid w:val="009676F4"/>
    <w:rsid w:val="00970113"/>
    <w:rsid w:val="00970288"/>
    <w:rsid w:val="00970963"/>
    <w:rsid w:val="00970CA4"/>
    <w:rsid w:val="00970D68"/>
    <w:rsid w:val="00970F65"/>
    <w:rsid w:val="00971D39"/>
    <w:rsid w:val="009723CE"/>
    <w:rsid w:val="00972A8F"/>
    <w:rsid w:val="00972EC0"/>
    <w:rsid w:val="00972F16"/>
    <w:rsid w:val="00972F2F"/>
    <w:rsid w:val="00973449"/>
    <w:rsid w:val="009734AD"/>
    <w:rsid w:val="009736F0"/>
    <w:rsid w:val="00974549"/>
    <w:rsid w:val="00974652"/>
    <w:rsid w:val="00974EB8"/>
    <w:rsid w:val="0097545E"/>
    <w:rsid w:val="0097565B"/>
    <w:rsid w:val="009758CA"/>
    <w:rsid w:val="00975F05"/>
    <w:rsid w:val="00976660"/>
    <w:rsid w:val="00976AF8"/>
    <w:rsid w:val="00976C3B"/>
    <w:rsid w:val="0097774A"/>
    <w:rsid w:val="0098006E"/>
    <w:rsid w:val="00980D2A"/>
    <w:rsid w:val="00981B51"/>
    <w:rsid w:val="00982498"/>
    <w:rsid w:val="009826D8"/>
    <w:rsid w:val="0098281F"/>
    <w:rsid w:val="00982CD9"/>
    <w:rsid w:val="0098342D"/>
    <w:rsid w:val="00983894"/>
    <w:rsid w:val="009838FD"/>
    <w:rsid w:val="00983C2D"/>
    <w:rsid w:val="0098402F"/>
    <w:rsid w:val="00984E1A"/>
    <w:rsid w:val="00984ED8"/>
    <w:rsid w:val="00985124"/>
    <w:rsid w:val="00985B4B"/>
    <w:rsid w:val="00985E8C"/>
    <w:rsid w:val="009867CB"/>
    <w:rsid w:val="009869A2"/>
    <w:rsid w:val="00986C8E"/>
    <w:rsid w:val="00986D1B"/>
    <w:rsid w:val="0098759A"/>
    <w:rsid w:val="00990D98"/>
    <w:rsid w:val="00991957"/>
    <w:rsid w:val="009920F1"/>
    <w:rsid w:val="009922E0"/>
    <w:rsid w:val="00992794"/>
    <w:rsid w:val="0099368A"/>
    <w:rsid w:val="00993A6F"/>
    <w:rsid w:val="00993AB6"/>
    <w:rsid w:val="00993BC6"/>
    <w:rsid w:val="00993C3F"/>
    <w:rsid w:val="009947DB"/>
    <w:rsid w:val="00994B9A"/>
    <w:rsid w:val="0099508F"/>
    <w:rsid w:val="009951CD"/>
    <w:rsid w:val="0099664E"/>
    <w:rsid w:val="00996806"/>
    <w:rsid w:val="0099680E"/>
    <w:rsid w:val="00996B47"/>
    <w:rsid w:val="00996EFF"/>
    <w:rsid w:val="0099705B"/>
    <w:rsid w:val="00997BA7"/>
    <w:rsid w:val="009A02D0"/>
    <w:rsid w:val="009A0A68"/>
    <w:rsid w:val="009A0BE5"/>
    <w:rsid w:val="009A170D"/>
    <w:rsid w:val="009A2A7D"/>
    <w:rsid w:val="009A2E0A"/>
    <w:rsid w:val="009A36D3"/>
    <w:rsid w:val="009A3B7C"/>
    <w:rsid w:val="009A44FC"/>
    <w:rsid w:val="009A4717"/>
    <w:rsid w:val="009A4A18"/>
    <w:rsid w:val="009A587C"/>
    <w:rsid w:val="009A5AB2"/>
    <w:rsid w:val="009A5C56"/>
    <w:rsid w:val="009A60D2"/>
    <w:rsid w:val="009A64FD"/>
    <w:rsid w:val="009A65E0"/>
    <w:rsid w:val="009A6FE9"/>
    <w:rsid w:val="009A7BB3"/>
    <w:rsid w:val="009B0305"/>
    <w:rsid w:val="009B040F"/>
    <w:rsid w:val="009B1D55"/>
    <w:rsid w:val="009B1F00"/>
    <w:rsid w:val="009B1F64"/>
    <w:rsid w:val="009B31F8"/>
    <w:rsid w:val="009B3807"/>
    <w:rsid w:val="009B416C"/>
    <w:rsid w:val="009B44B8"/>
    <w:rsid w:val="009B5313"/>
    <w:rsid w:val="009B54D3"/>
    <w:rsid w:val="009B563D"/>
    <w:rsid w:val="009B5717"/>
    <w:rsid w:val="009B5A18"/>
    <w:rsid w:val="009B63F3"/>
    <w:rsid w:val="009B6711"/>
    <w:rsid w:val="009B691F"/>
    <w:rsid w:val="009B6CFA"/>
    <w:rsid w:val="009B6D60"/>
    <w:rsid w:val="009B7932"/>
    <w:rsid w:val="009B7FDD"/>
    <w:rsid w:val="009C0005"/>
    <w:rsid w:val="009C00A6"/>
    <w:rsid w:val="009C04D1"/>
    <w:rsid w:val="009C0FAB"/>
    <w:rsid w:val="009C0FE1"/>
    <w:rsid w:val="009C135E"/>
    <w:rsid w:val="009C19D2"/>
    <w:rsid w:val="009C1F8A"/>
    <w:rsid w:val="009C282E"/>
    <w:rsid w:val="009C3110"/>
    <w:rsid w:val="009C39BA"/>
    <w:rsid w:val="009C3C45"/>
    <w:rsid w:val="009C41E6"/>
    <w:rsid w:val="009C428A"/>
    <w:rsid w:val="009C4886"/>
    <w:rsid w:val="009C48B5"/>
    <w:rsid w:val="009C5166"/>
    <w:rsid w:val="009C559D"/>
    <w:rsid w:val="009C7043"/>
    <w:rsid w:val="009C7E0C"/>
    <w:rsid w:val="009D0440"/>
    <w:rsid w:val="009D11A7"/>
    <w:rsid w:val="009D1D75"/>
    <w:rsid w:val="009D2904"/>
    <w:rsid w:val="009D2A63"/>
    <w:rsid w:val="009D2BAB"/>
    <w:rsid w:val="009D2C4B"/>
    <w:rsid w:val="009D3A78"/>
    <w:rsid w:val="009D404A"/>
    <w:rsid w:val="009D58B8"/>
    <w:rsid w:val="009D5DE3"/>
    <w:rsid w:val="009D642C"/>
    <w:rsid w:val="009D6776"/>
    <w:rsid w:val="009D6881"/>
    <w:rsid w:val="009D6EB6"/>
    <w:rsid w:val="009D7A38"/>
    <w:rsid w:val="009D7A57"/>
    <w:rsid w:val="009D7BCB"/>
    <w:rsid w:val="009E0289"/>
    <w:rsid w:val="009E072B"/>
    <w:rsid w:val="009E0ACD"/>
    <w:rsid w:val="009E100C"/>
    <w:rsid w:val="009E1418"/>
    <w:rsid w:val="009E1748"/>
    <w:rsid w:val="009E1887"/>
    <w:rsid w:val="009E18B7"/>
    <w:rsid w:val="009E1F78"/>
    <w:rsid w:val="009E25CC"/>
    <w:rsid w:val="009E2CB1"/>
    <w:rsid w:val="009E2E58"/>
    <w:rsid w:val="009E3F70"/>
    <w:rsid w:val="009E4F55"/>
    <w:rsid w:val="009E50D8"/>
    <w:rsid w:val="009E58BF"/>
    <w:rsid w:val="009E6349"/>
    <w:rsid w:val="009E63F6"/>
    <w:rsid w:val="009E6522"/>
    <w:rsid w:val="009E6571"/>
    <w:rsid w:val="009E68C3"/>
    <w:rsid w:val="009E6BF8"/>
    <w:rsid w:val="009E6E1F"/>
    <w:rsid w:val="009E6E6C"/>
    <w:rsid w:val="009E71A8"/>
    <w:rsid w:val="009E7BE8"/>
    <w:rsid w:val="009F0635"/>
    <w:rsid w:val="009F1BAF"/>
    <w:rsid w:val="009F1C85"/>
    <w:rsid w:val="009F2009"/>
    <w:rsid w:val="009F21FA"/>
    <w:rsid w:val="009F2B65"/>
    <w:rsid w:val="009F378E"/>
    <w:rsid w:val="009F43F5"/>
    <w:rsid w:val="009F4A64"/>
    <w:rsid w:val="009F4F68"/>
    <w:rsid w:val="009F538C"/>
    <w:rsid w:val="009F5448"/>
    <w:rsid w:val="009F5D78"/>
    <w:rsid w:val="009F61F7"/>
    <w:rsid w:val="009F6A52"/>
    <w:rsid w:val="009F6BC8"/>
    <w:rsid w:val="00A00900"/>
    <w:rsid w:val="00A00A95"/>
    <w:rsid w:val="00A010F4"/>
    <w:rsid w:val="00A01738"/>
    <w:rsid w:val="00A01DE8"/>
    <w:rsid w:val="00A02611"/>
    <w:rsid w:val="00A02990"/>
    <w:rsid w:val="00A03375"/>
    <w:rsid w:val="00A03E4D"/>
    <w:rsid w:val="00A04904"/>
    <w:rsid w:val="00A04ED0"/>
    <w:rsid w:val="00A04F14"/>
    <w:rsid w:val="00A0504C"/>
    <w:rsid w:val="00A06522"/>
    <w:rsid w:val="00A065DE"/>
    <w:rsid w:val="00A07538"/>
    <w:rsid w:val="00A0764F"/>
    <w:rsid w:val="00A106D1"/>
    <w:rsid w:val="00A10AC0"/>
    <w:rsid w:val="00A10C43"/>
    <w:rsid w:val="00A116D2"/>
    <w:rsid w:val="00A11DED"/>
    <w:rsid w:val="00A124BF"/>
    <w:rsid w:val="00A12873"/>
    <w:rsid w:val="00A12947"/>
    <w:rsid w:val="00A12A9F"/>
    <w:rsid w:val="00A12E53"/>
    <w:rsid w:val="00A13808"/>
    <w:rsid w:val="00A13B1F"/>
    <w:rsid w:val="00A141E5"/>
    <w:rsid w:val="00A15324"/>
    <w:rsid w:val="00A15CEF"/>
    <w:rsid w:val="00A16115"/>
    <w:rsid w:val="00A16AC9"/>
    <w:rsid w:val="00A16CC2"/>
    <w:rsid w:val="00A17739"/>
    <w:rsid w:val="00A17BF7"/>
    <w:rsid w:val="00A20595"/>
    <w:rsid w:val="00A20924"/>
    <w:rsid w:val="00A20A86"/>
    <w:rsid w:val="00A2136D"/>
    <w:rsid w:val="00A21574"/>
    <w:rsid w:val="00A21848"/>
    <w:rsid w:val="00A21880"/>
    <w:rsid w:val="00A218E9"/>
    <w:rsid w:val="00A21D55"/>
    <w:rsid w:val="00A21DF6"/>
    <w:rsid w:val="00A221EE"/>
    <w:rsid w:val="00A224EC"/>
    <w:rsid w:val="00A22C5D"/>
    <w:rsid w:val="00A22C9C"/>
    <w:rsid w:val="00A23AC2"/>
    <w:rsid w:val="00A23D0D"/>
    <w:rsid w:val="00A24BAE"/>
    <w:rsid w:val="00A24EE6"/>
    <w:rsid w:val="00A24F0D"/>
    <w:rsid w:val="00A25913"/>
    <w:rsid w:val="00A2591D"/>
    <w:rsid w:val="00A25B2D"/>
    <w:rsid w:val="00A25E83"/>
    <w:rsid w:val="00A267D9"/>
    <w:rsid w:val="00A26BB3"/>
    <w:rsid w:val="00A26D04"/>
    <w:rsid w:val="00A26E24"/>
    <w:rsid w:val="00A272E9"/>
    <w:rsid w:val="00A2756B"/>
    <w:rsid w:val="00A30313"/>
    <w:rsid w:val="00A3097E"/>
    <w:rsid w:val="00A326E6"/>
    <w:rsid w:val="00A3478D"/>
    <w:rsid w:val="00A34A2C"/>
    <w:rsid w:val="00A34AD6"/>
    <w:rsid w:val="00A34FE6"/>
    <w:rsid w:val="00A350CA"/>
    <w:rsid w:val="00A35114"/>
    <w:rsid w:val="00A35136"/>
    <w:rsid w:val="00A3552A"/>
    <w:rsid w:val="00A35613"/>
    <w:rsid w:val="00A359EF"/>
    <w:rsid w:val="00A36211"/>
    <w:rsid w:val="00A373DA"/>
    <w:rsid w:val="00A37651"/>
    <w:rsid w:val="00A37B73"/>
    <w:rsid w:val="00A40611"/>
    <w:rsid w:val="00A40769"/>
    <w:rsid w:val="00A408D6"/>
    <w:rsid w:val="00A40DB1"/>
    <w:rsid w:val="00A41CCD"/>
    <w:rsid w:val="00A42513"/>
    <w:rsid w:val="00A42A6C"/>
    <w:rsid w:val="00A42C91"/>
    <w:rsid w:val="00A42DBC"/>
    <w:rsid w:val="00A42E75"/>
    <w:rsid w:val="00A43BD7"/>
    <w:rsid w:val="00A44494"/>
    <w:rsid w:val="00A445A8"/>
    <w:rsid w:val="00A44676"/>
    <w:rsid w:val="00A44812"/>
    <w:rsid w:val="00A44BC5"/>
    <w:rsid w:val="00A453CC"/>
    <w:rsid w:val="00A46F2B"/>
    <w:rsid w:val="00A4777C"/>
    <w:rsid w:val="00A501A9"/>
    <w:rsid w:val="00A50574"/>
    <w:rsid w:val="00A516EF"/>
    <w:rsid w:val="00A51727"/>
    <w:rsid w:val="00A517B7"/>
    <w:rsid w:val="00A51A26"/>
    <w:rsid w:val="00A52727"/>
    <w:rsid w:val="00A52C50"/>
    <w:rsid w:val="00A52D54"/>
    <w:rsid w:val="00A52D9D"/>
    <w:rsid w:val="00A52DD2"/>
    <w:rsid w:val="00A532B7"/>
    <w:rsid w:val="00A53607"/>
    <w:rsid w:val="00A542DD"/>
    <w:rsid w:val="00A5485B"/>
    <w:rsid w:val="00A551B6"/>
    <w:rsid w:val="00A55F15"/>
    <w:rsid w:val="00A5678D"/>
    <w:rsid w:val="00A56910"/>
    <w:rsid w:val="00A57613"/>
    <w:rsid w:val="00A57693"/>
    <w:rsid w:val="00A5778E"/>
    <w:rsid w:val="00A57D21"/>
    <w:rsid w:val="00A60E9D"/>
    <w:rsid w:val="00A610C7"/>
    <w:rsid w:val="00A6125B"/>
    <w:rsid w:val="00A61925"/>
    <w:rsid w:val="00A61AD5"/>
    <w:rsid w:val="00A61B2F"/>
    <w:rsid w:val="00A61C66"/>
    <w:rsid w:val="00A620F5"/>
    <w:rsid w:val="00A62B9F"/>
    <w:rsid w:val="00A6311C"/>
    <w:rsid w:val="00A63BA4"/>
    <w:rsid w:val="00A640E9"/>
    <w:rsid w:val="00A64455"/>
    <w:rsid w:val="00A6477D"/>
    <w:rsid w:val="00A66431"/>
    <w:rsid w:val="00A66562"/>
    <w:rsid w:val="00A66C28"/>
    <w:rsid w:val="00A66C42"/>
    <w:rsid w:val="00A67577"/>
    <w:rsid w:val="00A67763"/>
    <w:rsid w:val="00A67E5A"/>
    <w:rsid w:val="00A7002A"/>
    <w:rsid w:val="00A70849"/>
    <w:rsid w:val="00A70BDD"/>
    <w:rsid w:val="00A716C0"/>
    <w:rsid w:val="00A71957"/>
    <w:rsid w:val="00A7203C"/>
    <w:rsid w:val="00A72F19"/>
    <w:rsid w:val="00A74763"/>
    <w:rsid w:val="00A7485D"/>
    <w:rsid w:val="00A74BC2"/>
    <w:rsid w:val="00A74E3F"/>
    <w:rsid w:val="00A7571B"/>
    <w:rsid w:val="00A7583D"/>
    <w:rsid w:val="00A75E37"/>
    <w:rsid w:val="00A7606B"/>
    <w:rsid w:val="00A760D8"/>
    <w:rsid w:val="00A7619A"/>
    <w:rsid w:val="00A76AF2"/>
    <w:rsid w:val="00A80F6D"/>
    <w:rsid w:val="00A81360"/>
    <w:rsid w:val="00A816FB"/>
    <w:rsid w:val="00A81BB3"/>
    <w:rsid w:val="00A820A1"/>
    <w:rsid w:val="00A82491"/>
    <w:rsid w:val="00A83438"/>
    <w:rsid w:val="00A837A1"/>
    <w:rsid w:val="00A84654"/>
    <w:rsid w:val="00A846A8"/>
    <w:rsid w:val="00A84D07"/>
    <w:rsid w:val="00A85B02"/>
    <w:rsid w:val="00A85B28"/>
    <w:rsid w:val="00A85C71"/>
    <w:rsid w:val="00A866DD"/>
    <w:rsid w:val="00A86FBB"/>
    <w:rsid w:val="00A8700F"/>
    <w:rsid w:val="00A8775B"/>
    <w:rsid w:val="00A87935"/>
    <w:rsid w:val="00A87B79"/>
    <w:rsid w:val="00A90428"/>
    <w:rsid w:val="00A90977"/>
    <w:rsid w:val="00A910CE"/>
    <w:rsid w:val="00A910D3"/>
    <w:rsid w:val="00A919AA"/>
    <w:rsid w:val="00A91E49"/>
    <w:rsid w:val="00A926FA"/>
    <w:rsid w:val="00A92C2A"/>
    <w:rsid w:val="00A92E0E"/>
    <w:rsid w:val="00A93220"/>
    <w:rsid w:val="00A93ED4"/>
    <w:rsid w:val="00A94984"/>
    <w:rsid w:val="00A94D98"/>
    <w:rsid w:val="00A95AC9"/>
    <w:rsid w:val="00A963A7"/>
    <w:rsid w:val="00A9651C"/>
    <w:rsid w:val="00A967DD"/>
    <w:rsid w:val="00A97865"/>
    <w:rsid w:val="00A97E19"/>
    <w:rsid w:val="00AA02F0"/>
    <w:rsid w:val="00AA0755"/>
    <w:rsid w:val="00AA1330"/>
    <w:rsid w:val="00AA15A8"/>
    <w:rsid w:val="00AA21F4"/>
    <w:rsid w:val="00AA2268"/>
    <w:rsid w:val="00AA2422"/>
    <w:rsid w:val="00AA248D"/>
    <w:rsid w:val="00AA2C2F"/>
    <w:rsid w:val="00AA3373"/>
    <w:rsid w:val="00AA38F9"/>
    <w:rsid w:val="00AA42FD"/>
    <w:rsid w:val="00AA4616"/>
    <w:rsid w:val="00AA4BB0"/>
    <w:rsid w:val="00AA56B0"/>
    <w:rsid w:val="00AA5BBC"/>
    <w:rsid w:val="00AA6712"/>
    <w:rsid w:val="00AA685E"/>
    <w:rsid w:val="00AA6EE7"/>
    <w:rsid w:val="00AA7257"/>
    <w:rsid w:val="00AA78E4"/>
    <w:rsid w:val="00AB02E7"/>
    <w:rsid w:val="00AB0482"/>
    <w:rsid w:val="00AB04CF"/>
    <w:rsid w:val="00AB0C55"/>
    <w:rsid w:val="00AB1729"/>
    <w:rsid w:val="00AB1A56"/>
    <w:rsid w:val="00AB1DAD"/>
    <w:rsid w:val="00AB2856"/>
    <w:rsid w:val="00AB2897"/>
    <w:rsid w:val="00AB2A88"/>
    <w:rsid w:val="00AB2B4F"/>
    <w:rsid w:val="00AB328B"/>
    <w:rsid w:val="00AB35C0"/>
    <w:rsid w:val="00AB39C1"/>
    <w:rsid w:val="00AB3BB0"/>
    <w:rsid w:val="00AB40D4"/>
    <w:rsid w:val="00AB494A"/>
    <w:rsid w:val="00AB4BA2"/>
    <w:rsid w:val="00AB4FC2"/>
    <w:rsid w:val="00AB5404"/>
    <w:rsid w:val="00AB6B00"/>
    <w:rsid w:val="00AB6EB3"/>
    <w:rsid w:val="00AB76BA"/>
    <w:rsid w:val="00AB7D95"/>
    <w:rsid w:val="00AC01AC"/>
    <w:rsid w:val="00AC07A0"/>
    <w:rsid w:val="00AC121D"/>
    <w:rsid w:val="00AC1302"/>
    <w:rsid w:val="00AC151F"/>
    <w:rsid w:val="00AC2CF4"/>
    <w:rsid w:val="00AC3681"/>
    <w:rsid w:val="00AC36F8"/>
    <w:rsid w:val="00AC3D44"/>
    <w:rsid w:val="00AC40DE"/>
    <w:rsid w:val="00AC40FC"/>
    <w:rsid w:val="00AC41DC"/>
    <w:rsid w:val="00AC4777"/>
    <w:rsid w:val="00AC4E22"/>
    <w:rsid w:val="00AC5A73"/>
    <w:rsid w:val="00AC6B1D"/>
    <w:rsid w:val="00AC6C9F"/>
    <w:rsid w:val="00AC6E21"/>
    <w:rsid w:val="00AC7595"/>
    <w:rsid w:val="00AC79A8"/>
    <w:rsid w:val="00AD007D"/>
    <w:rsid w:val="00AD0106"/>
    <w:rsid w:val="00AD05D3"/>
    <w:rsid w:val="00AD0606"/>
    <w:rsid w:val="00AD0944"/>
    <w:rsid w:val="00AD0A4C"/>
    <w:rsid w:val="00AD23B0"/>
    <w:rsid w:val="00AD27E5"/>
    <w:rsid w:val="00AD28D5"/>
    <w:rsid w:val="00AD2DCB"/>
    <w:rsid w:val="00AD2F2F"/>
    <w:rsid w:val="00AD32F2"/>
    <w:rsid w:val="00AD3B89"/>
    <w:rsid w:val="00AD4E6F"/>
    <w:rsid w:val="00AD517C"/>
    <w:rsid w:val="00AD55B1"/>
    <w:rsid w:val="00AD5DFB"/>
    <w:rsid w:val="00AD63AB"/>
    <w:rsid w:val="00AD6637"/>
    <w:rsid w:val="00AD69DF"/>
    <w:rsid w:val="00AD6DCB"/>
    <w:rsid w:val="00AD7515"/>
    <w:rsid w:val="00AD77ED"/>
    <w:rsid w:val="00AD7E99"/>
    <w:rsid w:val="00AE1330"/>
    <w:rsid w:val="00AE19D2"/>
    <w:rsid w:val="00AE239D"/>
    <w:rsid w:val="00AE2950"/>
    <w:rsid w:val="00AE2C5E"/>
    <w:rsid w:val="00AE2C8E"/>
    <w:rsid w:val="00AE333B"/>
    <w:rsid w:val="00AE3502"/>
    <w:rsid w:val="00AE3B3F"/>
    <w:rsid w:val="00AE3E74"/>
    <w:rsid w:val="00AE5083"/>
    <w:rsid w:val="00AE50E4"/>
    <w:rsid w:val="00AE544A"/>
    <w:rsid w:val="00AE6537"/>
    <w:rsid w:val="00AE6800"/>
    <w:rsid w:val="00AE6F23"/>
    <w:rsid w:val="00AE7101"/>
    <w:rsid w:val="00AE7121"/>
    <w:rsid w:val="00AE7485"/>
    <w:rsid w:val="00AE78AE"/>
    <w:rsid w:val="00AF11D4"/>
    <w:rsid w:val="00AF1465"/>
    <w:rsid w:val="00AF1651"/>
    <w:rsid w:val="00AF186A"/>
    <w:rsid w:val="00AF1F16"/>
    <w:rsid w:val="00AF1F20"/>
    <w:rsid w:val="00AF2461"/>
    <w:rsid w:val="00AF25FC"/>
    <w:rsid w:val="00AF2C22"/>
    <w:rsid w:val="00AF3507"/>
    <w:rsid w:val="00AF4952"/>
    <w:rsid w:val="00AF4D1E"/>
    <w:rsid w:val="00AF50CA"/>
    <w:rsid w:val="00AF5213"/>
    <w:rsid w:val="00AF5619"/>
    <w:rsid w:val="00AF6235"/>
    <w:rsid w:val="00AF6451"/>
    <w:rsid w:val="00AF64DD"/>
    <w:rsid w:val="00AF6568"/>
    <w:rsid w:val="00AF6722"/>
    <w:rsid w:val="00AF69DC"/>
    <w:rsid w:val="00AF7A5A"/>
    <w:rsid w:val="00AF7B85"/>
    <w:rsid w:val="00AF7BC2"/>
    <w:rsid w:val="00AF7DD6"/>
    <w:rsid w:val="00B0111F"/>
    <w:rsid w:val="00B01410"/>
    <w:rsid w:val="00B01461"/>
    <w:rsid w:val="00B0167E"/>
    <w:rsid w:val="00B01912"/>
    <w:rsid w:val="00B022A1"/>
    <w:rsid w:val="00B02A3C"/>
    <w:rsid w:val="00B02B22"/>
    <w:rsid w:val="00B034F2"/>
    <w:rsid w:val="00B036A2"/>
    <w:rsid w:val="00B03CF8"/>
    <w:rsid w:val="00B03E35"/>
    <w:rsid w:val="00B04AFC"/>
    <w:rsid w:val="00B04F09"/>
    <w:rsid w:val="00B05686"/>
    <w:rsid w:val="00B062E7"/>
    <w:rsid w:val="00B07206"/>
    <w:rsid w:val="00B075D4"/>
    <w:rsid w:val="00B075F3"/>
    <w:rsid w:val="00B077ED"/>
    <w:rsid w:val="00B07C81"/>
    <w:rsid w:val="00B07D25"/>
    <w:rsid w:val="00B07E3D"/>
    <w:rsid w:val="00B07ED3"/>
    <w:rsid w:val="00B10067"/>
    <w:rsid w:val="00B10498"/>
    <w:rsid w:val="00B10B13"/>
    <w:rsid w:val="00B11D48"/>
    <w:rsid w:val="00B11D63"/>
    <w:rsid w:val="00B1206F"/>
    <w:rsid w:val="00B12201"/>
    <w:rsid w:val="00B125D4"/>
    <w:rsid w:val="00B1269C"/>
    <w:rsid w:val="00B1295A"/>
    <w:rsid w:val="00B13117"/>
    <w:rsid w:val="00B13141"/>
    <w:rsid w:val="00B13769"/>
    <w:rsid w:val="00B1422D"/>
    <w:rsid w:val="00B1467D"/>
    <w:rsid w:val="00B14841"/>
    <w:rsid w:val="00B14D50"/>
    <w:rsid w:val="00B15053"/>
    <w:rsid w:val="00B15D01"/>
    <w:rsid w:val="00B1640F"/>
    <w:rsid w:val="00B166F9"/>
    <w:rsid w:val="00B16E1B"/>
    <w:rsid w:val="00B16F07"/>
    <w:rsid w:val="00B171F7"/>
    <w:rsid w:val="00B1769E"/>
    <w:rsid w:val="00B1791E"/>
    <w:rsid w:val="00B17FEF"/>
    <w:rsid w:val="00B20255"/>
    <w:rsid w:val="00B20282"/>
    <w:rsid w:val="00B20DAF"/>
    <w:rsid w:val="00B20F37"/>
    <w:rsid w:val="00B21364"/>
    <w:rsid w:val="00B2155B"/>
    <w:rsid w:val="00B218E6"/>
    <w:rsid w:val="00B229D0"/>
    <w:rsid w:val="00B2317A"/>
    <w:rsid w:val="00B23A11"/>
    <w:rsid w:val="00B23A2E"/>
    <w:rsid w:val="00B23FB0"/>
    <w:rsid w:val="00B241F0"/>
    <w:rsid w:val="00B2475B"/>
    <w:rsid w:val="00B24E92"/>
    <w:rsid w:val="00B25ACD"/>
    <w:rsid w:val="00B25D99"/>
    <w:rsid w:val="00B2666B"/>
    <w:rsid w:val="00B26D95"/>
    <w:rsid w:val="00B26E37"/>
    <w:rsid w:val="00B27439"/>
    <w:rsid w:val="00B27637"/>
    <w:rsid w:val="00B3012C"/>
    <w:rsid w:val="00B3099D"/>
    <w:rsid w:val="00B30E76"/>
    <w:rsid w:val="00B31024"/>
    <w:rsid w:val="00B3144D"/>
    <w:rsid w:val="00B3155B"/>
    <w:rsid w:val="00B31A91"/>
    <w:rsid w:val="00B32384"/>
    <w:rsid w:val="00B3283D"/>
    <w:rsid w:val="00B336BC"/>
    <w:rsid w:val="00B3448D"/>
    <w:rsid w:val="00B35501"/>
    <w:rsid w:val="00B36185"/>
    <w:rsid w:val="00B36687"/>
    <w:rsid w:val="00B36D7E"/>
    <w:rsid w:val="00B37158"/>
    <w:rsid w:val="00B37435"/>
    <w:rsid w:val="00B37841"/>
    <w:rsid w:val="00B37AEE"/>
    <w:rsid w:val="00B37CC0"/>
    <w:rsid w:val="00B37E0C"/>
    <w:rsid w:val="00B401D4"/>
    <w:rsid w:val="00B4069B"/>
    <w:rsid w:val="00B41136"/>
    <w:rsid w:val="00B422E2"/>
    <w:rsid w:val="00B4315A"/>
    <w:rsid w:val="00B43387"/>
    <w:rsid w:val="00B43E7D"/>
    <w:rsid w:val="00B44065"/>
    <w:rsid w:val="00B45281"/>
    <w:rsid w:val="00B46780"/>
    <w:rsid w:val="00B46975"/>
    <w:rsid w:val="00B46AD0"/>
    <w:rsid w:val="00B46BB6"/>
    <w:rsid w:val="00B46C7F"/>
    <w:rsid w:val="00B46EE6"/>
    <w:rsid w:val="00B50619"/>
    <w:rsid w:val="00B51072"/>
    <w:rsid w:val="00B51184"/>
    <w:rsid w:val="00B51328"/>
    <w:rsid w:val="00B516FC"/>
    <w:rsid w:val="00B518BD"/>
    <w:rsid w:val="00B519DA"/>
    <w:rsid w:val="00B5220F"/>
    <w:rsid w:val="00B525A5"/>
    <w:rsid w:val="00B5273B"/>
    <w:rsid w:val="00B533AD"/>
    <w:rsid w:val="00B5345E"/>
    <w:rsid w:val="00B540A4"/>
    <w:rsid w:val="00B549BA"/>
    <w:rsid w:val="00B54D2D"/>
    <w:rsid w:val="00B556FA"/>
    <w:rsid w:val="00B5643A"/>
    <w:rsid w:val="00B56580"/>
    <w:rsid w:val="00B56F26"/>
    <w:rsid w:val="00B573F5"/>
    <w:rsid w:val="00B57AD3"/>
    <w:rsid w:val="00B600D4"/>
    <w:rsid w:val="00B606F0"/>
    <w:rsid w:val="00B620B4"/>
    <w:rsid w:val="00B6210F"/>
    <w:rsid w:val="00B6235E"/>
    <w:rsid w:val="00B62855"/>
    <w:rsid w:val="00B62B15"/>
    <w:rsid w:val="00B62B92"/>
    <w:rsid w:val="00B63AD0"/>
    <w:rsid w:val="00B63FDC"/>
    <w:rsid w:val="00B64152"/>
    <w:rsid w:val="00B64D02"/>
    <w:rsid w:val="00B64F97"/>
    <w:rsid w:val="00B65916"/>
    <w:rsid w:val="00B66400"/>
    <w:rsid w:val="00B66516"/>
    <w:rsid w:val="00B665B3"/>
    <w:rsid w:val="00B66628"/>
    <w:rsid w:val="00B666C3"/>
    <w:rsid w:val="00B66A8F"/>
    <w:rsid w:val="00B66B81"/>
    <w:rsid w:val="00B66D65"/>
    <w:rsid w:val="00B66DB3"/>
    <w:rsid w:val="00B66F28"/>
    <w:rsid w:val="00B674E8"/>
    <w:rsid w:val="00B67C4E"/>
    <w:rsid w:val="00B67E37"/>
    <w:rsid w:val="00B700D3"/>
    <w:rsid w:val="00B701B5"/>
    <w:rsid w:val="00B701B7"/>
    <w:rsid w:val="00B7048E"/>
    <w:rsid w:val="00B70874"/>
    <w:rsid w:val="00B70FFA"/>
    <w:rsid w:val="00B71E3B"/>
    <w:rsid w:val="00B721AD"/>
    <w:rsid w:val="00B7237B"/>
    <w:rsid w:val="00B726E2"/>
    <w:rsid w:val="00B72ED1"/>
    <w:rsid w:val="00B73366"/>
    <w:rsid w:val="00B73C3C"/>
    <w:rsid w:val="00B745B2"/>
    <w:rsid w:val="00B7470F"/>
    <w:rsid w:val="00B74B3F"/>
    <w:rsid w:val="00B74FD1"/>
    <w:rsid w:val="00B75032"/>
    <w:rsid w:val="00B76483"/>
    <w:rsid w:val="00B767BD"/>
    <w:rsid w:val="00B76D7F"/>
    <w:rsid w:val="00B807F5"/>
    <w:rsid w:val="00B80F89"/>
    <w:rsid w:val="00B812AC"/>
    <w:rsid w:val="00B815F0"/>
    <w:rsid w:val="00B81AB4"/>
    <w:rsid w:val="00B82096"/>
    <w:rsid w:val="00B82229"/>
    <w:rsid w:val="00B829A9"/>
    <w:rsid w:val="00B82CE0"/>
    <w:rsid w:val="00B83E47"/>
    <w:rsid w:val="00B847BE"/>
    <w:rsid w:val="00B84DEE"/>
    <w:rsid w:val="00B853D5"/>
    <w:rsid w:val="00B855D3"/>
    <w:rsid w:val="00B8639A"/>
    <w:rsid w:val="00B865F2"/>
    <w:rsid w:val="00B86845"/>
    <w:rsid w:val="00B876B5"/>
    <w:rsid w:val="00B87CCF"/>
    <w:rsid w:val="00B87E20"/>
    <w:rsid w:val="00B905C8"/>
    <w:rsid w:val="00B90C42"/>
    <w:rsid w:val="00B90CFD"/>
    <w:rsid w:val="00B912BF"/>
    <w:rsid w:val="00B92671"/>
    <w:rsid w:val="00B93C95"/>
    <w:rsid w:val="00B93DA4"/>
    <w:rsid w:val="00B941A4"/>
    <w:rsid w:val="00B94D96"/>
    <w:rsid w:val="00B9502A"/>
    <w:rsid w:val="00B95495"/>
    <w:rsid w:val="00B95D5C"/>
    <w:rsid w:val="00B96721"/>
    <w:rsid w:val="00B967CF"/>
    <w:rsid w:val="00B96AA1"/>
    <w:rsid w:val="00B96CDE"/>
    <w:rsid w:val="00B97C9C"/>
    <w:rsid w:val="00BA0901"/>
    <w:rsid w:val="00BA098D"/>
    <w:rsid w:val="00BA0A18"/>
    <w:rsid w:val="00BA0ED7"/>
    <w:rsid w:val="00BA116D"/>
    <w:rsid w:val="00BA1198"/>
    <w:rsid w:val="00BA11E6"/>
    <w:rsid w:val="00BA173D"/>
    <w:rsid w:val="00BA1C6F"/>
    <w:rsid w:val="00BA1CBD"/>
    <w:rsid w:val="00BA2B1B"/>
    <w:rsid w:val="00BA2FAA"/>
    <w:rsid w:val="00BA3C96"/>
    <w:rsid w:val="00BA41EF"/>
    <w:rsid w:val="00BA4B37"/>
    <w:rsid w:val="00BA4B82"/>
    <w:rsid w:val="00BA4FBA"/>
    <w:rsid w:val="00BA50CB"/>
    <w:rsid w:val="00BA5AD3"/>
    <w:rsid w:val="00BA6426"/>
    <w:rsid w:val="00BA6E94"/>
    <w:rsid w:val="00BA6EA2"/>
    <w:rsid w:val="00BA71C4"/>
    <w:rsid w:val="00BA74A3"/>
    <w:rsid w:val="00BA781B"/>
    <w:rsid w:val="00BA78ED"/>
    <w:rsid w:val="00BA7A42"/>
    <w:rsid w:val="00BB074E"/>
    <w:rsid w:val="00BB0C55"/>
    <w:rsid w:val="00BB0FAE"/>
    <w:rsid w:val="00BB109B"/>
    <w:rsid w:val="00BB11B5"/>
    <w:rsid w:val="00BB13C5"/>
    <w:rsid w:val="00BB1475"/>
    <w:rsid w:val="00BB1A58"/>
    <w:rsid w:val="00BB1A66"/>
    <w:rsid w:val="00BB1ADC"/>
    <w:rsid w:val="00BB1F9E"/>
    <w:rsid w:val="00BB2FE7"/>
    <w:rsid w:val="00BB3199"/>
    <w:rsid w:val="00BB321F"/>
    <w:rsid w:val="00BB3856"/>
    <w:rsid w:val="00BB4329"/>
    <w:rsid w:val="00BB4358"/>
    <w:rsid w:val="00BB4520"/>
    <w:rsid w:val="00BB4C3A"/>
    <w:rsid w:val="00BB4C92"/>
    <w:rsid w:val="00BB4C93"/>
    <w:rsid w:val="00BB571B"/>
    <w:rsid w:val="00BB5920"/>
    <w:rsid w:val="00BB59A1"/>
    <w:rsid w:val="00BB6698"/>
    <w:rsid w:val="00BB6896"/>
    <w:rsid w:val="00BB6BBE"/>
    <w:rsid w:val="00BB7236"/>
    <w:rsid w:val="00BB756B"/>
    <w:rsid w:val="00BB767F"/>
    <w:rsid w:val="00BB7A7B"/>
    <w:rsid w:val="00BB7E42"/>
    <w:rsid w:val="00BC00CB"/>
    <w:rsid w:val="00BC02F5"/>
    <w:rsid w:val="00BC0D04"/>
    <w:rsid w:val="00BC1563"/>
    <w:rsid w:val="00BC1693"/>
    <w:rsid w:val="00BC1E86"/>
    <w:rsid w:val="00BC1EA8"/>
    <w:rsid w:val="00BC23EB"/>
    <w:rsid w:val="00BC2B00"/>
    <w:rsid w:val="00BC3701"/>
    <w:rsid w:val="00BC38B0"/>
    <w:rsid w:val="00BC3CDC"/>
    <w:rsid w:val="00BC4984"/>
    <w:rsid w:val="00BC4F80"/>
    <w:rsid w:val="00BC4FAA"/>
    <w:rsid w:val="00BC5053"/>
    <w:rsid w:val="00BC5739"/>
    <w:rsid w:val="00BC5A43"/>
    <w:rsid w:val="00BC60B3"/>
    <w:rsid w:val="00BC635A"/>
    <w:rsid w:val="00BC653F"/>
    <w:rsid w:val="00BC747C"/>
    <w:rsid w:val="00BC76FF"/>
    <w:rsid w:val="00BC7E1D"/>
    <w:rsid w:val="00BD09C6"/>
    <w:rsid w:val="00BD0B24"/>
    <w:rsid w:val="00BD13F2"/>
    <w:rsid w:val="00BD1764"/>
    <w:rsid w:val="00BD1D29"/>
    <w:rsid w:val="00BD3006"/>
    <w:rsid w:val="00BD30A9"/>
    <w:rsid w:val="00BD33D8"/>
    <w:rsid w:val="00BD3755"/>
    <w:rsid w:val="00BD3F89"/>
    <w:rsid w:val="00BD46D7"/>
    <w:rsid w:val="00BD64CD"/>
    <w:rsid w:val="00BD7DA6"/>
    <w:rsid w:val="00BE0011"/>
    <w:rsid w:val="00BE16CF"/>
    <w:rsid w:val="00BE2269"/>
    <w:rsid w:val="00BE275A"/>
    <w:rsid w:val="00BE290B"/>
    <w:rsid w:val="00BE2AF2"/>
    <w:rsid w:val="00BE2CD9"/>
    <w:rsid w:val="00BE2FC3"/>
    <w:rsid w:val="00BE3A25"/>
    <w:rsid w:val="00BE496A"/>
    <w:rsid w:val="00BE4A89"/>
    <w:rsid w:val="00BE4DEA"/>
    <w:rsid w:val="00BE4F51"/>
    <w:rsid w:val="00BE5205"/>
    <w:rsid w:val="00BE52CD"/>
    <w:rsid w:val="00BE578A"/>
    <w:rsid w:val="00BE585E"/>
    <w:rsid w:val="00BE5EA9"/>
    <w:rsid w:val="00BE6E23"/>
    <w:rsid w:val="00BE6F95"/>
    <w:rsid w:val="00BF04E3"/>
    <w:rsid w:val="00BF1727"/>
    <w:rsid w:val="00BF192C"/>
    <w:rsid w:val="00BF22A1"/>
    <w:rsid w:val="00BF2C26"/>
    <w:rsid w:val="00BF349F"/>
    <w:rsid w:val="00BF34EF"/>
    <w:rsid w:val="00BF37E0"/>
    <w:rsid w:val="00BF389D"/>
    <w:rsid w:val="00BF3ACF"/>
    <w:rsid w:val="00BF3DF1"/>
    <w:rsid w:val="00BF4209"/>
    <w:rsid w:val="00BF43F0"/>
    <w:rsid w:val="00BF44C5"/>
    <w:rsid w:val="00BF49BF"/>
    <w:rsid w:val="00BF50D8"/>
    <w:rsid w:val="00BF5256"/>
    <w:rsid w:val="00BF5484"/>
    <w:rsid w:val="00BF684E"/>
    <w:rsid w:val="00C000E2"/>
    <w:rsid w:val="00C002BC"/>
    <w:rsid w:val="00C009BD"/>
    <w:rsid w:val="00C00AAA"/>
    <w:rsid w:val="00C0205F"/>
    <w:rsid w:val="00C02B71"/>
    <w:rsid w:val="00C03116"/>
    <w:rsid w:val="00C033AC"/>
    <w:rsid w:val="00C036F0"/>
    <w:rsid w:val="00C0415F"/>
    <w:rsid w:val="00C04E47"/>
    <w:rsid w:val="00C07151"/>
    <w:rsid w:val="00C07573"/>
    <w:rsid w:val="00C0776B"/>
    <w:rsid w:val="00C07AA9"/>
    <w:rsid w:val="00C07B44"/>
    <w:rsid w:val="00C07BF6"/>
    <w:rsid w:val="00C07D2E"/>
    <w:rsid w:val="00C100A6"/>
    <w:rsid w:val="00C10382"/>
    <w:rsid w:val="00C105FA"/>
    <w:rsid w:val="00C107FA"/>
    <w:rsid w:val="00C1088B"/>
    <w:rsid w:val="00C10E53"/>
    <w:rsid w:val="00C11331"/>
    <w:rsid w:val="00C11C6A"/>
    <w:rsid w:val="00C11CAD"/>
    <w:rsid w:val="00C12063"/>
    <w:rsid w:val="00C12482"/>
    <w:rsid w:val="00C13540"/>
    <w:rsid w:val="00C1375B"/>
    <w:rsid w:val="00C138D5"/>
    <w:rsid w:val="00C13DD4"/>
    <w:rsid w:val="00C14283"/>
    <w:rsid w:val="00C146E0"/>
    <w:rsid w:val="00C14B37"/>
    <w:rsid w:val="00C14C29"/>
    <w:rsid w:val="00C15013"/>
    <w:rsid w:val="00C15023"/>
    <w:rsid w:val="00C1515A"/>
    <w:rsid w:val="00C15801"/>
    <w:rsid w:val="00C15B00"/>
    <w:rsid w:val="00C15C31"/>
    <w:rsid w:val="00C15F53"/>
    <w:rsid w:val="00C16325"/>
    <w:rsid w:val="00C16C2F"/>
    <w:rsid w:val="00C17450"/>
    <w:rsid w:val="00C1765A"/>
    <w:rsid w:val="00C1794B"/>
    <w:rsid w:val="00C17AB0"/>
    <w:rsid w:val="00C2075A"/>
    <w:rsid w:val="00C20B4C"/>
    <w:rsid w:val="00C20B52"/>
    <w:rsid w:val="00C20C38"/>
    <w:rsid w:val="00C20C7D"/>
    <w:rsid w:val="00C21AAB"/>
    <w:rsid w:val="00C21ABB"/>
    <w:rsid w:val="00C2246A"/>
    <w:rsid w:val="00C22B45"/>
    <w:rsid w:val="00C22F45"/>
    <w:rsid w:val="00C232A0"/>
    <w:rsid w:val="00C238B4"/>
    <w:rsid w:val="00C23CC5"/>
    <w:rsid w:val="00C23D66"/>
    <w:rsid w:val="00C243B9"/>
    <w:rsid w:val="00C246A7"/>
    <w:rsid w:val="00C24DA3"/>
    <w:rsid w:val="00C24E0D"/>
    <w:rsid w:val="00C25178"/>
    <w:rsid w:val="00C2542A"/>
    <w:rsid w:val="00C254F9"/>
    <w:rsid w:val="00C26CC2"/>
    <w:rsid w:val="00C27595"/>
    <w:rsid w:val="00C27AF2"/>
    <w:rsid w:val="00C3010F"/>
    <w:rsid w:val="00C30753"/>
    <w:rsid w:val="00C30823"/>
    <w:rsid w:val="00C30891"/>
    <w:rsid w:val="00C30F0C"/>
    <w:rsid w:val="00C312FE"/>
    <w:rsid w:val="00C318B1"/>
    <w:rsid w:val="00C31D88"/>
    <w:rsid w:val="00C32934"/>
    <w:rsid w:val="00C32ABE"/>
    <w:rsid w:val="00C32B58"/>
    <w:rsid w:val="00C32DA5"/>
    <w:rsid w:val="00C333A4"/>
    <w:rsid w:val="00C33EC0"/>
    <w:rsid w:val="00C344EF"/>
    <w:rsid w:val="00C34C3F"/>
    <w:rsid w:val="00C34EC9"/>
    <w:rsid w:val="00C35713"/>
    <w:rsid w:val="00C36336"/>
    <w:rsid w:val="00C363A0"/>
    <w:rsid w:val="00C364C7"/>
    <w:rsid w:val="00C36500"/>
    <w:rsid w:val="00C369D2"/>
    <w:rsid w:val="00C37065"/>
    <w:rsid w:val="00C37850"/>
    <w:rsid w:val="00C37F9A"/>
    <w:rsid w:val="00C40528"/>
    <w:rsid w:val="00C40597"/>
    <w:rsid w:val="00C40A94"/>
    <w:rsid w:val="00C40BCC"/>
    <w:rsid w:val="00C41598"/>
    <w:rsid w:val="00C43075"/>
    <w:rsid w:val="00C4371C"/>
    <w:rsid w:val="00C43AEA"/>
    <w:rsid w:val="00C43EFA"/>
    <w:rsid w:val="00C44A68"/>
    <w:rsid w:val="00C44B77"/>
    <w:rsid w:val="00C44EEA"/>
    <w:rsid w:val="00C45439"/>
    <w:rsid w:val="00C4637B"/>
    <w:rsid w:val="00C46545"/>
    <w:rsid w:val="00C465C6"/>
    <w:rsid w:val="00C469FD"/>
    <w:rsid w:val="00C46F92"/>
    <w:rsid w:val="00C47909"/>
    <w:rsid w:val="00C47D1C"/>
    <w:rsid w:val="00C5077B"/>
    <w:rsid w:val="00C5094F"/>
    <w:rsid w:val="00C50D4A"/>
    <w:rsid w:val="00C50F5A"/>
    <w:rsid w:val="00C50FE9"/>
    <w:rsid w:val="00C5134B"/>
    <w:rsid w:val="00C514AC"/>
    <w:rsid w:val="00C51CDA"/>
    <w:rsid w:val="00C51D1E"/>
    <w:rsid w:val="00C52982"/>
    <w:rsid w:val="00C52CBF"/>
    <w:rsid w:val="00C52EA2"/>
    <w:rsid w:val="00C53D53"/>
    <w:rsid w:val="00C543DB"/>
    <w:rsid w:val="00C547AC"/>
    <w:rsid w:val="00C55958"/>
    <w:rsid w:val="00C55FEE"/>
    <w:rsid w:val="00C56821"/>
    <w:rsid w:val="00C5685E"/>
    <w:rsid w:val="00C56A06"/>
    <w:rsid w:val="00C56B21"/>
    <w:rsid w:val="00C56B82"/>
    <w:rsid w:val="00C56C8C"/>
    <w:rsid w:val="00C56EE7"/>
    <w:rsid w:val="00C575DC"/>
    <w:rsid w:val="00C60061"/>
    <w:rsid w:val="00C60765"/>
    <w:rsid w:val="00C6114C"/>
    <w:rsid w:val="00C61CDF"/>
    <w:rsid w:val="00C6219F"/>
    <w:rsid w:val="00C62328"/>
    <w:rsid w:val="00C625CC"/>
    <w:rsid w:val="00C62727"/>
    <w:rsid w:val="00C62B68"/>
    <w:rsid w:val="00C6361C"/>
    <w:rsid w:val="00C63924"/>
    <w:rsid w:val="00C63C37"/>
    <w:rsid w:val="00C641FB"/>
    <w:rsid w:val="00C643C1"/>
    <w:rsid w:val="00C64D72"/>
    <w:rsid w:val="00C658C9"/>
    <w:rsid w:val="00C66099"/>
    <w:rsid w:val="00C66BA4"/>
    <w:rsid w:val="00C66C66"/>
    <w:rsid w:val="00C6749B"/>
    <w:rsid w:val="00C675B3"/>
    <w:rsid w:val="00C70236"/>
    <w:rsid w:val="00C70726"/>
    <w:rsid w:val="00C7084A"/>
    <w:rsid w:val="00C70AE9"/>
    <w:rsid w:val="00C7186A"/>
    <w:rsid w:val="00C73908"/>
    <w:rsid w:val="00C746AE"/>
    <w:rsid w:val="00C758A0"/>
    <w:rsid w:val="00C759B4"/>
    <w:rsid w:val="00C75CD9"/>
    <w:rsid w:val="00C76614"/>
    <w:rsid w:val="00C7689D"/>
    <w:rsid w:val="00C769B5"/>
    <w:rsid w:val="00C76C44"/>
    <w:rsid w:val="00C77A87"/>
    <w:rsid w:val="00C801B4"/>
    <w:rsid w:val="00C8044B"/>
    <w:rsid w:val="00C81649"/>
    <w:rsid w:val="00C8168A"/>
    <w:rsid w:val="00C816C9"/>
    <w:rsid w:val="00C81796"/>
    <w:rsid w:val="00C818FF"/>
    <w:rsid w:val="00C82489"/>
    <w:rsid w:val="00C82781"/>
    <w:rsid w:val="00C8279D"/>
    <w:rsid w:val="00C82991"/>
    <w:rsid w:val="00C82D3B"/>
    <w:rsid w:val="00C82E04"/>
    <w:rsid w:val="00C83348"/>
    <w:rsid w:val="00C83E73"/>
    <w:rsid w:val="00C84C04"/>
    <w:rsid w:val="00C84E4B"/>
    <w:rsid w:val="00C854A8"/>
    <w:rsid w:val="00C855D2"/>
    <w:rsid w:val="00C85C37"/>
    <w:rsid w:val="00C85C4B"/>
    <w:rsid w:val="00C85CAE"/>
    <w:rsid w:val="00C86CFC"/>
    <w:rsid w:val="00C8732F"/>
    <w:rsid w:val="00C8752D"/>
    <w:rsid w:val="00C87BF3"/>
    <w:rsid w:val="00C90F76"/>
    <w:rsid w:val="00C919C0"/>
    <w:rsid w:val="00C924E1"/>
    <w:rsid w:val="00C926BF"/>
    <w:rsid w:val="00C92CD0"/>
    <w:rsid w:val="00C937D2"/>
    <w:rsid w:val="00C93CD0"/>
    <w:rsid w:val="00C940DC"/>
    <w:rsid w:val="00C94B2D"/>
    <w:rsid w:val="00C95DD2"/>
    <w:rsid w:val="00C96323"/>
    <w:rsid w:val="00C96918"/>
    <w:rsid w:val="00C97FA6"/>
    <w:rsid w:val="00CA0133"/>
    <w:rsid w:val="00CA0347"/>
    <w:rsid w:val="00CA0BB4"/>
    <w:rsid w:val="00CA2455"/>
    <w:rsid w:val="00CA25C5"/>
    <w:rsid w:val="00CA2728"/>
    <w:rsid w:val="00CA2AE8"/>
    <w:rsid w:val="00CA2D61"/>
    <w:rsid w:val="00CA335B"/>
    <w:rsid w:val="00CA336C"/>
    <w:rsid w:val="00CA37EB"/>
    <w:rsid w:val="00CA4132"/>
    <w:rsid w:val="00CA4186"/>
    <w:rsid w:val="00CA425D"/>
    <w:rsid w:val="00CA45F0"/>
    <w:rsid w:val="00CA5044"/>
    <w:rsid w:val="00CA5FD3"/>
    <w:rsid w:val="00CA5FF8"/>
    <w:rsid w:val="00CA63EB"/>
    <w:rsid w:val="00CA63F1"/>
    <w:rsid w:val="00CA6851"/>
    <w:rsid w:val="00CA6CAD"/>
    <w:rsid w:val="00CA6DFB"/>
    <w:rsid w:val="00CA6F1B"/>
    <w:rsid w:val="00CA7063"/>
    <w:rsid w:val="00CA7DB3"/>
    <w:rsid w:val="00CB04B6"/>
    <w:rsid w:val="00CB04CD"/>
    <w:rsid w:val="00CB0A43"/>
    <w:rsid w:val="00CB11F1"/>
    <w:rsid w:val="00CB1786"/>
    <w:rsid w:val="00CB1EB1"/>
    <w:rsid w:val="00CB24B2"/>
    <w:rsid w:val="00CB31F5"/>
    <w:rsid w:val="00CB37DF"/>
    <w:rsid w:val="00CB63AC"/>
    <w:rsid w:val="00CC08E5"/>
    <w:rsid w:val="00CC199C"/>
    <w:rsid w:val="00CC22D3"/>
    <w:rsid w:val="00CC246F"/>
    <w:rsid w:val="00CC26FF"/>
    <w:rsid w:val="00CC2910"/>
    <w:rsid w:val="00CC3A80"/>
    <w:rsid w:val="00CC3E05"/>
    <w:rsid w:val="00CC4818"/>
    <w:rsid w:val="00CC49C1"/>
    <w:rsid w:val="00CC6068"/>
    <w:rsid w:val="00CC65F8"/>
    <w:rsid w:val="00CC6967"/>
    <w:rsid w:val="00CC6A19"/>
    <w:rsid w:val="00CC7E5B"/>
    <w:rsid w:val="00CD0CC0"/>
    <w:rsid w:val="00CD10E0"/>
    <w:rsid w:val="00CD1340"/>
    <w:rsid w:val="00CD154C"/>
    <w:rsid w:val="00CD249F"/>
    <w:rsid w:val="00CD30FF"/>
    <w:rsid w:val="00CD353F"/>
    <w:rsid w:val="00CD37D2"/>
    <w:rsid w:val="00CD3B59"/>
    <w:rsid w:val="00CD3B5C"/>
    <w:rsid w:val="00CD3BFA"/>
    <w:rsid w:val="00CD43C4"/>
    <w:rsid w:val="00CD47B1"/>
    <w:rsid w:val="00CD6138"/>
    <w:rsid w:val="00CD61F1"/>
    <w:rsid w:val="00CD631D"/>
    <w:rsid w:val="00CD6AEB"/>
    <w:rsid w:val="00CD6BC5"/>
    <w:rsid w:val="00CD6DB7"/>
    <w:rsid w:val="00CD6DDF"/>
    <w:rsid w:val="00CD73E4"/>
    <w:rsid w:val="00CD7488"/>
    <w:rsid w:val="00CD74BC"/>
    <w:rsid w:val="00CE0A9B"/>
    <w:rsid w:val="00CE2330"/>
    <w:rsid w:val="00CE25F2"/>
    <w:rsid w:val="00CE2D40"/>
    <w:rsid w:val="00CE2E3D"/>
    <w:rsid w:val="00CE2E7F"/>
    <w:rsid w:val="00CE3486"/>
    <w:rsid w:val="00CE3E1E"/>
    <w:rsid w:val="00CE422E"/>
    <w:rsid w:val="00CE4267"/>
    <w:rsid w:val="00CE4970"/>
    <w:rsid w:val="00CE5C4C"/>
    <w:rsid w:val="00CE600A"/>
    <w:rsid w:val="00CE62D2"/>
    <w:rsid w:val="00CE633F"/>
    <w:rsid w:val="00CE6711"/>
    <w:rsid w:val="00CE6BF7"/>
    <w:rsid w:val="00CE6CDE"/>
    <w:rsid w:val="00CF0A89"/>
    <w:rsid w:val="00CF0FF3"/>
    <w:rsid w:val="00CF1248"/>
    <w:rsid w:val="00CF1415"/>
    <w:rsid w:val="00CF1C44"/>
    <w:rsid w:val="00CF1DB1"/>
    <w:rsid w:val="00CF205D"/>
    <w:rsid w:val="00CF23E0"/>
    <w:rsid w:val="00CF30C6"/>
    <w:rsid w:val="00CF35B3"/>
    <w:rsid w:val="00CF37F7"/>
    <w:rsid w:val="00CF3A9C"/>
    <w:rsid w:val="00CF40E6"/>
    <w:rsid w:val="00CF4E76"/>
    <w:rsid w:val="00CF542C"/>
    <w:rsid w:val="00CF5923"/>
    <w:rsid w:val="00CF680B"/>
    <w:rsid w:val="00CF6B87"/>
    <w:rsid w:val="00CF7309"/>
    <w:rsid w:val="00CF760A"/>
    <w:rsid w:val="00CF77F0"/>
    <w:rsid w:val="00D00269"/>
    <w:rsid w:val="00D006CE"/>
    <w:rsid w:val="00D00DEB"/>
    <w:rsid w:val="00D01D97"/>
    <w:rsid w:val="00D02506"/>
    <w:rsid w:val="00D02705"/>
    <w:rsid w:val="00D02882"/>
    <w:rsid w:val="00D02962"/>
    <w:rsid w:val="00D02AC6"/>
    <w:rsid w:val="00D02F0B"/>
    <w:rsid w:val="00D035AF"/>
    <w:rsid w:val="00D039A1"/>
    <w:rsid w:val="00D048BF"/>
    <w:rsid w:val="00D04BA2"/>
    <w:rsid w:val="00D051EC"/>
    <w:rsid w:val="00D052FB"/>
    <w:rsid w:val="00D053E0"/>
    <w:rsid w:val="00D05FFF"/>
    <w:rsid w:val="00D06D88"/>
    <w:rsid w:val="00D06FD0"/>
    <w:rsid w:val="00D0736B"/>
    <w:rsid w:val="00D07417"/>
    <w:rsid w:val="00D07614"/>
    <w:rsid w:val="00D0772A"/>
    <w:rsid w:val="00D079AE"/>
    <w:rsid w:val="00D07B28"/>
    <w:rsid w:val="00D07BFF"/>
    <w:rsid w:val="00D101C1"/>
    <w:rsid w:val="00D10385"/>
    <w:rsid w:val="00D1085B"/>
    <w:rsid w:val="00D108D2"/>
    <w:rsid w:val="00D109A5"/>
    <w:rsid w:val="00D111AF"/>
    <w:rsid w:val="00D11A25"/>
    <w:rsid w:val="00D11B44"/>
    <w:rsid w:val="00D11EC0"/>
    <w:rsid w:val="00D1298A"/>
    <w:rsid w:val="00D141EB"/>
    <w:rsid w:val="00D1459B"/>
    <w:rsid w:val="00D14758"/>
    <w:rsid w:val="00D14878"/>
    <w:rsid w:val="00D15416"/>
    <w:rsid w:val="00D15578"/>
    <w:rsid w:val="00D15D33"/>
    <w:rsid w:val="00D15DDA"/>
    <w:rsid w:val="00D15F08"/>
    <w:rsid w:val="00D16548"/>
    <w:rsid w:val="00D166F3"/>
    <w:rsid w:val="00D16836"/>
    <w:rsid w:val="00D16BBC"/>
    <w:rsid w:val="00D175D9"/>
    <w:rsid w:val="00D20968"/>
    <w:rsid w:val="00D20B99"/>
    <w:rsid w:val="00D20EFA"/>
    <w:rsid w:val="00D21172"/>
    <w:rsid w:val="00D212FA"/>
    <w:rsid w:val="00D219EE"/>
    <w:rsid w:val="00D21C2D"/>
    <w:rsid w:val="00D21E90"/>
    <w:rsid w:val="00D21FAF"/>
    <w:rsid w:val="00D22A67"/>
    <w:rsid w:val="00D22E1E"/>
    <w:rsid w:val="00D22EB5"/>
    <w:rsid w:val="00D230F3"/>
    <w:rsid w:val="00D232C7"/>
    <w:rsid w:val="00D23AF5"/>
    <w:rsid w:val="00D23FBC"/>
    <w:rsid w:val="00D254C8"/>
    <w:rsid w:val="00D25A73"/>
    <w:rsid w:val="00D266E5"/>
    <w:rsid w:val="00D27EC9"/>
    <w:rsid w:val="00D30DCB"/>
    <w:rsid w:val="00D31343"/>
    <w:rsid w:val="00D31580"/>
    <w:rsid w:val="00D31F92"/>
    <w:rsid w:val="00D32C4D"/>
    <w:rsid w:val="00D3342F"/>
    <w:rsid w:val="00D339D9"/>
    <w:rsid w:val="00D33BE3"/>
    <w:rsid w:val="00D33E6D"/>
    <w:rsid w:val="00D34216"/>
    <w:rsid w:val="00D3429A"/>
    <w:rsid w:val="00D34374"/>
    <w:rsid w:val="00D343D8"/>
    <w:rsid w:val="00D34B65"/>
    <w:rsid w:val="00D34CB6"/>
    <w:rsid w:val="00D34FF7"/>
    <w:rsid w:val="00D35459"/>
    <w:rsid w:val="00D363BE"/>
    <w:rsid w:val="00D367D4"/>
    <w:rsid w:val="00D37D56"/>
    <w:rsid w:val="00D37DA4"/>
    <w:rsid w:val="00D40163"/>
    <w:rsid w:val="00D4099A"/>
    <w:rsid w:val="00D40DC5"/>
    <w:rsid w:val="00D41844"/>
    <w:rsid w:val="00D42812"/>
    <w:rsid w:val="00D43273"/>
    <w:rsid w:val="00D4346A"/>
    <w:rsid w:val="00D43A70"/>
    <w:rsid w:val="00D43BD5"/>
    <w:rsid w:val="00D43CF4"/>
    <w:rsid w:val="00D443B7"/>
    <w:rsid w:val="00D44556"/>
    <w:rsid w:val="00D46146"/>
    <w:rsid w:val="00D46D0B"/>
    <w:rsid w:val="00D46DDD"/>
    <w:rsid w:val="00D47254"/>
    <w:rsid w:val="00D47D22"/>
    <w:rsid w:val="00D47DD1"/>
    <w:rsid w:val="00D47FDC"/>
    <w:rsid w:val="00D50CFD"/>
    <w:rsid w:val="00D50F80"/>
    <w:rsid w:val="00D51502"/>
    <w:rsid w:val="00D5191B"/>
    <w:rsid w:val="00D51D43"/>
    <w:rsid w:val="00D52046"/>
    <w:rsid w:val="00D52118"/>
    <w:rsid w:val="00D52496"/>
    <w:rsid w:val="00D5264E"/>
    <w:rsid w:val="00D52A73"/>
    <w:rsid w:val="00D53A71"/>
    <w:rsid w:val="00D55937"/>
    <w:rsid w:val="00D559A2"/>
    <w:rsid w:val="00D55E63"/>
    <w:rsid w:val="00D5601D"/>
    <w:rsid w:val="00D5668A"/>
    <w:rsid w:val="00D56C60"/>
    <w:rsid w:val="00D57521"/>
    <w:rsid w:val="00D601B0"/>
    <w:rsid w:val="00D611A6"/>
    <w:rsid w:val="00D61BC9"/>
    <w:rsid w:val="00D61CA6"/>
    <w:rsid w:val="00D620D6"/>
    <w:rsid w:val="00D6238E"/>
    <w:rsid w:val="00D628F1"/>
    <w:rsid w:val="00D63136"/>
    <w:rsid w:val="00D63242"/>
    <w:rsid w:val="00D636FB"/>
    <w:rsid w:val="00D63926"/>
    <w:rsid w:val="00D63B4D"/>
    <w:rsid w:val="00D64124"/>
    <w:rsid w:val="00D6475F"/>
    <w:rsid w:val="00D648D6"/>
    <w:rsid w:val="00D64C6C"/>
    <w:rsid w:val="00D65213"/>
    <w:rsid w:val="00D6538A"/>
    <w:rsid w:val="00D65961"/>
    <w:rsid w:val="00D659D7"/>
    <w:rsid w:val="00D65AE2"/>
    <w:rsid w:val="00D65FB5"/>
    <w:rsid w:val="00D66C5E"/>
    <w:rsid w:val="00D67AEF"/>
    <w:rsid w:val="00D67C73"/>
    <w:rsid w:val="00D67FC1"/>
    <w:rsid w:val="00D70A46"/>
    <w:rsid w:val="00D71401"/>
    <w:rsid w:val="00D71456"/>
    <w:rsid w:val="00D72B91"/>
    <w:rsid w:val="00D72C3D"/>
    <w:rsid w:val="00D72E61"/>
    <w:rsid w:val="00D73537"/>
    <w:rsid w:val="00D737CB"/>
    <w:rsid w:val="00D73FFC"/>
    <w:rsid w:val="00D75211"/>
    <w:rsid w:val="00D757E4"/>
    <w:rsid w:val="00D75ABE"/>
    <w:rsid w:val="00D75E45"/>
    <w:rsid w:val="00D76377"/>
    <w:rsid w:val="00D766D2"/>
    <w:rsid w:val="00D76ED6"/>
    <w:rsid w:val="00D77493"/>
    <w:rsid w:val="00D7767F"/>
    <w:rsid w:val="00D779B3"/>
    <w:rsid w:val="00D77BEF"/>
    <w:rsid w:val="00D816D2"/>
    <w:rsid w:val="00D81B4A"/>
    <w:rsid w:val="00D81CE5"/>
    <w:rsid w:val="00D8211D"/>
    <w:rsid w:val="00D821C1"/>
    <w:rsid w:val="00D82F7B"/>
    <w:rsid w:val="00D83D60"/>
    <w:rsid w:val="00D84156"/>
    <w:rsid w:val="00D84F74"/>
    <w:rsid w:val="00D85598"/>
    <w:rsid w:val="00D86F68"/>
    <w:rsid w:val="00D871CF"/>
    <w:rsid w:val="00D875DE"/>
    <w:rsid w:val="00D8772C"/>
    <w:rsid w:val="00D87929"/>
    <w:rsid w:val="00D87CB9"/>
    <w:rsid w:val="00D9050F"/>
    <w:rsid w:val="00D90E48"/>
    <w:rsid w:val="00D91B0A"/>
    <w:rsid w:val="00D91E65"/>
    <w:rsid w:val="00D91F37"/>
    <w:rsid w:val="00D92239"/>
    <w:rsid w:val="00D935B2"/>
    <w:rsid w:val="00D93C23"/>
    <w:rsid w:val="00D93FD0"/>
    <w:rsid w:val="00D952BC"/>
    <w:rsid w:val="00D95950"/>
    <w:rsid w:val="00D962B7"/>
    <w:rsid w:val="00D96DAC"/>
    <w:rsid w:val="00D97441"/>
    <w:rsid w:val="00D978B3"/>
    <w:rsid w:val="00D97945"/>
    <w:rsid w:val="00D97B68"/>
    <w:rsid w:val="00D97CDD"/>
    <w:rsid w:val="00D97DA3"/>
    <w:rsid w:val="00DA0585"/>
    <w:rsid w:val="00DA09FD"/>
    <w:rsid w:val="00DA120A"/>
    <w:rsid w:val="00DA124B"/>
    <w:rsid w:val="00DA20E9"/>
    <w:rsid w:val="00DA23FD"/>
    <w:rsid w:val="00DA3037"/>
    <w:rsid w:val="00DA384B"/>
    <w:rsid w:val="00DA4515"/>
    <w:rsid w:val="00DA4A88"/>
    <w:rsid w:val="00DA4C3A"/>
    <w:rsid w:val="00DA4F87"/>
    <w:rsid w:val="00DA5AC1"/>
    <w:rsid w:val="00DA5AFA"/>
    <w:rsid w:val="00DA6E5B"/>
    <w:rsid w:val="00DA6E5E"/>
    <w:rsid w:val="00DA6F30"/>
    <w:rsid w:val="00DA7911"/>
    <w:rsid w:val="00DA7D03"/>
    <w:rsid w:val="00DB02C6"/>
    <w:rsid w:val="00DB1916"/>
    <w:rsid w:val="00DB19DA"/>
    <w:rsid w:val="00DB2033"/>
    <w:rsid w:val="00DB26DC"/>
    <w:rsid w:val="00DB2D73"/>
    <w:rsid w:val="00DB304D"/>
    <w:rsid w:val="00DB31D7"/>
    <w:rsid w:val="00DB3417"/>
    <w:rsid w:val="00DB3EAE"/>
    <w:rsid w:val="00DB48B7"/>
    <w:rsid w:val="00DB56F5"/>
    <w:rsid w:val="00DB63FB"/>
    <w:rsid w:val="00DB6762"/>
    <w:rsid w:val="00DB6BB4"/>
    <w:rsid w:val="00DB71AD"/>
    <w:rsid w:val="00DB71C7"/>
    <w:rsid w:val="00DB7977"/>
    <w:rsid w:val="00DB7A42"/>
    <w:rsid w:val="00DC0614"/>
    <w:rsid w:val="00DC0FE4"/>
    <w:rsid w:val="00DC171C"/>
    <w:rsid w:val="00DC174C"/>
    <w:rsid w:val="00DC19A9"/>
    <w:rsid w:val="00DC2431"/>
    <w:rsid w:val="00DC2E61"/>
    <w:rsid w:val="00DC32E7"/>
    <w:rsid w:val="00DC35BA"/>
    <w:rsid w:val="00DC37C6"/>
    <w:rsid w:val="00DC430A"/>
    <w:rsid w:val="00DC4618"/>
    <w:rsid w:val="00DC47AD"/>
    <w:rsid w:val="00DC4920"/>
    <w:rsid w:val="00DC4EA4"/>
    <w:rsid w:val="00DC502F"/>
    <w:rsid w:val="00DC5943"/>
    <w:rsid w:val="00DC6690"/>
    <w:rsid w:val="00DC688E"/>
    <w:rsid w:val="00DC696D"/>
    <w:rsid w:val="00DC70B3"/>
    <w:rsid w:val="00DC76CF"/>
    <w:rsid w:val="00DC7A36"/>
    <w:rsid w:val="00DD0406"/>
    <w:rsid w:val="00DD044D"/>
    <w:rsid w:val="00DD18AF"/>
    <w:rsid w:val="00DD1E30"/>
    <w:rsid w:val="00DD1E32"/>
    <w:rsid w:val="00DD1EDB"/>
    <w:rsid w:val="00DD1F18"/>
    <w:rsid w:val="00DD2499"/>
    <w:rsid w:val="00DD26D7"/>
    <w:rsid w:val="00DD3AE9"/>
    <w:rsid w:val="00DD3C96"/>
    <w:rsid w:val="00DD48A3"/>
    <w:rsid w:val="00DD4BAB"/>
    <w:rsid w:val="00DD4FB9"/>
    <w:rsid w:val="00DD5ED9"/>
    <w:rsid w:val="00DD5EEC"/>
    <w:rsid w:val="00DD6B63"/>
    <w:rsid w:val="00DD714E"/>
    <w:rsid w:val="00DD7167"/>
    <w:rsid w:val="00DD7DE0"/>
    <w:rsid w:val="00DD7E68"/>
    <w:rsid w:val="00DE05A8"/>
    <w:rsid w:val="00DE0993"/>
    <w:rsid w:val="00DE0D44"/>
    <w:rsid w:val="00DE151E"/>
    <w:rsid w:val="00DE1E2E"/>
    <w:rsid w:val="00DE2A9A"/>
    <w:rsid w:val="00DE3DCB"/>
    <w:rsid w:val="00DE3E39"/>
    <w:rsid w:val="00DE3F52"/>
    <w:rsid w:val="00DE43D9"/>
    <w:rsid w:val="00DE480C"/>
    <w:rsid w:val="00DE602E"/>
    <w:rsid w:val="00DE627F"/>
    <w:rsid w:val="00DE695B"/>
    <w:rsid w:val="00DE6F42"/>
    <w:rsid w:val="00DE6F6F"/>
    <w:rsid w:val="00DE7098"/>
    <w:rsid w:val="00DE76E2"/>
    <w:rsid w:val="00DE7782"/>
    <w:rsid w:val="00DE7D01"/>
    <w:rsid w:val="00DE7F39"/>
    <w:rsid w:val="00DF07B7"/>
    <w:rsid w:val="00DF0A98"/>
    <w:rsid w:val="00DF1344"/>
    <w:rsid w:val="00DF2177"/>
    <w:rsid w:val="00DF2480"/>
    <w:rsid w:val="00DF2BA5"/>
    <w:rsid w:val="00DF2EC3"/>
    <w:rsid w:val="00DF4209"/>
    <w:rsid w:val="00DF4800"/>
    <w:rsid w:val="00DF4BFF"/>
    <w:rsid w:val="00DF5146"/>
    <w:rsid w:val="00DF52DE"/>
    <w:rsid w:val="00DF53FC"/>
    <w:rsid w:val="00DF584F"/>
    <w:rsid w:val="00DF6099"/>
    <w:rsid w:val="00DF68BD"/>
    <w:rsid w:val="00DF6E21"/>
    <w:rsid w:val="00DF6E49"/>
    <w:rsid w:val="00DF6F72"/>
    <w:rsid w:val="00DF76B0"/>
    <w:rsid w:val="00DF7C98"/>
    <w:rsid w:val="00DF7D56"/>
    <w:rsid w:val="00DF7FED"/>
    <w:rsid w:val="00E006CF"/>
    <w:rsid w:val="00E008E1"/>
    <w:rsid w:val="00E00A57"/>
    <w:rsid w:val="00E015DA"/>
    <w:rsid w:val="00E016E6"/>
    <w:rsid w:val="00E01D4E"/>
    <w:rsid w:val="00E021FD"/>
    <w:rsid w:val="00E03150"/>
    <w:rsid w:val="00E0378D"/>
    <w:rsid w:val="00E03AD2"/>
    <w:rsid w:val="00E041A7"/>
    <w:rsid w:val="00E042F2"/>
    <w:rsid w:val="00E0431B"/>
    <w:rsid w:val="00E04531"/>
    <w:rsid w:val="00E0455D"/>
    <w:rsid w:val="00E04FAA"/>
    <w:rsid w:val="00E051C3"/>
    <w:rsid w:val="00E05375"/>
    <w:rsid w:val="00E05724"/>
    <w:rsid w:val="00E057DC"/>
    <w:rsid w:val="00E05A21"/>
    <w:rsid w:val="00E05EF2"/>
    <w:rsid w:val="00E06ADC"/>
    <w:rsid w:val="00E06E35"/>
    <w:rsid w:val="00E06F36"/>
    <w:rsid w:val="00E07750"/>
    <w:rsid w:val="00E0796F"/>
    <w:rsid w:val="00E07FB6"/>
    <w:rsid w:val="00E104EC"/>
    <w:rsid w:val="00E105C3"/>
    <w:rsid w:val="00E10648"/>
    <w:rsid w:val="00E10E60"/>
    <w:rsid w:val="00E10F02"/>
    <w:rsid w:val="00E10F61"/>
    <w:rsid w:val="00E1194B"/>
    <w:rsid w:val="00E1247E"/>
    <w:rsid w:val="00E1282D"/>
    <w:rsid w:val="00E1326B"/>
    <w:rsid w:val="00E1330F"/>
    <w:rsid w:val="00E134C0"/>
    <w:rsid w:val="00E1404A"/>
    <w:rsid w:val="00E14396"/>
    <w:rsid w:val="00E145BB"/>
    <w:rsid w:val="00E14BAD"/>
    <w:rsid w:val="00E151BD"/>
    <w:rsid w:val="00E16ABE"/>
    <w:rsid w:val="00E16AD6"/>
    <w:rsid w:val="00E16E90"/>
    <w:rsid w:val="00E172ED"/>
    <w:rsid w:val="00E203ED"/>
    <w:rsid w:val="00E203F6"/>
    <w:rsid w:val="00E21203"/>
    <w:rsid w:val="00E2163B"/>
    <w:rsid w:val="00E227DB"/>
    <w:rsid w:val="00E22B4B"/>
    <w:rsid w:val="00E22B9C"/>
    <w:rsid w:val="00E23562"/>
    <w:rsid w:val="00E2379D"/>
    <w:rsid w:val="00E23C28"/>
    <w:rsid w:val="00E240C9"/>
    <w:rsid w:val="00E2423C"/>
    <w:rsid w:val="00E24421"/>
    <w:rsid w:val="00E24AED"/>
    <w:rsid w:val="00E24B0D"/>
    <w:rsid w:val="00E24CD8"/>
    <w:rsid w:val="00E254D3"/>
    <w:rsid w:val="00E257A2"/>
    <w:rsid w:val="00E257C5"/>
    <w:rsid w:val="00E26342"/>
    <w:rsid w:val="00E2781B"/>
    <w:rsid w:val="00E27895"/>
    <w:rsid w:val="00E27AF8"/>
    <w:rsid w:val="00E27C67"/>
    <w:rsid w:val="00E27DA0"/>
    <w:rsid w:val="00E30225"/>
    <w:rsid w:val="00E310EC"/>
    <w:rsid w:val="00E31885"/>
    <w:rsid w:val="00E321D0"/>
    <w:rsid w:val="00E3250A"/>
    <w:rsid w:val="00E3256E"/>
    <w:rsid w:val="00E325F1"/>
    <w:rsid w:val="00E32622"/>
    <w:rsid w:val="00E3264D"/>
    <w:rsid w:val="00E32781"/>
    <w:rsid w:val="00E336DD"/>
    <w:rsid w:val="00E338F0"/>
    <w:rsid w:val="00E3486A"/>
    <w:rsid w:val="00E34AB4"/>
    <w:rsid w:val="00E34C58"/>
    <w:rsid w:val="00E34D40"/>
    <w:rsid w:val="00E34D92"/>
    <w:rsid w:val="00E356FA"/>
    <w:rsid w:val="00E35D17"/>
    <w:rsid w:val="00E363E3"/>
    <w:rsid w:val="00E36470"/>
    <w:rsid w:val="00E3720E"/>
    <w:rsid w:val="00E37AC2"/>
    <w:rsid w:val="00E37C83"/>
    <w:rsid w:val="00E4028B"/>
    <w:rsid w:val="00E408A1"/>
    <w:rsid w:val="00E414AA"/>
    <w:rsid w:val="00E4175F"/>
    <w:rsid w:val="00E41D94"/>
    <w:rsid w:val="00E4299E"/>
    <w:rsid w:val="00E42FF1"/>
    <w:rsid w:val="00E4349F"/>
    <w:rsid w:val="00E43F08"/>
    <w:rsid w:val="00E44AC5"/>
    <w:rsid w:val="00E4523A"/>
    <w:rsid w:val="00E4537B"/>
    <w:rsid w:val="00E45673"/>
    <w:rsid w:val="00E45FFC"/>
    <w:rsid w:val="00E46001"/>
    <w:rsid w:val="00E46884"/>
    <w:rsid w:val="00E469CB"/>
    <w:rsid w:val="00E47886"/>
    <w:rsid w:val="00E47BB1"/>
    <w:rsid w:val="00E47E24"/>
    <w:rsid w:val="00E504D0"/>
    <w:rsid w:val="00E50F55"/>
    <w:rsid w:val="00E510A8"/>
    <w:rsid w:val="00E511CB"/>
    <w:rsid w:val="00E512B8"/>
    <w:rsid w:val="00E515C6"/>
    <w:rsid w:val="00E516BC"/>
    <w:rsid w:val="00E517CD"/>
    <w:rsid w:val="00E52AEA"/>
    <w:rsid w:val="00E52EEB"/>
    <w:rsid w:val="00E53886"/>
    <w:rsid w:val="00E53C5E"/>
    <w:rsid w:val="00E53E23"/>
    <w:rsid w:val="00E5431B"/>
    <w:rsid w:val="00E544D6"/>
    <w:rsid w:val="00E54BB4"/>
    <w:rsid w:val="00E5579B"/>
    <w:rsid w:val="00E5601A"/>
    <w:rsid w:val="00E565D1"/>
    <w:rsid w:val="00E56C64"/>
    <w:rsid w:val="00E56EA7"/>
    <w:rsid w:val="00E5744F"/>
    <w:rsid w:val="00E604DD"/>
    <w:rsid w:val="00E60556"/>
    <w:rsid w:val="00E608C7"/>
    <w:rsid w:val="00E608EA"/>
    <w:rsid w:val="00E61567"/>
    <w:rsid w:val="00E619CF"/>
    <w:rsid w:val="00E61B64"/>
    <w:rsid w:val="00E61E79"/>
    <w:rsid w:val="00E62202"/>
    <w:rsid w:val="00E62D33"/>
    <w:rsid w:val="00E62E67"/>
    <w:rsid w:val="00E630A9"/>
    <w:rsid w:val="00E632F5"/>
    <w:rsid w:val="00E6345D"/>
    <w:rsid w:val="00E63558"/>
    <w:rsid w:val="00E63D2E"/>
    <w:rsid w:val="00E64BEE"/>
    <w:rsid w:val="00E6578C"/>
    <w:rsid w:val="00E65A49"/>
    <w:rsid w:val="00E65A4D"/>
    <w:rsid w:val="00E65AAB"/>
    <w:rsid w:val="00E65CB9"/>
    <w:rsid w:val="00E665F3"/>
    <w:rsid w:val="00E6660E"/>
    <w:rsid w:val="00E67450"/>
    <w:rsid w:val="00E677E3"/>
    <w:rsid w:val="00E7030B"/>
    <w:rsid w:val="00E70340"/>
    <w:rsid w:val="00E70E4E"/>
    <w:rsid w:val="00E71215"/>
    <w:rsid w:val="00E72B67"/>
    <w:rsid w:val="00E72E3B"/>
    <w:rsid w:val="00E74878"/>
    <w:rsid w:val="00E74AD5"/>
    <w:rsid w:val="00E76344"/>
    <w:rsid w:val="00E77696"/>
    <w:rsid w:val="00E779AB"/>
    <w:rsid w:val="00E77A37"/>
    <w:rsid w:val="00E8063E"/>
    <w:rsid w:val="00E8064F"/>
    <w:rsid w:val="00E8069B"/>
    <w:rsid w:val="00E80981"/>
    <w:rsid w:val="00E809E7"/>
    <w:rsid w:val="00E80A78"/>
    <w:rsid w:val="00E80CAC"/>
    <w:rsid w:val="00E81314"/>
    <w:rsid w:val="00E81F21"/>
    <w:rsid w:val="00E81F57"/>
    <w:rsid w:val="00E826AB"/>
    <w:rsid w:val="00E8283D"/>
    <w:rsid w:val="00E828B7"/>
    <w:rsid w:val="00E82D19"/>
    <w:rsid w:val="00E832EC"/>
    <w:rsid w:val="00E83742"/>
    <w:rsid w:val="00E83973"/>
    <w:rsid w:val="00E83E1E"/>
    <w:rsid w:val="00E83FB0"/>
    <w:rsid w:val="00E84DC7"/>
    <w:rsid w:val="00E85C33"/>
    <w:rsid w:val="00E85E2B"/>
    <w:rsid w:val="00E86036"/>
    <w:rsid w:val="00E861A7"/>
    <w:rsid w:val="00E87007"/>
    <w:rsid w:val="00E8741B"/>
    <w:rsid w:val="00E8779A"/>
    <w:rsid w:val="00E87E13"/>
    <w:rsid w:val="00E87F6E"/>
    <w:rsid w:val="00E90224"/>
    <w:rsid w:val="00E906DB"/>
    <w:rsid w:val="00E909CC"/>
    <w:rsid w:val="00E90AE0"/>
    <w:rsid w:val="00E90D3E"/>
    <w:rsid w:val="00E90EE5"/>
    <w:rsid w:val="00E912D0"/>
    <w:rsid w:val="00E9159B"/>
    <w:rsid w:val="00E91D47"/>
    <w:rsid w:val="00E922BC"/>
    <w:rsid w:val="00E9251F"/>
    <w:rsid w:val="00E92820"/>
    <w:rsid w:val="00E93216"/>
    <w:rsid w:val="00E9346D"/>
    <w:rsid w:val="00E936A7"/>
    <w:rsid w:val="00E937BD"/>
    <w:rsid w:val="00E94081"/>
    <w:rsid w:val="00E943C5"/>
    <w:rsid w:val="00E94A43"/>
    <w:rsid w:val="00E94E6A"/>
    <w:rsid w:val="00E95445"/>
    <w:rsid w:val="00E9589B"/>
    <w:rsid w:val="00E95F32"/>
    <w:rsid w:val="00E96099"/>
    <w:rsid w:val="00E96483"/>
    <w:rsid w:val="00E96A46"/>
    <w:rsid w:val="00E9734E"/>
    <w:rsid w:val="00E97C20"/>
    <w:rsid w:val="00EA0020"/>
    <w:rsid w:val="00EA08E3"/>
    <w:rsid w:val="00EA172D"/>
    <w:rsid w:val="00EA18D1"/>
    <w:rsid w:val="00EA222C"/>
    <w:rsid w:val="00EA258D"/>
    <w:rsid w:val="00EA2CF5"/>
    <w:rsid w:val="00EA4033"/>
    <w:rsid w:val="00EA4D31"/>
    <w:rsid w:val="00EA5001"/>
    <w:rsid w:val="00EA6D56"/>
    <w:rsid w:val="00EA6F86"/>
    <w:rsid w:val="00EA7204"/>
    <w:rsid w:val="00EA72B4"/>
    <w:rsid w:val="00EA75D1"/>
    <w:rsid w:val="00EA79C1"/>
    <w:rsid w:val="00EA7D4E"/>
    <w:rsid w:val="00EB00D6"/>
    <w:rsid w:val="00EB0347"/>
    <w:rsid w:val="00EB0722"/>
    <w:rsid w:val="00EB146E"/>
    <w:rsid w:val="00EB1AC4"/>
    <w:rsid w:val="00EB1E5D"/>
    <w:rsid w:val="00EB2703"/>
    <w:rsid w:val="00EB2B00"/>
    <w:rsid w:val="00EB38C9"/>
    <w:rsid w:val="00EB423E"/>
    <w:rsid w:val="00EB4783"/>
    <w:rsid w:val="00EB47ED"/>
    <w:rsid w:val="00EB4877"/>
    <w:rsid w:val="00EB4D55"/>
    <w:rsid w:val="00EB4FBD"/>
    <w:rsid w:val="00EB61E8"/>
    <w:rsid w:val="00EB62B0"/>
    <w:rsid w:val="00EB62F3"/>
    <w:rsid w:val="00EB6945"/>
    <w:rsid w:val="00EB69AF"/>
    <w:rsid w:val="00EB6AE8"/>
    <w:rsid w:val="00EB6F5C"/>
    <w:rsid w:val="00EB726B"/>
    <w:rsid w:val="00EB7342"/>
    <w:rsid w:val="00EB7BC8"/>
    <w:rsid w:val="00EC0235"/>
    <w:rsid w:val="00EC200F"/>
    <w:rsid w:val="00EC2739"/>
    <w:rsid w:val="00EC326B"/>
    <w:rsid w:val="00EC332C"/>
    <w:rsid w:val="00EC3E6A"/>
    <w:rsid w:val="00EC40E7"/>
    <w:rsid w:val="00EC45C0"/>
    <w:rsid w:val="00EC4F10"/>
    <w:rsid w:val="00EC4FB8"/>
    <w:rsid w:val="00EC66DF"/>
    <w:rsid w:val="00EC6D8A"/>
    <w:rsid w:val="00EC70F3"/>
    <w:rsid w:val="00EC7B9F"/>
    <w:rsid w:val="00ED0E85"/>
    <w:rsid w:val="00ED10E6"/>
    <w:rsid w:val="00ED1BC5"/>
    <w:rsid w:val="00ED2C81"/>
    <w:rsid w:val="00ED3039"/>
    <w:rsid w:val="00ED320C"/>
    <w:rsid w:val="00ED33A6"/>
    <w:rsid w:val="00ED3B06"/>
    <w:rsid w:val="00ED3CB9"/>
    <w:rsid w:val="00ED3DFE"/>
    <w:rsid w:val="00ED4636"/>
    <w:rsid w:val="00ED4674"/>
    <w:rsid w:val="00ED47FA"/>
    <w:rsid w:val="00ED4926"/>
    <w:rsid w:val="00ED49EF"/>
    <w:rsid w:val="00ED4E44"/>
    <w:rsid w:val="00ED4E99"/>
    <w:rsid w:val="00ED562B"/>
    <w:rsid w:val="00ED5A98"/>
    <w:rsid w:val="00ED5CA3"/>
    <w:rsid w:val="00ED5FA2"/>
    <w:rsid w:val="00ED60D4"/>
    <w:rsid w:val="00ED695A"/>
    <w:rsid w:val="00ED6E18"/>
    <w:rsid w:val="00ED7289"/>
    <w:rsid w:val="00ED73BF"/>
    <w:rsid w:val="00ED7988"/>
    <w:rsid w:val="00ED7BB8"/>
    <w:rsid w:val="00ED7F32"/>
    <w:rsid w:val="00EE0147"/>
    <w:rsid w:val="00EE01D9"/>
    <w:rsid w:val="00EE0928"/>
    <w:rsid w:val="00EE170D"/>
    <w:rsid w:val="00EE1751"/>
    <w:rsid w:val="00EE18A4"/>
    <w:rsid w:val="00EE23E0"/>
    <w:rsid w:val="00EE2759"/>
    <w:rsid w:val="00EE298B"/>
    <w:rsid w:val="00EE2F5C"/>
    <w:rsid w:val="00EE2F9A"/>
    <w:rsid w:val="00EE3124"/>
    <w:rsid w:val="00EE347F"/>
    <w:rsid w:val="00EE3579"/>
    <w:rsid w:val="00EE3A03"/>
    <w:rsid w:val="00EE3BCE"/>
    <w:rsid w:val="00EE5250"/>
    <w:rsid w:val="00EE5EB2"/>
    <w:rsid w:val="00EE6357"/>
    <w:rsid w:val="00EE6598"/>
    <w:rsid w:val="00EE6637"/>
    <w:rsid w:val="00EE7023"/>
    <w:rsid w:val="00EE7DEC"/>
    <w:rsid w:val="00EE7E9F"/>
    <w:rsid w:val="00EE7F3F"/>
    <w:rsid w:val="00EF03E0"/>
    <w:rsid w:val="00EF0807"/>
    <w:rsid w:val="00EF0814"/>
    <w:rsid w:val="00EF1976"/>
    <w:rsid w:val="00EF1E7D"/>
    <w:rsid w:val="00EF23F3"/>
    <w:rsid w:val="00EF2A31"/>
    <w:rsid w:val="00EF2ED1"/>
    <w:rsid w:val="00EF3256"/>
    <w:rsid w:val="00EF3711"/>
    <w:rsid w:val="00EF3C26"/>
    <w:rsid w:val="00EF44B0"/>
    <w:rsid w:val="00EF46E4"/>
    <w:rsid w:val="00EF4E1C"/>
    <w:rsid w:val="00EF54E5"/>
    <w:rsid w:val="00EF5645"/>
    <w:rsid w:val="00EF5F1D"/>
    <w:rsid w:val="00EF7764"/>
    <w:rsid w:val="00F000B9"/>
    <w:rsid w:val="00F00BFF"/>
    <w:rsid w:val="00F01112"/>
    <w:rsid w:val="00F012E1"/>
    <w:rsid w:val="00F0137E"/>
    <w:rsid w:val="00F0142B"/>
    <w:rsid w:val="00F01952"/>
    <w:rsid w:val="00F01BC2"/>
    <w:rsid w:val="00F020C5"/>
    <w:rsid w:val="00F02114"/>
    <w:rsid w:val="00F027C3"/>
    <w:rsid w:val="00F02F18"/>
    <w:rsid w:val="00F04321"/>
    <w:rsid w:val="00F04A21"/>
    <w:rsid w:val="00F05411"/>
    <w:rsid w:val="00F055FE"/>
    <w:rsid w:val="00F05D45"/>
    <w:rsid w:val="00F05E5D"/>
    <w:rsid w:val="00F06776"/>
    <w:rsid w:val="00F06B51"/>
    <w:rsid w:val="00F07083"/>
    <w:rsid w:val="00F0723E"/>
    <w:rsid w:val="00F0757F"/>
    <w:rsid w:val="00F07850"/>
    <w:rsid w:val="00F07972"/>
    <w:rsid w:val="00F07B2B"/>
    <w:rsid w:val="00F07C82"/>
    <w:rsid w:val="00F07CF1"/>
    <w:rsid w:val="00F07D13"/>
    <w:rsid w:val="00F07DF9"/>
    <w:rsid w:val="00F10EB6"/>
    <w:rsid w:val="00F112B9"/>
    <w:rsid w:val="00F11774"/>
    <w:rsid w:val="00F11F34"/>
    <w:rsid w:val="00F129FA"/>
    <w:rsid w:val="00F12FCD"/>
    <w:rsid w:val="00F14C5B"/>
    <w:rsid w:val="00F14DE0"/>
    <w:rsid w:val="00F15971"/>
    <w:rsid w:val="00F15A89"/>
    <w:rsid w:val="00F15D2F"/>
    <w:rsid w:val="00F15F4A"/>
    <w:rsid w:val="00F17844"/>
    <w:rsid w:val="00F201BF"/>
    <w:rsid w:val="00F20486"/>
    <w:rsid w:val="00F207D3"/>
    <w:rsid w:val="00F207DD"/>
    <w:rsid w:val="00F20A1C"/>
    <w:rsid w:val="00F21044"/>
    <w:rsid w:val="00F213FA"/>
    <w:rsid w:val="00F214A9"/>
    <w:rsid w:val="00F2189E"/>
    <w:rsid w:val="00F21DDB"/>
    <w:rsid w:val="00F21E3D"/>
    <w:rsid w:val="00F21E71"/>
    <w:rsid w:val="00F21FF4"/>
    <w:rsid w:val="00F2225A"/>
    <w:rsid w:val="00F22AEB"/>
    <w:rsid w:val="00F23221"/>
    <w:rsid w:val="00F23264"/>
    <w:rsid w:val="00F23EEE"/>
    <w:rsid w:val="00F243A9"/>
    <w:rsid w:val="00F24CB5"/>
    <w:rsid w:val="00F24CE9"/>
    <w:rsid w:val="00F25226"/>
    <w:rsid w:val="00F27076"/>
    <w:rsid w:val="00F2707F"/>
    <w:rsid w:val="00F27099"/>
    <w:rsid w:val="00F305B5"/>
    <w:rsid w:val="00F31325"/>
    <w:rsid w:val="00F313BE"/>
    <w:rsid w:val="00F317FE"/>
    <w:rsid w:val="00F31817"/>
    <w:rsid w:val="00F31C1F"/>
    <w:rsid w:val="00F32298"/>
    <w:rsid w:val="00F3255B"/>
    <w:rsid w:val="00F32D00"/>
    <w:rsid w:val="00F33125"/>
    <w:rsid w:val="00F3378A"/>
    <w:rsid w:val="00F340C8"/>
    <w:rsid w:val="00F34155"/>
    <w:rsid w:val="00F34372"/>
    <w:rsid w:val="00F34827"/>
    <w:rsid w:val="00F34A80"/>
    <w:rsid w:val="00F34E8A"/>
    <w:rsid w:val="00F3549D"/>
    <w:rsid w:val="00F356AF"/>
    <w:rsid w:val="00F362F0"/>
    <w:rsid w:val="00F37193"/>
    <w:rsid w:val="00F372EF"/>
    <w:rsid w:val="00F3754C"/>
    <w:rsid w:val="00F3754D"/>
    <w:rsid w:val="00F3787B"/>
    <w:rsid w:val="00F40558"/>
    <w:rsid w:val="00F406C2"/>
    <w:rsid w:val="00F40783"/>
    <w:rsid w:val="00F41498"/>
    <w:rsid w:val="00F42381"/>
    <w:rsid w:val="00F4363C"/>
    <w:rsid w:val="00F436B0"/>
    <w:rsid w:val="00F43B0E"/>
    <w:rsid w:val="00F43DE4"/>
    <w:rsid w:val="00F44224"/>
    <w:rsid w:val="00F44665"/>
    <w:rsid w:val="00F45162"/>
    <w:rsid w:val="00F45494"/>
    <w:rsid w:val="00F45735"/>
    <w:rsid w:val="00F45835"/>
    <w:rsid w:val="00F473BC"/>
    <w:rsid w:val="00F47EC8"/>
    <w:rsid w:val="00F50E7A"/>
    <w:rsid w:val="00F51590"/>
    <w:rsid w:val="00F521E3"/>
    <w:rsid w:val="00F5296F"/>
    <w:rsid w:val="00F53F33"/>
    <w:rsid w:val="00F53F8E"/>
    <w:rsid w:val="00F556A1"/>
    <w:rsid w:val="00F55802"/>
    <w:rsid w:val="00F560D4"/>
    <w:rsid w:val="00F56145"/>
    <w:rsid w:val="00F56CBC"/>
    <w:rsid w:val="00F57651"/>
    <w:rsid w:val="00F57A6A"/>
    <w:rsid w:val="00F60E28"/>
    <w:rsid w:val="00F6127D"/>
    <w:rsid w:val="00F615AE"/>
    <w:rsid w:val="00F6171E"/>
    <w:rsid w:val="00F624F3"/>
    <w:rsid w:val="00F62A5A"/>
    <w:rsid w:val="00F62BC4"/>
    <w:rsid w:val="00F62C80"/>
    <w:rsid w:val="00F63008"/>
    <w:rsid w:val="00F6367C"/>
    <w:rsid w:val="00F63B96"/>
    <w:rsid w:val="00F63EFC"/>
    <w:rsid w:val="00F63FB6"/>
    <w:rsid w:val="00F64582"/>
    <w:rsid w:val="00F6537D"/>
    <w:rsid w:val="00F655FD"/>
    <w:rsid w:val="00F6587F"/>
    <w:rsid w:val="00F65EDA"/>
    <w:rsid w:val="00F6660D"/>
    <w:rsid w:val="00F6669E"/>
    <w:rsid w:val="00F668BC"/>
    <w:rsid w:val="00F66A53"/>
    <w:rsid w:val="00F66BB5"/>
    <w:rsid w:val="00F66D8E"/>
    <w:rsid w:val="00F66E71"/>
    <w:rsid w:val="00F6710B"/>
    <w:rsid w:val="00F67E1F"/>
    <w:rsid w:val="00F70301"/>
    <w:rsid w:val="00F7077E"/>
    <w:rsid w:val="00F7156B"/>
    <w:rsid w:val="00F715FB"/>
    <w:rsid w:val="00F71FBA"/>
    <w:rsid w:val="00F72105"/>
    <w:rsid w:val="00F722AD"/>
    <w:rsid w:val="00F72A6F"/>
    <w:rsid w:val="00F72B66"/>
    <w:rsid w:val="00F72C01"/>
    <w:rsid w:val="00F72CA9"/>
    <w:rsid w:val="00F72DD3"/>
    <w:rsid w:val="00F72FAA"/>
    <w:rsid w:val="00F73384"/>
    <w:rsid w:val="00F73529"/>
    <w:rsid w:val="00F7547F"/>
    <w:rsid w:val="00F75B6C"/>
    <w:rsid w:val="00F75BEF"/>
    <w:rsid w:val="00F75D01"/>
    <w:rsid w:val="00F75EE0"/>
    <w:rsid w:val="00F76418"/>
    <w:rsid w:val="00F76A49"/>
    <w:rsid w:val="00F76AE1"/>
    <w:rsid w:val="00F76DDF"/>
    <w:rsid w:val="00F77479"/>
    <w:rsid w:val="00F8056A"/>
    <w:rsid w:val="00F80F94"/>
    <w:rsid w:val="00F81BD5"/>
    <w:rsid w:val="00F81CC2"/>
    <w:rsid w:val="00F81E04"/>
    <w:rsid w:val="00F82A22"/>
    <w:rsid w:val="00F82AE7"/>
    <w:rsid w:val="00F82C8A"/>
    <w:rsid w:val="00F82D1A"/>
    <w:rsid w:val="00F82DBF"/>
    <w:rsid w:val="00F83152"/>
    <w:rsid w:val="00F83486"/>
    <w:rsid w:val="00F838B1"/>
    <w:rsid w:val="00F83AF2"/>
    <w:rsid w:val="00F8482D"/>
    <w:rsid w:val="00F84DD6"/>
    <w:rsid w:val="00F84E65"/>
    <w:rsid w:val="00F85B07"/>
    <w:rsid w:val="00F85BC0"/>
    <w:rsid w:val="00F85D81"/>
    <w:rsid w:val="00F863C7"/>
    <w:rsid w:val="00F874C4"/>
    <w:rsid w:val="00F87E62"/>
    <w:rsid w:val="00F9192C"/>
    <w:rsid w:val="00F91A6B"/>
    <w:rsid w:val="00F9204C"/>
    <w:rsid w:val="00F9212D"/>
    <w:rsid w:val="00F9257D"/>
    <w:rsid w:val="00F92B8E"/>
    <w:rsid w:val="00F93AD3"/>
    <w:rsid w:val="00F93D80"/>
    <w:rsid w:val="00F93E06"/>
    <w:rsid w:val="00F9423C"/>
    <w:rsid w:val="00F95969"/>
    <w:rsid w:val="00F965A7"/>
    <w:rsid w:val="00FA0AD3"/>
    <w:rsid w:val="00FA0B96"/>
    <w:rsid w:val="00FA1F45"/>
    <w:rsid w:val="00FA2F5A"/>
    <w:rsid w:val="00FA309F"/>
    <w:rsid w:val="00FA34EF"/>
    <w:rsid w:val="00FA35D3"/>
    <w:rsid w:val="00FA36B0"/>
    <w:rsid w:val="00FA45A4"/>
    <w:rsid w:val="00FA4932"/>
    <w:rsid w:val="00FA52C2"/>
    <w:rsid w:val="00FA52CC"/>
    <w:rsid w:val="00FA59AE"/>
    <w:rsid w:val="00FA5B84"/>
    <w:rsid w:val="00FA5DBD"/>
    <w:rsid w:val="00FA5E7C"/>
    <w:rsid w:val="00FA6460"/>
    <w:rsid w:val="00FA6A48"/>
    <w:rsid w:val="00FA6C7A"/>
    <w:rsid w:val="00FA7BD8"/>
    <w:rsid w:val="00FB0378"/>
    <w:rsid w:val="00FB04D4"/>
    <w:rsid w:val="00FB0969"/>
    <w:rsid w:val="00FB0B4E"/>
    <w:rsid w:val="00FB0BEE"/>
    <w:rsid w:val="00FB0E6B"/>
    <w:rsid w:val="00FB17E7"/>
    <w:rsid w:val="00FB2273"/>
    <w:rsid w:val="00FB2758"/>
    <w:rsid w:val="00FB2AD8"/>
    <w:rsid w:val="00FB2B79"/>
    <w:rsid w:val="00FB2BE8"/>
    <w:rsid w:val="00FB2F63"/>
    <w:rsid w:val="00FB3767"/>
    <w:rsid w:val="00FB3CA7"/>
    <w:rsid w:val="00FB43FB"/>
    <w:rsid w:val="00FB444A"/>
    <w:rsid w:val="00FB48F6"/>
    <w:rsid w:val="00FB4990"/>
    <w:rsid w:val="00FB4DB9"/>
    <w:rsid w:val="00FB5439"/>
    <w:rsid w:val="00FB5DA0"/>
    <w:rsid w:val="00FB65E6"/>
    <w:rsid w:val="00FB682A"/>
    <w:rsid w:val="00FB6B32"/>
    <w:rsid w:val="00FB6FB1"/>
    <w:rsid w:val="00FB72E1"/>
    <w:rsid w:val="00FB7763"/>
    <w:rsid w:val="00FB779F"/>
    <w:rsid w:val="00FB785C"/>
    <w:rsid w:val="00FC06EA"/>
    <w:rsid w:val="00FC0CF5"/>
    <w:rsid w:val="00FC1B77"/>
    <w:rsid w:val="00FC1FEB"/>
    <w:rsid w:val="00FC241E"/>
    <w:rsid w:val="00FC25BF"/>
    <w:rsid w:val="00FC2A78"/>
    <w:rsid w:val="00FC30B5"/>
    <w:rsid w:val="00FC4069"/>
    <w:rsid w:val="00FC452C"/>
    <w:rsid w:val="00FC453E"/>
    <w:rsid w:val="00FC48BE"/>
    <w:rsid w:val="00FC48D0"/>
    <w:rsid w:val="00FC4D75"/>
    <w:rsid w:val="00FC519D"/>
    <w:rsid w:val="00FC57D6"/>
    <w:rsid w:val="00FC583B"/>
    <w:rsid w:val="00FC598D"/>
    <w:rsid w:val="00FC6EA7"/>
    <w:rsid w:val="00FC721D"/>
    <w:rsid w:val="00FC7A21"/>
    <w:rsid w:val="00FC7DBE"/>
    <w:rsid w:val="00FD0637"/>
    <w:rsid w:val="00FD0977"/>
    <w:rsid w:val="00FD0EFE"/>
    <w:rsid w:val="00FD1284"/>
    <w:rsid w:val="00FD1360"/>
    <w:rsid w:val="00FD1584"/>
    <w:rsid w:val="00FD1A55"/>
    <w:rsid w:val="00FD1FF6"/>
    <w:rsid w:val="00FD2A13"/>
    <w:rsid w:val="00FD2D1A"/>
    <w:rsid w:val="00FD2F72"/>
    <w:rsid w:val="00FD3214"/>
    <w:rsid w:val="00FD34AE"/>
    <w:rsid w:val="00FD4366"/>
    <w:rsid w:val="00FD53E9"/>
    <w:rsid w:val="00FD5BFC"/>
    <w:rsid w:val="00FD5DC0"/>
    <w:rsid w:val="00FD61C5"/>
    <w:rsid w:val="00FD645D"/>
    <w:rsid w:val="00FD66A5"/>
    <w:rsid w:val="00FD6CBF"/>
    <w:rsid w:val="00FD6D36"/>
    <w:rsid w:val="00FD755B"/>
    <w:rsid w:val="00FD7620"/>
    <w:rsid w:val="00FD7D8E"/>
    <w:rsid w:val="00FD7F26"/>
    <w:rsid w:val="00FE0294"/>
    <w:rsid w:val="00FE0639"/>
    <w:rsid w:val="00FE0913"/>
    <w:rsid w:val="00FE1707"/>
    <w:rsid w:val="00FE2284"/>
    <w:rsid w:val="00FE2666"/>
    <w:rsid w:val="00FE2FC9"/>
    <w:rsid w:val="00FE3A77"/>
    <w:rsid w:val="00FE3B48"/>
    <w:rsid w:val="00FE3C5A"/>
    <w:rsid w:val="00FE3E11"/>
    <w:rsid w:val="00FE4037"/>
    <w:rsid w:val="00FE405D"/>
    <w:rsid w:val="00FE48EB"/>
    <w:rsid w:val="00FE64F3"/>
    <w:rsid w:val="00FE67F1"/>
    <w:rsid w:val="00FE6B10"/>
    <w:rsid w:val="00FE7AE5"/>
    <w:rsid w:val="00FF02C0"/>
    <w:rsid w:val="00FF03E9"/>
    <w:rsid w:val="00FF0C8C"/>
    <w:rsid w:val="00FF15A3"/>
    <w:rsid w:val="00FF1D18"/>
    <w:rsid w:val="00FF2BA5"/>
    <w:rsid w:val="00FF2BF7"/>
    <w:rsid w:val="00FF2C69"/>
    <w:rsid w:val="00FF3C28"/>
    <w:rsid w:val="00FF3D06"/>
    <w:rsid w:val="00FF44BB"/>
    <w:rsid w:val="00FF4D0E"/>
    <w:rsid w:val="00FF5BBE"/>
    <w:rsid w:val="00FF6095"/>
    <w:rsid w:val="00FF6382"/>
    <w:rsid w:val="00FF68FB"/>
    <w:rsid w:val="00FF6A0F"/>
    <w:rsid w:val="00FF72D3"/>
    <w:rsid w:val="00FF7626"/>
    <w:rsid w:val="00FF763E"/>
    <w:rsid w:val="00FF765D"/>
    <w:rsid w:val="00FF76DF"/>
    <w:rsid w:val="010319AE"/>
    <w:rsid w:val="010E7B40"/>
    <w:rsid w:val="01105490"/>
    <w:rsid w:val="01125347"/>
    <w:rsid w:val="012F5F9F"/>
    <w:rsid w:val="013730A5"/>
    <w:rsid w:val="015337F2"/>
    <w:rsid w:val="01545A05"/>
    <w:rsid w:val="01581058"/>
    <w:rsid w:val="015F228A"/>
    <w:rsid w:val="017C22CA"/>
    <w:rsid w:val="01822573"/>
    <w:rsid w:val="018D7D3C"/>
    <w:rsid w:val="018F2EE2"/>
    <w:rsid w:val="0199213C"/>
    <w:rsid w:val="019D55FE"/>
    <w:rsid w:val="01A90EA5"/>
    <w:rsid w:val="01BB2338"/>
    <w:rsid w:val="01BB2C67"/>
    <w:rsid w:val="01D14E0A"/>
    <w:rsid w:val="01D408F4"/>
    <w:rsid w:val="01FF4B87"/>
    <w:rsid w:val="020016E9"/>
    <w:rsid w:val="021533E7"/>
    <w:rsid w:val="021F7DC1"/>
    <w:rsid w:val="02246CFB"/>
    <w:rsid w:val="02262BE9"/>
    <w:rsid w:val="023F3622"/>
    <w:rsid w:val="024806E1"/>
    <w:rsid w:val="024837DC"/>
    <w:rsid w:val="024B1B90"/>
    <w:rsid w:val="025F5973"/>
    <w:rsid w:val="02661E94"/>
    <w:rsid w:val="02666077"/>
    <w:rsid w:val="02750B2A"/>
    <w:rsid w:val="02820350"/>
    <w:rsid w:val="028E5F70"/>
    <w:rsid w:val="029311FE"/>
    <w:rsid w:val="02A03E4C"/>
    <w:rsid w:val="02A06F08"/>
    <w:rsid w:val="02AA30C4"/>
    <w:rsid w:val="02B05493"/>
    <w:rsid w:val="02D06700"/>
    <w:rsid w:val="02DF57A3"/>
    <w:rsid w:val="02ED1C6E"/>
    <w:rsid w:val="02F32963"/>
    <w:rsid w:val="02FE6C5C"/>
    <w:rsid w:val="03087086"/>
    <w:rsid w:val="030B6598"/>
    <w:rsid w:val="03125B78"/>
    <w:rsid w:val="03157416"/>
    <w:rsid w:val="03157ADA"/>
    <w:rsid w:val="031A67DB"/>
    <w:rsid w:val="032A758D"/>
    <w:rsid w:val="032B6C3A"/>
    <w:rsid w:val="03327FC8"/>
    <w:rsid w:val="0348159A"/>
    <w:rsid w:val="034D095E"/>
    <w:rsid w:val="03596102"/>
    <w:rsid w:val="0362419F"/>
    <w:rsid w:val="03633C9B"/>
    <w:rsid w:val="03667C72"/>
    <w:rsid w:val="036D6936"/>
    <w:rsid w:val="036F4D79"/>
    <w:rsid w:val="03754E31"/>
    <w:rsid w:val="037E5EED"/>
    <w:rsid w:val="03840A8D"/>
    <w:rsid w:val="038F7705"/>
    <w:rsid w:val="03B629A7"/>
    <w:rsid w:val="03BB7FBE"/>
    <w:rsid w:val="03C055D4"/>
    <w:rsid w:val="03C25D9A"/>
    <w:rsid w:val="03C43031"/>
    <w:rsid w:val="03C7022D"/>
    <w:rsid w:val="03D03378"/>
    <w:rsid w:val="03D851F9"/>
    <w:rsid w:val="03E97CD4"/>
    <w:rsid w:val="03ED2496"/>
    <w:rsid w:val="03F37758"/>
    <w:rsid w:val="041D2A27"/>
    <w:rsid w:val="041F7ED2"/>
    <w:rsid w:val="04207651"/>
    <w:rsid w:val="04230AD7"/>
    <w:rsid w:val="042A2BE3"/>
    <w:rsid w:val="043F0BEF"/>
    <w:rsid w:val="044C6E68"/>
    <w:rsid w:val="044E498E"/>
    <w:rsid w:val="045B0C31"/>
    <w:rsid w:val="046161A6"/>
    <w:rsid w:val="046B5F82"/>
    <w:rsid w:val="047343F5"/>
    <w:rsid w:val="04762137"/>
    <w:rsid w:val="04815948"/>
    <w:rsid w:val="049C1B9D"/>
    <w:rsid w:val="04A46CA4"/>
    <w:rsid w:val="04A5262D"/>
    <w:rsid w:val="04A6582D"/>
    <w:rsid w:val="04B93635"/>
    <w:rsid w:val="04BC20E2"/>
    <w:rsid w:val="04C64E6C"/>
    <w:rsid w:val="04D93E75"/>
    <w:rsid w:val="04F31198"/>
    <w:rsid w:val="05011386"/>
    <w:rsid w:val="050B6D23"/>
    <w:rsid w:val="050F537D"/>
    <w:rsid w:val="05106822"/>
    <w:rsid w:val="051A6F66"/>
    <w:rsid w:val="052851DF"/>
    <w:rsid w:val="052855FE"/>
    <w:rsid w:val="05404C1F"/>
    <w:rsid w:val="05485881"/>
    <w:rsid w:val="055431EA"/>
    <w:rsid w:val="05673C05"/>
    <w:rsid w:val="05697ACB"/>
    <w:rsid w:val="056B1570"/>
    <w:rsid w:val="05860158"/>
    <w:rsid w:val="0597358F"/>
    <w:rsid w:val="059960DD"/>
    <w:rsid w:val="059A1E70"/>
    <w:rsid w:val="05A131E3"/>
    <w:rsid w:val="05A32749"/>
    <w:rsid w:val="05A54A82"/>
    <w:rsid w:val="05AA3F6B"/>
    <w:rsid w:val="05BA5A3D"/>
    <w:rsid w:val="05C018BB"/>
    <w:rsid w:val="05D13AC9"/>
    <w:rsid w:val="05E355AA"/>
    <w:rsid w:val="05E7177A"/>
    <w:rsid w:val="05EF03F3"/>
    <w:rsid w:val="05FD666C"/>
    <w:rsid w:val="05FE0636"/>
    <w:rsid w:val="06014546"/>
    <w:rsid w:val="060E6ACB"/>
    <w:rsid w:val="060F639F"/>
    <w:rsid w:val="06280E9E"/>
    <w:rsid w:val="06340605"/>
    <w:rsid w:val="06367DD0"/>
    <w:rsid w:val="064668E2"/>
    <w:rsid w:val="064A387B"/>
    <w:rsid w:val="06510D33"/>
    <w:rsid w:val="065467ED"/>
    <w:rsid w:val="0659586C"/>
    <w:rsid w:val="0663023B"/>
    <w:rsid w:val="0667220B"/>
    <w:rsid w:val="066F5090"/>
    <w:rsid w:val="06735B0E"/>
    <w:rsid w:val="06736704"/>
    <w:rsid w:val="067A14BA"/>
    <w:rsid w:val="067E2450"/>
    <w:rsid w:val="06814934"/>
    <w:rsid w:val="06824DC3"/>
    <w:rsid w:val="06896151"/>
    <w:rsid w:val="068E5516"/>
    <w:rsid w:val="06913258"/>
    <w:rsid w:val="06B036DE"/>
    <w:rsid w:val="06D50CBE"/>
    <w:rsid w:val="06E86C51"/>
    <w:rsid w:val="06F430DA"/>
    <w:rsid w:val="06FE3A99"/>
    <w:rsid w:val="070005F5"/>
    <w:rsid w:val="07077406"/>
    <w:rsid w:val="0708351A"/>
    <w:rsid w:val="07091040"/>
    <w:rsid w:val="070C5805"/>
    <w:rsid w:val="070D656B"/>
    <w:rsid w:val="071A4FFB"/>
    <w:rsid w:val="07387467"/>
    <w:rsid w:val="07464042"/>
    <w:rsid w:val="074F1149"/>
    <w:rsid w:val="074F739B"/>
    <w:rsid w:val="075C7A8B"/>
    <w:rsid w:val="0765792F"/>
    <w:rsid w:val="078057A6"/>
    <w:rsid w:val="0781151E"/>
    <w:rsid w:val="07830DF3"/>
    <w:rsid w:val="07B0770E"/>
    <w:rsid w:val="07C25ACA"/>
    <w:rsid w:val="07D7113E"/>
    <w:rsid w:val="07DE62F4"/>
    <w:rsid w:val="07F33B31"/>
    <w:rsid w:val="07FB4E2D"/>
    <w:rsid w:val="07FC2953"/>
    <w:rsid w:val="08002443"/>
    <w:rsid w:val="080D64E1"/>
    <w:rsid w:val="080F2686"/>
    <w:rsid w:val="08161C67"/>
    <w:rsid w:val="081D1247"/>
    <w:rsid w:val="081D2374"/>
    <w:rsid w:val="08441CF9"/>
    <w:rsid w:val="086164B6"/>
    <w:rsid w:val="086208BC"/>
    <w:rsid w:val="08637F1A"/>
    <w:rsid w:val="086A374E"/>
    <w:rsid w:val="086A5B0F"/>
    <w:rsid w:val="08716E9D"/>
    <w:rsid w:val="08776AC3"/>
    <w:rsid w:val="08795CB9"/>
    <w:rsid w:val="087C59E1"/>
    <w:rsid w:val="087E3BC1"/>
    <w:rsid w:val="08854027"/>
    <w:rsid w:val="088766C0"/>
    <w:rsid w:val="088C3CD7"/>
    <w:rsid w:val="088E71B2"/>
    <w:rsid w:val="08A12A54"/>
    <w:rsid w:val="08B35707"/>
    <w:rsid w:val="08C43471"/>
    <w:rsid w:val="08CC113E"/>
    <w:rsid w:val="08ED1A53"/>
    <w:rsid w:val="08F1667E"/>
    <w:rsid w:val="08FB2C0B"/>
    <w:rsid w:val="08FC2013"/>
    <w:rsid w:val="0900379A"/>
    <w:rsid w:val="090D306A"/>
    <w:rsid w:val="090F012E"/>
    <w:rsid w:val="091A7535"/>
    <w:rsid w:val="09391199"/>
    <w:rsid w:val="094068BB"/>
    <w:rsid w:val="095E7BDD"/>
    <w:rsid w:val="09667369"/>
    <w:rsid w:val="097A6637"/>
    <w:rsid w:val="09862E1C"/>
    <w:rsid w:val="098B3EC9"/>
    <w:rsid w:val="098E3A7F"/>
    <w:rsid w:val="09A03EDE"/>
    <w:rsid w:val="09A60DC8"/>
    <w:rsid w:val="09A80FE4"/>
    <w:rsid w:val="09A8623E"/>
    <w:rsid w:val="09BF1E8A"/>
    <w:rsid w:val="09C0632E"/>
    <w:rsid w:val="09C556F2"/>
    <w:rsid w:val="09C86F91"/>
    <w:rsid w:val="09CF32DD"/>
    <w:rsid w:val="09D11157"/>
    <w:rsid w:val="09D254CD"/>
    <w:rsid w:val="09D43B87"/>
    <w:rsid w:val="09D93C30"/>
    <w:rsid w:val="09DF42DA"/>
    <w:rsid w:val="09FB7366"/>
    <w:rsid w:val="0A043E81"/>
    <w:rsid w:val="0A0A1357"/>
    <w:rsid w:val="0A0F2E11"/>
    <w:rsid w:val="0A195A3E"/>
    <w:rsid w:val="0A216696"/>
    <w:rsid w:val="0A243A9C"/>
    <w:rsid w:val="0A286569"/>
    <w:rsid w:val="0A2A7C4B"/>
    <w:rsid w:val="0A40121D"/>
    <w:rsid w:val="0A481E7F"/>
    <w:rsid w:val="0A4D242A"/>
    <w:rsid w:val="0A516558"/>
    <w:rsid w:val="0A6429F3"/>
    <w:rsid w:val="0A64315D"/>
    <w:rsid w:val="0A80731A"/>
    <w:rsid w:val="0A8C6210"/>
    <w:rsid w:val="0A905466"/>
    <w:rsid w:val="0A965185"/>
    <w:rsid w:val="0A9926DB"/>
    <w:rsid w:val="0AA7304A"/>
    <w:rsid w:val="0AB10AB1"/>
    <w:rsid w:val="0AB1588D"/>
    <w:rsid w:val="0AB44861"/>
    <w:rsid w:val="0ABE2142"/>
    <w:rsid w:val="0AC03A69"/>
    <w:rsid w:val="0AC8728D"/>
    <w:rsid w:val="0AD4192B"/>
    <w:rsid w:val="0ADB7197"/>
    <w:rsid w:val="0AE722C1"/>
    <w:rsid w:val="0AEB17FA"/>
    <w:rsid w:val="0AEE6ECB"/>
    <w:rsid w:val="0AF56A52"/>
    <w:rsid w:val="0AFA6AFF"/>
    <w:rsid w:val="0B154457"/>
    <w:rsid w:val="0B1701D0"/>
    <w:rsid w:val="0B1A7CC0"/>
    <w:rsid w:val="0B204BAA"/>
    <w:rsid w:val="0B236DBF"/>
    <w:rsid w:val="0B2B7AB9"/>
    <w:rsid w:val="0B2E5519"/>
    <w:rsid w:val="0B35399D"/>
    <w:rsid w:val="0B3568A8"/>
    <w:rsid w:val="0B3F3282"/>
    <w:rsid w:val="0B462E0D"/>
    <w:rsid w:val="0B4C599F"/>
    <w:rsid w:val="0B57304A"/>
    <w:rsid w:val="0B5A00BC"/>
    <w:rsid w:val="0B6727D9"/>
    <w:rsid w:val="0B681363"/>
    <w:rsid w:val="0B77248B"/>
    <w:rsid w:val="0B7A69B0"/>
    <w:rsid w:val="0B7B1FE3"/>
    <w:rsid w:val="0B7C6285"/>
    <w:rsid w:val="0B8442A3"/>
    <w:rsid w:val="0B9A7E2B"/>
    <w:rsid w:val="0BA12C86"/>
    <w:rsid w:val="0BC051FE"/>
    <w:rsid w:val="0BD31C1D"/>
    <w:rsid w:val="0BE65DF4"/>
    <w:rsid w:val="0BEA5406"/>
    <w:rsid w:val="0BF4406D"/>
    <w:rsid w:val="0BFF2A12"/>
    <w:rsid w:val="0C0D512F"/>
    <w:rsid w:val="0C105847"/>
    <w:rsid w:val="0C16172A"/>
    <w:rsid w:val="0C19124E"/>
    <w:rsid w:val="0C193AD3"/>
    <w:rsid w:val="0C1A784C"/>
    <w:rsid w:val="0C223A75"/>
    <w:rsid w:val="0C24434F"/>
    <w:rsid w:val="0C2A5CE1"/>
    <w:rsid w:val="0C3261D9"/>
    <w:rsid w:val="0C4B5C57"/>
    <w:rsid w:val="0C504748"/>
    <w:rsid w:val="0C550884"/>
    <w:rsid w:val="0C62191E"/>
    <w:rsid w:val="0C6C454B"/>
    <w:rsid w:val="0C73257B"/>
    <w:rsid w:val="0C840297"/>
    <w:rsid w:val="0C8A2C23"/>
    <w:rsid w:val="0C8E7B8F"/>
    <w:rsid w:val="0C9149E6"/>
    <w:rsid w:val="0C923886"/>
    <w:rsid w:val="0C934955"/>
    <w:rsid w:val="0CA125E7"/>
    <w:rsid w:val="0CAA0E36"/>
    <w:rsid w:val="0CAA6E21"/>
    <w:rsid w:val="0CBA0837"/>
    <w:rsid w:val="0CBA4B2A"/>
    <w:rsid w:val="0CBB2DDD"/>
    <w:rsid w:val="0CBC5254"/>
    <w:rsid w:val="0CC71781"/>
    <w:rsid w:val="0CDF2F6F"/>
    <w:rsid w:val="0CE62566"/>
    <w:rsid w:val="0CEA36C2"/>
    <w:rsid w:val="0CEC11E8"/>
    <w:rsid w:val="0CF06F2A"/>
    <w:rsid w:val="0CFA3905"/>
    <w:rsid w:val="0CFE7F60"/>
    <w:rsid w:val="0D1E2A14"/>
    <w:rsid w:val="0D223D2F"/>
    <w:rsid w:val="0D3D7C96"/>
    <w:rsid w:val="0D400643"/>
    <w:rsid w:val="0D6340DC"/>
    <w:rsid w:val="0D6C464E"/>
    <w:rsid w:val="0D753E1F"/>
    <w:rsid w:val="0D7739C4"/>
    <w:rsid w:val="0D782A7C"/>
    <w:rsid w:val="0D8549F2"/>
    <w:rsid w:val="0D8A1D43"/>
    <w:rsid w:val="0D9A50E8"/>
    <w:rsid w:val="0D9B4147"/>
    <w:rsid w:val="0D9C332C"/>
    <w:rsid w:val="0D9D1A98"/>
    <w:rsid w:val="0D9E6986"/>
    <w:rsid w:val="0DAE46EF"/>
    <w:rsid w:val="0DB671A9"/>
    <w:rsid w:val="0DBE661C"/>
    <w:rsid w:val="0DBF387E"/>
    <w:rsid w:val="0DC9777B"/>
    <w:rsid w:val="0DD24882"/>
    <w:rsid w:val="0DE6032D"/>
    <w:rsid w:val="0DEB0D89"/>
    <w:rsid w:val="0DF26CD2"/>
    <w:rsid w:val="0DF742E8"/>
    <w:rsid w:val="0DFF45FB"/>
    <w:rsid w:val="0E0662D9"/>
    <w:rsid w:val="0E0802A4"/>
    <w:rsid w:val="0E093118"/>
    <w:rsid w:val="0E135593"/>
    <w:rsid w:val="0E1E5449"/>
    <w:rsid w:val="0E220FBD"/>
    <w:rsid w:val="0E251D21"/>
    <w:rsid w:val="0E2826F4"/>
    <w:rsid w:val="0E2C2BD1"/>
    <w:rsid w:val="0E2C4EC2"/>
    <w:rsid w:val="0E2D3866"/>
    <w:rsid w:val="0E3B2DC7"/>
    <w:rsid w:val="0E3D5069"/>
    <w:rsid w:val="0E5057A7"/>
    <w:rsid w:val="0E552DBD"/>
    <w:rsid w:val="0E62280C"/>
    <w:rsid w:val="0E63197E"/>
    <w:rsid w:val="0E8A76E7"/>
    <w:rsid w:val="0E9503CA"/>
    <w:rsid w:val="0E990EFC"/>
    <w:rsid w:val="0EB06FD4"/>
    <w:rsid w:val="0EB2020F"/>
    <w:rsid w:val="0EC20452"/>
    <w:rsid w:val="0ED711EA"/>
    <w:rsid w:val="0EDB32C2"/>
    <w:rsid w:val="0EDF59AA"/>
    <w:rsid w:val="0EE83D6C"/>
    <w:rsid w:val="0EF40828"/>
    <w:rsid w:val="0EFB414D"/>
    <w:rsid w:val="0F026AA1"/>
    <w:rsid w:val="0F0F3962"/>
    <w:rsid w:val="0F193842"/>
    <w:rsid w:val="0F1F521C"/>
    <w:rsid w:val="0F277D6F"/>
    <w:rsid w:val="0F28632A"/>
    <w:rsid w:val="0F2D4A08"/>
    <w:rsid w:val="0F39623B"/>
    <w:rsid w:val="0F492922"/>
    <w:rsid w:val="0F4E6F28"/>
    <w:rsid w:val="0F553CC4"/>
    <w:rsid w:val="0F5A6277"/>
    <w:rsid w:val="0F622805"/>
    <w:rsid w:val="0F6E4D35"/>
    <w:rsid w:val="0F8D60C5"/>
    <w:rsid w:val="0F96572F"/>
    <w:rsid w:val="0FA5261E"/>
    <w:rsid w:val="0FB0474F"/>
    <w:rsid w:val="0FC66900"/>
    <w:rsid w:val="0FC83232"/>
    <w:rsid w:val="0FCD3553"/>
    <w:rsid w:val="0FD0094D"/>
    <w:rsid w:val="0FEF6AC9"/>
    <w:rsid w:val="0FF818A4"/>
    <w:rsid w:val="0FFA6FF1"/>
    <w:rsid w:val="10013AC5"/>
    <w:rsid w:val="101C546C"/>
    <w:rsid w:val="10202BD1"/>
    <w:rsid w:val="1028084A"/>
    <w:rsid w:val="10284558"/>
    <w:rsid w:val="10284C2D"/>
    <w:rsid w:val="1028571A"/>
    <w:rsid w:val="102C0118"/>
    <w:rsid w:val="10375DC2"/>
    <w:rsid w:val="1045133B"/>
    <w:rsid w:val="104650B3"/>
    <w:rsid w:val="10521CAA"/>
    <w:rsid w:val="10527F56"/>
    <w:rsid w:val="1053332C"/>
    <w:rsid w:val="1057106E"/>
    <w:rsid w:val="10795489"/>
    <w:rsid w:val="107E65FB"/>
    <w:rsid w:val="10817E99"/>
    <w:rsid w:val="1084540F"/>
    <w:rsid w:val="10897D96"/>
    <w:rsid w:val="10935409"/>
    <w:rsid w:val="10982A96"/>
    <w:rsid w:val="10A67900"/>
    <w:rsid w:val="10AD7440"/>
    <w:rsid w:val="10BF78A7"/>
    <w:rsid w:val="10C93F1F"/>
    <w:rsid w:val="10D601E5"/>
    <w:rsid w:val="10D64689"/>
    <w:rsid w:val="10DB3A4D"/>
    <w:rsid w:val="10E36DA6"/>
    <w:rsid w:val="110061B2"/>
    <w:rsid w:val="111E393A"/>
    <w:rsid w:val="112076B2"/>
    <w:rsid w:val="11217D21"/>
    <w:rsid w:val="11230FDB"/>
    <w:rsid w:val="11247572"/>
    <w:rsid w:val="11274EE5"/>
    <w:rsid w:val="112C24FB"/>
    <w:rsid w:val="112F5B47"/>
    <w:rsid w:val="113A0782"/>
    <w:rsid w:val="113D6592"/>
    <w:rsid w:val="115B2D88"/>
    <w:rsid w:val="116336B6"/>
    <w:rsid w:val="11671EF6"/>
    <w:rsid w:val="116E2B13"/>
    <w:rsid w:val="11737A36"/>
    <w:rsid w:val="117C5CEA"/>
    <w:rsid w:val="117D33E9"/>
    <w:rsid w:val="11802A9D"/>
    <w:rsid w:val="1182211B"/>
    <w:rsid w:val="118C2781"/>
    <w:rsid w:val="119149BA"/>
    <w:rsid w:val="11931013"/>
    <w:rsid w:val="119450BB"/>
    <w:rsid w:val="1197736A"/>
    <w:rsid w:val="11B5219D"/>
    <w:rsid w:val="11B828FA"/>
    <w:rsid w:val="11B9106F"/>
    <w:rsid w:val="11BD75F7"/>
    <w:rsid w:val="11C269BB"/>
    <w:rsid w:val="11E06E41"/>
    <w:rsid w:val="11EB455B"/>
    <w:rsid w:val="11F528ED"/>
    <w:rsid w:val="12014B88"/>
    <w:rsid w:val="12064AFA"/>
    <w:rsid w:val="1207006F"/>
    <w:rsid w:val="1208017F"/>
    <w:rsid w:val="120869A1"/>
    <w:rsid w:val="12114F0A"/>
    <w:rsid w:val="122E65E4"/>
    <w:rsid w:val="12313B2C"/>
    <w:rsid w:val="123C051C"/>
    <w:rsid w:val="123E6B0B"/>
    <w:rsid w:val="125735A8"/>
    <w:rsid w:val="125F420A"/>
    <w:rsid w:val="12691A62"/>
    <w:rsid w:val="126B550E"/>
    <w:rsid w:val="126F08F1"/>
    <w:rsid w:val="12704669"/>
    <w:rsid w:val="1273662A"/>
    <w:rsid w:val="12916992"/>
    <w:rsid w:val="129D45A6"/>
    <w:rsid w:val="12A10CC7"/>
    <w:rsid w:val="12A168D1"/>
    <w:rsid w:val="12AB206A"/>
    <w:rsid w:val="12BA0D4A"/>
    <w:rsid w:val="12CA1FCB"/>
    <w:rsid w:val="12CD27E6"/>
    <w:rsid w:val="12D6271E"/>
    <w:rsid w:val="12F2507E"/>
    <w:rsid w:val="12F37627"/>
    <w:rsid w:val="12FD414F"/>
    <w:rsid w:val="12FD7F36"/>
    <w:rsid w:val="12FF6C7C"/>
    <w:rsid w:val="131C20FB"/>
    <w:rsid w:val="132A783D"/>
    <w:rsid w:val="132F0080"/>
    <w:rsid w:val="13541895"/>
    <w:rsid w:val="1362048E"/>
    <w:rsid w:val="136817E4"/>
    <w:rsid w:val="13692AE8"/>
    <w:rsid w:val="136B07DB"/>
    <w:rsid w:val="136D7B3E"/>
    <w:rsid w:val="13734411"/>
    <w:rsid w:val="1393255B"/>
    <w:rsid w:val="139525D9"/>
    <w:rsid w:val="13963E60"/>
    <w:rsid w:val="139B5716"/>
    <w:rsid w:val="139D3FB2"/>
    <w:rsid w:val="139F20ED"/>
    <w:rsid w:val="13A261E6"/>
    <w:rsid w:val="13A445CA"/>
    <w:rsid w:val="13AB3BAB"/>
    <w:rsid w:val="13B30CB1"/>
    <w:rsid w:val="13C54541"/>
    <w:rsid w:val="13CD023B"/>
    <w:rsid w:val="13D90A91"/>
    <w:rsid w:val="13E12516"/>
    <w:rsid w:val="13F1377A"/>
    <w:rsid w:val="13F62993"/>
    <w:rsid w:val="140219E2"/>
    <w:rsid w:val="14033B64"/>
    <w:rsid w:val="140D741D"/>
    <w:rsid w:val="140F6AF9"/>
    <w:rsid w:val="1410477D"/>
    <w:rsid w:val="14200F5C"/>
    <w:rsid w:val="14224200"/>
    <w:rsid w:val="142B7C44"/>
    <w:rsid w:val="142C45C0"/>
    <w:rsid w:val="143A63B2"/>
    <w:rsid w:val="14495C31"/>
    <w:rsid w:val="144F679D"/>
    <w:rsid w:val="145931C0"/>
    <w:rsid w:val="146D2526"/>
    <w:rsid w:val="14780F8C"/>
    <w:rsid w:val="147815B3"/>
    <w:rsid w:val="148C3A56"/>
    <w:rsid w:val="14967AA9"/>
    <w:rsid w:val="14A46FED"/>
    <w:rsid w:val="14B41806"/>
    <w:rsid w:val="14E25037"/>
    <w:rsid w:val="14EE644B"/>
    <w:rsid w:val="14FB2910"/>
    <w:rsid w:val="15011746"/>
    <w:rsid w:val="150C7650"/>
    <w:rsid w:val="151375B2"/>
    <w:rsid w:val="1514752E"/>
    <w:rsid w:val="152135B1"/>
    <w:rsid w:val="15237771"/>
    <w:rsid w:val="15363948"/>
    <w:rsid w:val="1537146E"/>
    <w:rsid w:val="15462BF3"/>
    <w:rsid w:val="15491CF9"/>
    <w:rsid w:val="15581B10"/>
    <w:rsid w:val="155F472D"/>
    <w:rsid w:val="15604521"/>
    <w:rsid w:val="15610299"/>
    <w:rsid w:val="15655FDB"/>
    <w:rsid w:val="15671D54"/>
    <w:rsid w:val="157601E9"/>
    <w:rsid w:val="158A3C94"/>
    <w:rsid w:val="158D108E"/>
    <w:rsid w:val="158F0D1C"/>
    <w:rsid w:val="1590303F"/>
    <w:rsid w:val="159A122F"/>
    <w:rsid w:val="15AA5FB6"/>
    <w:rsid w:val="15AB60E4"/>
    <w:rsid w:val="15CC0A63"/>
    <w:rsid w:val="15D373E9"/>
    <w:rsid w:val="16000CED"/>
    <w:rsid w:val="16032ECF"/>
    <w:rsid w:val="160B2DAB"/>
    <w:rsid w:val="160C33E6"/>
    <w:rsid w:val="16181094"/>
    <w:rsid w:val="16184DFC"/>
    <w:rsid w:val="161C5C18"/>
    <w:rsid w:val="161D03CE"/>
    <w:rsid w:val="161D68B6"/>
    <w:rsid w:val="162163A6"/>
    <w:rsid w:val="162C099A"/>
    <w:rsid w:val="164440E9"/>
    <w:rsid w:val="16481B85"/>
    <w:rsid w:val="16565924"/>
    <w:rsid w:val="165E4F6A"/>
    <w:rsid w:val="167F30CD"/>
    <w:rsid w:val="16A911D3"/>
    <w:rsid w:val="16A92BBA"/>
    <w:rsid w:val="16AA2B94"/>
    <w:rsid w:val="16AE1C29"/>
    <w:rsid w:val="16C17241"/>
    <w:rsid w:val="16C565ED"/>
    <w:rsid w:val="16D23887"/>
    <w:rsid w:val="16DA0303"/>
    <w:rsid w:val="16DF5613"/>
    <w:rsid w:val="16E91CC3"/>
    <w:rsid w:val="16FA2753"/>
    <w:rsid w:val="16FC296F"/>
    <w:rsid w:val="170C727C"/>
    <w:rsid w:val="170F5DE2"/>
    <w:rsid w:val="171C6B6E"/>
    <w:rsid w:val="1726179A"/>
    <w:rsid w:val="172D7075"/>
    <w:rsid w:val="174128F3"/>
    <w:rsid w:val="17480817"/>
    <w:rsid w:val="174A7237"/>
    <w:rsid w:val="175224D1"/>
    <w:rsid w:val="175B1F78"/>
    <w:rsid w:val="175D528F"/>
    <w:rsid w:val="176B1027"/>
    <w:rsid w:val="1783099B"/>
    <w:rsid w:val="178F10EE"/>
    <w:rsid w:val="1795621E"/>
    <w:rsid w:val="17974380"/>
    <w:rsid w:val="179B54F1"/>
    <w:rsid w:val="17A82A39"/>
    <w:rsid w:val="17B43822"/>
    <w:rsid w:val="17C90221"/>
    <w:rsid w:val="17D73DBB"/>
    <w:rsid w:val="17E23913"/>
    <w:rsid w:val="17EC6540"/>
    <w:rsid w:val="18025D64"/>
    <w:rsid w:val="180473F2"/>
    <w:rsid w:val="180B404E"/>
    <w:rsid w:val="180C6190"/>
    <w:rsid w:val="1816718F"/>
    <w:rsid w:val="181B0BD3"/>
    <w:rsid w:val="181C187B"/>
    <w:rsid w:val="1820443C"/>
    <w:rsid w:val="18245CDA"/>
    <w:rsid w:val="18297BB3"/>
    <w:rsid w:val="182F75C9"/>
    <w:rsid w:val="183B2B5A"/>
    <w:rsid w:val="18477C1A"/>
    <w:rsid w:val="18482D61"/>
    <w:rsid w:val="1859722A"/>
    <w:rsid w:val="187F1162"/>
    <w:rsid w:val="18826EA4"/>
    <w:rsid w:val="188449CB"/>
    <w:rsid w:val="188B7B07"/>
    <w:rsid w:val="189C1D14"/>
    <w:rsid w:val="18B116A3"/>
    <w:rsid w:val="18CD6371"/>
    <w:rsid w:val="18D1257D"/>
    <w:rsid w:val="18D80798"/>
    <w:rsid w:val="18D85565"/>
    <w:rsid w:val="18EB4A4A"/>
    <w:rsid w:val="18ED2570"/>
    <w:rsid w:val="18F363CF"/>
    <w:rsid w:val="18F45BC9"/>
    <w:rsid w:val="191007D2"/>
    <w:rsid w:val="191044B0"/>
    <w:rsid w:val="19166537"/>
    <w:rsid w:val="192D5E9A"/>
    <w:rsid w:val="193512B1"/>
    <w:rsid w:val="19353F17"/>
    <w:rsid w:val="193E1C7A"/>
    <w:rsid w:val="19445F08"/>
    <w:rsid w:val="194B6EB5"/>
    <w:rsid w:val="194D0C2B"/>
    <w:rsid w:val="19595E57"/>
    <w:rsid w:val="195A0529"/>
    <w:rsid w:val="196E6FE3"/>
    <w:rsid w:val="1976092A"/>
    <w:rsid w:val="198A1CC0"/>
    <w:rsid w:val="198E6518"/>
    <w:rsid w:val="1993165C"/>
    <w:rsid w:val="199930AE"/>
    <w:rsid w:val="199B021E"/>
    <w:rsid w:val="199F36B4"/>
    <w:rsid w:val="19A33B9D"/>
    <w:rsid w:val="19A40501"/>
    <w:rsid w:val="19AB6A2A"/>
    <w:rsid w:val="19B02EB2"/>
    <w:rsid w:val="19B80F45"/>
    <w:rsid w:val="19BB08C0"/>
    <w:rsid w:val="19BE215E"/>
    <w:rsid w:val="19CC487B"/>
    <w:rsid w:val="19CD1E74"/>
    <w:rsid w:val="19CD49E1"/>
    <w:rsid w:val="19CF1322"/>
    <w:rsid w:val="19DE635C"/>
    <w:rsid w:val="19F05074"/>
    <w:rsid w:val="19F70C35"/>
    <w:rsid w:val="19F73A29"/>
    <w:rsid w:val="19FE4090"/>
    <w:rsid w:val="1A057D8D"/>
    <w:rsid w:val="1A1310FB"/>
    <w:rsid w:val="1A1963FD"/>
    <w:rsid w:val="1A246465"/>
    <w:rsid w:val="1A25500C"/>
    <w:rsid w:val="1A2577BE"/>
    <w:rsid w:val="1A385A6D"/>
    <w:rsid w:val="1A3C2A96"/>
    <w:rsid w:val="1A640A2C"/>
    <w:rsid w:val="1A6745A4"/>
    <w:rsid w:val="1A6A3B28"/>
    <w:rsid w:val="1A6F53FC"/>
    <w:rsid w:val="1A82318C"/>
    <w:rsid w:val="1A882CBF"/>
    <w:rsid w:val="1A8C6350"/>
    <w:rsid w:val="1A8D21E3"/>
    <w:rsid w:val="1AA255DC"/>
    <w:rsid w:val="1AAB623F"/>
    <w:rsid w:val="1AB8095B"/>
    <w:rsid w:val="1AC13CB4"/>
    <w:rsid w:val="1ACC0CD8"/>
    <w:rsid w:val="1AD51F68"/>
    <w:rsid w:val="1ADB5704"/>
    <w:rsid w:val="1ADB7CFC"/>
    <w:rsid w:val="1AE10217"/>
    <w:rsid w:val="1AED4AA9"/>
    <w:rsid w:val="1AF23E6D"/>
    <w:rsid w:val="1AF50C1A"/>
    <w:rsid w:val="1AF91700"/>
    <w:rsid w:val="1AFA0F74"/>
    <w:rsid w:val="1AFA1BD0"/>
    <w:rsid w:val="1B063DBD"/>
    <w:rsid w:val="1B1A7868"/>
    <w:rsid w:val="1B1F09DB"/>
    <w:rsid w:val="1B252495"/>
    <w:rsid w:val="1B457548"/>
    <w:rsid w:val="1B486183"/>
    <w:rsid w:val="1B4A3C21"/>
    <w:rsid w:val="1B530684"/>
    <w:rsid w:val="1B646D7F"/>
    <w:rsid w:val="1B7F74AC"/>
    <w:rsid w:val="1B8C6D93"/>
    <w:rsid w:val="1B903686"/>
    <w:rsid w:val="1B9544EA"/>
    <w:rsid w:val="1B9A62B3"/>
    <w:rsid w:val="1B9F05E9"/>
    <w:rsid w:val="1B9F38C9"/>
    <w:rsid w:val="1BA01B1B"/>
    <w:rsid w:val="1BA50EE0"/>
    <w:rsid w:val="1BA809D0"/>
    <w:rsid w:val="1BBD7433"/>
    <w:rsid w:val="1BC459C5"/>
    <w:rsid w:val="1BCF05DC"/>
    <w:rsid w:val="1BCF3F41"/>
    <w:rsid w:val="1BD6378F"/>
    <w:rsid w:val="1BD73063"/>
    <w:rsid w:val="1BE107B4"/>
    <w:rsid w:val="1BFB1448"/>
    <w:rsid w:val="1C0227D6"/>
    <w:rsid w:val="1C035AD9"/>
    <w:rsid w:val="1C070720"/>
    <w:rsid w:val="1C095F13"/>
    <w:rsid w:val="1C0B6385"/>
    <w:rsid w:val="1C0C5403"/>
    <w:rsid w:val="1C2126F1"/>
    <w:rsid w:val="1C26229C"/>
    <w:rsid w:val="1C2A5062"/>
    <w:rsid w:val="1C324211"/>
    <w:rsid w:val="1C330BE1"/>
    <w:rsid w:val="1C38055F"/>
    <w:rsid w:val="1C3B7FDD"/>
    <w:rsid w:val="1C511068"/>
    <w:rsid w:val="1C6012AB"/>
    <w:rsid w:val="1C7B60E4"/>
    <w:rsid w:val="1C7D36C7"/>
    <w:rsid w:val="1C816ABD"/>
    <w:rsid w:val="1C897E65"/>
    <w:rsid w:val="1C8B27CB"/>
    <w:rsid w:val="1C961CC9"/>
    <w:rsid w:val="1C9704B9"/>
    <w:rsid w:val="1C9B22E3"/>
    <w:rsid w:val="1C9F6277"/>
    <w:rsid w:val="1CA00487"/>
    <w:rsid w:val="1CB57848"/>
    <w:rsid w:val="1CBF5FD1"/>
    <w:rsid w:val="1CC17F9B"/>
    <w:rsid w:val="1CDD241C"/>
    <w:rsid w:val="1CF92AD3"/>
    <w:rsid w:val="1CFE1968"/>
    <w:rsid w:val="1D047E88"/>
    <w:rsid w:val="1D077978"/>
    <w:rsid w:val="1D167BBB"/>
    <w:rsid w:val="1D24677C"/>
    <w:rsid w:val="1D2B18B9"/>
    <w:rsid w:val="1D3201F7"/>
    <w:rsid w:val="1D3544E5"/>
    <w:rsid w:val="1D382CE5"/>
    <w:rsid w:val="1D4A4435"/>
    <w:rsid w:val="1D5A7D86"/>
    <w:rsid w:val="1D63564D"/>
    <w:rsid w:val="1D730C34"/>
    <w:rsid w:val="1D772D50"/>
    <w:rsid w:val="1D880AB9"/>
    <w:rsid w:val="1DA331CF"/>
    <w:rsid w:val="1DAB3763"/>
    <w:rsid w:val="1DAC38D8"/>
    <w:rsid w:val="1DB14D15"/>
    <w:rsid w:val="1DC046F7"/>
    <w:rsid w:val="1DCC309C"/>
    <w:rsid w:val="1DD12460"/>
    <w:rsid w:val="1DD558B6"/>
    <w:rsid w:val="1DD71A40"/>
    <w:rsid w:val="1DDD6E48"/>
    <w:rsid w:val="1DE0470B"/>
    <w:rsid w:val="1DE972FF"/>
    <w:rsid w:val="1DEA3522"/>
    <w:rsid w:val="1DEB1048"/>
    <w:rsid w:val="1DEC51FB"/>
    <w:rsid w:val="1DF12B02"/>
    <w:rsid w:val="1E0F2369"/>
    <w:rsid w:val="1E1255FD"/>
    <w:rsid w:val="1E214A6A"/>
    <w:rsid w:val="1E285EBA"/>
    <w:rsid w:val="1E340C41"/>
    <w:rsid w:val="1E380731"/>
    <w:rsid w:val="1E391057"/>
    <w:rsid w:val="1E413C3E"/>
    <w:rsid w:val="1E4B0F80"/>
    <w:rsid w:val="1E5C3A77"/>
    <w:rsid w:val="1E7948A6"/>
    <w:rsid w:val="1E7A3F93"/>
    <w:rsid w:val="1E8219AC"/>
    <w:rsid w:val="1E8234AE"/>
    <w:rsid w:val="1E88366B"/>
    <w:rsid w:val="1EB03392"/>
    <w:rsid w:val="1EB1403F"/>
    <w:rsid w:val="1EB63404"/>
    <w:rsid w:val="1ED56D5F"/>
    <w:rsid w:val="1EEE2B9E"/>
    <w:rsid w:val="1EEE53EA"/>
    <w:rsid w:val="1EF14EC0"/>
    <w:rsid w:val="1EF67CA4"/>
    <w:rsid w:val="1EF74148"/>
    <w:rsid w:val="1EFA3C38"/>
    <w:rsid w:val="1EFD1033"/>
    <w:rsid w:val="1F0A2048"/>
    <w:rsid w:val="1F204D21"/>
    <w:rsid w:val="1F3507CD"/>
    <w:rsid w:val="1F417171"/>
    <w:rsid w:val="1F417693"/>
    <w:rsid w:val="1F437CC6"/>
    <w:rsid w:val="1F4957F0"/>
    <w:rsid w:val="1F4A34C4"/>
    <w:rsid w:val="1F5C044F"/>
    <w:rsid w:val="1F6317DE"/>
    <w:rsid w:val="1F662172"/>
    <w:rsid w:val="1F686DF4"/>
    <w:rsid w:val="1F6966C8"/>
    <w:rsid w:val="1F697B09"/>
    <w:rsid w:val="1F7E0019"/>
    <w:rsid w:val="1F833C2E"/>
    <w:rsid w:val="1F8D0609"/>
    <w:rsid w:val="1F911969"/>
    <w:rsid w:val="1F9C7BD8"/>
    <w:rsid w:val="1FA26698"/>
    <w:rsid w:val="1FA567E1"/>
    <w:rsid w:val="1FA774F2"/>
    <w:rsid w:val="1FAF670B"/>
    <w:rsid w:val="1FB5210B"/>
    <w:rsid w:val="1FC41B50"/>
    <w:rsid w:val="1FD76878"/>
    <w:rsid w:val="1FE63E44"/>
    <w:rsid w:val="1FF218B4"/>
    <w:rsid w:val="1FFC753C"/>
    <w:rsid w:val="20163B31"/>
    <w:rsid w:val="202B5A1D"/>
    <w:rsid w:val="203211B0"/>
    <w:rsid w:val="20457135"/>
    <w:rsid w:val="20492190"/>
    <w:rsid w:val="205B4263"/>
    <w:rsid w:val="206800B8"/>
    <w:rsid w:val="207356D7"/>
    <w:rsid w:val="207C47A5"/>
    <w:rsid w:val="20862EEB"/>
    <w:rsid w:val="20887911"/>
    <w:rsid w:val="20947775"/>
    <w:rsid w:val="209B4FA7"/>
    <w:rsid w:val="209C508F"/>
    <w:rsid w:val="20B12C18"/>
    <w:rsid w:val="20C65DFF"/>
    <w:rsid w:val="20CF69FF"/>
    <w:rsid w:val="20D109C9"/>
    <w:rsid w:val="20D34915"/>
    <w:rsid w:val="20D802B3"/>
    <w:rsid w:val="20DB53A4"/>
    <w:rsid w:val="20E24984"/>
    <w:rsid w:val="20E86686"/>
    <w:rsid w:val="21061C42"/>
    <w:rsid w:val="210D28F5"/>
    <w:rsid w:val="21134B3E"/>
    <w:rsid w:val="2122022A"/>
    <w:rsid w:val="21264831"/>
    <w:rsid w:val="213C4BDD"/>
    <w:rsid w:val="213F213C"/>
    <w:rsid w:val="215D0791"/>
    <w:rsid w:val="2160284E"/>
    <w:rsid w:val="216E3B35"/>
    <w:rsid w:val="217F0425"/>
    <w:rsid w:val="21800906"/>
    <w:rsid w:val="21824088"/>
    <w:rsid w:val="219263AA"/>
    <w:rsid w:val="21951895"/>
    <w:rsid w:val="21A165ED"/>
    <w:rsid w:val="21A954A2"/>
    <w:rsid w:val="21B225A8"/>
    <w:rsid w:val="21BA145D"/>
    <w:rsid w:val="21BF0821"/>
    <w:rsid w:val="21C51DA8"/>
    <w:rsid w:val="21DA1AFF"/>
    <w:rsid w:val="21E14A75"/>
    <w:rsid w:val="21E861CC"/>
    <w:rsid w:val="21ED35E0"/>
    <w:rsid w:val="21EF12F9"/>
    <w:rsid w:val="21F4671D"/>
    <w:rsid w:val="22002781"/>
    <w:rsid w:val="220D77DF"/>
    <w:rsid w:val="22196749"/>
    <w:rsid w:val="221C4286"/>
    <w:rsid w:val="22255CFD"/>
    <w:rsid w:val="222D60D3"/>
    <w:rsid w:val="2245341D"/>
    <w:rsid w:val="22462A8A"/>
    <w:rsid w:val="22463B7E"/>
    <w:rsid w:val="224F1BA5"/>
    <w:rsid w:val="2261739B"/>
    <w:rsid w:val="226715E5"/>
    <w:rsid w:val="227A75E5"/>
    <w:rsid w:val="22804455"/>
    <w:rsid w:val="22806203"/>
    <w:rsid w:val="22873A35"/>
    <w:rsid w:val="22891D4D"/>
    <w:rsid w:val="228A257B"/>
    <w:rsid w:val="228F0F89"/>
    <w:rsid w:val="228F33A1"/>
    <w:rsid w:val="2298179E"/>
    <w:rsid w:val="22995F87"/>
    <w:rsid w:val="229A0FED"/>
    <w:rsid w:val="22AA7723"/>
    <w:rsid w:val="22AD1BFA"/>
    <w:rsid w:val="22B274E3"/>
    <w:rsid w:val="22B8599C"/>
    <w:rsid w:val="22D15E34"/>
    <w:rsid w:val="22DD2E2B"/>
    <w:rsid w:val="22E5250A"/>
    <w:rsid w:val="22F55C75"/>
    <w:rsid w:val="22FF35CB"/>
    <w:rsid w:val="23045086"/>
    <w:rsid w:val="2309269C"/>
    <w:rsid w:val="230F7587"/>
    <w:rsid w:val="23122DE5"/>
    <w:rsid w:val="23161237"/>
    <w:rsid w:val="23362D65"/>
    <w:rsid w:val="23476596"/>
    <w:rsid w:val="234B2987"/>
    <w:rsid w:val="2355143D"/>
    <w:rsid w:val="2364695D"/>
    <w:rsid w:val="2366364A"/>
    <w:rsid w:val="23766ABD"/>
    <w:rsid w:val="237B69CA"/>
    <w:rsid w:val="23831F96"/>
    <w:rsid w:val="238B15AF"/>
    <w:rsid w:val="23B5012E"/>
    <w:rsid w:val="23B96F6D"/>
    <w:rsid w:val="23BC3AB0"/>
    <w:rsid w:val="23C12C13"/>
    <w:rsid w:val="23C40AC2"/>
    <w:rsid w:val="23C413D2"/>
    <w:rsid w:val="23E10F23"/>
    <w:rsid w:val="23E97DD8"/>
    <w:rsid w:val="23EB1DA2"/>
    <w:rsid w:val="23ED78C8"/>
    <w:rsid w:val="23FB6C61"/>
    <w:rsid w:val="24045BCB"/>
    <w:rsid w:val="240B5FA0"/>
    <w:rsid w:val="24212E47"/>
    <w:rsid w:val="243C2EA3"/>
    <w:rsid w:val="244A4D1A"/>
    <w:rsid w:val="244B45EE"/>
    <w:rsid w:val="245C67FB"/>
    <w:rsid w:val="24681644"/>
    <w:rsid w:val="24693344"/>
    <w:rsid w:val="246E6170"/>
    <w:rsid w:val="24732415"/>
    <w:rsid w:val="247E1681"/>
    <w:rsid w:val="24912A1F"/>
    <w:rsid w:val="24BE293D"/>
    <w:rsid w:val="24C06D8A"/>
    <w:rsid w:val="24C40C1F"/>
    <w:rsid w:val="24C90335"/>
    <w:rsid w:val="24CA19B7"/>
    <w:rsid w:val="24D740D4"/>
    <w:rsid w:val="24D91E5B"/>
    <w:rsid w:val="24F15196"/>
    <w:rsid w:val="24F5112A"/>
    <w:rsid w:val="24F75E50"/>
    <w:rsid w:val="25207829"/>
    <w:rsid w:val="25237319"/>
    <w:rsid w:val="252E17FD"/>
    <w:rsid w:val="253572FF"/>
    <w:rsid w:val="253677AF"/>
    <w:rsid w:val="25381017"/>
    <w:rsid w:val="25480F3B"/>
    <w:rsid w:val="25513E86"/>
    <w:rsid w:val="2554491A"/>
    <w:rsid w:val="25551F43"/>
    <w:rsid w:val="25592D3B"/>
    <w:rsid w:val="255E552B"/>
    <w:rsid w:val="2560231B"/>
    <w:rsid w:val="25634134"/>
    <w:rsid w:val="25657932"/>
    <w:rsid w:val="257873C3"/>
    <w:rsid w:val="25836D81"/>
    <w:rsid w:val="2587082F"/>
    <w:rsid w:val="258C4EBE"/>
    <w:rsid w:val="258E0C37"/>
    <w:rsid w:val="25910727"/>
    <w:rsid w:val="2599261F"/>
    <w:rsid w:val="25A01603"/>
    <w:rsid w:val="25A42208"/>
    <w:rsid w:val="25A62424"/>
    <w:rsid w:val="25AB7A3A"/>
    <w:rsid w:val="25AB7B68"/>
    <w:rsid w:val="25B4606C"/>
    <w:rsid w:val="25B61F3B"/>
    <w:rsid w:val="25BD7D93"/>
    <w:rsid w:val="25C40884"/>
    <w:rsid w:val="25C83595"/>
    <w:rsid w:val="25CE6675"/>
    <w:rsid w:val="25D074A1"/>
    <w:rsid w:val="25D46560"/>
    <w:rsid w:val="25E1520A"/>
    <w:rsid w:val="25F07BA6"/>
    <w:rsid w:val="260572DD"/>
    <w:rsid w:val="260E1D77"/>
    <w:rsid w:val="26163F51"/>
    <w:rsid w:val="26215BEF"/>
    <w:rsid w:val="2634574E"/>
    <w:rsid w:val="26347A30"/>
    <w:rsid w:val="26372DC2"/>
    <w:rsid w:val="26436BD4"/>
    <w:rsid w:val="26445799"/>
    <w:rsid w:val="26492CDC"/>
    <w:rsid w:val="26496A8A"/>
    <w:rsid w:val="26511EA4"/>
    <w:rsid w:val="26541901"/>
    <w:rsid w:val="26613C2A"/>
    <w:rsid w:val="26773F30"/>
    <w:rsid w:val="268325A1"/>
    <w:rsid w:val="269B7D2B"/>
    <w:rsid w:val="269C2333"/>
    <w:rsid w:val="269D5FE9"/>
    <w:rsid w:val="26AA1AA0"/>
    <w:rsid w:val="26AF44EF"/>
    <w:rsid w:val="26B02E2F"/>
    <w:rsid w:val="26B72281"/>
    <w:rsid w:val="26D67448"/>
    <w:rsid w:val="26D905D7"/>
    <w:rsid w:val="26DE174A"/>
    <w:rsid w:val="26E1123A"/>
    <w:rsid w:val="26E85A83"/>
    <w:rsid w:val="26F471BF"/>
    <w:rsid w:val="27005B64"/>
    <w:rsid w:val="27082C6B"/>
    <w:rsid w:val="27117D71"/>
    <w:rsid w:val="271909D4"/>
    <w:rsid w:val="271B474C"/>
    <w:rsid w:val="27291F80"/>
    <w:rsid w:val="272C0707"/>
    <w:rsid w:val="274041B2"/>
    <w:rsid w:val="27466F3A"/>
    <w:rsid w:val="27473793"/>
    <w:rsid w:val="276C4208"/>
    <w:rsid w:val="2779313B"/>
    <w:rsid w:val="277B168E"/>
    <w:rsid w:val="27834EF3"/>
    <w:rsid w:val="27910EB2"/>
    <w:rsid w:val="27933B14"/>
    <w:rsid w:val="279416C3"/>
    <w:rsid w:val="279544FE"/>
    <w:rsid w:val="27AB5127"/>
    <w:rsid w:val="27B30E28"/>
    <w:rsid w:val="27CF10B1"/>
    <w:rsid w:val="27D042B1"/>
    <w:rsid w:val="27E51136"/>
    <w:rsid w:val="27F07987"/>
    <w:rsid w:val="2800677A"/>
    <w:rsid w:val="280256AF"/>
    <w:rsid w:val="28060F58"/>
    <w:rsid w:val="280653FC"/>
    <w:rsid w:val="2808523B"/>
    <w:rsid w:val="280E6A7D"/>
    <w:rsid w:val="28164F13"/>
    <w:rsid w:val="28212236"/>
    <w:rsid w:val="28251CC3"/>
    <w:rsid w:val="282B6EC2"/>
    <w:rsid w:val="282F39C3"/>
    <w:rsid w:val="283261F1"/>
    <w:rsid w:val="28464799"/>
    <w:rsid w:val="285B1E8D"/>
    <w:rsid w:val="286607CE"/>
    <w:rsid w:val="286839C1"/>
    <w:rsid w:val="286A715B"/>
    <w:rsid w:val="28764B23"/>
    <w:rsid w:val="287D51FA"/>
    <w:rsid w:val="28861624"/>
    <w:rsid w:val="28873815"/>
    <w:rsid w:val="28877790"/>
    <w:rsid w:val="28883F4F"/>
    <w:rsid w:val="288E0F4E"/>
    <w:rsid w:val="28A563BE"/>
    <w:rsid w:val="28A76D6D"/>
    <w:rsid w:val="28A86FC6"/>
    <w:rsid w:val="28AB1AFF"/>
    <w:rsid w:val="28AC5FA3"/>
    <w:rsid w:val="28B07116"/>
    <w:rsid w:val="28B135BA"/>
    <w:rsid w:val="28BA7F95"/>
    <w:rsid w:val="28C713BB"/>
    <w:rsid w:val="28CA0C78"/>
    <w:rsid w:val="28CF5004"/>
    <w:rsid w:val="28DC386E"/>
    <w:rsid w:val="28DF040E"/>
    <w:rsid w:val="28E976B6"/>
    <w:rsid w:val="28EB582E"/>
    <w:rsid w:val="28F3548C"/>
    <w:rsid w:val="28F45255"/>
    <w:rsid w:val="29003BF9"/>
    <w:rsid w:val="290760FB"/>
    <w:rsid w:val="290D6316"/>
    <w:rsid w:val="2920604A"/>
    <w:rsid w:val="29231FDE"/>
    <w:rsid w:val="2924179E"/>
    <w:rsid w:val="29265813"/>
    <w:rsid w:val="292A17E5"/>
    <w:rsid w:val="29312005"/>
    <w:rsid w:val="29486D73"/>
    <w:rsid w:val="295E2A75"/>
    <w:rsid w:val="29622B06"/>
    <w:rsid w:val="29657F00"/>
    <w:rsid w:val="296B0FA2"/>
    <w:rsid w:val="296F0D7F"/>
    <w:rsid w:val="2976035F"/>
    <w:rsid w:val="2986180C"/>
    <w:rsid w:val="2987256D"/>
    <w:rsid w:val="29C63095"/>
    <w:rsid w:val="29CC77B7"/>
    <w:rsid w:val="29D05CC2"/>
    <w:rsid w:val="29E51041"/>
    <w:rsid w:val="29E736FB"/>
    <w:rsid w:val="29F46A27"/>
    <w:rsid w:val="2A0B4F4C"/>
    <w:rsid w:val="2A0F1352"/>
    <w:rsid w:val="2A1F3F46"/>
    <w:rsid w:val="2A2A3EA1"/>
    <w:rsid w:val="2A346EE1"/>
    <w:rsid w:val="2A48451A"/>
    <w:rsid w:val="2A510485"/>
    <w:rsid w:val="2A5441F9"/>
    <w:rsid w:val="2A554419"/>
    <w:rsid w:val="2A583241"/>
    <w:rsid w:val="2A5C57A7"/>
    <w:rsid w:val="2A636B36"/>
    <w:rsid w:val="2A6578AF"/>
    <w:rsid w:val="2A693A20"/>
    <w:rsid w:val="2A761AC6"/>
    <w:rsid w:val="2A7A75A7"/>
    <w:rsid w:val="2A7A79DB"/>
    <w:rsid w:val="2A7F3549"/>
    <w:rsid w:val="2A8C47C0"/>
    <w:rsid w:val="2AB3145F"/>
    <w:rsid w:val="2AB9746B"/>
    <w:rsid w:val="2ABC1DA2"/>
    <w:rsid w:val="2AD518DA"/>
    <w:rsid w:val="2AD90BA6"/>
    <w:rsid w:val="2AE128D7"/>
    <w:rsid w:val="2AE27E1C"/>
    <w:rsid w:val="2AEA1089"/>
    <w:rsid w:val="2AEF3F25"/>
    <w:rsid w:val="2B0025D7"/>
    <w:rsid w:val="2B0100FD"/>
    <w:rsid w:val="2B02634F"/>
    <w:rsid w:val="2B0456F7"/>
    <w:rsid w:val="2B13129F"/>
    <w:rsid w:val="2B351024"/>
    <w:rsid w:val="2B3B53BD"/>
    <w:rsid w:val="2B490527"/>
    <w:rsid w:val="2B520958"/>
    <w:rsid w:val="2B6535A8"/>
    <w:rsid w:val="2B6C5161"/>
    <w:rsid w:val="2B717030"/>
    <w:rsid w:val="2B785D9F"/>
    <w:rsid w:val="2B795EE5"/>
    <w:rsid w:val="2B996587"/>
    <w:rsid w:val="2BAA31B3"/>
    <w:rsid w:val="2BAF1907"/>
    <w:rsid w:val="2BB45838"/>
    <w:rsid w:val="2BCE4483"/>
    <w:rsid w:val="2BEA0B91"/>
    <w:rsid w:val="2BEC2B5B"/>
    <w:rsid w:val="2BF10FC6"/>
    <w:rsid w:val="2C02237E"/>
    <w:rsid w:val="2C1C3440"/>
    <w:rsid w:val="2C220E69"/>
    <w:rsid w:val="2C310ED2"/>
    <w:rsid w:val="2C363DD6"/>
    <w:rsid w:val="2C436713"/>
    <w:rsid w:val="2C4877E8"/>
    <w:rsid w:val="2C532BDA"/>
    <w:rsid w:val="2C575A56"/>
    <w:rsid w:val="2C5B55EB"/>
    <w:rsid w:val="2C5D6F47"/>
    <w:rsid w:val="2C616407"/>
    <w:rsid w:val="2C6820E3"/>
    <w:rsid w:val="2C695F59"/>
    <w:rsid w:val="2C7657D7"/>
    <w:rsid w:val="2C7663B1"/>
    <w:rsid w:val="2C772424"/>
    <w:rsid w:val="2C93781B"/>
    <w:rsid w:val="2C9B7ED5"/>
    <w:rsid w:val="2CA13945"/>
    <w:rsid w:val="2CA87C9A"/>
    <w:rsid w:val="2CA90A4C"/>
    <w:rsid w:val="2CB90C8F"/>
    <w:rsid w:val="2CF03F85"/>
    <w:rsid w:val="2CF72F53"/>
    <w:rsid w:val="2D0F08AF"/>
    <w:rsid w:val="2D114186"/>
    <w:rsid w:val="2D1759B5"/>
    <w:rsid w:val="2D1B36F8"/>
    <w:rsid w:val="2D204FE3"/>
    <w:rsid w:val="2D256324"/>
    <w:rsid w:val="2D2A56E9"/>
    <w:rsid w:val="2D2B6EB0"/>
    <w:rsid w:val="2D393106"/>
    <w:rsid w:val="2D3B3FF4"/>
    <w:rsid w:val="2D4B28DF"/>
    <w:rsid w:val="2D536E7A"/>
    <w:rsid w:val="2D546C42"/>
    <w:rsid w:val="2D614E83"/>
    <w:rsid w:val="2D6230D5"/>
    <w:rsid w:val="2D686211"/>
    <w:rsid w:val="2D6C30C3"/>
    <w:rsid w:val="2D6C5D01"/>
    <w:rsid w:val="2D704767"/>
    <w:rsid w:val="2D745238"/>
    <w:rsid w:val="2D7E3C87"/>
    <w:rsid w:val="2D8017AD"/>
    <w:rsid w:val="2D80355B"/>
    <w:rsid w:val="2D8079FF"/>
    <w:rsid w:val="2DA57465"/>
    <w:rsid w:val="2DAE08D3"/>
    <w:rsid w:val="2DB50775"/>
    <w:rsid w:val="2DB80F46"/>
    <w:rsid w:val="2DD56FC0"/>
    <w:rsid w:val="2DDA3448"/>
    <w:rsid w:val="2DF10F5F"/>
    <w:rsid w:val="2DFF0CE4"/>
    <w:rsid w:val="2E04418C"/>
    <w:rsid w:val="2E0979F4"/>
    <w:rsid w:val="2E0D4582"/>
    <w:rsid w:val="2E1420FF"/>
    <w:rsid w:val="2E183793"/>
    <w:rsid w:val="2E1A39AF"/>
    <w:rsid w:val="2E1D349F"/>
    <w:rsid w:val="2E1F5A1E"/>
    <w:rsid w:val="2E2A66CA"/>
    <w:rsid w:val="2E3245EA"/>
    <w:rsid w:val="2E3A548A"/>
    <w:rsid w:val="2E3A6C6B"/>
    <w:rsid w:val="2E3C1B78"/>
    <w:rsid w:val="2E403F8D"/>
    <w:rsid w:val="2E426A62"/>
    <w:rsid w:val="2E5306B6"/>
    <w:rsid w:val="2E671B3F"/>
    <w:rsid w:val="2E830A37"/>
    <w:rsid w:val="2E834DA1"/>
    <w:rsid w:val="2E876B6B"/>
    <w:rsid w:val="2E877AEA"/>
    <w:rsid w:val="2E894937"/>
    <w:rsid w:val="2EA339A5"/>
    <w:rsid w:val="2EAB09EA"/>
    <w:rsid w:val="2EBC4A66"/>
    <w:rsid w:val="2ECA33AD"/>
    <w:rsid w:val="2EDA6C9B"/>
    <w:rsid w:val="2EDE3354"/>
    <w:rsid w:val="2EE561ED"/>
    <w:rsid w:val="2EE65FD9"/>
    <w:rsid w:val="2EF07FDE"/>
    <w:rsid w:val="2EF73CF0"/>
    <w:rsid w:val="2EFF4896"/>
    <w:rsid w:val="2F0804CC"/>
    <w:rsid w:val="2F0F64BF"/>
    <w:rsid w:val="2F195A15"/>
    <w:rsid w:val="2F294842"/>
    <w:rsid w:val="2F2A413F"/>
    <w:rsid w:val="2F334202"/>
    <w:rsid w:val="2F3B12DB"/>
    <w:rsid w:val="2F4F58DB"/>
    <w:rsid w:val="2F7003B9"/>
    <w:rsid w:val="2F8C268B"/>
    <w:rsid w:val="2F8D1F5F"/>
    <w:rsid w:val="2F911A4F"/>
    <w:rsid w:val="2F91571B"/>
    <w:rsid w:val="2F9D630E"/>
    <w:rsid w:val="2FA6164C"/>
    <w:rsid w:val="2FB2045A"/>
    <w:rsid w:val="2FD0227E"/>
    <w:rsid w:val="2FD25609"/>
    <w:rsid w:val="2FE57FED"/>
    <w:rsid w:val="2FE63FF6"/>
    <w:rsid w:val="2FE73901"/>
    <w:rsid w:val="2FED474F"/>
    <w:rsid w:val="2FF6097D"/>
    <w:rsid w:val="2FFB6B02"/>
    <w:rsid w:val="30014464"/>
    <w:rsid w:val="30160C35"/>
    <w:rsid w:val="30176023"/>
    <w:rsid w:val="302F2063"/>
    <w:rsid w:val="3032417B"/>
    <w:rsid w:val="303625F7"/>
    <w:rsid w:val="30386D99"/>
    <w:rsid w:val="30395C43"/>
    <w:rsid w:val="30417F3D"/>
    <w:rsid w:val="304E3321"/>
    <w:rsid w:val="30546273"/>
    <w:rsid w:val="306275EE"/>
    <w:rsid w:val="30855674"/>
    <w:rsid w:val="3091782D"/>
    <w:rsid w:val="309D4424"/>
    <w:rsid w:val="309E0854"/>
    <w:rsid w:val="30A27C8C"/>
    <w:rsid w:val="30AB2D8C"/>
    <w:rsid w:val="30AB758A"/>
    <w:rsid w:val="30AE03DF"/>
    <w:rsid w:val="30BF3918"/>
    <w:rsid w:val="30C145B6"/>
    <w:rsid w:val="30C23E8A"/>
    <w:rsid w:val="30C36344"/>
    <w:rsid w:val="30C47C02"/>
    <w:rsid w:val="30C9346B"/>
    <w:rsid w:val="30CE471F"/>
    <w:rsid w:val="30D60CF6"/>
    <w:rsid w:val="30D675AD"/>
    <w:rsid w:val="30E3452C"/>
    <w:rsid w:val="30E40917"/>
    <w:rsid w:val="30EC48CC"/>
    <w:rsid w:val="30F878AC"/>
    <w:rsid w:val="30F966D7"/>
    <w:rsid w:val="31085D41"/>
    <w:rsid w:val="310B5831"/>
    <w:rsid w:val="310B75DF"/>
    <w:rsid w:val="310C502A"/>
    <w:rsid w:val="310F31C9"/>
    <w:rsid w:val="31114FCE"/>
    <w:rsid w:val="311409AD"/>
    <w:rsid w:val="3115220C"/>
    <w:rsid w:val="31216E03"/>
    <w:rsid w:val="31230DCD"/>
    <w:rsid w:val="31297AF3"/>
    <w:rsid w:val="312A215B"/>
    <w:rsid w:val="312E1F07"/>
    <w:rsid w:val="31336B36"/>
    <w:rsid w:val="31442AF1"/>
    <w:rsid w:val="31513B5B"/>
    <w:rsid w:val="31523460"/>
    <w:rsid w:val="31565580"/>
    <w:rsid w:val="31631798"/>
    <w:rsid w:val="316E02ED"/>
    <w:rsid w:val="317826B5"/>
    <w:rsid w:val="318406AF"/>
    <w:rsid w:val="318A0E4C"/>
    <w:rsid w:val="318F2B68"/>
    <w:rsid w:val="31993C82"/>
    <w:rsid w:val="31A041CB"/>
    <w:rsid w:val="31A34CE2"/>
    <w:rsid w:val="31A4140A"/>
    <w:rsid w:val="31AB5CA9"/>
    <w:rsid w:val="31B82C24"/>
    <w:rsid w:val="31B859B9"/>
    <w:rsid w:val="31BE4652"/>
    <w:rsid w:val="31BF1AA9"/>
    <w:rsid w:val="31C14142"/>
    <w:rsid w:val="31C53C32"/>
    <w:rsid w:val="31C82E1B"/>
    <w:rsid w:val="31CE00C2"/>
    <w:rsid w:val="31D651F2"/>
    <w:rsid w:val="31EA7647"/>
    <w:rsid w:val="31FF6DC2"/>
    <w:rsid w:val="32103E32"/>
    <w:rsid w:val="32127369"/>
    <w:rsid w:val="321B7CF6"/>
    <w:rsid w:val="321E0DC5"/>
    <w:rsid w:val="323844B5"/>
    <w:rsid w:val="323D5EBE"/>
    <w:rsid w:val="323F4D5E"/>
    <w:rsid w:val="32496611"/>
    <w:rsid w:val="324B1B69"/>
    <w:rsid w:val="325A3079"/>
    <w:rsid w:val="325D65E1"/>
    <w:rsid w:val="32651D3A"/>
    <w:rsid w:val="326A449D"/>
    <w:rsid w:val="32717916"/>
    <w:rsid w:val="32792CBC"/>
    <w:rsid w:val="32894C60"/>
    <w:rsid w:val="32963820"/>
    <w:rsid w:val="329F26D5"/>
    <w:rsid w:val="32A5100A"/>
    <w:rsid w:val="32C83E5C"/>
    <w:rsid w:val="32D83E39"/>
    <w:rsid w:val="32DC7485"/>
    <w:rsid w:val="32EB1476"/>
    <w:rsid w:val="32EB76C8"/>
    <w:rsid w:val="32F81DE5"/>
    <w:rsid w:val="32FD564D"/>
    <w:rsid w:val="331530BF"/>
    <w:rsid w:val="331812CD"/>
    <w:rsid w:val="33185FE3"/>
    <w:rsid w:val="331C2BC3"/>
    <w:rsid w:val="331D11C5"/>
    <w:rsid w:val="3321133C"/>
    <w:rsid w:val="3326503C"/>
    <w:rsid w:val="334119DE"/>
    <w:rsid w:val="334F5269"/>
    <w:rsid w:val="33501C21"/>
    <w:rsid w:val="33557238"/>
    <w:rsid w:val="335D7E9A"/>
    <w:rsid w:val="336F654B"/>
    <w:rsid w:val="337A5689"/>
    <w:rsid w:val="33816C86"/>
    <w:rsid w:val="33823D13"/>
    <w:rsid w:val="338B7199"/>
    <w:rsid w:val="338E62A6"/>
    <w:rsid w:val="338F6A1C"/>
    <w:rsid w:val="339B51CF"/>
    <w:rsid w:val="33AB5D66"/>
    <w:rsid w:val="33B45D0C"/>
    <w:rsid w:val="33C4712A"/>
    <w:rsid w:val="33D12D62"/>
    <w:rsid w:val="33DA46B5"/>
    <w:rsid w:val="33DB60C7"/>
    <w:rsid w:val="33E505BB"/>
    <w:rsid w:val="33E62DDF"/>
    <w:rsid w:val="33E660E2"/>
    <w:rsid w:val="33F20F2A"/>
    <w:rsid w:val="33FB393B"/>
    <w:rsid w:val="34034EE6"/>
    <w:rsid w:val="34126ED7"/>
    <w:rsid w:val="34131B27"/>
    <w:rsid w:val="342015F4"/>
    <w:rsid w:val="34467515"/>
    <w:rsid w:val="34480B4A"/>
    <w:rsid w:val="34481C3C"/>
    <w:rsid w:val="34482D34"/>
    <w:rsid w:val="34565015"/>
    <w:rsid w:val="346266E6"/>
    <w:rsid w:val="346314E0"/>
    <w:rsid w:val="34665485"/>
    <w:rsid w:val="34735C1E"/>
    <w:rsid w:val="348B6E58"/>
    <w:rsid w:val="34B360A5"/>
    <w:rsid w:val="34B405C2"/>
    <w:rsid w:val="34BA5F8F"/>
    <w:rsid w:val="34BD5094"/>
    <w:rsid w:val="34C33B12"/>
    <w:rsid w:val="34C91C8B"/>
    <w:rsid w:val="34EA7D73"/>
    <w:rsid w:val="35012D40"/>
    <w:rsid w:val="35014185"/>
    <w:rsid w:val="35037688"/>
    <w:rsid w:val="35132F06"/>
    <w:rsid w:val="35170C48"/>
    <w:rsid w:val="3518676F"/>
    <w:rsid w:val="35216C38"/>
    <w:rsid w:val="352B0250"/>
    <w:rsid w:val="352B46F4"/>
    <w:rsid w:val="35352E7D"/>
    <w:rsid w:val="354C1617"/>
    <w:rsid w:val="3552096B"/>
    <w:rsid w:val="3555456A"/>
    <w:rsid w:val="355A6D87"/>
    <w:rsid w:val="356130EE"/>
    <w:rsid w:val="35633BFD"/>
    <w:rsid w:val="356E6EED"/>
    <w:rsid w:val="35847960"/>
    <w:rsid w:val="35A951A9"/>
    <w:rsid w:val="35AD335B"/>
    <w:rsid w:val="35AD6EB7"/>
    <w:rsid w:val="35B77D36"/>
    <w:rsid w:val="35B82EDE"/>
    <w:rsid w:val="35BA5556"/>
    <w:rsid w:val="35BA7547"/>
    <w:rsid w:val="35BE084E"/>
    <w:rsid w:val="35C740FB"/>
    <w:rsid w:val="35C93BCD"/>
    <w:rsid w:val="35D80879"/>
    <w:rsid w:val="35DE019D"/>
    <w:rsid w:val="35E054DE"/>
    <w:rsid w:val="35E13004"/>
    <w:rsid w:val="35FC6BDB"/>
    <w:rsid w:val="360867E3"/>
    <w:rsid w:val="3616550F"/>
    <w:rsid w:val="3627310D"/>
    <w:rsid w:val="362C2563"/>
    <w:rsid w:val="36323860"/>
    <w:rsid w:val="36371193"/>
    <w:rsid w:val="36443918"/>
    <w:rsid w:val="36472C31"/>
    <w:rsid w:val="365D556F"/>
    <w:rsid w:val="366302C2"/>
    <w:rsid w:val="36637BEB"/>
    <w:rsid w:val="366D4898"/>
    <w:rsid w:val="36743E79"/>
    <w:rsid w:val="36853A2D"/>
    <w:rsid w:val="36877708"/>
    <w:rsid w:val="368D6CE8"/>
    <w:rsid w:val="368F0CB2"/>
    <w:rsid w:val="36915456"/>
    <w:rsid w:val="3694343E"/>
    <w:rsid w:val="3696675B"/>
    <w:rsid w:val="36A66A34"/>
    <w:rsid w:val="36A7436D"/>
    <w:rsid w:val="36BD5959"/>
    <w:rsid w:val="36BE50F4"/>
    <w:rsid w:val="36C06CF8"/>
    <w:rsid w:val="36CB6C73"/>
    <w:rsid w:val="36CC7811"/>
    <w:rsid w:val="36E42DAC"/>
    <w:rsid w:val="36E44B5A"/>
    <w:rsid w:val="36E62C18"/>
    <w:rsid w:val="37153A06"/>
    <w:rsid w:val="37187CE4"/>
    <w:rsid w:val="371F043C"/>
    <w:rsid w:val="372B4B9D"/>
    <w:rsid w:val="373236BF"/>
    <w:rsid w:val="37362EDC"/>
    <w:rsid w:val="373857B1"/>
    <w:rsid w:val="37401B61"/>
    <w:rsid w:val="37531CE0"/>
    <w:rsid w:val="375872F6"/>
    <w:rsid w:val="376129EA"/>
    <w:rsid w:val="37677539"/>
    <w:rsid w:val="3779679F"/>
    <w:rsid w:val="377E4FAF"/>
    <w:rsid w:val="37922808"/>
    <w:rsid w:val="37983B97"/>
    <w:rsid w:val="379A16BD"/>
    <w:rsid w:val="37B7226F"/>
    <w:rsid w:val="37BB698E"/>
    <w:rsid w:val="37C81E3B"/>
    <w:rsid w:val="37D20E57"/>
    <w:rsid w:val="37DC7F27"/>
    <w:rsid w:val="37DE77FC"/>
    <w:rsid w:val="37E67A3D"/>
    <w:rsid w:val="37EA1DD1"/>
    <w:rsid w:val="3801173C"/>
    <w:rsid w:val="380D1E8F"/>
    <w:rsid w:val="381274A5"/>
    <w:rsid w:val="38190834"/>
    <w:rsid w:val="38241593"/>
    <w:rsid w:val="385A0437"/>
    <w:rsid w:val="3860041F"/>
    <w:rsid w:val="38631313"/>
    <w:rsid w:val="386C12AB"/>
    <w:rsid w:val="3870385C"/>
    <w:rsid w:val="387B14EE"/>
    <w:rsid w:val="38897C33"/>
    <w:rsid w:val="38983E4E"/>
    <w:rsid w:val="38A63490"/>
    <w:rsid w:val="38AA3B82"/>
    <w:rsid w:val="38B13162"/>
    <w:rsid w:val="38B93DC5"/>
    <w:rsid w:val="38BD38B5"/>
    <w:rsid w:val="38D812D2"/>
    <w:rsid w:val="38DE17C3"/>
    <w:rsid w:val="38EF77E6"/>
    <w:rsid w:val="39006985"/>
    <w:rsid w:val="39161217"/>
    <w:rsid w:val="391B270E"/>
    <w:rsid w:val="3925443F"/>
    <w:rsid w:val="392A6A70"/>
    <w:rsid w:val="392E6561"/>
    <w:rsid w:val="392F6E44"/>
    <w:rsid w:val="39355B41"/>
    <w:rsid w:val="39382F3B"/>
    <w:rsid w:val="393B3575"/>
    <w:rsid w:val="393D634A"/>
    <w:rsid w:val="393F076E"/>
    <w:rsid w:val="394144E6"/>
    <w:rsid w:val="39415F1A"/>
    <w:rsid w:val="3942200C"/>
    <w:rsid w:val="39477622"/>
    <w:rsid w:val="39494261"/>
    <w:rsid w:val="39504729"/>
    <w:rsid w:val="39520110"/>
    <w:rsid w:val="39536EC1"/>
    <w:rsid w:val="395A4EC8"/>
    <w:rsid w:val="395A55A8"/>
    <w:rsid w:val="396778BC"/>
    <w:rsid w:val="396E2E01"/>
    <w:rsid w:val="39763A64"/>
    <w:rsid w:val="3978678E"/>
    <w:rsid w:val="397D040E"/>
    <w:rsid w:val="397E2754"/>
    <w:rsid w:val="39902D77"/>
    <w:rsid w:val="39AD2520"/>
    <w:rsid w:val="39AF02DA"/>
    <w:rsid w:val="39B06F76"/>
    <w:rsid w:val="39C857A5"/>
    <w:rsid w:val="39CC2C38"/>
    <w:rsid w:val="39D23390"/>
    <w:rsid w:val="39D51E17"/>
    <w:rsid w:val="39E11825"/>
    <w:rsid w:val="39EB4452"/>
    <w:rsid w:val="39F23A32"/>
    <w:rsid w:val="3A037D07"/>
    <w:rsid w:val="3A1514CF"/>
    <w:rsid w:val="3A241712"/>
    <w:rsid w:val="3A255BB6"/>
    <w:rsid w:val="3A257964"/>
    <w:rsid w:val="3A281202"/>
    <w:rsid w:val="3A2B0CF2"/>
    <w:rsid w:val="3A361831"/>
    <w:rsid w:val="3A371577"/>
    <w:rsid w:val="3A3C1C41"/>
    <w:rsid w:val="3A410516"/>
    <w:rsid w:val="3A43603C"/>
    <w:rsid w:val="3A60099C"/>
    <w:rsid w:val="3A695377"/>
    <w:rsid w:val="3A6D30B9"/>
    <w:rsid w:val="3A803532"/>
    <w:rsid w:val="3A8911F8"/>
    <w:rsid w:val="3A8F74D3"/>
    <w:rsid w:val="3A9C0FE3"/>
    <w:rsid w:val="3AA12D62"/>
    <w:rsid w:val="3AA22355"/>
    <w:rsid w:val="3AA34100"/>
    <w:rsid w:val="3ABB2076"/>
    <w:rsid w:val="3AC214F7"/>
    <w:rsid w:val="3ACF2D0A"/>
    <w:rsid w:val="3AD4054D"/>
    <w:rsid w:val="3AE35129"/>
    <w:rsid w:val="3AE53EB3"/>
    <w:rsid w:val="3AED3345"/>
    <w:rsid w:val="3AF3329F"/>
    <w:rsid w:val="3AF67A8F"/>
    <w:rsid w:val="3AF85078"/>
    <w:rsid w:val="3AFB6916"/>
    <w:rsid w:val="3B080AB1"/>
    <w:rsid w:val="3B082DE1"/>
    <w:rsid w:val="3B11613A"/>
    <w:rsid w:val="3B255741"/>
    <w:rsid w:val="3B2A71FC"/>
    <w:rsid w:val="3B2C6AD0"/>
    <w:rsid w:val="3B337E5E"/>
    <w:rsid w:val="3B381919"/>
    <w:rsid w:val="3B3A743F"/>
    <w:rsid w:val="3B44167C"/>
    <w:rsid w:val="3B530501"/>
    <w:rsid w:val="3B5674C0"/>
    <w:rsid w:val="3B651FE2"/>
    <w:rsid w:val="3B694CA4"/>
    <w:rsid w:val="3B73251E"/>
    <w:rsid w:val="3B80120B"/>
    <w:rsid w:val="3B934DA1"/>
    <w:rsid w:val="3B9C2BBA"/>
    <w:rsid w:val="3BA6684E"/>
    <w:rsid w:val="3BAF03A5"/>
    <w:rsid w:val="3BB27730"/>
    <w:rsid w:val="3BB56AC5"/>
    <w:rsid w:val="3BB6283D"/>
    <w:rsid w:val="3BBB1991"/>
    <w:rsid w:val="3BC27434"/>
    <w:rsid w:val="3BC66F24"/>
    <w:rsid w:val="3BDB6B01"/>
    <w:rsid w:val="3BE21884"/>
    <w:rsid w:val="3BE51D20"/>
    <w:rsid w:val="3BE949C1"/>
    <w:rsid w:val="3BEB75DB"/>
    <w:rsid w:val="3BEC625F"/>
    <w:rsid w:val="3BF5359A"/>
    <w:rsid w:val="3C020CC1"/>
    <w:rsid w:val="3C10781A"/>
    <w:rsid w:val="3C16395B"/>
    <w:rsid w:val="3C177780"/>
    <w:rsid w:val="3C2105FF"/>
    <w:rsid w:val="3C225B1F"/>
    <w:rsid w:val="3C33495D"/>
    <w:rsid w:val="3C3E7065"/>
    <w:rsid w:val="3C3F2833"/>
    <w:rsid w:val="3C5177CB"/>
    <w:rsid w:val="3C5938F5"/>
    <w:rsid w:val="3C5F165A"/>
    <w:rsid w:val="3C8B629C"/>
    <w:rsid w:val="3C8E715E"/>
    <w:rsid w:val="3C9B4C94"/>
    <w:rsid w:val="3CA32DC2"/>
    <w:rsid w:val="3CBE19AA"/>
    <w:rsid w:val="3CC86FC9"/>
    <w:rsid w:val="3CC97C4F"/>
    <w:rsid w:val="3CCA65A0"/>
    <w:rsid w:val="3CCB40C7"/>
    <w:rsid w:val="3CCB706B"/>
    <w:rsid w:val="3CD47902"/>
    <w:rsid w:val="3CD613E9"/>
    <w:rsid w:val="3CD728B6"/>
    <w:rsid w:val="3CDB1D38"/>
    <w:rsid w:val="3CDE71C1"/>
    <w:rsid w:val="3CE533DA"/>
    <w:rsid w:val="3CF10EA9"/>
    <w:rsid w:val="3CF11D7F"/>
    <w:rsid w:val="3CF2038A"/>
    <w:rsid w:val="3CF4186F"/>
    <w:rsid w:val="3CF67395"/>
    <w:rsid w:val="3CFC3141"/>
    <w:rsid w:val="3D0A0BAD"/>
    <w:rsid w:val="3D0E6800"/>
    <w:rsid w:val="3D1B6DFC"/>
    <w:rsid w:val="3D1D0DC6"/>
    <w:rsid w:val="3D2C725B"/>
    <w:rsid w:val="3D3E2AEA"/>
    <w:rsid w:val="3D42082D"/>
    <w:rsid w:val="3D477BF1"/>
    <w:rsid w:val="3D55376A"/>
    <w:rsid w:val="3D580050"/>
    <w:rsid w:val="3D581DFE"/>
    <w:rsid w:val="3D6D72B7"/>
    <w:rsid w:val="3D7F55DD"/>
    <w:rsid w:val="3D932E36"/>
    <w:rsid w:val="3D967EAC"/>
    <w:rsid w:val="3DA863E3"/>
    <w:rsid w:val="3DB1150E"/>
    <w:rsid w:val="3DBB238D"/>
    <w:rsid w:val="3DBC63C8"/>
    <w:rsid w:val="3DC15BF5"/>
    <w:rsid w:val="3DC34301"/>
    <w:rsid w:val="3DD2254E"/>
    <w:rsid w:val="3DD516A1"/>
    <w:rsid w:val="3DDB0292"/>
    <w:rsid w:val="3DDF42CD"/>
    <w:rsid w:val="3DE6565C"/>
    <w:rsid w:val="3E027AE3"/>
    <w:rsid w:val="3E0F11FF"/>
    <w:rsid w:val="3E257818"/>
    <w:rsid w:val="3E2A7856"/>
    <w:rsid w:val="3E2B306F"/>
    <w:rsid w:val="3E483D6A"/>
    <w:rsid w:val="3E4A566B"/>
    <w:rsid w:val="3E642A25"/>
    <w:rsid w:val="3E713E39"/>
    <w:rsid w:val="3E717642"/>
    <w:rsid w:val="3E731D09"/>
    <w:rsid w:val="3E80785E"/>
    <w:rsid w:val="3E823D9C"/>
    <w:rsid w:val="3EAD2B33"/>
    <w:rsid w:val="3EB9437E"/>
    <w:rsid w:val="3EBC016B"/>
    <w:rsid w:val="3EC86B10"/>
    <w:rsid w:val="3ECE6F8A"/>
    <w:rsid w:val="3ED319E4"/>
    <w:rsid w:val="3EF148F5"/>
    <w:rsid w:val="3EF43DA9"/>
    <w:rsid w:val="3F06105C"/>
    <w:rsid w:val="3F1C5008"/>
    <w:rsid w:val="3F1D6BA8"/>
    <w:rsid w:val="3F271716"/>
    <w:rsid w:val="3F2A1578"/>
    <w:rsid w:val="3F2C52F0"/>
    <w:rsid w:val="3F315B3E"/>
    <w:rsid w:val="3F395AC9"/>
    <w:rsid w:val="3F4559BA"/>
    <w:rsid w:val="3F4F4175"/>
    <w:rsid w:val="3F512FA9"/>
    <w:rsid w:val="3F5405B7"/>
    <w:rsid w:val="3F5D2176"/>
    <w:rsid w:val="3F5D4F76"/>
    <w:rsid w:val="3F6525B0"/>
    <w:rsid w:val="3F6B7328"/>
    <w:rsid w:val="3F713F07"/>
    <w:rsid w:val="3F7A32FF"/>
    <w:rsid w:val="3F8A6FD6"/>
    <w:rsid w:val="3FA05CDE"/>
    <w:rsid w:val="3FAC42F5"/>
    <w:rsid w:val="3FAC4683"/>
    <w:rsid w:val="3FC96FE3"/>
    <w:rsid w:val="3FCA471F"/>
    <w:rsid w:val="3FCC6E01"/>
    <w:rsid w:val="3FD662F8"/>
    <w:rsid w:val="3FF43934"/>
    <w:rsid w:val="3FFF2A05"/>
    <w:rsid w:val="4000052B"/>
    <w:rsid w:val="40010DD8"/>
    <w:rsid w:val="401D10DD"/>
    <w:rsid w:val="403A1C8F"/>
    <w:rsid w:val="403E0823"/>
    <w:rsid w:val="404544F3"/>
    <w:rsid w:val="40496BCB"/>
    <w:rsid w:val="40526FD9"/>
    <w:rsid w:val="40556962"/>
    <w:rsid w:val="4058044F"/>
    <w:rsid w:val="406752E1"/>
    <w:rsid w:val="406867FC"/>
    <w:rsid w:val="406F7FCE"/>
    <w:rsid w:val="40750B16"/>
    <w:rsid w:val="40752CC7"/>
    <w:rsid w:val="40786455"/>
    <w:rsid w:val="407C79A6"/>
    <w:rsid w:val="40827192"/>
    <w:rsid w:val="40890521"/>
    <w:rsid w:val="408C7674"/>
    <w:rsid w:val="409E3FCC"/>
    <w:rsid w:val="40A54DC6"/>
    <w:rsid w:val="40A56901"/>
    <w:rsid w:val="40BA73D2"/>
    <w:rsid w:val="40BC08F6"/>
    <w:rsid w:val="40C559FD"/>
    <w:rsid w:val="40CD2B03"/>
    <w:rsid w:val="40D246D6"/>
    <w:rsid w:val="40E87E13"/>
    <w:rsid w:val="40F2256A"/>
    <w:rsid w:val="40FE34AB"/>
    <w:rsid w:val="410F3BB9"/>
    <w:rsid w:val="411063A8"/>
    <w:rsid w:val="41114A04"/>
    <w:rsid w:val="4114603C"/>
    <w:rsid w:val="411615DD"/>
    <w:rsid w:val="411A73CB"/>
    <w:rsid w:val="413223F2"/>
    <w:rsid w:val="413B1CC2"/>
    <w:rsid w:val="413B5CBF"/>
    <w:rsid w:val="41406E31"/>
    <w:rsid w:val="41452699"/>
    <w:rsid w:val="41555FD6"/>
    <w:rsid w:val="416F5968"/>
    <w:rsid w:val="41735459"/>
    <w:rsid w:val="418036D2"/>
    <w:rsid w:val="41874A60"/>
    <w:rsid w:val="418A50C0"/>
    <w:rsid w:val="41AA2E44"/>
    <w:rsid w:val="41AC44C7"/>
    <w:rsid w:val="41C310BB"/>
    <w:rsid w:val="41C71300"/>
    <w:rsid w:val="41CB6B9A"/>
    <w:rsid w:val="4202005B"/>
    <w:rsid w:val="42044303"/>
    <w:rsid w:val="42175EA6"/>
    <w:rsid w:val="42224789"/>
    <w:rsid w:val="4224277E"/>
    <w:rsid w:val="422B389D"/>
    <w:rsid w:val="422C2C19"/>
    <w:rsid w:val="422F443F"/>
    <w:rsid w:val="423708CB"/>
    <w:rsid w:val="42537530"/>
    <w:rsid w:val="425E40F8"/>
    <w:rsid w:val="42612AFB"/>
    <w:rsid w:val="42666D6B"/>
    <w:rsid w:val="426A160C"/>
    <w:rsid w:val="426E4E56"/>
    <w:rsid w:val="428471F1"/>
    <w:rsid w:val="42A8653E"/>
    <w:rsid w:val="42AA7E83"/>
    <w:rsid w:val="42AF2D2D"/>
    <w:rsid w:val="42B0070C"/>
    <w:rsid w:val="42BA6101"/>
    <w:rsid w:val="42BC698B"/>
    <w:rsid w:val="42D77C69"/>
    <w:rsid w:val="42E5654F"/>
    <w:rsid w:val="42EB2257"/>
    <w:rsid w:val="42EE0B0F"/>
    <w:rsid w:val="42F829F8"/>
    <w:rsid w:val="4302254A"/>
    <w:rsid w:val="431F02D6"/>
    <w:rsid w:val="4328489C"/>
    <w:rsid w:val="432B46C0"/>
    <w:rsid w:val="432E715D"/>
    <w:rsid w:val="43317379"/>
    <w:rsid w:val="43361A71"/>
    <w:rsid w:val="43374264"/>
    <w:rsid w:val="43455505"/>
    <w:rsid w:val="435314FB"/>
    <w:rsid w:val="435B61A4"/>
    <w:rsid w:val="43617533"/>
    <w:rsid w:val="43667DA2"/>
    <w:rsid w:val="437048E9"/>
    <w:rsid w:val="43761230"/>
    <w:rsid w:val="437A1978"/>
    <w:rsid w:val="437E6337"/>
    <w:rsid w:val="43837F5E"/>
    <w:rsid w:val="43936CC7"/>
    <w:rsid w:val="43A37C0D"/>
    <w:rsid w:val="43A51B15"/>
    <w:rsid w:val="43B104BA"/>
    <w:rsid w:val="43B36ABA"/>
    <w:rsid w:val="43B41D58"/>
    <w:rsid w:val="43CE2E1A"/>
    <w:rsid w:val="43E75C8A"/>
    <w:rsid w:val="43F15787"/>
    <w:rsid w:val="44092E53"/>
    <w:rsid w:val="44095C00"/>
    <w:rsid w:val="440C3DB3"/>
    <w:rsid w:val="440E66CB"/>
    <w:rsid w:val="441775F9"/>
    <w:rsid w:val="44275D37"/>
    <w:rsid w:val="44295439"/>
    <w:rsid w:val="442E677C"/>
    <w:rsid w:val="44305F80"/>
    <w:rsid w:val="443D3FBF"/>
    <w:rsid w:val="443F68DF"/>
    <w:rsid w:val="444D24EA"/>
    <w:rsid w:val="447918D0"/>
    <w:rsid w:val="448C3B4F"/>
    <w:rsid w:val="44957B12"/>
    <w:rsid w:val="44973170"/>
    <w:rsid w:val="449A71A0"/>
    <w:rsid w:val="44AB4F09"/>
    <w:rsid w:val="44AF170F"/>
    <w:rsid w:val="44B412EF"/>
    <w:rsid w:val="44C1472D"/>
    <w:rsid w:val="44C4421D"/>
    <w:rsid w:val="44D12E5D"/>
    <w:rsid w:val="44D16A92"/>
    <w:rsid w:val="44D72579"/>
    <w:rsid w:val="44E67811"/>
    <w:rsid w:val="44EA211C"/>
    <w:rsid w:val="44EC107E"/>
    <w:rsid w:val="44EF65A4"/>
    <w:rsid w:val="44FF6A54"/>
    <w:rsid w:val="45014B29"/>
    <w:rsid w:val="450464A6"/>
    <w:rsid w:val="45050ABD"/>
    <w:rsid w:val="450626CE"/>
    <w:rsid w:val="45142418"/>
    <w:rsid w:val="451A3E3D"/>
    <w:rsid w:val="451C1963"/>
    <w:rsid w:val="453E182A"/>
    <w:rsid w:val="453E7AC9"/>
    <w:rsid w:val="45583E57"/>
    <w:rsid w:val="455E6F54"/>
    <w:rsid w:val="456017C3"/>
    <w:rsid w:val="4579257A"/>
    <w:rsid w:val="457B0D80"/>
    <w:rsid w:val="45800144"/>
    <w:rsid w:val="458D450F"/>
    <w:rsid w:val="458F0387"/>
    <w:rsid w:val="45912DE3"/>
    <w:rsid w:val="45A40ECF"/>
    <w:rsid w:val="45C049E4"/>
    <w:rsid w:val="45C45594"/>
    <w:rsid w:val="45CB05CF"/>
    <w:rsid w:val="45D56EC3"/>
    <w:rsid w:val="45D74C17"/>
    <w:rsid w:val="45E32481"/>
    <w:rsid w:val="45EC3A2B"/>
    <w:rsid w:val="45EE1552"/>
    <w:rsid w:val="45EF52CA"/>
    <w:rsid w:val="45FA05EA"/>
    <w:rsid w:val="45FF48B4"/>
    <w:rsid w:val="461B3B13"/>
    <w:rsid w:val="461D1E37"/>
    <w:rsid w:val="46244F73"/>
    <w:rsid w:val="462778B3"/>
    <w:rsid w:val="462A65A2"/>
    <w:rsid w:val="46326F64"/>
    <w:rsid w:val="463A4797"/>
    <w:rsid w:val="463C6E4E"/>
    <w:rsid w:val="46416E96"/>
    <w:rsid w:val="4646138E"/>
    <w:rsid w:val="46504CE7"/>
    <w:rsid w:val="465547F4"/>
    <w:rsid w:val="465869CB"/>
    <w:rsid w:val="46592743"/>
    <w:rsid w:val="465950E5"/>
    <w:rsid w:val="465E7D59"/>
    <w:rsid w:val="466C691A"/>
    <w:rsid w:val="466D458C"/>
    <w:rsid w:val="46753A21"/>
    <w:rsid w:val="46843C64"/>
    <w:rsid w:val="468D73F2"/>
    <w:rsid w:val="468E3D16"/>
    <w:rsid w:val="469043B7"/>
    <w:rsid w:val="46935C55"/>
    <w:rsid w:val="46B34549"/>
    <w:rsid w:val="46BA0CB9"/>
    <w:rsid w:val="46C16C66"/>
    <w:rsid w:val="46C202E8"/>
    <w:rsid w:val="46CC30CE"/>
    <w:rsid w:val="46D85D5E"/>
    <w:rsid w:val="46DD7615"/>
    <w:rsid w:val="46E06D54"/>
    <w:rsid w:val="46E40852"/>
    <w:rsid w:val="46EA38B8"/>
    <w:rsid w:val="46F47709"/>
    <w:rsid w:val="46F72688"/>
    <w:rsid w:val="46F913F6"/>
    <w:rsid w:val="46FE3A16"/>
    <w:rsid w:val="47004C67"/>
    <w:rsid w:val="47051DA8"/>
    <w:rsid w:val="4709425A"/>
    <w:rsid w:val="47211370"/>
    <w:rsid w:val="472F1E22"/>
    <w:rsid w:val="473170FA"/>
    <w:rsid w:val="47321256"/>
    <w:rsid w:val="473F7AD8"/>
    <w:rsid w:val="474824A0"/>
    <w:rsid w:val="474A04B2"/>
    <w:rsid w:val="474A5B58"/>
    <w:rsid w:val="474B6B66"/>
    <w:rsid w:val="474D04FA"/>
    <w:rsid w:val="47515805"/>
    <w:rsid w:val="475D3A4A"/>
    <w:rsid w:val="47605F31"/>
    <w:rsid w:val="47664C72"/>
    <w:rsid w:val="47723ABC"/>
    <w:rsid w:val="47844C36"/>
    <w:rsid w:val="478607E6"/>
    <w:rsid w:val="47A93BD6"/>
    <w:rsid w:val="47AC2BBE"/>
    <w:rsid w:val="47AC3472"/>
    <w:rsid w:val="47C22C96"/>
    <w:rsid w:val="47CC58C3"/>
    <w:rsid w:val="47CF7161"/>
    <w:rsid w:val="47DB3D58"/>
    <w:rsid w:val="47E349BA"/>
    <w:rsid w:val="47E81FD1"/>
    <w:rsid w:val="47ED7291"/>
    <w:rsid w:val="47FE7A46"/>
    <w:rsid w:val="48087156"/>
    <w:rsid w:val="48142DC6"/>
    <w:rsid w:val="4819662E"/>
    <w:rsid w:val="48207D66"/>
    <w:rsid w:val="48212BE3"/>
    <w:rsid w:val="48272AF9"/>
    <w:rsid w:val="4831724E"/>
    <w:rsid w:val="48367DA4"/>
    <w:rsid w:val="48372EE6"/>
    <w:rsid w:val="4837427B"/>
    <w:rsid w:val="48525539"/>
    <w:rsid w:val="485E1B9A"/>
    <w:rsid w:val="486359A1"/>
    <w:rsid w:val="48777924"/>
    <w:rsid w:val="48847F4B"/>
    <w:rsid w:val="489932CB"/>
    <w:rsid w:val="489E2BB7"/>
    <w:rsid w:val="489F2FD7"/>
    <w:rsid w:val="48AF3319"/>
    <w:rsid w:val="48BC2DE1"/>
    <w:rsid w:val="48C67970"/>
    <w:rsid w:val="48C742DC"/>
    <w:rsid w:val="48D32C81"/>
    <w:rsid w:val="48EC3D42"/>
    <w:rsid w:val="48FF340C"/>
    <w:rsid w:val="49016A1E"/>
    <w:rsid w:val="490C59BB"/>
    <w:rsid w:val="4919662F"/>
    <w:rsid w:val="492E034E"/>
    <w:rsid w:val="49342E67"/>
    <w:rsid w:val="49417BEA"/>
    <w:rsid w:val="494D2A33"/>
    <w:rsid w:val="495711BC"/>
    <w:rsid w:val="4957740E"/>
    <w:rsid w:val="49781FD9"/>
    <w:rsid w:val="497A5B7B"/>
    <w:rsid w:val="497F6965"/>
    <w:rsid w:val="498A51E1"/>
    <w:rsid w:val="499222AC"/>
    <w:rsid w:val="49950546"/>
    <w:rsid w:val="499802C4"/>
    <w:rsid w:val="499978DB"/>
    <w:rsid w:val="49A41FED"/>
    <w:rsid w:val="49AE1470"/>
    <w:rsid w:val="49BE0B7B"/>
    <w:rsid w:val="49BF4FB3"/>
    <w:rsid w:val="49CF169A"/>
    <w:rsid w:val="49D83B75"/>
    <w:rsid w:val="49EE6B1C"/>
    <w:rsid w:val="4A0453A9"/>
    <w:rsid w:val="4A1C2405"/>
    <w:rsid w:val="4A253ED6"/>
    <w:rsid w:val="4A273284"/>
    <w:rsid w:val="4A341372"/>
    <w:rsid w:val="4A3B6D2F"/>
    <w:rsid w:val="4A4E354F"/>
    <w:rsid w:val="4A534079"/>
    <w:rsid w:val="4A662573"/>
    <w:rsid w:val="4A792F1F"/>
    <w:rsid w:val="4A7F6258"/>
    <w:rsid w:val="4A800BE6"/>
    <w:rsid w:val="4A842484"/>
    <w:rsid w:val="4A8C3685"/>
    <w:rsid w:val="4A8E0795"/>
    <w:rsid w:val="4A9F0379"/>
    <w:rsid w:val="4ABB259D"/>
    <w:rsid w:val="4ABF170F"/>
    <w:rsid w:val="4ACB608C"/>
    <w:rsid w:val="4ACC5BD9"/>
    <w:rsid w:val="4AD50ED2"/>
    <w:rsid w:val="4ADD3943"/>
    <w:rsid w:val="4AE71232"/>
    <w:rsid w:val="4AEC1920"/>
    <w:rsid w:val="4AFA44F5"/>
    <w:rsid w:val="4AFB0577"/>
    <w:rsid w:val="4B022593"/>
    <w:rsid w:val="4B101F6A"/>
    <w:rsid w:val="4B2201D1"/>
    <w:rsid w:val="4B3C67D0"/>
    <w:rsid w:val="4B413ED2"/>
    <w:rsid w:val="4B481704"/>
    <w:rsid w:val="4B4B6403"/>
    <w:rsid w:val="4B5005B9"/>
    <w:rsid w:val="4B985ABC"/>
    <w:rsid w:val="4BA44460"/>
    <w:rsid w:val="4BAC677A"/>
    <w:rsid w:val="4BB01057"/>
    <w:rsid w:val="4BBC17AA"/>
    <w:rsid w:val="4BD5286C"/>
    <w:rsid w:val="4BD702A6"/>
    <w:rsid w:val="4BD74836"/>
    <w:rsid w:val="4BDA60D4"/>
    <w:rsid w:val="4BEA1840"/>
    <w:rsid w:val="4BEF73DD"/>
    <w:rsid w:val="4C1C787E"/>
    <w:rsid w:val="4C1E06B7"/>
    <w:rsid w:val="4C2540EF"/>
    <w:rsid w:val="4C2F4672"/>
    <w:rsid w:val="4C430CC4"/>
    <w:rsid w:val="4C463838"/>
    <w:rsid w:val="4C4B380C"/>
    <w:rsid w:val="4C5641E2"/>
    <w:rsid w:val="4C577725"/>
    <w:rsid w:val="4C5D11DF"/>
    <w:rsid w:val="4C6514C9"/>
    <w:rsid w:val="4C6D0CF6"/>
    <w:rsid w:val="4C714177"/>
    <w:rsid w:val="4C7261F0"/>
    <w:rsid w:val="4C8629B8"/>
    <w:rsid w:val="4C93644B"/>
    <w:rsid w:val="4C9A3C7F"/>
    <w:rsid w:val="4C9D59FF"/>
    <w:rsid w:val="4CA301C9"/>
    <w:rsid w:val="4CA8185A"/>
    <w:rsid w:val="4CB701C3"/>
    <w:rsid w:val="4CD07C03"/>
    <w:rsid w:val="4CD174D7"/>
    <w:rsid w:val="4CD366F7"/>
    <w:rsid w:val="4CD4421B"/>
    <w:rsid w:val="4CE808C5"/>
    <w:rsid w:val="4CEA7169"/>
    <w:rsid w:val="4CF136D5"/>
    <w:rsid w:val="4D0E7878"/>
    <w:rsid w:val="4D123792"/>
    <w:rsid w:val="4D170530"/>
    <w:rsid w:val="4D1B0752"/>
    <w:rsid w:val="4D1C1C6E"/>
    <w:rsid w:val="4D1E0FD3"/>
    <w:rsid w:val="4D297313"/>
    <w:rsid w:val="4D2A0DFA"/>
    <w:rsid w:val="4D2B369F"/>
    <w:rsid w:val="4D322037"/>
    <w:rsid w:val="4D356418"/>
    <w:rsid w:val="4D3637DE"/>
    <w:rsid w:val="4D3D2DBF"/>
    <w:rsid w:val="4D5A1EF6"/>
    <w:rsid w:val="4D5B4FF3"/>
    <w:rsid w:val="4D6A3B25"/>
    <w:rsid w:val="4D6C56FA"/>
    <w:rsid w:val="4D766F0F"/>
    <w:rsid w:val="4D8B0EC3"/>
    <w:rsid w:val="4D927387"/>
    <w:rsid w:val="4D970E3A"/>
    <w:rsid w:val="4D986247"/>
    <w:rsid w:val="4D9F75D5"/>
    <w:rsid w:val="4DA06DE7"/>
    <w:rsid w:val="4DAF4A8F"/>
    <w:rsid w:val="4DB14B03"/>
    <w:rsid w:val="4DC94652"/>
    <w:rsid w:val="4DC96400"/>
    <w:rsid w:val="4DCA61A8"/>
    <w:rsid w:val="4DDA2ACE"/>
    <w:rsid w:val="4DDC4386"/>
    <w:rsid w:val="4DDC6827"/>
    <w:rsid w:val="4DE60D60"/>
    <w:rsid w:val="4DED20EF"/>
    <w:rsid w:val="4DED6AAD"/>
    <w:rsid w:val="4DF3347D"/>
    <w:rsid w:val="4E086F29"/>
    <w:rsid w:val="4E0F6509"/>
    <w:rsid w:val="4E1C0C26"/>
    <w:rsid w:val="4E1D1138"/>
    <w:rsid w:val="4E231FB4"/>
    <w:rsid w:val="4E5A551C"/>
    <w:rsid w:val="4E605AD7"/>
    <w:rsid w:val="4E6600F3"/>
    <w:rsid w:val="4E79282F"/>
    <w:rsid w:val="4E7D0125"/>
    <w:rsid w:val="4E832C5D"/>
    <w:rsid w:val="4E845053"/>
    <w:rsid w:val="4E870795"/>
    <w:rsid w:val="4E8D1B77"/>
    <w:rsid w:val="4E9F4650"/>
    <w:rsid w:val="4EA56E6D"/>
    <w:rsid w:val="4EB96475"/>
    <w:rsid w:val="4EBB043F"/>
    <w:rsid w:val="4EBD75BF"/>
    <w:rsid w:val="4EC07803"/>
    <w:rsid w:val="4ECC2C30"/>
    <w:rsid w:val="4EE57EFD"/>
    <w:rsid w:val="4EEC481F"/>
    <w:rsid w:val="4EF61917"/>
    <w:rsid w:val="4F0257AB"/>
    <w:rsid w:val="4F044A00"/>
    <w:rsid w:val="4F0B3174"/>
    <w:rsid w:val="4F20353F"/>
    <w:rsid w:val="4F27620E"/>
    <w:rsid w:val="4F2770E7"/>
    <w:rsid w:val="4F2E0A82"/>
    <w:rsid w:val="4F304989"/>
    <w:rsid w:val="4F3501F1"/>
    <w:rsid w:val="4F4246BC"/>
    <w:rsid w:val="4F427227"/>
    <w:rsid w:val="4F475852"/>
    <w:rsid w:val="4F483C6B"/>
    <w:rsid w:val="4F4B382C"/>
    <w:rsid w:val="4F4E7DA7"/>
    <w:rsid w:val="4F5A6A5D"/>
    <w:rsid w:val="4F5B11C9"/>
    <w:rsid w:val="4F6A47C2"/>
    <w:rsid w:val="4F7F321A"/>
    <w:rsid w:val="4F860A4D"/>
    <w:rsid w:val="4F8F4094"/>
    <w:rsid w:val="4F9071D6"/>
    <w:rsid w:val="4F9D6DAE"/>
    <w:rsid w:val="4FA54039"/>
    <w:rsid w:val="4FB4193B"/>
    <w:rsid w:val="4FC9093A"/>
    <w:rsid w:val="4FD87582"/>
    <w:rsid w:val="4FE70DC0"/>
    <w:rsid w:val="4FEB1D03"/>
    <w:rsid w:val="4FF36048"/>
    <w:rsid w:val="4FF57980"/>
    <w:rsid w:val="5003209D"/>
    <w:rsid w:val="500A342C"/>
    <w:rsid w:val="500C2A7D"/>
    <w:rsid w:val="501047BA"/>
    <w:rsid w:val="501301E4"/>
    <w:rsid w:val="50250266"/>
    <w:rsid w:val="502A1D14"/>
    <w:rsid w:val="50493828"/>
    <w:rsid w:val="507028FD"/>
    <w:rsid w:val="5076286F"/>
    <w:rsid w:val="5080549C"/>
    <w:rsid w:val="50812FC2"/>
    <w:rsid w:val="508323A3"/>
    <w:rsid w:val="50870612"/>
    <w:rsid w:val="508A1E77"/>
    <w:rsid w:val="509947B0"/>
    <w:rsid w:val="509B1A44"/>
    <w:rsid w:val="50A867A1"/>
    <w:rsid w:val="50B96C00"/>
    <w:rsid w:val="50CC6933"/>
    <w:rsid w:val="50D7260F"/>
    <w:rsid w:val="50DF60FE"/>
    <w:rsid w:val="50E40395"/>
    <w:rsid w:val="50E7551B"/>
    <w:rsid w:val="50E96211"/>
    <w:rsid w:val="50EC58C5"/>
    <w:rsid w:val="50EE4AFC"/>
    <w:rsid w:val="50F47C38"/>
    <w:rsid w:val="5100482F"/>
    <w:rsid w:val="510C4F82"/>
    <w:rsid w:val="51197277"/>
    <w:rsid w:val="513149E8"/>
    <w:rsid w:val="5139564B"/>
    <w:rsid w:val="513F1C75"/>
    <w:rsid w:val="514566E6"/>
    <w:rsid w:val="51597A9B"/>
    <w:rsid w:val="515A3F3F"/>
    <w:rsid w:val="51621046"/>
    <w:rsid w:val="51642A75"/>
    <w:rsid w:val="51712AF7"/>
    <w:rsid w:val="51767A99"/>
    <w:rsid w:val="51856AE2"/>
    <w:rsid w:val="518965D2"/>
    <w:rsid w:val="51A11B6E"/>
    <w:rsid w:val="51B65558"/>
    <w:rsid w:val="51B733CF"/>
    <w:rsid w:val="51B9241F"/>
    <w:rsid w:val="51D13AD5"/>
    <w:rsid w:val="51E11F6A"/>
    <w:rsid w:val="51ED6B61"/>
    <w:rsid w:val="51F577C4"/>
    <w:rsid w:val="51FB0B52"/>
    <w:rsid w:val="51FE0D6E"/>
    <w:rsid w:val="521E25F5"/>
    <w:rsid w:val="522A55A3"/>
    <w:rsid w:val="52320A18"/>
    <w:rsid w:val="5237799C"/>
    <w:rsid w:val="523C5421"/>
    <w:rsid w:val="523E6809"/>
    <w:rsid w:val="5243507E"/>
    <w:rsid w:val="524657B4"/>
    <w:rsid w:val="524E5126"/>
    <w:rsid w:val="525536DC"/>
    <w:rsid w:val="525941F7"/>
    <w:rsid w:val="5265282D"/>
    <w:rsid w:val="526D72CC"/>
    <w:rsid w:val="528079D5"/>
    <w:rsid w:val="52833022"/>
    <w:rsid w:val="529D5311"/>
    <w:rsid w:val="52A11200"/>
    <w:rsid w:val="52AD5B3E"/>
    <w:rsid w:val="52B458D1"/>
    <w:rsid w:val="52CB56C2"/>
    <w:rsid w:val="52D7511B"/>
    <w:rsid w:val="52E8557B"/>
    <w:rsid w:val="52F65EE9"/>
    <w:rsid w:val="52F93034"/>
    <w:rsid w:val="52FC2DD4"/>
    <w:rsid w:val="53043E75"/>
    <w:rsid w:val="53420DCF"/>
    <w:rsid w:val="53503344"/>
    <w:rsid w:val="53605111"/>
    <w:rsid w:val="536E566D"/>
    <w:rsid w:val="53702B39"/>
    <w:rsid w:val="53767049"/>
    <w:rsid w:val="537A7E82"/>
    <w:rsid w:val="53901E9A"/>
    <w:rsid w:val="539564AD"/>
    <w:rsid w:val="53966D85"/>
    <w:rsid w:val="539846A2"/>
    <w:rsid w:val="53987133"/>
    <w:rsid w:val="53A95E5E"/>
    <w:rsid w:val="53AC1BAC"/>
    <w:rsid w:val="53B06098"/>
    <w:rsid w:val="53B53671"/>
    <w:rsid w:val="53BB4E3F"/>
    <w:rsid w:val="53C37E9A"/>
    <w:rsid w:val="53CB2ED2"/>
    <w:rsid w:val="53E47AF0"/>
    <w:rsid w:val="53E92248"/>
    <w:rsid w:val="53FA5565"/>
    <w:rsid w:val="540168F4"/>
    <w:rsid w:val="540939FA"/>
    <w:rsid w:val="5411106D"/>
    <w:rsid w:val="541128AF"/>
    <w:rsid w:val="54147A2B"/>
    <w:rsid w:val="54161C73"/>
    <w:rsid w:val="541D74A6"/>
    <w:rsid w:val="54261C6F"/>
    <w:rsid w:val="542A30CE"/>
    <w:rsid w:val="542B1BC3"/>
    <w:rsid w:val="54324CFF"/>
    <w:rsid w:val="54336CC9"/>
    <w:rsid w:val="54372316"/>
    <w:rsid w:val="54435EA9"/>
    <w:rsid w:val="54506BE0"/>
    <w:rsid w:val="545D0418"/>
    <w:rsid w:val="546B4EDE"/>
    <w:rsid w:val="548E14C3"/>
    <w:rsid w:val="549B4C02"/>
    <w:rsid w:val="54A31759"/>
    <w:rsid w:val="54B25E40"/>
    <w:rsid w:val="54B30E83"/>
    <w:rsid w:val="54B60282"/>
    <w:rsid w:val="54B70795"/>
    <w:rsid w:val="54C17E31"/>
    <w:rsid w:val="54CF69F2"/>
    <w:rsid w:val="54E46E57"/>
    <w:rsid w:val="54F71DA5"/>
    <w:rsid w:val="54F759D2"/>
    <w:rsid w:val="54F975CB"/>
    <w:rsid w:val="54FE4BE1"/>
    <w:rsid w:val="55035D6B"/>
    <w:rsid w:val="5519349A"/>
    <w:rsid w:val="5520724E"/>
    <w:rsid w:val="552A1E7A"/>
    <w:rsid w:val="553700F3"/>
    <w:rsid w:val="553E1482"/>
    <w:rsid w:val="554271C4"/>
    <w:rsid w:val="55437428"/>
    <w:rsid w:val="554A7E27"/>
    <w:rsid w:val="55572544"/>
    <w:rsid w:val="5560589C"/>
    <w:rsid w:val="556829A3"/>
    <w:rsid w:val="556D68FB"/>
    <w:rsid w:val="558A49D4"/>
    <w:rsid w:val="558C48E3"/>
    <w:rsid w:val="55935C72"/>
    <w:rsid w:val="55971D20"/>
    <w:rsid w:val="55A34CA2"/>
    <w:rsid w:val="55A52FD7"/>
    <w:rsid w:val="55A81A65"/>
    <w:rsid w:val="55B06BF1"/>
    <w:rsid w:val="55CA3A69"/>
    <w:rsid w:val="55CC1183"/>
    <w:rsid w:val="55CE2806"/>
    <w:rsid w:val="55CF47D0"/>
    <w:rsid w:val="55D41DE6"/>
    <w:rsid w:val="55E069DD"/>
    <w:rsid w:val="55F47291"/>
    <w:rsid w:val="55F94148"/>
    <w:rsid w:val="55FF3307"/>
    <w:rsid w:val="5613290E"/>
    <w:rsid w:val="561B7A15"/>
    <w:rsid w:val="56293EE0"/>
    <w:rsid w:val="562C4BF8"/>
    <w:rsid w:val="562D5ADC"/>
    <w:rsid w:val="563665FD"/>
    <w:rsid w:val="56390553"/>
    <w:rsid w:val="563A60ED"/>
    <w:rsid w:val="563D252A"/>
    <w:rsid w:val="564C7D7F"/>
    <w:rsid w:val="56575F58"/>
    <w:rsid w:val="56582A17"/>
    <w:rsid w:val="565847C5"/>
    <w:rsid w:val="566724B7"/>
    <w:rsid w:val="566D6A2E"/>
    <w:rsid w:val="566F2438"/>
    <w:rsid w:val="56704DD9"/>
    <w:rsid w:val="567710EF"/>
    <w:rsid w:val="567809C3"/>
    <w:rsid w:val="56781A69"/>
    <w:rsid w:val="567C6182"/>
    <w:rsid w:val="568D446F"/>
    <w:rsid w:val="56925F29"/>
    <w:rsid w:val="56945880"/>
    <w:rsid w:val="56A47A0A"/>
    <w:rsid w:val="56AD2D63"/>
    <w:rsid w:val="56AF4034"/>
    <w:rsid w:val="56C53855"/>
    <w:rsid w:val="56CB4F97"/>
    <w:rsid w:val="56DE4CCA"/>
    <w:rsid w:val="56F24C1A"/>
    <w:rsid w:val="56F4762D"/>
    <w:rsid w:val="56FB5FC3"/>
    <w:rsid w:val="57184AD2"/>
    <w:rsid w:val="572B3C88"/>
    <w:rsid w:val="57390153"/>
    <w:rsid w:val="573C2591"/>
    <w:rsid w:val="574137A3"/>
    <w:rsid w:val="574216FD"/>
    <w:rsid w:val="57471CFC"/>
    <w:rsid w:val="575136EE"/>
    <w:rsid w:val="57513D51"/>
    <w:rsid w:val="575C057B"/>
    <w:rsid w:val="57770C7B"/>
    <w:rsid w:val="577F6601"/>
    <w:rsid w:val="578641E7"/>
    <w:rsid w:val="579655A5"/>
    <w:rsid w:val="579E445A"/>
    <w:rsid w:val="57AA40B7"/>
    <w:rsid w:val="57B777ED"/>
    <w:rsid w:val="57CB5E90"/>
    <w:rsid w:val="57DB54E4"/>
    <w:rsid w:val="57DD1426"/>
    <w:rsid w:val="57DD5BF0"/>
    <w:rsid w:val="57E37D4B"/>
    <w:rsid w:val="57EC1669"/>
    <w:rsid w:val="57F347D8"/>
    <w:rsid w:val="5805409E"/>
    <w:rsid w:val="58164938"/>
    <w:rsid w:val="581F7FFE"/>
    <w:rsid w:val="582232DD"/>
    <w:rsid w:val="582C5F09"/>
    <w:rsid w:val="582E2E2E"/>
    <w:rsid w:val="58365D87"/>
    <w:rsid w:val="5838665C"/>
    <w:rsid w:val="583F79EB"/>
    <w:rsid w:val="586133E2"/>
    <w:rsid w:val="58615BB3"/>
    <w:rsid w:val="586A41AF"/>
    <w:rsid w:val="586B2E43"/>
    <w:rsid w:val="586E3F48"/>
    <w:rsid w:val="586E702A"/>
    <w:rsid w:val="587358E6"/>
    <w:rsid w:val="58754C08"/>
    <w:rsid w:val="58821C30"/>
    <w:rsid w:val="58841449"/>
    <w:rsid w:val="588E514D"/>
    <w:rsid w:val="589046EA"/>
    <w:rsid w:val="58931AE5"/>
    <w:rsid w:val="58975164"/>
    <w:rsid w:val="58976036"/>
    <w:rsid w:val="589D4C38"/>
    <w:rsid w:val="58A27F7A"/>
    <w:rsid w:val="58A75590"/>
    <w:rsid w:val="58A93237"/>
    <w:rsid w:val="58AA182A"/>
    <w:rsid w:val="58AB4B55"/>
    <w:rsid w:val="58B02697"/>
    <w:rsid w:val="58B54151"/>
    <w:rsid w:val="58B654AB"/>
    <w:rsid w:val="58B71C77"/>
    <w:rsid w:val="58D5097F"/>
    <w:rsid w:val="58DB3C34"/>
    <w:rsid w:val="58DE0D33"/>
    <w:rsid w:val="58E00426"/>
    <w:rsid w:val="58E80B25"/>
    <w:rsid w:val="58F86634"/>
    <w:rsid w:val="590B2E55"/>
    <w:rsid w:val="591A70D7"/>
    <w:rsid w:val="591F781C"/>
    <w:rsid w:val="592852FE"/>
    <w:rsid w:val="5939268C"/>
    <w:rsid w:val="593C3F2A"/>
    <w:rsid w:val="59411541"/>
    <w:rsid w:val="59505C28"/>
    <w:rsid w:val="595474C6"/>
    <w:rsid w:val="595607E3"/>
    <w:rsid w:val="595C281E"/>
    <w:rsid w:val="595F1A32"/>
    <w:rsid w:val="5974435A"/>
    <w:rsid w:val="597D5162"/>
    <w:rsid w:val="59941FB8"/>
    <w:rsid w:val="59A246D5"/>
    <w:rsid w:val="59B075C7"/>
    <w:rsid w:val="59C821F6"/>
    <w:rsid w:val="59CE5D52"/>
    <w:rsid w:val="59D10B16"/>
    <w:rsid w:val="59D423B5"/>
    <w:rsid w:val="59E03B00"/>
    <w:rsid w:val="59F36CDF"/>
    <w:rsid w:val="5A132EDD"/>
    <w:rsid w:val="5A2A1AF5"/>
    <w:rsid w:val="5A325957"/>
    <w:rsid w:val="5A3F1F24"/>
    <w:rsid w:val="5A426ED9"/>
    <w:rsid w:val="5A446378"/>
    <w:rsid w:val="5A4E660B"/>
    <w:rsid w:val="5A526E9E"/>
    <w:rsid w:val="5A5752C7"/>
    <w:rsid w:val="5A640B0E"/>
    <w:rsid w:val="5A81078E"/>
    <w:rsid w:val="5A8262B5"/>
    <w:rsid w:val="5A8738CB"/>
    <w:rsid w:val="5A9102A6"/>
    <w:rsid w:val="5AB678CA"/>
    <w:rsid w:val="5ABC17C7"/>
    <w:rsid w:val="5AC92B4C"/>
    <w:rsid w:val="5AE107FB"/>
    <w:rsid w:val="5AE57247"/>
    <w:rsid w:val="5AF365A6"/>
    <w:rsid w:val="5AFD0ED4"/>
    <w:rsid w:val="5AFF3461"/>
    <w:rsid w:val="5B0637C0"/>
    <w:rsid w:val="5B1433B1"/>
    <w:rsid w:val="5B215ACE"/>
    <w:rsid w:val="5B277F80"/>
    <w:rsid w:val="5B296730"/>
    <w:rsid w:val="5B2B2C36"/>
    <w:rsid w:val="5B397E38"/>
    <w:rsid w:val="5B4A4572"/>
    <w:rsid w:val="5B4D241F"/>
    <w:rsid w:val="5B523ED9"/>
    <w:rsid w:val="5B5A29D1"/>
    <w:rsid w:val="5B5D6F2B"/>
    <w:rsid w:val="5B6A2D43"/>
    <w:rsid w:val="5B721F55"/>
    <w:rsid w:val="5B726329"/>
    <w:rsid w:val="5B793214"/>
    <w:rsid w:val="5B857E0A"/>
    <w:rsid w:val="5B8F6EDB"/>
    <w:rsid w:val="5BB406F0"/>
    <w:rsid w:val="5BBA4D3C"/>
    <w:rsid w:val="5BC112B9"/>
    <w:rsid w:val="5BDA692F"/>
    <w:rsid w:val="5BDC3065"/>
    <w:rsid w:val="5BE03C17"/>
    <w:rsid w:val="5BE76CD7"/>
    <w:rsid w:val="5BEC1C38"/>
    <w:rsid w:val="5BF9720E"/>
    <w:rsid w:val="5BFB631F"/>
    <w:rsid w:val="5BFE196B"/>
    <w:rsid w:val="5C1358B5"/>
    <w:rsid w:val="5C245875"/>
    <w:rsid w:val="5C3F2AE6"/>
    <w:rsid w:val="5C475FE9"/>
    <w:rsid w:val="5C4A2E02"/>
    <w:rsid w:val="5C4E28F2"/>
    <w:rsid w:val="5C5C7AD9"/>
    <w:rsid w:val="5C7D31D8"/>
    <w:rsid w:val="5C844566"/>
    <w:rsid w:val="5C9F6CAA"/>
    <w:rsid w:val="5CAC683F"/>
    <w:rsid w:val="5CB07109"/>
    <w:rsid w:val="5CB70498"/>
    <w:rsid w:val="5CC4357F"/>
    <w:rsid w:val="5CC50A12"/>
    <w:rsid w:val="5CDB111B"/>
    <w:rsid w:val="5CF80AB0"/>
    <w:rsid w:val="5CF82EF2"/>
    <w:rsid w:val="5CF977E4"/>
    <w:rsid w:val="5D063716"/>
    <w:rsid w:val="5D13037F"/>
    <w:rsid w:val="5D1628E9"/>
    <w:rsid w:val="5D1D4073"/>
    <w:rsid w:val="5D213B63"/>
    <w:rsid w:val="5D254981"/>
    <w:rsid w:val="5D276C9F"/>
    <w:rsid w:val="5D2C3B99"/>
    <w:rsid w:val="5D2E6280"/>
    <w:rsid w:val="5D347D3A"/>
    <w:rsid w:val="5D3F66DF"/>
    <w:rsid w:val="5D436524"/>
    <w:rsid w:val="5D4C079D"/>
    <w:rsid w:val="5D4D4B30"/>
    <w:rsid w:val="5D5850AB"/>
    <w:rsid w:val="5D6621C8"/>
    <w:rsid w:val="5D775E79"/>
    <w:rsid w:val="5D804D2D"/>
    <w:rsid w:val="5D891708"/>
    <w:rsid w:val="5D8D44FA"/>
    <w:rsid w:val="5D962851"/>
    <w:rsid w:val="5D9C7B77"/>
    <w:rsid w:val="5D9F10F3"/>
    <w:rsid w:val="5DA43D90"/>
    <w:rsid w:val="5DAB78D0"/>
    <w:rsid w:val="5DB20C5F"/>
    <w:rsid w:val="5DB94367"/>
    <w:rsid w:val="5DC145E1"/>
    <w:rsid w:val="5DC93E21"/>
    <w:rsid w:val="5DD10D32"/>
    <w:rsid w:val="5DD23992"/>
    <w:rsid w:val="5DD43BD3"/>
    <w:rsid w:val="5DD961EC"/>
    <w:rsid w:val="5DDC3F2E"/>
    <w:rsid w:val="5DE30E18"/>
    <w:rsid w:val="5E0D0AD7"/>
    <w:rsid w:val="5E163614"/>
    <w:rsid w:val="5E224037"/>
    <w:rsid w:val="5E227B93"/>
    <w:rsid w:val="5E2B1764"/>
    <w:rsid w:val="5E2D4789"/>
    <w:rsid w:val="5E394EDC"/>
    <w:rsid w:val="5E4D0988"/>
    <w:rsid w:val="5E714676"/>
    <w:rsid w:val="5E741847"/>
    <w:rsid w:val="5E753226"/>
    <w:rsid w:val="5E773B3B"/>
    <w:rsid w:val="5E787A26"/>
    <w:rsid w:val="5E800D5D"/>
    <w:rsid w:val="5E84084D"/>
    <w:rsid w:val="5E874DD8"/>
    <w:rsid w:val="5E8805C5"/>
    <w:rsid w:val="5E8A166F"/>
    <w:rsid w:val="5E9D369D"/>
    <w:rsid w:val="5EA56ECA"/>
    <w:rsid w:val="5EAC3063"/>
    <w:rsid w:val="5EAE7678"/>
    <w:rsid w:val="5EB10F16"/>
    <w:rsid w:val="5EB511BC"/>
    <w:rsid w:val="5EC23124"/>
    <w:rsid w:val="5EC7698C"/>
    <w:rsid w:val="5ED35331"/>
    <w:rsid w:val="5EDD7F5D"/>
    <w:rsid w:val="5EE66E8C"/>
    <w:rsid w:val="5EE7291C"/>
    <w:rsid w:val="5EF56357"/>
    <w:rsid w:val="5EFB03E4"/>
    <w:rsid w:val="5F0454EA"/>
    <w:rsid w:val="5F0467F6"/>
    <w:rsid w:val="5F0F6E47"/>
    <w:rsid w:val="5F105C3D"/>
    <w:rsid w:val="5F1A2F60"/>
    <w:rsid w:val="5F27742B"/>
    <w:rsid w:val="5F2913F5"/>
    <w:rsid w:val="5F2922AC"/>
    <w:rsid w:val="5F2B41DE"/>
    <w:rsid w:val="5F334021"/>
    <w:rsid w:val="5F341B4E"/>
    <w:rsid w:val="5F4274D6"/>
    <w:rsid w:val="5F566393"/>
    <w:rsid w:val="5F6D4AD6"/>
    <w:rsid w:val="5F6E1CDF"/>
    <w:rsid w:val="5F73441E"/>
    <w:rsid w:val="5F8A23C5"/>
    <w:rsid w:val="5F8F6006"/>
    <w:rsid w:val="5F9E593F"/>
    <w:rsid w:val="5FA36AB1"/>
    <w:rsid w:val="5FAB3BB8"/>
    <w:rsid w:val="5FC03B07"/>
    <w:rsid w:val="5FCF3EED"/>
    <w:rsid w:val="5FD053D7"/>
    <w:rsid w:val="5FDC1FC3"/>
    <w:rsid w:val="5FE175D9"/>
    <w:rsid w:val="5FE570CA"/>
    <w:rsid w:val="5FF53085"/>
    <w:rsid w:val="5FFB68ED"/>
    <w:rsid w:val="5FFC2665"/>
    <w:rsid w:val="60002310"/>
    <w:rsid w:val="600731CD"/>
    <w:rsid w:val="60107EBF"/>
    <w:rsid w:val="60135C32"/>
    <w:rsid w:val="60261490"/>
    <w:rsid w:val="602D0A71"/>
    <w:rsid w:val="60304AE7"/>
    <w:rsid w:val="6034283E"/>
    <w:rsid w:val="60363DC9"/>
    <w:rsid w:val="604638E0"/>
    <w:rsid w:val="605D5C3C"/>
    <w:rsid w:val="60732927"/>
    <w:rsid w:val="608B4472"/>
    <w:rsid w:val="608E7761"/>
    <w:rsid w:val="609A593B"/>
    <w:rsid w:val="609F6C32"/>
    <w:rsid w:val="60A1552C"/>
    <w:rsid w:val="60B30F76"/>
    <w:rsid w:val="60B7546F"/>
    <w:rsid w:val="60B8658C"/>
    <w:rsid w:val="60C23599"/>
    <w:rsid w:val="60C563D7"/>
    <w:rsid w:val="60CE7B5E"/>
    <w:rsid w:val="60D22B72"/>
    <w:rsid w:val="60D8007F"/>
    <w:rsid w:val="60DC3AF0"/>
    <w:rsid w:val="60E04D82"/>
    <w:rsid w:val="60E11F1C"/>
    <w:rsid w:val="60E5134B"/>
    <w:rsid w:val="60E94998"/>
    <w:rsid w:val="60F33A68"/>
    <w:rsid w:val="60F670B5"/>
    <w:rsid w:val="60FD5769"/>
    <w:rsid w:val="61016185"/>
    <w:rsid w:val="610E43FE"/>
    <w:rsid w:val="612956DC"/>
    <w:rsid w:val="612C0D28"/>
    <w:rsid w:val="61330309"/>
    <w:rsid w:val="613F0A5C"/>
    <w:rsid w:val="61411A57"/>
    <w:rsid w:val="61447094"/>
    <w:rsid w:val="61580343"/>
    <w:rsid w:val="616805DD"/>
    <w:rsid w:val="61813BF8"/>
    <w:rsid w:val="61913886"/>
    <w:rsid w:val="61AB234B"/>
    <w:rsid w:val="61AC733C"/>
    <w:rsid w:val="61BC02FE"/>
    <w:rsid w:val="61BE5E24"/>
    <w:rsid w:val="61C83E7A"/>
    <w:rsid w:val="61D45C00"/>
    <w:rsid w:val="61DB091C"/>
    <w:rsid w:val="61E479FD"/>
    <w:rsid w:val="61E635CD"/>
    <w:rsid w:val="61EB0BE3"/>
    <w:rsid w:val="620A598B"/>
    <w:rsid w:val="620D6DAC"/>
    <w:rsid w:val="620F48D2"/>
    <w:rsid w:val="6211064A"/>
    <w:rsid w:val="622653DE"/>
    <w:rsid w:val="623600B0"/>
    <w:rsid w:val="62411631"/>
    <w:rsid w:val="62494824"/>
    <w:rsid w:val="62543887"/>
    <w:rsid w:val="62562501"/>
    <w:rsid w:val="62594F2C"/>
    <w:rsid w:val="6260512D"/>
    <w:rsid w:val="626423F4"/>
    <w:rsid w:val="626B3F09"/>
    <w:rsid w:val="627401D8"/>
    <w:rsid w:val="62813F41"/>
    <w:rsid w:val="62855445"/>
    <w:rsid w:val="62864468"/>
    <w:rsid w:val="628A7E20"/>
    <w:rsid w:val="628D463B"/>
    <w:rsid w:val="629D1EDE"/>
    <w:rsid w:val="629E7A04"/>
    <w:rsid w:val="62A462CA"/>
    <w:rsid w:val="62AC3ECF"/>
    <w:rsid w:val="62D90A3C"/>
    <w:rsid w:val="62E80C7F"/>
    <w:rsid w:val="62F01FB7"/>
    <w:rsid w:val="62F323C0"/>
    <w:rsid w:val="62F42FAE"/>
    <w:rsid w:val="62F775D9"/>
    <w:rsid w:val="62F85366"/>
    <w:rsid w:val="62FA10DE"/>
    <w:rsid w:val="630755A9"/>
    <w:rsid w:val="63097573"/>
    <w:rsid w:val="63153025"/>
    <w:rsid w:val="631E65F1"/>
    <w:rsid w:val="63253C81"/>
    <w:rsid w:val="635B76A3"/>
    <w:rsid w:val="635F7193"/>
    <w:rsid w:val="63660521"/>
    <w:rsid w:val="637013A0"/>
    <w:rsid w:val="63870498"/>
    <w:rsid w:val="638D02E2"/>
    <w:rsid w:val="63926882"/>
    <w:rsid w:val="639826A5"/>
    <w:rsid w:val="639E5FFE"/>
    <w:rsid w:val="63A31776"/>
    <w:rsid w:val="63B868A3"/>
    <w:rsid w:val="63BC63F0"/>
    <w:rsid w:val="63C167A2"/>
    <w:rsid w:val="63CC6BE4"/>
    <w:rsid w:val="63DC3D45"/>
    <w:rsid w:val="63E1229E"/>
    <w:rsid w:val="63E37DC4"/>
    <w:rsid w:val="63EF5D46"/>
    <w:rsid w:val="63EF6334"/>
    <w:rsid w:val="63FD538A"/>
    <w:rsid w:val="6401394C"/>
    <w:rsid w:val="64065861"/>
    <w:rsid w:val="64107237"/>
    <w:rsid w:val="64147B0C"/>
    <w:rsid w:val="6416019A"/>
    <w:rsid w:val="64176BC2"/>
    <w:rsid w:val="64281C7B"/>
    <w:rsid w:val="643248A8"/>
    <w:rsid w:val="64412D3D"/>
    <w:rsid w:val="64487C27"/>
    <w:rsid w:val="644A6376"/>
    <w:rsid w:val="64550596"/>
    <w:rsid w:val="64597A4F"/>
    <w:rsid w:val="645B2050"/>
    <w:rsid w:val="645C2C9F"/>
    <w:rsid w:val="646804E0"/>
    <w:rsid w:val="64682077"/>
    <w:rsid w:val="64744EC0"/>
    <w:rsid w:val="64820309"/>
    <w:rsid w:val="648B4593"/>
    <w:rsid w:val="6491529C"/>
    <w:rsid w:val="649A686C"/>
    <w:rsid w:val="649F7777"/>
    <w:rsid w:val="64B61035"/>
    <w:rsid w:val="64B82FFF"/>
    <w:rsid w:val="64BA044C"/>
    <w:rsid w:val="64BE61B5"/>
    <w:rsid w:val="64CB0254"/>
    <w:rsid w:val="64CF20F6"/>
    <w:rsid w:val="64D34D76"/>
    <w:rsid w:val="64DC3487"/>
    <w:rsid w:val="64DD2A65"/>
    <w:rsid w:val="64EA5182"/>
    <w:rsid w:val="64FF0C2E"/>
    <w:rsid w:val="65091AAC"/>
    <w:rsid w:val="650C334B"/>
    <w:rsid w:val="65181CEF"/>
    <w:rsid w:val="65341F48"/>
    <w:rsid w:val="65384140"/>
    <w:rsid w:val="653A68C9"/>
    <w:rsid w:val="65497DC5"/>
    <w:rsid w:val="654B3E73"/>
    <w:rsid w:val="65584B18"/>
    <w:rsid w:val="655B7E2E"/>
    <w:rsid w:val="655F347A"/>
    <w:rsid w:val="656C5B97"/>
    <w:rsid w:val="6579358B"/>
    <w:rsid w:val="657D4B0B"/>
    <w:rsid w:val="65956E9C"/>
    <w:rsid w:val="659F468D"/>
    <w:rsid w:val="65A26342"/>
    <w:rsid w:val="65A6554D"/>
    <w:rsid w:val="65B23EF2"/>
    <w:rsid w:val="65BB3743"/>
    <w:rsid w:val="65BF03BD"/>
    <w:rsid w:val="65C34AA4"/>
    <w:rsid w:val="65D04378"/>
    <w:rsid w:val="65D11E9E"/>
    <w:rsid w:val="65E12D35"/>
    <w:rsid w:val="65EF5B54"/>
    <w:rsid w:val="65FC516D"/>
    <w:rsid w:val="65FD53F7"/>
    <w:rsid w:val="661C580F"/>
    <w:rsid w:val="661E1587"/>
    <w:rsid w:val="662B7800"/>
    <w:rsid w:val="662D3D0A"/>
    <w:rsid w:val="66303069"/>
    <w:rsid w:val="663771B7"/>
    <w:rsid w:val="663D12E2"/>
    <w:rsid w:val="66432D9C"/>
    <w:rsid w:val="66482ABF"/>
    <w:rsid w:val="665F7EA6"/>
    <w:rsid w:val="6663343E"/>
    <w:rsid w:val="666D606B"/>
    <w:rsid w:val="666F1F8E"/>
    <w:rsid w:val="66721954"/>
    <w:rsid w:val="66775427"/>
    <w:rsid w:val="66777716"/>
    <w:rsid w:val="667B2536"/>
    <w:rsid w:val="6683654E"/>
    <w:rsid w:val="668416B1"/>
    <w:rsid w:val="66855163"/>
    <w:rsid w:val="66944814"/>
    <w:rsid w:val="669E7FD2"/>
    <w:rsid w:val="66AC7D60"/>
    <w:rsid w:val="66C910BA"/>
    <w:rsid w:val="66D63C10"/>
    <w:rsid w:val="66DB0B66"/>
    <w:rsid w:val="66E0683D"/>
    <w:rsid w:val="66EF082E"/>
    <w:rsid w:val="66F81DD8"/>
    <w:rsid w:val="670A5668"/>
    <w:rsid w:val="670A709F"/>
    <w:rsid w:val="672506F4"/>
    <w:rsid w:val="672B6573"/>
    <w:rsid w:val="672C3830"/>
    <w:rsid w:val="672E1E84"/>
    <w:rsid w:val="673B1CC5"/>
    <w:rsid w:val="673F7DFC"/>
    <w:rsid w:val="6752056C"/>
    <w:rsid w:val="67593030"/>
    <w:rsid w:val="675A37D7"/>
    <w:rsid w:val="675C2C81"/>
    <w:rsid w:val="675C66AF"/>
    <w:rsid w:val="676F196F"/>
    <w:rsid w:val="678A2BD3"/>
    <w:rsid w:val="67953680"/>
    <w:rsid w:val="67957627"/>
    <w:rsid w:val="67982C74"/>
    <w:rsid w:val="679C52FB"/>
    <w:rsid w:val="67AA29A7"/>
    <w:rsid w:val="67B7688E"/>
    <w:rsid w:val="67CE0D8B"/>
    <w:rsid w:val="67DD0A1A"/>
    <w:rsid w:val="67E1553D"/>
    <w:rsid w:val="67F01A23"/>
    <w:rsid w:val="67F14921"/>
    <w:rsid w:val="67F3390B"/>
    <w:rsid w:val="67FA1B80"/>
    <w:rsid w:val="67FC2ED4"/>
    <w:rsid w:val="67FD5519"/>
    <w:rsid w:val="6814681B"/>
    <w:rsid w:val="681A3567"/>
    <w:rsid w:val="68330BEE"/>
    <w:rsid w:val="68330E5B"/>
    <w:rsid w:val="68372394"/>
    <w:rsid w:val="68376930"/>
    <w:rsid w:val="68384726"/>
    <w:rsid w:val="683D12BB"/>
    <w:rsid w:val="68464E7B"/>
    <w:rsid w:val="68494D96"/>
    <w:rsid w:val="684D3A5E"/>
    <w:rsid w:val="68567689"/>
    <w:rsid w:val="68570D81"/>
    <w:rsid w:val="68602928"/>
    <w:rsid w:val="686676F6"/>
    <w:rsid w:val="68703BF0"/>
    <w:rsid w:val="68757459"/>
    <w:rsid w:val="687F5BE1"/>
    <w:rsid w:val="68811240"/>
    <w:rsid w:val="688E68F2"/>
    <w:rsid w:val="688F2BC1"/>
    <w:rsid w:val="68916F6D"/>
    <w:rsid w:val="68925915"/>
    <w:rsid w:val="68A815DC"/>
    <w:rsid w:val="68BF1C67"/>
    <w:rsid w:val="68CC36FD"/>
    <w:rsid w:val="68DD74D8"/>
    <w:rsid w:val="68DF4C0E"/>
    <w:rsid w:val="68ED0106"/>
    <w:rsid w:val="68FC5484"/>
    <w:rsid w:val="690C3919"/>
    <w:rsid w:val="690C5375"/>
    <w:rsid w:val="69140A20"/>
    <w:rsid w:val="69212E07"/>
    <w:rsid w:val="69382A2C"/>
    <w:rsid w:val="69455BE9"/>
    <w:rsid w:val="69572814"/>
    <w:rsid w:val="695D7AF6"/>
    <w:rsid w:val="69734F56"/>
    <w:rsid w:val="69881F00"/>
    <w:rsid w:val="698F7744"/>
    <w:rsid w:val="699851AD"/>
    <w:rsid w:val="69996C73"/>
    <w:rsid w:val="699D6C67"/>
    <w:rsid w:val="69AA5692"/>
    <w:rsid w:val="69B813AB"/>
    <w:rsid w:val="69C90AA3"/>
    <w:rsid w:val="69C96C21"/>
    <w:rsid w:val="69CD0FEB"/>
    <w:rsid w:val="69D65CD5"/>
    <w:rsid w:val="69E179C2"/>
    <w:rsid w:val="69ED625D"/>
    <w:rsid w:val="69F04FE9"/>
    <w:rsid w:val="69F82E6A"/>
    <w:rsid w:val="69FA2BB1"/>
    <w:rsid w:val="69FF0F87"/>
    <w:rsid w:val="6A051778"/>
    <w:rsid w:val="6A1A2066"/>
    <w:rsid w:val="6A20004C"/>
    <w:rsid w:val="6A2627B9"/>
    <w:rsid w:val="6A300622"/>
    <w:rsid w:val="6A3A0372"/>
    <w:rsid w:val="6A3D3FA6"/>
    <w:rsid w:val="6A464C09"/>
    <w:rsid w:val="6A4D243B"/>
    <w:rsid w:val="6A537326"/>
    <w:rsid w:val="6A5C61DA"/>
    <w:rsid w:val="6A5F5CCB"/>
    <w:rsid w:val="6A721EA2"/>
    <w:rsid w:val="6A7A48B2"/>
    <w:rsid w:val="6A8636BF"/>
    <w:rsid w:val="6A8B4D12"/>
    <w:rsid w:val="6A8D6CDC"/>
    <w:rsid w:val="6A955B90"/>
    <w:rsid w:val="6A971229"/>
    <w:rsid w:val="6A9C6F1F"/>
    <w:rsid w:val="6AA02E7D"/>
    <w:rsid w:val="6AA47B81"/>
    <w:rsid w:val="6AB02EC8"/>
    <w:rsid w:val="6AB204F0"/>
    <w:rsid w:val="6AB51D80"/>
    <w:rsid w:val="6AB846BB"/>
    <w:rsid w:val="6ABB0479"/>
    <w:rsid w:val="6ACB5027"/>
    <w:rsid w:val="6ADA345D"/>
    <w:rsid w:val="6AE90161"/>
    <w:rsid w:val="6AFA07B8"/>
    <w:rsid w:val="6B057B25"/>
    <w:rsid w:val="6B19231D"/>
    <w:rsid w:val="6B1C3002"/>
    <w:rsid w:val="6B2A658B"/>
    <w:rsid w:val="6B317596"/>
    <w:rsid w:val="6B3C7DBA"/>
    <w:rsid w:val="6B405AFC"/>
    <w:rsid w:val="6B4078AA"/>
    <w:rsid w:val="6B43383E"/>
    <w:rsid w:val="6B5720D9"/>
    <w:rsid w:val="6B6932A5"/>
    <w:rsid w:val="6B6C4F4A"/>
    <w:rsid w:val="6B704B19"/>
    <w:rsid w:val="6B7B638D"/>
    <w:rsid w:val="6B833D73"/>
    <w:rsid w:val="6B92775B"/>
    <w:rsid w:val="6BA77929"/>
    <w:rsid w:val="6BB87D88"/>
    <w:rsid w:val="6BC42D80"/>
    <w:rsid w:val="6BC93D43"/>
    <w:rsid w:val="6BCB7ABB"/>
    <w:rsid w:val="6BCC6269"/>
    <w:rsid w:val="6BE00A23"/>
    <w:rsid w:val="6BE119EC"/>
    <w:rsid w:val="6BE446D9"/>
    <w:rsid w:val="6BEC5C84"/>
    <w:rsid w:val="6BEF307E"/>
    <w:rsid w:val="6BF20B14"/>
    <w:rsid w:val="6BF6245B"/>
    <w:rsid w:val="6C060AF4"/>
    <w:rsid w:val="6C12315A"/>
    <w:rsid w:val="6C256AA0"/>
    <w:rsid w:val="6C2A6D62"/>
    <w:rsid w:val="6C357721"/>
    <w:rsid w:val="6C3D64DF"/>
    <w:rsid w:val="6C4F6842"/>
    <w:rsid w:val="6C501D6F"/>
    <w:rsid w:val="6C535651"/>
    <w:rsid w:val="6C691082"/>
    <w:rsid w:val="6C6B6C2A"/>
    <w:rsid w:val="6C6E48EB"/>
    <w:rsid w:val="6C713969"/>
    <w:rsid w:val="6C723F2C"/>
    <w:rsid w:val="6C7912C8"/>
    <w:rsid w:val="6C79329D"/>
    <w:rsid w:val="6C793453"/>
    <w:rsid w:val="6C79787B"/>
    <w:rsid w:val="6C7C0DB6"/>
    <w:rsid w:val="6C7D0DDD"/>
    <w:rsid w:val="6C7D698A"/>
    <w:rsid w:val="6C845EBC"/>
    <w:rsid w:val="6C8639E2"/>
    <w:rsid w:val="6C925994"/>
    <w:rsid w:val="6C9C30BE"/>
    <w:rsid w:val="6CAD5413"/>
    <w:rsid w:val="6CB56076"/>
    <w:rsid w:val="6CBA0327"/>
    <w:rsid w:val="6CC22541"/>
    <w:rsid w:val="6CCB2720"/>
    <w:rsid w:val="6CCD33BF"/>
    <w:rsid w:val="6CCF7D45"/>
    <w:rsid w:val="6CDC1B00"/>
    <w:rsid w:val="6CDE55CC"/>
    <w:rsid w:val="6CE34991"/>
    <w:rsid w:val="6CEB1A97"/>
    <w:rsid w:val="6CEC271A"/>
    <w:rsid w:val="6CEF1076"/>
    <w:rsid w:val="6CFC5A53"/>
    <w:rsid w:val="6D0070E3"/>
    <w:rsid w:val="6D093028"/>
    <w:rsid w:val="6D1B05CF"/>
    <w:rsid w:val="6D20018F"/>
    <w:rsid w:val="6D2D3E5E"/>
    <w:rsid w:val="6D2D712A"/>
    <w:rsid w:val="6D35366D"/>
    <w:rsid w:val="6D633D24"/>
    <w:rsid w:val="6D6B4986"/>
    <w:rsid w:val="6D7138E1"/>
    <w:rsid w:val="6D793547"/>
    <w:rsid w:val="6D7970A3"/>
    <w:rsid w:val="6D7F47C0"/>
    <w:rsid w:val="6D8D0DA1"/>
    <w:rsid w:val="6D965EA7"/>
    <w:rsid w:val="6D997745"/>
    <w:rsid w:val="6DA00AD4"/>
    <w:rsid w:val="6DAF6F69"/>
    <w:rsid w:val="6DB63E53"/>
    <w:rsid w:val="6DBD6885"/>
    <w:rsid w:val="6DC26C9C"/>
    <w:rsid w:val="6DCA78FF"/>
    <w:rsid w:val="6DD72B83"/>
    <w:rsid w:val="6DE52FF9"/>
    <w:rsid w:val="6DF41C09"/>
    <w:rsid w:val="6DF469D6"/>
    <w:rsid w:val="6DF606F4"/>
    <w:rsid w:val="6DF72075"/>
    <w:rsid w:val="6DFB51AD"/>
    <w:rsid w:val="6E002065"/>
    <w:rsid w:val="6E040E16"/>
    <w:rsid w:val="6E082895"/>
    <w:rsid w:val="6E0C2F03"/>
    <w:rsid w:val="6E227042"/>
    <w:rsid w:val="6E245261"/>
    <w:rsid w:val="6E2C05BA"/>
    <w:rsid w:val="6E2C680B"/>
    <w:rsid w:val="6E4476B1"/>
    <w:rsid w:val="6E4B4EE4"/>
    <w:rsid w:val="6E4E43F9"/>
    <w:rsid w:val="6E5A0C83"/>
    <w:rsid w:val="6E6B579A"/>
    <w:rsid w:val="6E6F7CD3"/>
    <w:rsid w:val="6E7220C5"/>
    <w:rsid w:val="6E7C1B49"/>
    <w:rsid w:val="6E7C32EF"/>
    <w:rsid w:val="6E82467D"/>
    <w:rsid w:val="6E87278C"/>
    <w:rsid w:val="6E881C94"/>
    <w:rsid w:val="6E964D33"/>
    <w:rsid w:val="6EC42F5F"/>
    <w:rsid w:val="6EC9405A"/>
    <w:rsid w:val="6ECE1671"/>
    <w:rsid w:val="6ED749C9"/>
    <w:rsid w:val="6EDF4571"/>
    <w:rsid w:val="6EE844E0"/>
    <w:rsid w:val="6EED5F9B"/>
    <w:rsid w:val="6EF94940"/>
    <w:rsid w:val="6EFF4DD7"/>
    <w:rsid w:val="6F037929"/>
    <w:rsid w:val="6F0D03EB"/>
    <w:rsid w:val="6F1C3EBD"/>
    <w:rsid w:val="6F1F1C9A"/>
    <w:rsid w:val="6F23376B"/>
    <w:rsid w:val="6F293D49"/>
    <w:rsid w:val="6F300347"/>
    <w:rsid w:val="6F3D1254"/>
    <w:rsid w:val="6F48408F"/>
    <w:rsid w:val="6F5E47A3"/>
    <w:rsid w:val="6F67111E"/>
    <w:rsid w:val="6F672FA0"/>
    <w:rsid w:val="6F6C0FC6"/>
    <w:rsid w:val="6F72024E"/>
    <w:rsid w:val="6F7837A7"/>
    <w:rsid w:val="6FA7614A"/>
    <w:rsid w:val="6FAF4FFE"/>
    <w:rsid w:val="6FB97C2B"/>
    <w:rsid w:val="6FC50AA4"/>
    <w:rsid w:val="6FD131C7"/>
    <w:rsid w:val="6FD31987"/>
    <w:rsid w:val="6FDC1B6B"/>
    <w:rsid w:val="6FE93B2A"/>
    <w:rsid w:val="6FF46EB5"/>
    <w:rsid w:val="6FFE1AE2"/>
    <w:rsid w:val="700E61C9"/>
    <w:rsid w:val="701A2DBF"/>
    <w:rsid w:val="701C12B1"/>
    <w:rsid w:val="70455963"/>
    <w:rsid w:val="70545BA6"/>
    <w:rsid w:val="70587444"/>
    <w:rsid w:val="70651B61"/>
    <w:rsid w:val="70794A40"/>
    <w:rsid w:val="7091372C"/>
    <w:rsid w:val="709976F3"/>
    <w:rsid w:val="709F0A11"/>
    <w:rsid w:val="70AD6ED1"/>
    <w:rsid w:val="70B56644"/>
    <w:rsid w:val="70BF0BFA"/>
    <w:rsid w:val="70BF11D3"/>
    <w:rsid w:val="70C40F7D"/>
    <w:rsid w:val="70C8530E"/>
    <w:rsid w:val="70CC1BE0"/>
    <w:rsid w:val="70D07922"/>
    <w:rsid w:val="70D70CB1"/>
    <w:rsid w:val="70D86668"/>
    <w:rsid w:val="70E262C1"/>
    <w:rsid w:val="70EE5FFA"/>
    <w:rsid w:val="70F21646"/>
    <w:rsid w:val="71033854"/>
    <w:rsid w:val="710B2708"/>
    <w:rsid w:val="71113AC3"/>
    <w:rsid w:val="711368CE"/>
    <w:rsid w:val="711F61B4"/>
    <w:rsid w:val="713339AD"/>
    <w:rsid w:val="71341527"/>
    <w:rsid w:val="714125CE"/>
    <w:rsid w:val="714300F4"/>
    <w:rsid w:val="714E3C35"/>
    <w:rsid w:val="71557E27"/>
    <w:rsid w:val="71681909"/>
    <w:rsid w:val="716825B1"/>
    <w:rsid w:val="716B41C3"/>
    <w:rsid w:val="71742E65"/>
    <w:rsid w:val="71746E35"/>
    <w:rsid w:val="71752277"/>
    <w:rsid w:val="717B0A3E"/>
    <w:rsid w:val="71881FAB"/>
    <w:rsid w:val="71A36DE5"/>
    <w:rsid w:val="71A9040E"/>
    <w:rsid w:val="71B66B18"/>
    <w:rsid w:val="71C163A8"/>
    <w:rsid w:val="71C26606"/>
    <w:rsid w:val="71C805F9"/>
    <w:rsid w:val="71D8293B"/>
    <w:rsid w:val="71DD22F7"/>
    <w:rsid w:val="71E511AB"/>
    <w:rsid w:val="71E8430A"/>
    <w:rsid w:val="71E84E2D"/>
    <w:rsid w:val="71EB5AFC"/>
    <w:rsid w:val="71F118FE"/>
    <w:rsid w:val="71F6680B"/>
    <w:rsid w:val="71F72C8D"/>
    <w:rsid w:val="72116655"/>
    <w:rsid w:val="722F2426"/>
    <w:rsid w:val="72320B40"/>
    <w:rsid w:val="72347A3D"/>
    <w:rsid w:val="7238752D"/>
    <w:rsid w:val="726A5553"/>
    <w:rsid w:val="728C1627"/>
    <w:rsid w:val="72904E5F"/>
    <w:rsid w:val="729535C8"/>
    <w:rsid w:val="729A1F96"/>
    <w:rsid w:val="72A73125"/>
    <w:rsid w:val="72A83798"/>
    <w:rsid w:val="72AB41A3"/>
    <w:rsid w:val="72B229EC"/>
    <w:rsid w:val="72C00BF4"/>
    <w:rsid w:val="72C25048"/>
    <w:rsid w:val="72C47013"/>
    <w:rsid w:val="72C7572D"/>
    <w:rsid w:val="72CA214F"/>
    <w:rsid w:val="72D336FA"/>
    <w:rsid w:val="72D33D85"/>
    <w:rsid w:val="7301385C"/>
    <w:rsid w:val="732464E7"/>
    <w:rsid w:val="73281C56"/>
    <w:rsid w:val="73353A6C"/>
    <w:rsid w:val="73511DF4"/>
    <w:rsid w:val="7352461E"/>
    <w:rsid w:val="735247B7"/>
    <w:rsid w:val="736D3206"/>
    <w:rsid w:val="738F0A04"/>
    <w:rsid w:val="739E5AB6"/>
    <w:rsid w:val="73A17354"/>
    <w:rsid w:val="73A429A0"/>
    <w:rsid w:val="73A806E2"/>
    <w:rsid w:val="73DE2130"/>
    <w:rsid w:val="73E65CE0"/>
    <w:rsid w:val="73EA2AA9"/>
    <w:rsid w:val="73F73EBD"/>
    <w:rsid w:val="7400051E"/>
    <w:rsid w:val="74031DBD"/>
    <w:rsid w:val="74066F72"/>
    <w:rsid w:val="74145D78"/>
    <w:rsid w:val="74152B15"/>
    <w:rsid w:val="742646F1"/>
    <w:rsid w:val="742E045A"/>
    <w:rsid w:val="7432542B"/>
    <w:rsid w:val="74373814"/>
    <w:rsid w:val="7439758C"/>
    <w:rsid w:val="743B3304"/>
    <w:rsid w:val="7443665D"/>
    <w:rsid w:val="744C5512"/>
    <w:rsid w:val="744F5002"/>
    <w:rsid w:val="747A205A"/>
    <w:rsid w:val="748E5B2A"/>
    <w:rsid w:val="748F4CFA"/>
    <w:rsid w:val="749018A2"/>
    <w:rsid w:val="749173C8"/>
    <w:rsid w:val="749A217B"/>
    <w:rsid w:val="749B1FF5"/>
    <w:rsid w:val="749D3FBF"/>
    <w:rsid w:val="74BD6D77"/>
    <w:rsid w:val="74D769FD"/>
    <w:rsid w:val="74DC599E"/>
    <w:rsid w:val="74DD0860"/>
    <w:rsid w:val="74DF0134"/>
    <w:rsid w:val="74EE481B"/>
    <w:rsid w:val="74F320E1"/>
    <w:rsid w:val="75022BDD"/>
    <w:rsid w:val="75061B64"/>
    <w:rsid w:val="750A2CD7"/>
    <w:rsid w:val="750E7271"/>
    <w:rsid w:val="75114065"/>
    <w:rsid w:val="75134692"/>
    <w:rsid w:val="751A73BE"/>
    <w:rsid w:val="751C328B"/>
    <w:rsid w:val="752D0E62"/>
    <w:rsid w:val="7533222E"/>
    <w:rsid w:val="753C1C4E"/>
    <w:rsid w:val="753D30AC"/>
    <w:rsid w:val="75530221"/>
    <w:rsid w:val="75542870"/>
    <w:rsid w:val="75594B94"/>
    <w:rsid w:val="75594EF5"/>
    <w:rsid w:val="75640639"/>
    <w:rsid w:val="75695C4F"/>
    <w:rsid w:val="756D450E"/>
    <w:rsid w:val="75731C89"/>
    <w:rsid w:val="758F436B"/>
    <w:rsid w:val="758F5B35"/>
    <w:rsid w:val="758F5CC4"/>
    <w:rsid w:val="75941E05"/>
    <w:rsid w:val="75994786"/>
    <w:rsid w:val="75B07D22"/>
    <w:rsid w:val="75CA0CCD"/>
    <w:rsid w:val="75EA4FE2"/>
    <w:rsid w:val="75EB48B6"/>
    <w:rsid w:val="75ED07D0"/>
    <w:rsid w:val="75F41B11"/>
    <w:rsid w:val="75F776FF"/>
    <w:rsid w:val="760B4F58"/>
    <w:rsid w:val="760F2C9B"/>
    <w:rsid w:val="761262E7"/>
    <w:rsid w:val="7613060C"/>
    <w:rsid w:val="761C048A"/>
    <w:rsid w:val="761D53B8"/>
    <w:rsid w:val="762304F4"/>
    <w:rsid w:val="762A586E"/>
    <w:rsid w:val="762F0C47"/>
    <w:rsid w:val="763044F2"/>
    <w:rsid w:val="76342701"/>
    <w:rsid w:val="763B6BB8"/>
    <w:rsid w:val="764D4B3C"/>
    <w:rsid w:val="764E1171"/>
    <w:rsid w:val="76504D7D"/>
    <w:rsid w:val="765406AD"/>
    <w:rsid w:val="765C566B"/>
    <w:rsid w:val="765F2447"/>
    <w:rsid w:val="766C66D5"/>
    <w:rsid w:val="76770BD3"/>
    <w:rsid w:val="767E397C"/>
    <w:rsid w:val="76830E8B"/>
    <w:rsid w:val="768371E5"/>
    <w:rsid w:val="768A40CF"/>
    <w:rsid w:val="76950E25"/>
    <w:rsid w:val="76A33700"/>
    <w:rsid w:val="76B2742A"/>
    <w:rsid w:val="76C515AB"/>
    <w:rsid w:val="76D831E6"/>
    <w:rsid w:val="76DE3B37"/>
    <w:rsid w:val="76F47A9A"/>
    <w:rsid w:val="76F92398"/>
    <w:rsid w:val="7709593C"/>
    <w:rsid w:val="770B26BA"/>
    <w:rsid w:val="77152EE5"/>
    <w:rsid w:val="771A1486"/>
    <w:rsid w:val="772462D2"/>
    <w:rsid w:val="7726078D"/>
    <w:rsid w:val="77271704"/>
    <w:rsid w:val="772C33D8"/>
    <w:rsid w:val="77361E52"/>
    <w:rsid w:val="774E77E0"/>
    <w:rsid w:val="775454C1"/>
    <w:rsid w:val="7755292F"/>
    <w:rsid w:val="77644920"/>
    <w:rsid w:val="776631DD"/>
    <w:rsid w:val="77693A1A"/>
    <w:rsid w:val="776D606E"/>
    <w:rsid w:val="77752E08"/>
    <w:rsid w:val="777A4144"/>
    <w:rsid w:val="77801EDE"/>
    <w:rsid w:val="77842BAB"/>
    <w:rsid w:val="77894387"/>
    <w:rsid w:val="77912C8C"/>
    <w:rsid w:val="7794355F"/>
    <w:rsid w:val="779C40BA"/>
    <w:rsid w:val="779D288A"/>
    <w:rsid w:val="779F16E8"/>
    <w:rsid w:val="779F1DFC"/>
    <w:rsid w:val="77AE7BE8"/>
    <w:rsid w:val="77B04009"/>
    <w:rsid w:val="77C11D73"/>
    <w:rsid w:val="77C17FC5"/>
    <w:rsid w:val="77C43611"/>
    <w:rsid w:val="77CB4ADD"/>
    <w:rsid w:val="77CC3C2D"/>
    <w:rsid w:val="77D3069E"/>
    <w:rsid w:val="77FA47E4"/>
    <w:rsid w:val="77FD5222"/>
    <w:rsid w:val="78017BCA"/>
    <w:rsid w:val="7809684E"/>
    <w:rsid w:val="7819395D"/>
    <w:rsid w:val="78264014"/>
    <w:rsid w:val="782A5B6A"/>
    <w:rsid w:val="782C69C7"/>
    <w:rsid w:val="783755FA"/>
    <w:rsid w:val="783D187A"/>
    <w:rsid w:val="78476152"/>
    <w:rsid w:val="78536F8A"/>
    <w:rsid w:val="786170B2"/>
    <w:rsid w:val="786313D0"/>
    <w:rsid w:val="78660A4E"/>
    <w:rsid w:val="786A3B15"/>
    <w:rsid w:val="786C1799"/>
    <w:rsid w:val="787104C5"/>
    <w:rsid w:val="78716822"/>
    <w:rsid w:val="78760F2E"/>
    <w:rsid w:val="787C3976"/>
    <w:rsid w:val="78830A28"/>
    <w:rsid w:val="78886D34"/>
    <w:rsid w:val="788E1634"/>
    <w:rsid w:val="7891719E"/>
    <w:rsid w:val="78A2146F"/>
    <w:rsid w:val="78B071EB"/>
    <w:rsid w:val="78CF6711"/>
    <w:rsid w:val="78DD5AC6"/>
    <w:rsid w:val="78E53075"/>
    <w:rsid w:val="78EE7458"/>
    <w:rsid w:val="790179F6"/>
    <w:rsid w:val="790C1713"/>
    <w:rsid w:val="791F1447"/>
    <w:rsid w:val="79390690"/>
    <w:rsid w:val="794013BD"/>
    <w:rsid w:val="79445A86"/>
    <w:rsid w:val="794474D4"/>
    <w:rsid w:val="794C7027"/>
    <w:rsid w:val="795D1F6F"/>
    <w:rsid w:val="79623D7D"/>
    <w:rsid w:val="796D244F"/>
    <w:rsid w:val="79703449"/>
    <w:rsid w:val="79775971"/>
    <w:rsid w:val="798219D5"/>
    <w:rsid w:val="7984417B"/>
    <w:rsid w:val="799A287B"/>
    <w:rsid w:val="79A060E3"/>
    <w:rsid w:val="79B37DE1"/>
    <w:rsid w:val="79BC0A44"/>
    <w:rsid w:val="79C601B6"/>
    <w:rsid w:val="79CC14B0"/>
    <w:rsid w:val="79DE45A1"/>
    <w:rsid w:val="79E14AF9"/>
    <w:rsid w:val="79E9735F"/>
    <w:rsid w:val="79ED32F3"/>
    <w:rsid w:val="79F47B1A"/>
    <w:rsid w:val="7A1E16FE"/>
    <w:rsid w:val="7A280D5D"/>
    <w:rsid w:val="7A2B5BC9"/>
    <w:rsid w:val="7A3C1479"/>
    <w:rsid w:val="7A514E83"/>
    <w:rsid w:val="7A551BD0"/>
    <w:rsid w:val="7A5944E4"/>
    <w:rsid w:val="7A7632E8"/>
    <w:rsid w:val="7A7D6F86"/>
    <w:rsid w:val="7A921834"/>
    <w:rsid w:val="7A985A4B"/>
    <w:rsid w:val="7A993CB5"/>
    <w:rsid w:val="7AA14FAF"/>
    <w:rsid w:val="7AA37E55"/>
    <w:rsid w:val="7AA41266"/>
    <w:rsid w:val="7AA5772A"/>
    <w:rsid w:val="7AA716F4"/>
    <w:rsid w:val="7ABA4368"/>
    <w:rsid w:val="7AC5101C"/>
    <w:rsid w:val="7AD16771"/>
    <w:rsid w:val="7AD63D87"/>
    <w:rsid w:val="7AF631D6"/>
    <w:rsid w:val="7B0B276E"/>
    <w:rsid w:val="7B1228E5"/>
    <w:rsid w:val="7B215EF5"/>
    <w:rsid w:val="7B25086A"/>
    <w:rsid w:val="7B252618"/>
    <w:rsid w:val="7B260865"/>
    <w:rsid w:val="7B4B629C"/>
    <w:rsid w:val="7B5353D8"/>
    <w:rsid w:val="7B551150"/>
    <w:rsid w:val="7B777581"/>
    <w:rsid w:val="7B871525"/>
    <w:rsid w:val="7B8B0E45"/>
    <w:rsid w:val="7B981E94"/>
    <w:rsid w:val="7BA30578"/>
    <w:rsid w:val="7BAF40AC"/>
    <w:rsid w:val="7BBC11CF"/>
    <w:rsid w:val="7BC2430B"/>
    <w:rsid w:val="7BCF3A79"/>
    <w:rsid w:val="7BCF5D0B"/>
    <w:rsid w:val="7BDF5232"/>
    <w:rsid w:val="7BFA389E"/>
    <w:rsid w:val="7BFF1417"/>
    <w:rsid w:val="7C013085"/>
    <w:rsid w:val="7C032583"/>
    <w:rsid w:val="7C280612"/>
    <w:rsid w:val="7C376BBF"/>
    <w:rsid w:val="7C492337"/>
    <w:rsid w:val="7C522870"/>
    <w:rsid w:val="7C5E6EF9"/>
    <w:rsid w:val="7C6A48BD"/>
    <w:rsid w:val="7C6B6751"/>
    <w:rsid w:val="7C727E63"/>
    <w:rsid w:val="7C730498"/>
    <w:rsid w:val="7C741AA9"/>
    <w:rsid w:val="7C7855C3"/>
    <w:rsid w:val="7C7952FA"/>
    <w:rsid w:val="7C8415C1"/>
    <w:rsid w:val="7C8F0415"/>
    <w:rsid w:val="7C9E1465"/>
    <w:rsid w:val="7CB039B6"/>
    <w:rsid w:val="7CB1685A"/>
    <w:rsid w:val="7CB64C17"/>
    <w:rsid w:val="7CC938F0"/>
    <w:rsid w:val="7CCD4D16"/>
    <w:rsid w:val="7CDB4C1D"/>
    <w:rsid w:val="7CE56503"/>
    <w:rsid w:val="7CE86B63"/>
    <w:rsid w:val="7CF67D18"/>
    <w:rsid w:val="7CFE5817"/>
    <w:rsid w:val="7D0175BF"/>
    <w:rsid w:val="7D085F7C"/>
    <w:rsid w:val="7D16490F"/>
    <w:rsid w:val="7D1F526D"/>
    <w:rsid w:val="7D1F52EA"/>
    <w:rsid w:val="7D2012E9"/>
    <w:rsid w:val="7D280B32"/>
    <w:rsid w:val="7D29510C"/>
    <w:rsid w:val="7D32613E"/>
    <w:rsid w:val="7D3905FD"/>
    <w:rsid w:val="7D3C7304"/>
    <w:rsid w:val="7D425704"/>
    <w:rsid w:val="7D595AD0"/>
    <w:rsid w:val="7D641B1E"/>
    <w:rsid w:val="7D644137"/>
    <w:rsid w:val="7D646597"/>
    <w:rsid w:val="7D6C09D3"/>
    <w:rsid w:val="7D6F2271"/>
    <w:rsid w:val="7D711B45"/>
    <w:rsid w:val="7D747887"/>
    <w:rsid w:val="7D787377"/>
    <w:rsid w:val="7D7B29C4"/>
    <w:rsid w:val="7D8656FB"/>
    <w:rsid w:val="7D871368"/>
    <w:rsid w:val="7D873EDA"/>
    <w:rsid w:val="7D8C69F8"/>
    <w:rsid w:val="7D9624F1"/>
    <w:rsid w:val="7DA72C1E"/>
    <w:rsid w:val="7DAC53D4"/>
    <w:rsid w:val="7DB163E5"/>
    <w:rsid w:val="7DBB1012"/>
    <w:rsid w:val="7DE5512A"/>
    <w:rsid w:val="7DF06317"/>
    <w:rsid w:val="7DF34C50"/>
    <w:rsid w:val="7DF75691"/>
    <w:rsid w:val="7E090E37"/>
    <w:rsid w:val="7E0B52F5"/>
    <w:rsid w:val="7E0D5D12"/>
    <w:rsid w:val="7E12157A"/>
    <w:rsid w:val="7E21356B"/>
    <w:rsid w:val="7E215319"/>
    <w:rsid w:val="7E2E6078"/>
    <w:rsid w:val="7E3D1CA1"/>
    <w:rsid w:val="7E445050"/>
    <w:rsid w:val="7E4A3434"/>
    <w:rsid w:val="7E4E1E86"/>
    <w:rsid w:val="7E4F49A7"/>
    <w:rsid w:val="7E5020A2"/>
    <w:rsid w:val="7E5356EF"/>
    <w:rsid w:val="7E6A3164"/>
    <w:rsid w:val="7E6B6EDC"/>
    <w:rsid w:val="7E71269E"/>
    <w:rsid w:val="7E7A0ECD"/>
    <w:rsid w:val="7E863124"/>
    <w:rsid w:val="7E8E1FA4"/>
    <w:rsid w:val="7E9E696A"/>
    <w:rsid w:val="7EA45F4A"/>
    <w:rsid w:val="7EAD40E1"/>
    <w:rsid w:val="7EB11036"/>
    <w:rsid w:val="7EB16CB8"/>
    <w:rsid w:val="7EC14D4E"/>
    <w:rsid w:val="7EC9775F"/>
    <w:rsid w:val="7ED0689F"/>
    <w:rsid w:val="7ED2669C"/>
    <w:rsid w:val="7EDE145C"/>
    <w:rsid w:val="7EE10F4C"/>
    <w:rsid w:val="7EE527EB"/>
    <w:rsid w:val="7EEF559E"/>
    <w:rsid w:val="7EEF6318"/>
    <w:rsid w:val="7EF0504B"/>
    <w:rsid w:val="7EF33E90"/>
    <w:rsid w:val="7EF943E3"/>
    <w:rsid w:val="7F065208"/>
    <w:rsid w:val="7F0F7248"/>
    <w:rsid w:val="7F197C0E"/>
    <w:rsid w:val="7F23202A"/>
    <w:rsid w:val="7F2D4191"/>
    <w:rsid w:val="7F34107C"/>
    <w:rsid w:val="7F3D43D5"/>
    <w:rsid w:val="7F565ECA"/>
    <w:rsid w:val="7F566A71"/>
    <w:rsid w:val="7F594F87"/>
    <w:rsid w:val="7F5D2BD8"/>
    <w:rsid w:val="7F5E0FBF"/>
    <w:rsid w:val="7F5E259D"/>
    <w:rsid w:val="7F6D458E"/>
    <w:rsid w:val="7F75685E"/>
    <w:rsid w:val="7F79D4DE"/>
    <w:rsid w:val="7F8244DD"/>
    <w:rsid w:val="7F833DB1"/>
    <w:rsid w:val="7F875650"/>
    <w:rsid w:val="7F8A15E4"/>
    <w:rsid w:val="7F8A3392"/>
    <w:rsid w:val="7F9D2EA8"/>
    <w:rsid w:val="7F9E3089"/>
    <w:rsid w:val="7F9F54E0"/>
    <w:rsid w:val="7FAF553B"/>
    <w:rsid w:val="7FC71EF0"/>
    <w:rsid w:val="7FCA19E0"/>
    <w:rsid w:val="7FCB4E0E"/>
    <w:rsid w:val="7FCB710B"/>
    <w:rsid w:val="7FD12028"/>
    <w:rsid w:val="7FD54AE0"/>
    <w:rsid w:val="7FE238F2"/>
    <w:rsid w:val="7FED1984"/>
    <w:rsid w:val="7FF56A5D"/>
    <w:rsid w:val="7FF75A5E"/>
    <w:rsid w:val="7FF8654D"/>
    <w:rsid w:val="7FFE4F43"/>
    <w:rsid w:val="CABD5BF9"/>
    <w:rsid w:val="DBD6494C"/>
    <w:rsid w:val="EEFAD61C"/>
    <w:rsid w:val="F3AF0DB5"/>
    <w:rsid w:val="FE2D3355"/>
    <w:rsid w:val="FFDE4FFC"/>
    <w:rsid w:val="FFEF6C9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qFormat="1" w:uiPriority="0" w:semiHidden="0" w:name="toc 7"/>
    <w:lsdException w:uiPriority="39" w:name="toc 8"/>
    <w:lsdException w:unhideWhenUsed="0" w:uiPriority="0" w:semiHidden="0" w:name="toc 9"/>
    <w:lsdException w:qFormat="1" w:unhideWhenUsed="0" w:uiPriority="99"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42"/>
    <w:qFormat/>
    <w:uiPriority w:val="0"/>
    <w:pPr>
      <w:keepNext/>
      <w:keepLines/>
      <w:tabs>
        <w:tab w:val="left" w:pos="360"/>
      </w:tabs>
      <w:adjustRightInd w:val="0"/>
      <w:spacing w:before="120" w:line="360" w:lineRule="auto"/>
      <w:ind w:left="284" w:hanging="284"/>
      <w:textAlignment w:val="baseline"/>
      <w:outlineLvl w:val="0"/>
    </w:pPr>
    <w:rPr>
      <w:rFonts w:ascii="Times New Roman" w:hAnsi="Times New Roman" w:eastAsia="黑体" w:cs="Times New Roman"/>
      <w:b/>
      <w:kern w:val="44"/>
      <w:sz w:val="28"/>
      <w:szCs w:val="20"/>
    </w:rPr>
  </w:style>
  <w:style w:type="paragraph" w:styleId="5">
    <w:name w:val="heading 2"/>
    <w:basedOn w:val="1"/>
    <w:next w:val="1"/>
    <w:link w:val="43"/>
    <w:qFormat/>
    <w:uiPriority w:val="0"/>
    <w:pPr>
      <w:keepNext/>
      <w:tabs>
        <w:tab w:val="left" w:pos="1021"/>
      </w:tabs>
      <w:adjustRightInd w:val="0"/>
      <w:spacing w:before="120" w:line="360" w:lineRule="auto"/>
      <w:ind w:left="1021" w:hanging="596"/>
      <w:textAlignment w:val="baseline"/>
      <w:outlineLvl w:val="1"/>
    </w:pPr>
    <w:rPr>
      <w:rFonts w:ascii="Times New Roman" w:hAnsi="Times New Roman" w:eastAsia="黑体" w:cs="Times New Roman"/>
      <w:b/>
      <w:kern w:val="0"/>
      <w:sz w:val="28"/>
      <w:szCs w:val="20"/>
    </w:rPr>
  </w:style>
  <w:style w:type="paragraph" w:styleId="6">
    <w:name w:val="heading 3"/>
    <w:basedOn w:val="1"/>
    <w:next w:val="1"/>
    <w:link w:val="44"/>
    <w:qFormat/>
    <w:uiPriority w:val="0"/>
    <w:pPr>
      <w:tabs>
        <w:tab w:val="left" w:pos="900"/>
        <w:tab w:val="left" w:pos="1588"/>
      </w:tabs>
      <w:adjustRightInd w:val="0"/>
      <w:spacing w:before="120" w:line="360" w:lineRule="auto"/>
      <w:ind w:left="1588" w:hanging="737"/>
      <w:textAlignment w:val="baseline"/>
      <w:outlineLvl w:val="2"/>
    </w:pPr>
    <w:rPr>
      <w:rFonts w:ascii="Times New Roman" w:hAnsi="Times New Roman" w:eastAsia="黑体" w:cs="Times New Roman"/>
      <w:b/>
      <w:kern w:val="0"/>
      <w:sz w:val="28"/>
      <w:szCs w:val="20"/>
    </w:rPr>
  </w:style>
  <w:style w:type="paragraph" w:styleId="7">
    <w:name w:val="heading 4"/>
    <w:basedOn w:val="1"/>
    <w:next w:val="1"/>
    <w:qFormat/>
    <w:uiPriority w:val="0"/>
    <w:pPr>
      <w:tabs>
        <w:tab w:val="left" w:pos="2155"/>
      </w:tabs>
      <w:adjustRightInd w:val="0"/>
      <w:spacing w:before="120" w:line="360" w:lineRule="auto"/>
      <w:ind w:left="2155" w:hanging="1078"/>
      <w:textAlignment w:val="baseline"/>
      <w:outlineLvl w:val="3"/>
    </w:pPr>
    <w:rPr>
      <w:rFonts w:ascii="Arial" w:hAnsi="Arial" w:eastAsia="黑体" w:cs="Times New Roman"/>
      <w:kern w:val="0"/>
      <w:sz w:val="28"/>
      <w:szCs w:val="20"/>
    </w:rPr>
  </w:style>
  <w:style w:type="paragraph" w:styleId="8">
    <w:name w:val="heading 5"/>
    <w:basedOn w:val="1"/>
    <w:next w:val="1"/>
    <w:link w:val="45"/>
    <w:qFormat/>
    <w:uiPriority w:val="0"/>
    <w:pPr>
      <w:keepNext/>
      <w:keepLines/>
      <w:adjustRightInd w:val="0"/>
      <w:spacing w:before="280" w:after="290" w:line="376" w:lineRule="atLeast"/>
      <w:ind w:left="2125" w:hanging="425"/>
      <w:textAlignment w:val="baseline"/>
      <w:outlineLvl w:val="4"/>
    </w:pPr>
    <w:rPr>
      <w:rFonts w:ascii="Times New Roman" w:hAnsi="Times New Roman" w:eastAsia="宋体" w:cs="Times New Roman"/>
      <w:b/>
      <w:kern w:val="0"/>
      <w:sz w:val="28"/>
    </w:rPr>
  </w:style>
  <w:style w:type="character" w:default="1" w:styleId="34">
    <w:name w:val="Default Paragraph Font"/>
    <w:qFormat/>
    <w:uiPriority w:val="0"/>
    <w:rPr>
      <w:rFonts w:ascii="Times New Roman" w:hAnsi="Times New Roman" w:eastAsia="宋体" w:cs="Times New Roman"/>
    </w:rPr>
  </w:style>
  <w:style w:type="table" w:default="1" w:styleId="32">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2">
    <w:name w:val="header"/>
    <w:basedOn w:val="1"/>
    <w:next w:val="3"/>
    <w:link w:val="40"/>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3">
    <w:name w:val="footer"/>
    <w:basedOn w:val="1"/>
    <w:link w:val="41"/>
    <w:qFormat/>
    <w:uiPriority w:val="99"/>
    <w:pPr>
      <w:tabs>
        <w:tab w:val="center" w:pos="4153"/>
        <w:tab w:val="right" w:pos="8306"/>
      </w:tabs>
      <w:snapToGrid w:val="0"/>
      <w:jc w:val="left"/>
    </w:pPr>
    <w:rPr>
      <w:rFonts w:ascii="宋体" w:hAnsi="Times New Roman" w:eastAsia="宋体" w:cs="Times New Roman"/>
      <w:sz w:val="18"/>
      <w:szCs w:val="20"/>
    </w:rPr>
  </w:style>
  <w:style w:type="paragraph" w:styleId="9">
    <w:name w:val="toc 7"/>
    <w:basedOn w:val="1"/>
    <w:next w:val="1"/>
    <w:unhideWhenUsed/>
    <w:qFormat/>
    <w:uiPriority w:val="0"/>
    <w:pPr>
      <w:ind w:left="2520" w:leftChars="1200"/>
    </w:pPr>
  </w:style>
  <w:style w:type="paragraph" w:styleId="10">
    <w:name w:val="Normal Indent"/>
    <w:basedOn w:val="1"/>
    <w:next w:val="1"/>
    <w:link w:val="46"/>
    <w:qFormat/>
    <w:uiPriority w:val="99"/>
    <w:pPr>
      <w:widowControl/>
      <w:ind w:firstLine="420" w:firstLineChars="200"/>
      <w:jc w:val="left"/>
    </w:pPr>
    <w:rPr>
      <w:rFonts w:ascii="Times New Roman" w:hAnsi="Times New Roman" w:eastAsia="宋体" w:cs="Times New Roman"/>
      <w:kern w:val="0"/>
      <w:sz w:val="20"/>
      <w:szCs w:val="20"/>
    </w:rPr>
  </w:style>
  <w:style w:type="paragraph" w:styleId="11">
    <w:name w:val="Document Map"/>
    <w:basedOn w:val="1"/>
    <w:next w:val="1"/>
    <w:uiPriority w:val="0"/>
    <w:pPr>
      <w:shd w:val="clear" w:color="auto" w:fill="000080"/>
    </w:pPr>
    <w:rPr>
      <w:rFonts w:ascii="Times New Roman" w:hAnsi="Times New Roman" w:eastAsia="宋体" w:cs="Times New Roman"/>
    </w:rPr>
  </w:style>
  <w:style w:type="paragraph" w:styleId="12">
    <w:name w:val="annotation text"/>
    <w:basedOn w:val="1"/>
    <w:link w:val="47"/>
    <w:qFormat/>
    <w:uiPriority w:val="0"/>
    <w:pPr>
      <w:jc w:val="left"/>
    </w:pPr>
    <w:rPr>
      <w:rFonts w:ascii="Times New Roman" w:hAnsi="Times New Roman" w:eastAsia="宋体" w:cs="Times New Roman"/>
    </w:rPr>
  </w:style>
  <w:style w:type="paragraph" w:styleId="13">
    <w:name w:val="Body Text 3"/>
    <w:basedOn w:val="1"/>
    <w:link w:val="48"/>
    <w:qFormat/>
    <w:uiPriority w:val="0"/>
    <w:pPr>
      <w:spacing w:after="120"/>
    </w:pPr>
    <w:rPr>
      <w:rFonts w:ascii="Times New Roman" w:hAnsi="Times New Roman" w:eastAsia="宋体" w:cs="Times New Roman"/>
      <w:sz w:val="16"/>
      <w:szCs w:val="16"/>
    </w:rPr>
  </w:style>
  <w:style w:type="paragraph" w:styleId="14">
    <w:name w:val="Body Text"/>
    <w:basedOn w:val="1"/>
    <w:link w:val="49"/>
    <w:qFormat/>
    <w:uiPriority w:val="0"/>
    <w:pPr>
      <w:spacing w:after="120"/>
    </w:pPr>
    <w:rPr>
      <w:rFonts w:ascii="Times New Roman" w:hAnsi="Times New Roman" w:eastAsia="宋体" w:cs="Times New Roman"/>
    </w:rPr>
  </w:style>
  <w:style w:type="paragraph" w:styleId="15">
    <w:name w:val="Body Text Indent"/>
    <w:basedOn w:val="1"/>
    <w:link w:val="50"/>
    <w:qFormat/>
    <w:uiPriority w:val="0"/>
    <w:pPr>
      <w:spacing w:after="120"/>
      <w:ind w:left="420" w:leftChars="200"/>
    </w:pPr>
    <w:rPr>
      <w:rFonts w:ascii="Times New Roman" w:hAnsi="Times New Roman" w:eastAsia="宋体" w:cs="Times New Roman"/>
    </w:rPr>
  </w:style>
  <w:style w:type="paragraph" w:styleId="16">
    <w:name w:val="Block Text"/>
    <w:basedOn w:val="1"/>
    <w:qFormat/>
    <w:uiPriority w:val="0"/>
    <w:pPr>
      <w:spacing w:after="120"/>
      <w:ind w:left="1440" w:leftChars="700" w:right="1440" w:rightChars="700"/>
    </w:pPr>
  </w:style>
  <w:style w:type="paragraph" w:styleId="17">
    <w:name w:val="Plain Text"/>
    <w:basedOn w:val="1"/>
    <w:next w:val="1"/>
    <w:link w:val="51"/>
    <w:qFormat/>
    <w:uiPriority w:val="0"/>
    <w:rPr>
      <w:rFonts w:ascii="宋体" w:hAnsi="Times New Roman" w:eastAsia="宋体" w:cs="Times New Roman"/>
      <w:szCs w:val="20"/>
    </w:rPr>
  </w:style>
  <w:style w:type="paragraph" w:styleId="18">
    <w:name w:val="Date"/>
    <w:basedOn w:val="1"/>
    <w:next w:val="1"/>
    <w:link w:val="52"/>
    <w:qFormat/>
    <w:uiPriority w:val="0"/>
    <w:pPr>
      <w:ind w:left="100" w:leftChars="2500"/>
    </w:pPr>
    <w:rPr>
      <w:rFonts w:ascii="Times New Roman" w:hAnsi="Times New Roman" w:eastAsia="宋体" w:cs="Times New Roman"/>
    </w:rPr>
  </w:style>
  <w:style w:type="paragraph" w:styleId="19">
    <w:name w:val="Body Text Indent 2"/>
    <w:basedOn w:val="1"/>
    <w:link w:val="53"/>
    <w:qFormat/>
    <w:uiPriority w:val="0"/>
    <w:pPr>
      <w:spacing w:after="120" w:line="480" w:lineRule="auto"/>
      <w:ind w:left="200" w:leftChars="200"/>
    </w:pPr>
    <w:rPr>
      <w:rFonts w:ascii="Times New Roman" w:hAnsi="Times New Roman" w:eastAsia="宋体" w:cs="Times New Roman"/>
    </w:rPr>
  </w:style>
  <w:style w:type="paragraph" w:styleId="20">
    <w:name w:val="Balloon Text"/>
    <w:basedOn w:val="1"/>
    <w:qFormat/>
    <w:uiPriority w:val="0"/>
    <w:rPr>
      <w:rFonts w:ascii="Times New Roman" w:hAnsi="Times New Roman" w:eastAsia="宋体" w:cs="Times New Roman"/>
      <w:sz w:val="18"/>
      <w:szCs w:val="18"/>
    </w:rPr>
  </w:style>
  <w:style w:type="paragraph" w:styleId="21">
    <w:name w:val="envelope return"/>
    <w:basedOn w:val="1"/>
    <w:qFormat/>
    <w:uiPriority w:val="0"/>
    <w:pPr>
      <w:snapToGrid w:val="0"/>
    </w:pPr>
    <w:rPr>
      <w:rFonts w:ascii="Arial" w:hAnsi="Arial"/>
    </w:rPr>
  </w:style>
  <w:style w:type="paragraph" w:styleId="22">
    <w:name w:val="toc 1"/>
    <w:basedOn w:val="1"/>
    <w:next w:val="1"/>
    <w:qFormat/>
    <w:uiPriority w:val="39"/>
    <w:pPr>
      <w:tabs>
        <w:tab w:val="right" w:leader="dot" w:pos="9628"/>
      </w:tabs>
      <w:spacing w:before="120" w:after="120"/>
      <w:ind w:firstLine="74" w:firstLineChars="74"/>
      <w:jc w:val="left"/>
    </w:pPr>
    <w:rPr>
      <w:rFonts w:ascii="Times New Roman" w:hAnsi="Times New Roman" w:eastAsia="宋体" w:cs="Times New Roman"/>
      <w:b/>
      <w:bCs/>
      <w:caps/>
      <w:sz w:val="20"/>
      <w:szCs w:val="20"/>
    </w:rPr>
  </w:style>
  <w:style w:type="paragraph" w:styleId="23">
    <w:name w:val="Body Text Indent 3"/>
    <w:basedOn w:val="1"/>
    <w:qFormat/>
    <w:uiPriority w:val="0"/>
    <w:pPr>
      <w:spacing w:after="120"/>
      <w:ind w:left="420" w:leftChars="200"/>
    </w:pPr>
    <w:rPr>
      <w:sz w:val="16"/>
      <w:szCs w:val="16"/>
    </w:rPr>
  </w:style>
  <w:style w:type="paragraph" w:styleId="24">
    <w:name w:val="toc 2"/>
    <w:basedOn w:val="1"/>
    <w:next w:val="1"/>
    <w:qFormat/>
    <w:uiPriority w:val="39"/>
    <w:pPr>
      <w:tabs>
        <w:tab w:val="right" w:leader="dot" w:pos="9628"/>
      </w:tabs>
      <w:spacing w:line="400" w:lineRule="exact"/>
      <w:ind w:left="210"/>
      <w:jc w:val="left"/>
    </w:pPr>
    <w:rPr>
      <w:rFonts w:ascii="Times New Roman" w:hAnsi="Times New Roman" w:eastAsia="宋体" w:cs="Times New Roman"/>
      <w:smallCaps/>
      <w:sz w:val="20"/>
      <w:szCs w:val="20"/>
    </w:rPr>
  </w:style>
  <w:style w:type="paragraph" w:styleId="25">
    <w:name w:val="toc 9"/>
    <w:basedOn w:val="1"/>
    <w:next w:val="1"/>
    <w:uiPriority w:val="0"/>
    <w:pPr>
      <w:ind w:left="1680"/>
      <w:jc w:val="left"/>
    </w:pPr>
    <w:rPr>
      <w:rFonts w:ascii="Times New Roman" w:hAnsi="Times New Roman" w:eastAsia="宋体" w:cs="Times New Roman"/>
      <w:sz w:val="18"/>
      <w:szCs w:val="18"/>
    </w:rPr>
  </w:style>
  <w:style w:type="paragraph" w:styleId="26">
    <w:name w:val="Body Text 2"/>
    <w:basedOn w:val="1"/>
    <w:link w:val="54"/>
    <w:qFormat/>
    <w:uiPriority w:val="0"/>
    <w:pPr>
      <w:spacing w:after="120" w:line="480" w:lineRule="auto"/>
    </w:pPr>
    <w:rPr>
      <w:rFonts w:ascii="Times New Roman" w:hAnsi="Times New Roman" w:eastAsia="宋体" w:cs="Times New Roman"/>
    </w:rPr>
  </w:style>
  <w:style w:type="paragraph" w:styleId="27">
    <w:name w:val="Normal (Web)"/>
    <w:basedOn w:val="1"/>
    <w:qFormat/>
    <w:uiPriority w:val="0"/>
    <w:pPr>
      <w:widowControl/>
      <w:spacing w:before="100" w:beforeAutospacing="1" w:after="100" w:afterAutospacing="1"/>
      <w:jc w:val="left"/>
    </w:pPr>
    <w:rPr>
      <w:rFonts w:ascii="宋体" w:hAnsi="宋体" w:eastAsia="宋体" w:cs="Times New Roman"/>
      <w:kern w:val="0"/>
      <w:sz w:val="24"/>
    </w:rPr>
  </w:style>
  <w:style w:type="paragraph" w:styleId="28">
    <w:name w:val="Title"/>
    <w:basedOn w:val="1"/>
    <w:next w:val="1"/>
    <w:link w:val="55"/>
    <w:qFormat/>
    <w:uiPriority w:val="0"/>
    <w:pPr>
      <w:spacing w:before="240" w:after="60"/>
      <w:jc w:val="center"/>
      <w:outlineLvl w:val="0"/>
    </w:pPr>
    <w:rPr>
      <w:rFonts w:ascii="Cambria" w:hAnsi="Cambria" w:eastAsia="宋体" w:cs="Times New Roman"/>
      <w:b/>
      <w:bCs/>
      <w:sz w:val="32"/>
      <w:szCs w:val="32"/>
    </w:rPr>
  </w:style>
  <w:style w:type="paragraph" w:styleId="29">
    <w:name w:val="annotation subject"/>
    <w:basedOn w:val="12"/>
    <w:next w:val="12"/>
    <w:link w:val="56"/>
    <w:qFormat/>
    <w:uiPriority w:val="0"/>
    <w:rPr>
      <w:rFonts w:ascii="Times New Roman" w:hAnsi="Times New Roman" w:eastAsia="宋体" w:cs="Times New Roman"/>
      <w:b/>
      <w:bCs/>
    </w:rPr>
  </w:style>
  <w:style w:type="paragraph" w:styleId="30">
    <w:name w:val="Body Text First Indent"/>
    <w:basedOn w:val="14"/>
    <w:next w:val="1"/>
    <w:link w:val="57"/>
    <w:qFormat/>
    <w:uiPriority w:val="0"/>
    <w:pPr>
      <w:ind w:firstLine="420" w:firstLineChars="100"/>
    </w:pPr>
    <w:rPr>
      <w:rFonts w:ascii="Calibri" w:hAnsi="Calibri" w:eastAsia="宋体" w:cs="Times New Roman"/>
    </w:rPr>
  </w:style>
  <w:style w:type="paragraph" w:styleId="31">
    <w:name w:val="Body Text First Indent 2"/>
    <w:basedOn w:val="15"/>
    <w:link w:val="58"/>
    <w:unhideWhenUsed/>
    <w:qFormat/>
    <w:uiPriority w:val="99"/>
    <w:pPr>
      <w:ind w:firstLine="420" w:firstLineChars="200"/>
    </w:pPr>
  </w:style>
  <w:style w:type="table" w:styleId="33">
    <w:name w:val="Table Grid"/>
    <w:basedOn w:val="32"/>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qFormat/>
    <w:uiPriority w:val="0"/>
    <w:rPr>
      <w:rFonts w:ascii="Times New Roman" w:hAnsi="Times New Roman" w:eastAsia="宋体" w:cs="Times New Roman"/>
      <w:b/>
      <w:bCs/>
    </w:rPr>
  </w:style>
  <w:style w:type="character" w:styleId="36">
    <w:name w:val="page number"/>
    <w:qFormat/>
    <w:uiPriority w:val="0"/>
    <w:rPr>
      <w:rFonts w:ascii="Times New Roman" w:hAnsi="Times New Roman" w:eastAsia="宋体" w:cs="Times New Roman"/>
    </w:rPr>
  </w:style>
  <w:style w:type="character" w:styleId="37">
    <w:name w:val="FollowedHyperlink"/>
    <w:qFormat/>
    <w:uiPriority w:val="0"/>
    <w:rPr>
      <w:rFonts w:ascii="Times New Roman" w:hAnsi="Times New Roman" w:eastAsia="宋体" w:cs="Times New Roman"/>
      <w:color w:val="954F72"/>
      <w:u w:val="single"/>
    </w:rPr>
  </w:style>
  <w:style w:type="character" w:styleId="38">
    <w:name w:val="Hyperlink"/>
    <w:qFormat/>
    <w:uiPriority w:val="99"/>
    <w:rPr>
      <w:rFonts w:ascii="Times New Roman" w:hAnsi="Times New Roman" w:eastAsia="宋体" w:cs="Times New Roman"/>
      <w:color w:val="0000FF"/>
      <w:u w:val="single"/>
    </w:rPr>
  </w:style>
  <w:style w:type="character" w:styleId="39">
    <w:name w:val="annotation reference"/>
    <w:qFormat/>
    <w:uiPriority w:val="0"/>
    <w:rPr>
      <w:rFonts w:ascii="Times New Roman" w:hAnsi="Times New Roman" w:eastAsia="宋体" w:cs="Times New Roman"/>
      <w:sz w:val="21"/>
      <w:szCs w:val="21"/>
    </w:rPr>
  </w:style>
  <w:style w:type="character" w:customStyle="1" w:styleId="40">
    <w:name w:val="页眉 Char"/>
    <w:link w:val="2"/>
    <w:qFormat/>
    <w:uiPriority w:val="0"/>
    <w:rPr>
      <w:rFonts w:ascii="Times New Roman" w:hAnsi="Times New Roman" w:eastAsia="宋体" w:cs="Times New Roman"/>
      <w:kern w:val="2"/>
      <w:sz w:val="18"/>
      <w:szCs w:val="18"/>
    </w:rPr>
  </w:style>
  <w:style w:type="character" w:customStyle="1" w:styleId="41">
    <w:name w:val="页脚 Char"/>
    <w:link w:val="3"/>
    <w:qFormat/>
    <w:uiPriority w:val="99"/>
    <w:rPr>
      <w:rFonts w:ascii="宋体" w:hAnsi="Times New Roman" w:eastAsia="宋体" w:cs="Times New Roman"/>
      <w:kern w:val="2"/>
      <w:sz w:val="18"/>
    </w:rPr>
  </w:style>
  <w:style w:type="character" w:customStyle="1" w:styleId="42">
    <w:name w:val="标题 1 Char"/>
    <w:link w:val="4"/>
    <w:qFormat/>
    <w:uiPriority w:val="0"/>
    <w:rPr>
      <w:rFonts w:eastAsia="黑体"/>
      <w:b/>
      <w:kern w:val="44"/>
      <w:sz w:val="28"/>
    </w:rPr>
  </w:style>
  <w:style w:type="character" w:customStyle="1" w:styleId="43">
    <w:name w:val="标题 2 Char"/>
    <w:link w:val="5"/>
    <w:qFormat/>
    <w:uiPriority w:val="0"/>
    <w:rPr>
      <w:rFonts w:eastAsia="黑体"/>
      <w:b/>
      <w:sz w:val="28"/>
    </w:rPr>
  </w:style>
  <w:style w:type="character" w:customStyle="1" w:styleId="44">
    <w:name w:val="标题 3 Char2"/>
    <w:link w:val="6"/>
    <w:qFormat/>
    <w:uiPriority w:val="0"/>
    <w:rPr>
      <w:rFonts w:eastAsia="黑体"/>
      <w:b/>
      <w:sz w:val="28"/>
    </w:rPr>
  </w:style>
  <w:style w:type="character" w:customStyle="1" w:styleId="45">
    <w:name w:val="标题 5 Char"/>
    <w:link w:val="8"/>
    <w:uiPriority w:val="0"/>
    <w:rPr>
      <w:b/>
      <w:sz w:val="28"/>
      <w:szCs w:val="24"/>
    </w:rPr>
  </w:style>
  <w:style w:type="character" w:customStyle="1" w:styleId="46">
    <w:name w:val="正文缩进 Char1"/>
    <w:link w:val="10"/>
    <w:qFormat/>
    <w:uiPriority w:val="99"/>
    <w:rPr>
      <w:rFonts w:ascii="Times New Roman" w:hAnsi="Times New Roman" w:eastAsia="宋体" w:cs="Times New Roman"/>
    </w:rPr>
  </w:style>
  <w:style w:type="character" w:customStyle="1" w:styleId="47">
    <w:name w:val="批注文字 Char"/>
    <w:link w:val="12"/>
    <w:qFormat/>
    <w:uiPriority w:val="0"/>
    <w:rPr>
      <w:rFonts w:ascii="Times New Roman" w:hAnsi="Times New Roman" w:eastAsia="宋体" w:cs="Times New Roman"/>
      <w:kern w:val="2"/>
      <w:sz w:val="21"/>
      <w:szCs w:val="24"/>
    </w:rPr>
  </w:style>
  <w:style w:type="character" w:customStyle="1" w:styleId="48">
    <w:name w:val="正文文本 3 Char"/>
    <w:link w:val="13"/>
    <w:uiPriority w:val="0"/>
    <w:rPr>
      <w:rFonts w:ascii="Times New Roman" w:hAnsi="Times New Roman" w:eastAsia="宋体" w:cs="Times New Roman"/>
      <w:kern w:val="2"/>
      <w:sz w:val="16"/>
      <w:szCs w:val="16"/>
    </w:rPr>
  </w:style>
  <w:style w:type="character" w:customStyle="1" w:styleId="49">
    <w:name w:val="正文文本 Char"/>
    <w:link w:val="14"/>
    <w:qFormat/>
    <w:uiPriority w:val="0"/>
    <w:rPr>
      <w:rFonts w:ascii="Times New Roman" w:hAnsi="Times New Roman" w:eastAsia="宋体" w:cs="Times New Roman"/>
      <w:kern w:val="2"/>
      <w:sz w:val="21"/>
      <w:szCs w:val="24"/>
    </w:rPr>
  </w:style>
  <w:style w:type="character" w:customStyle="1" w:styleId="50">
    <w:name w:val="正文文本缩进 Char"/>
    <w:link w:val="15"/>
    <w:uiPriority w:val="0"/>
    <w:rPr>
      <w:rFonts w:ascii="Times New Roman" w:hAnsi="Times New Roman" w:eastAsia="宋体" w:cs="Times New Roman"/>
      <w:kern w:val="2"/>
      <w:sz w:val="21"/>
      <w:szCs w:val="24"/>
    </w:rPr>
  </w:style>
  <w:style w:type="character" w:customStyle="1" w:styleId="51">
    <w:name w:val="纯文本 Char3"/>
    <w:link w:val="17"/>
    <w:qFormat/>
    <w:uiPriority w:val="0"/>
    <w:rPr>
      <w:rFonts w:ascii="宋体" w:hAnsi="Times New Roman" w:eastAsia="宋体" w:cs="Times New Roman"/>
      <w:kern w:val="2"/>
      <w:sz w:val="21"/>
      <w:lang w:val="en-US" w:eastAsia="zh-CN" w:bidi="ar-SA"/>
    </w:rPr>
  </w:style>
  <w:style w:type="character" w:customStyle="1" w:styleId="52">
    <w:name w:val="日期 Char"/>
    <w:link w:val="18"/>
    <w:qFormat/>
    <w:uiPriority w:val="0"/>
    <w:rPr>
      <w:rFonts w:ascii="Times New Roman" w:hAnsi="Times New Roman" w:eastAsia="宋体" w:cs="Times New Roman"/>
      <w:kern w:val="2"/>
      <w:sz w:val="21"/>
      <w:szCs w:val="24"/>
    </w:rPr>
  </w:style>
  <w:style w:type="character" w:customStyle="1" w:styleId="53">
    <w:name w:val="正文文本缩进 2 Char"/>
    <w:link w:val="19"/>
    <w:uiPriority w:val="0"/>
    <w:rPr>
      <w:rFonts w:ascii="Times New Roman" w:hAnsi="Times New Roman" w:eastAsia="宋体" w:cs="Times New Roman"/>
      <w:kern w:val="2"/>
      <w:sz w:val="21"/>
      <w:szCs w:val="24"/>
    </w:rPr>
  </w:style>
  <w:style w:type="character" w:customStyle="1" w:styleId="54">
    <w:name w:val="正文文本 2 Char"/>
    <w:link w:val="26"/>
    <w:qFormat/>
    <w:uiPriority w:val="0"/>
    <w:rPr>
      <w:rFonts w:ascii="Times New Roman" w:hAnsi="Times New Roman" w:eastAsia="宋体" w:cs="Times New Roman"/>
      <w:kern w:val="2"/>
      <w:sz w:val="21"/>
      <w:szCs w:val="24"/>
    </w:rPr>
  </w:style>
  <w:style w:type="character" w:customStyle="1" w:styleId="55">
    <w:name w:val="标题 Char"/>
    <w:link w:val="28"/>
    <w:qFormat/>
    <w:uiPriority w:val="0"/>
    <w:rPr>
      <w:rFonts w:ascii="Cambria" w:hAnsi="Cambria" w:eastAsia="宋体" w:cs="Times New Roman"/>
      <w:b/>
      <w:bCs/>
      <w:kern w:val="2"/>
      <w:sz w:val="32"/>
      <w:szCs w:val="32"/>
    </w:rPr>
  </w:style>
  <w:style w:type="character" w:customStyle="1" w:styleId="56">
    <w:name w:val="批注主题 Char"/>
    <w:link w:val="29"/>
    <w:qFormat/>
    <w:uiPriority w:val="0"/>
    <w:rPr>
      <w:rFonts w:ascii="Times New Roman" w:hAnsi="Times New Roman" w:eastAsia="宋体" w:cs="Times New Roman"/>
      <w:b/>
      <w:bCs/>
      <w:kern w:val="2"/>
      <w:sz w:val="21"/>
      <w:szCs w:val="24"/>
    </w:rPr>
  </w:style>
  <w:style w:type="character" w:customStyle="1" w:styleId="57">
    <w:name w:val="正文首行缩进 Char"/>
    <w:link w:val="30"/>
    <w:qFormat/>
    <w:uiPriority w:val="0"/>
    <w:rPr>
      <w:rFonts w:ascii="Calibri" w:hAnsi="Calibri" w:eastAsia="宋体" w:cs="Times New Roman"/>
      <w:kern w:val="2"/>
      <w:sz w:val="21"/>
      <w:szCs w:val="24"/>
    </w:rPr>
  </w:style>
  <w:style w:type="character" w:customStyle="1" w:styleId="58">
    <w:name w:val="正文首行缩进 2 Char"/>
    <w:link w:val="31"/>
    <w:semiHidden/>
    <w:qFormat/>
    <w:uiPriority w:val="99"/>
  </w:style>
  <w:style w:type="paragraph" w:customStyle="1" w:styleId="59">
    <w:name w:val="正文（标准）"/>
    <w:basedOn w:val="1"/>
    <w:next w:val="1"/>
    <w:semiHidden/>
    <w:qFormat/>
    <w:uiPriority w:val="0"/>
    <w:pPr>
      <w:ind w:firstLine="525"/>
    </w:pPr>
    <w:rPr>
      <w:rFonts w:ascii="宋体" w:hAnsi="宋体"/>
    </w:rPr>
  </w:style>
  <w:style w:type="character" w:customStyle="1" w:styleId="60">
    <w:name w:val="标题 3 Char"/>
    <w:uiPriority w:val="0"/>
    <w:rPr>
      <w:rFonts w:ascii="Times New Roman" w:hAnsi="Times New Roman" w:eastAsia="宋体" w:cs="Times New Roman"/>
      <w:b/>
      <w:bCs/>
      <w:kern w:val="2"/>
      <w:sz w:val="32"/>
      <w:szCs w:val="32"/>
      <w:lang w:val="en-US" w:eastAsia="zh-CN" w:bidi="ar-SA"/>
    </w:rPr>
  </w:style>
  <w:style w:type="character" w:customStyle="1" w:styleId="61">
    <w:name w:val="纯文本 Char2"/>
    <w:qFormat/>
    <w:uiPriority w:val="0"/>
    <w:rPr>
      <w:rFonts w:ascii="宋体" w:hAnsi="Times New Roman" w:eastAsia="宋体" w:cs="Times New Roman"/>
      <w:kern w:val="2"/>
      <w:sz w:val="21"/>
      <w:lang w:val="en-US" w:eastAsia="zh-CN" w:bidi="ar-SA"/>
    </w:rPr>
  </w:style>
  <w:style w:type="character" w:customStyle="1" w:styleId="62">
    <w:name w:val="列出段落 Char"/>
    <w:link w:val="63"/>
    <w:qFormat/>
    <w:uiPriority w:val="0"/>
    <w:rPr>
      <w:rFonts w:ascii="Times New Roman" w:hAnsi="Times New Roman" w:eastAsia="宋体" w:cs="Times New Roman"/>
      <w:kern w:val="2"/>
      <w:sz w:val="21"/>
      <w:szCs w:val="24"/>
    </w:rPr>
  </w:style>
  <w:style w:type="paragraph" w:styleId="63">
    <w:name w:val="List Paragraph"/>
    <w:basedOn w:val="1"/>
    <w:link w:val="62"/>
    <w:qFormat/>
    <w:uiPriority w:val="34"/>
    <w:pPr>
      <w:ind w:firstLine="420" w:firstLineChars="200"/>
    </w:pPr>
    <w:rPr>
      <w:rFonts w:ascii="Times New Roman" w:hAnsi="Times New Roman" w:eastAsia="宋体" w:cs="Times New Roman"/>
    </w:rPr>
  </w:style>
  <w:style w:type="character" w:customStyle="1" w:styleId="64">
    <w:name w:val="dy_biao_content1"/>
    <w:qFormat/>
    <w:uiPriority w:val="0"/>
    <w:rPr>
      <w:rFonts w:hint="eastAsia" w:ascii="宋体" w:hAnsi="宋体" w:eastAsia="宋体" w:cs="Times New Roman"/>
      <w:sz w:val="24"/>
      <w:szCs w:val="24"/>
    </w:rPr>
  </w:style>
  <w:style w:type="character" w:customStyle="1" w:styleId="65">
    <w:name w:val="页脚 字符"/>
    <w:qFormat/>
    <w:uiPriority w:val="0"/>
    <w:rPr>
      <w:rFonts w:ascii="Times New Roman" w:hAnsi="Times New Roman" w:eastAsia="宋体" w:cs="Times New Roman"/>
      <w:kern w:val="2"/>
      <w:sz w:val="18"/>
      <w:szCs w:val="18"/>
    </w:rPr>
  </w:style>
  <w:style w:type="character" w:customStyle="1" w:styleId="66">
    <w:name w:val="批注主题 Char1"/>
    <w:semiHidden/>
    <w:qFormat/>
    <w:uiPriority w:val="99"/>
    <w:rPr>
      <w:rFonts w:ascii="Times New Roman" w:hAnsi="Times New Roman" w:eastAsia="宋体" w:cs="Times New Roman"/>
      <w:b/>
      <w:bCs/>
      <w:szCs w:val="24"/>
    </w:rPr>
  </w:style>
  <w:style w:type="character" w:customStyle="1" w:styleId="67">
    <w:name w:val="Date Char Char"/>
    <w:link w:val="68"/>
    <w:qFormat/>
    <w:uiPriority w:val="0"/>
    <w:rPr>
      <w:rFonts w:ascii="Times New Roman" w:hAnsi="Times New Roman" w:eastAsia="宋体" w:cs="Times New Roman"/>
      <w:kern w:val="2"/>
      <w:sz w:val="21"/>
    </w:rPr>
  </w:style>
  <w:style w:type="paragraph" w:customStyle="1" w:styleId="68">
    <w:name w:val="Date"/>
    <w:basedOn w:val="1"/>
    <w:next w:val="1"/>
    <w:link w:val="67"/>
    <w:qFormat/>
    <w:uiPriority w:val="0"/>
    <w:rPr>
      <w:rFonts w:ascii="Times New Roman" w:hAnsi="Times New Roman" w:eastAsia="宋体" w:cs="Times New Roman"/>
      <w:szCs w:val="20"/>
    </w:rPr>
  </w:style>
  <w:style w:type="character" w:customStyle="1" w:styleId="69">
    <w:name w:val="grame"/>
    <w:qFormat/>
    <w:uiPriority w:val="0"/>
    <w:rPr>
      <w:rFonts w:ascii="Times New Roman" w:hAnsi="Times New Roman" w:eastAsia="宋体" w:cs="Times New Roman"/>
    </w:rPr>
  </w:style>
  <w:style w:type="character" w:customStyle="1" w:styleId="70">
    <w:name w:val="font41"/>
    <w:basedOn w:val="34"/>
    <w:qFormat/>
    <w:uiPriority w:val="0"/>
    <w:rPr>
      <w:rFonts w:hint="eastAsia" w:ascii="宋体" w:hAnsi="宋体" w:eastAsia="宋体" w:cs="宋体"/>
      <w:color w:val="000000"/>
      <w:sz w:val="20"/>
      <w:szCs w:val="20"/>
      <w:u w:val="none"/>
    </w:rPr>
  </w:style>
  <w:style w:type="character" w:customStyle="1" w:styleId="71">
    <w:name w:val="纯文本 字符1"/>
    <w:qFormat/>
    <w:uiPriority w:val="0"/>
    <w:rPr>
      <w:rFonts w:ascii="宋体" w:hAnsi="Times New Roman" w:eastAsia="宋体" w:cs="Times New Roman"/>
      <w:kern w:val="2"/>
      <w:sz w:val="21"/>
      <w:lang w:val="en-US" w:eastAsia="zh-CN" w:bidi="ar-SA"/>
    </w:rPr>
  </w:style>
  <w:style w:type="character" w:customStyle="1" w:styleId="72">
    <w:name w:val="font101"/>
    <w:basedOn w:val="34"/>
    <w:qFormat/>
    <w:uiPriority w:val="0"/>
    <w:rPr>
      <w:rFonts w:hint="eastAsia" w:ascii="宋体" w:hAnsi="宋体" w:eastAsia="宋体" w:cs="宋体"/>
      <w:color w:val="000000"/>
      <w:sz w:val="15"/>
      <w:szCs w:val="15"/>
      <w:u w:val="none"/>
    </w:rPr>
  </w:style>
  <w:style w:type="character" w:customStyle="1" w:styleId="73">
    <w:name w:val="font31"/>
    <w:basedOn w:val="34"/>
    <w:qFormat/>
    <w:uiPriority w:val="0"/>
    <w:rPr>
      <w:rFonts w:hint="eastAsia" w:ascii="宋体" w:hAnsi="宋体" w:eastAsia="宋体" w:cs="宋体"/>
      <w:color w:val="000000"/>
      <w:sz w:val="20"/>
      <w:szCs w:val="20"/>
      <w:u w:val="none"/>
    </w:rPr>
  </w:style>
  <w:style w:type="character" w:customStyle="1" w:styleId="74">
    <w:name w:val="font71"/>
    <w:basedOn w:val="34"/>
    <w:qFormat/>
    <w:uiPriority w:val="0"/>
    <w:rPr>
      <w:rFonts w:hint="eastAsia" w:ascii="宋体" w:hAnsi="宋体" w:eastAsia="宋体" w:cs="宋体"/>
      <w:color w:val="000000"/>
      <w:sz w:val="12"/>
      <w:szCs w:val="12"/>
      <w:u w:val="none"/>
    </w:rPr>
  </w:style>
  <w:style w:type="character" w:customStyle="1" w:styleId="75">
    <w:name w:val="font11"/>
    <w:basedOn w:val="34"/>
    <w:qFormat/>
    <w:uiPriority w:val="0"/>
    <w:rPr>
      <w:rFonts w:hint="eastAsia" w:ascii="宋体" w:hAnsi="宋体" w:eastAsia="宋体" w:cs="宋体"/>
      <w:color w:val="000000"/>
      <w:sz w:val="7"/>
      <w:szCs w:val="7"/>
      <w:u w:val="none"/>
    </w:rPr>
  </w:style>
  <w:style w:type="character" w:customStyle="1" w:styleId="76">
    <w:name w:val="纯文本 Char"/>
    <w:qFormat/>
    <w:uiPriority w:val="0"/>
    <w:rPr>
      <w:rFonts w:ascii="宋体" w:hAnsi="Calibri" w:eastAsia="宋体" w:cs="Times New Roman"/>
      <w:kern w:val="2"/>
      <w:sz w:val="21"/>
    </w:rPr>
  </w:style>
  <w:style w:type="character" w:customStyle="1" w:styleId="77">
    <w:name w:val="font81"/>
    <w:basedOn w:val="34"/>
    <w:qFormat/>
    <w:uiPriority w:val="0"/>
    <w:rPr>
      <w:rFonts w:hint="eastAsia" w:ascii="宋体" w:hAnsi="宋体" w:eastAsia="宋体" w:cs="宋体"/>
      <w:color w:val="000000"/>
      <w:sz w:val="7"/>
      <w:szCs w:val="7"/>
      <w:u w:val="none"/>
    </w:rPr>
  </w:style>
  <w:style w:type="character" w:customStyle="1" w:styleId="78">
    <w:name w:val="font51"/>
    <w:basedOn w:val="34"/>
    <w:qFormat/>
    <w:uiPriority w:val="0"/>
    <w:rPr>
      <w:rFonts w:hint="eastAsia" w:ascii="宋体" w:hAnsi="宋体" w:eastAsia="宋体" w:cs="宋体"/>
      <w:b/>
      <w:color w:val="000000"/>
      <w:sz w:val="20"/>
      <w:szCs w:val="20"/>
      <w:u w:val="none"/>
    </w:rPr>
  </w:style>
  <w:style w:type="character" w:customStyle="1" w:styleId="79">
    <w:name w:val="正文缩进 Char"/>
    <w:qFormat/>
    <w:uiPriority w:val="99"/>
    <w:rPr>
      <w:rFonts w:ascii="Calibri" w:hAnsi="Calibri" w:eastAsia="宋体" w:cs="Times New Roman"/>
      <w:kern w:val="2"/>
      <w:sz w:val="21"/>
      <w:szCs w:val="22"/>
    </w:rPr>
  </w:style>
  <w:style w:type="character" w:customStyle="1" w:styleId="80">
    <w:name w:val="承康医疗 Char"/>
    <w:link w:val="81"/>
    <w:qFormat/>
    <w:uiPriority w:val="0"/>
    <w:rPr>
      <w:rFonts w:ascii="微软雅黑" w:hAnsi="微软雅黑" w:eastAsia="微软雅黑" w:cs="Times New Roman"/>
      <w:sz w:val="21"/>
      <w:szCs w:val="21"/>
    </w:rPr>
  </w:style>
  <w:style w:type="paragraph" w:customStyle="1" w:styleId="81">
    <w:name w:val="承康医疗"/>
    <w:basedOn w:val="1"/>
    <w:link w:val="80"/>
    <w:qFormat/>
    <w:uiPriority w:val="0"/>
    <w:pPr>
      <w:widowControl/>
      <w:jc w:val="left"/>
    </w:pPr>
    <w:rPr>
      <w:rFonts w:ascii="微软雅黑" w:hAnsi="微软雅黑" w:eastAsia="微软雅黑" w:cs="Times New Roman"/>
      <w:kern w:val="0"/>
      <w:szCs w:val="21"/>
    </w:rPr>
  </w:style>
  <w:style w:type="character" w:customStyle="1" w:styleId="82">
    <w:name w:val="font21"/>
    <w:basedOn w:val="34"/>
    <w:qFormat/>
    <w:uiPriority w:val="0"/>
    <w:rPr>
      <w:rFonts w:hint="eastAsia" w:ascii="宋体" w:hAnsi="宋体" w:eastAsia="宋体" w:cs="宋体"/>
      <w:color w:val="000000"/>
      <w:sz w:val="20"/>
      <w:szCs w:val="20"/>
      <w:u w:val="none"/>
    </w:rPr>
  </w:style>
  <w:style w:type="character" w:customStyle="1" w:styleId="83">
    <w:name w:val="纯文本 Char1"/>
    <w:qFormat/>
    <w:uiPriority w:val="0"/>
    <w:rPr>
      <w:rFonts w:ascii="宋体" w:hAnsi="Times New Roman" w:eastAsia="宋体" w:cs="Times New Roman"/>
      <w:kern w:val="2"/>
      <w:sz w:val="21"/>
      <w:lang w:val="en-US" w:eastAsia="zh-CN" w:bidi="ar-SA"/>
    </w:rPr>
  </w:style>
  <w:style w:type="character" w:customStyle="1" w:styleId="84">
    <w:name w:val="font61"/>
    <w:basedOn w:val="34"/>
    <w:uiPriority w:val="0"/>
    <w:rPr>
      <w:rFonts w:hint="eastAsia" w:ascii="宋体" w:hAnsi="宋体" w:eastAsia="宋体" w:cs="宋体"/>
      <w:color w:val="000000"/>
      <w:sz w:val="6"/>
      <w:szCs w:val="6"/>
      <w:u w:val="none"/>
    </w:rPr>
  </w:style>
  <w:style w:type="character" w:customStyle="1" w:styleId="85">
    <w:name w:val="font01"/>
    <w:basedOn w:val="34"/>
    <w:qFormat/>
    <w:uiPriority w:val="0"/>
    <w:rPr>
      <w:rFonts w:hint="eastAsia" w:ascii="宋体" w:hAnsi="宋体" w:eastAsia="宋体" w:cs="宋体"/>
      <w:color w:val="000000"/>
      <w:sz w:val="19"/>
      <w:szCs w:val="19"/>
      <w:u w:val="none"/>
    </w:rPr>
  </w:style>
  <w:style w:type="character" w:customStyle="1" w:styleId="86">
    <w:name w:val="font91"/>
    <w:basedOn w:val="34"/>
    <w:qFormat/>
    <w:uiPriority w:val="0"/>
    <w:rPr>
      <w:rFonts w:hint="eastAsia" w:ascii="宋体" w:hAnsi="宋体" w:eastAsia="宋体" w:cs="宋体"/>
      <w:color w:val="000000"/>
      <w:sz w:val="22"/>
      <w:szCs w:val="22"/>
      <w:u w:val="none"/>
    </w:rPr>
  </w:style>
  <w:style w:type="character" w:customStyle="1" w:styleId="87">
    <w:name w:val="标题 3 Char1"/>
    <w:qFormat/>
    <w:uiPriority w:val="0"/>
    <w:rPr>
      <w:rFonts w:ascii="Times New Roman" w:hAnsi="Times New Roman" w:eastAsia="宋体" w:cs="Times New Roman"/>
      <w:b/>
      <w:bCs/>
      <w:kern w:val="2"/>
      <w:sz w:val="32"/>
      <w:szCs w:val="32"/>
      <w:lang w:val="en-US" w:eastAsia="zh-CN" w:bidi="ar-SA"/>
    </w:rPr>
  </w:style>
  <w:style w:type="character" w:customStyle="1" w:styleId="88">
    <w:name w:val="不明显强调1"/>
    <w:qFormat/>
    <w:uiPriority w:val="0"/>
    <w:rPr>
      <w:rFonts w:eastAsia="仿宋_GB2312"/>
      <w:iCs/>
      <w:color w:val="auto"/>
      <w:sz w:val="24"/>
    </w:rPr>
  </w:style>
  <w:style w:type="character" w:customStyle="1" w:styleId="89">
    <w:name w:val="孙普文字 Char"/>
    <w:qFormat/>
    <w:uiPriority w:val="0"/>
    <w:rPr>
      <w:rFonts w:ascii="宋体" w:hAnsi="Times New Roman" w:eastAsia="宋体" w:cs="Times New Roman"/>
      <w:szCs w:val="20"/>
    </w:rPr>
  </w:style>
  <w:style w:type="character" w:customStyle="1" w:styleId="90">
    <w:name w:val="_Style 89"/>
    <w:qFormat/>
    <w:uiPriority w:val="0"/>
    <w:rPr>
      <w:rFonts w:ascii="Times New Roman" w:hAnsi="Times New Roman" w:eastAsia="仿宋_GB2312" w:cs="Times New Roman"/>
      <w:iCs/>
      <w:color w:val="auto"/>
      <w:sz w:val="24"/>
    </w:rPr>
  </w:style>
  <w:style w:type="character" w:customStyle="1" w:styleId="91">
    <w:name w:val="font112"/>
    <w:basedOn w:val="34"/>
    <w:qFormat/>
    <w:uiPriority w:val="0"/>
    <w:rPr>
      <w:rFonts w:hint="eastAsia" w:ascii="宋体" w:hAnsi="宋体" w:eastAsia="宋体" w:cs="宋体"/>
      <w:color w:val="000000"/>
      <w:sz w:val="16"/>
      <w:szCs w:val="16"/>
      <w:u w:val="none"/>
    </w:rPr>
  </w:style>
  <w:style w:type="paragraph" w:customStyle="1" w:styleId="92">
    <w:name w:val="Char Char1 Char Char"/>
    <w:basedOn w:val="1"/>
    <w:qFormat/>
    <w:uiPriority w:val="0"/>
    <w:pPr>
      <w:tabs>
        <w:tab w:val="left" w:pos="360"/>
      </w:tabs>
    </w:pPr>
    <w:rPr>
      <w:rFonts w:ascii="Times New Roman" w:hAnsi="Times New Roman" w:eastAsia="宋体" w:cs="Times New Roman"/>
      <w:szCs w:val="20"/>
    </w:rPr>
  </w:style>
  <w:style w:type="paragraph" w:customStyle="1" w:styleId="93">
    <w:name w:val="Table Text"/>
    <w:basedOn w:val="1"/>
    <w:semiHidden/>
    <w:qFormat/>
    <w:uiPriority w:val="0"/>
    <w:rPr>
      <w:rFonts w:ascii="宋体" w:hAnsi="宋体" w:eastAsia="宋体" w:cs="宋体"/>
      <w:sz w:val="20"/>
      <w:szCs w:val="20"/>
      <w:lang w:val="en-US" w:eastAsia="en-US" w:bidi="ar-SA"/>
    </w:rPr>
  </w:style>
  <w:style w:type="paragraph" w:customStyle="1" w:styleId="94">
    <w:name w:val="无间隔1"/>
    <w:basedOn w:val="1"/>
    <w:qFormat/>
    <w:uiPriority w:val="0"/>
    <w:pPr>
      <w:widowControl/>
      <w:jc w:val="left"/>
    </w:pPr>
    <w:rPr>
      <w:rFonts w:ascii="Times New Roman" w:hAnsi="Times New Roman" w:eastAsia="宋体" w:cs="Times New Roman"/>
      <w:kern w:val="0"/>
      <w:sz w:val="22"/>
      <w:szCs w:val="20"/>
      <w:lang w:eastAsia="en-US" w:bidi="en-US"/>
    </w:rPr>
  </w:style>
  <w:style w:type="paragraph" w:customStyle="1" w:styleId="95">
    <w:name w:val="xl23"/>
    <w:next w:val="25"/>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6">
    <w:name w:val="Table Paragraph"/>
    <w:basedOn w:val="1"/>
    <w:qFormat/>
    <w:uiPriority w:val="1"/>
    <w:pPr>
      <w:jc w:val="left"/>
    </w:pPr>
    <w:rPr>
      <w:kern w:val="0"/>
      <w:sz w:val="22"/>
      <w:lang w:eastAsia="en-US"/>
    </w:rPr>
  </w:style>
  <w:style w:type="paragraph" w:customStyle="1" w:styleId="97">
    <w:name w:val="正文五号"/>
    <w:basedOn w:val="1"/>
    <w:qFormat/>
    <w:uiPriority w:val="0"/>
    <w:rPr>
      <w:rFonts w:ascii="宋体" w:hAnsi="Times New Roman" w:eastAsia="仿宋_GB2312" w:cs="Times New Roman"/>
      <w:szCs w:val="20"/>
    </w:rPr>
  </w:style>
  <w:style w:type="paragraph" w:customStyle="1" w:styleId="98">
    <w:name w:val="Absatz2AL"/>
    <w:basedOn w:val="14"/>
    <w:next w:val="1"/>
    <w:qFormat/>
    <w:uiPriority w:val="0"/>
    <w:pPr>
      <w:widowControl/>
      <w:overflowPunct w:val="0"/>
      <w:autoSpaceDE w:val="0"/>
      <w:autoSpaceDN w:val="0"/>
      <w:adjustRightInd w:val="0"/>
      <w:spacing w:after="0"/>
      <w:textAlignment w:val="baseline"/>
    </w:pPr>
    <w:rPr>
      <w:rFonts w:ascii="Times New Roman" w:hAnsi="Times New Roman" w:eastAsia="楷体_GB2312" w:cs="Times New Roman"/>
      <w:kern w:val="0"/>
      <w:sz w:val="24"/>
      <w:szCs w:val="20"/>
      <w:lang w:val="de-DE" w:eastAsia="de-DE"/>
    </w:rPr>
  </w:style>
  <w:style w:type="paragraph" w:customStyle="1" w:styleId="99">
    <w:name w:val="Char"/>
    <w:basedOn w:val="1"/>
    <w:qFormat/>
    <w:uiPriority w:val="0"/>
    <w:rPr>
      <w:rFonts w:ascii="Times New Roman" w:hAnsi="Times New Roman" w:eastAsia="宋体" w:cs="Times New Roman"/>
    </w:rPr>
  </w:style>
  <w:style w:type="paragraph" w:customStyle="1" w:styleId="10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1">
    <w:name w:val="Char Char Char Char Char Char"/>
    <w:basedOn w:val="1"/>
    <w:qFormat/>
    <w:uiPriority w:val="0"/>
    <w:rPr>
      <w:rFonts w:ascii="Tahoma" w:hAnsi="Tahoma" w:eastAsia="宋体" w:cs="Times New Roman"/>
      <w:sz w:val="24"/>
      <w:szCs w:val="20"/>
    </w:rPr>
  </w:style>
  <w:style w:type="paragraph" w:customStyle="1" w:styleId="102">
    <w:name w:val=" Char2 Char Char Char Char Char Char"/>
    <w:basedOn w:val="11"/>
    <w:qFormat/>
    <w:uiPriority w:val="0"/>
    <w:rPr>
      <w:rFonts w:ascii="Tahoma" w:hAnsi="Tahoma" w:eastAsia="宋体" w:cs="Times New Roman"/>
      <w:sz w:val="24"/>
    </w:rPr>
  </w:style>
  <w:style w:type="paragraph" w:customStyle="1" w:styleId="103">
    <w:name w:val="列出段落1"/>
    <w:basedOn w:val="1"/>
    <w:qFormat/>
    <w:uiPriority w:val="0"/>
    <w:pPr>
      <w:ind w:firstLine="420" w:firstLineChars="200"/>
    </w:pPr>
    <w:rPr>
      <w:rFonts w:ascii="Times New Roman" w:hAnsi="Times New Roman" w:eastAsia="宋体" w:cs="Times New Roman"/>
      <w:szCs w:val="21"/>
    </w:rPr>
  </w:style>
  <w:style w:type="paragraph" w:customStyle="1" w:styleId="104">
    <w:name w:val="Char1"/>
    <w:basedOn w:val="1"/>
    <w:qFormat/>
    <w:uiPriority w:val="0"/>
    <w:pPr>
      <w:ind w:firstLine="200" w:firstLineChars="200"/>
    </w:pPr>
    <w:rPr>
      <w:rFonts w:ascii="Times New Roman" w:hAnsi="Times New Roman" w:eastAsia="宋体" w:cs="Times New Roman"/>
    </w:rPr>
  </w:style>
  <w:style w:type="paragraph" w:customStyle="1" w:styleId="105">
    <w:name w:val="Char Char Char Char Char Char Char Char Char Char Char Char"/>
    <w:basedOn w:val="1"/>
    <w:qFormat/>
    <w:uiPriority w:val="0"/>
    <w:pPr>
      <w:tabs>
        <w:tab w:val="right" w:pos="-2120"/>
      </w:tabs>
      <w:snapToGrid w:val="0"/>
    </w:pPr>
    <w:rPr>
      <w:rFonts w:ascii="Tahoma" w:hAnsi="Tahoma" w:eastAsia="宋体" w:cs="Times New Roman"/>
      <w:spacing w:val="6"/>
      <w:sz w:val="24"/>
      <w:szCs w:val="20"/>
    </w:rPr>
  </w:style>
  <w:style w:type="paragraph" w:customStyle="1" w:styleId="106">
    <w:name w:val="_Style 105"/>
    <w:qFormat/>
    <w:uiPriority w:val="0"/>
    <w:rPr>
      <w:rFonts w:ascii="Times New Roman" w:hAnsi="Times New Roman" w:eastAsia="宋体" w:cs="Times New Roman"/>
      <w:kern w:val="2"/>
      <w:sz w:val="21"/>
      <w:szCs w:val="24"/>
      <w:lang w:val="en-US" w:eastAsia="zh-CN" w:bidi="ar-SA"/>
    </w:rPr>
  </w:style>
  <w:style w:type="paragraph" w:customStyle="1" w:styleId="107">
    <w:name w:val="样式2"/>
    <w:basedOn w:val="1"/>
    <w:qFormat/>
    <w:uiPriority w:val="0"/>
    <w:pPr>
      <w:spacing w:line="360" w:lineRule="auto"/>
    </w:pPr>
    <w:rPr>
      <w:rFonts w:ascii="Century Gothic" w:hAnsi="Century Gothic" w:eastAsia="黑体" w:cs="Times New Roman"/>
      <w:b/>
      <w:sz w:val="32"/>
      <w:szCs w:val="30"/>
    </w:rPr>
  </w:style>
  <w:style w:type="paragraph" w:customStyle="1" w:styleId="108">
    <w:name w:val="缺省文本"/>
    <w:basedOn w:val="1"/>
    <w:qFormat/>
    <w:uiPriority w:val="0"/>
    <w:pPr>
      <w:autoSpaceDE w:val="0"/>
      <w:autoSpaceDN w:val="0"/>
      <w:adjustRightInd w:val="0"/>
      <w:jc w:val="left"/>
    </w:pPr>
    <w:rPr>
      <w:rFonts w:ascii="Times New Roman" w:hAnsi="Times New Roman" w:eastAsia="宋体" w:cs="Times New Roman"/>
      <w:kern w:val="0"/>
      <w:sz w:val="24"/>
      <w:szCs w:val="20"/>
    </w:rPr>
  </w:style>
  <w:style w:type="paragraph" w:customStyle="1" w:styleId="109">
    <w:name w:val="Char13"/>
    <w:basedOn w:val="1"/>
    <w:qFormat/>
    <w:uiPriority w:val="0"/>
    <w:rPr>
      <w:rFonts w:ascii="Times New Roman" w:hAnsi="Times New Roman" w:eastAsia="宋体" w:cs="Times New Roman"/>
    </w:rPr>
  </w:style>
  <w:style w:type="paragraph" w:customStyle="1" w:styleId="110">
    <w:name w:val="抬头"/>
    <w:basedOn w:val="1"/>
    <w:qFormat/>
    <w:uiPriority w:val="0"/>
    <w:pPr>
      <w:spacing w:beforeLines="50" w:line="360" w:lineRule="auto"/>
    </w:pPr>
    <w:rPr>
      <w:rFonts w:ascii="宋体" w:hAnsi="Times New Roman" w:eastAsia="宋体" w:cs="Times New Roman"/>
      <w:sz w:val="24"/>
    </w:rPr>
  </w:style>
  <w:style w:type="paragraph" w:customStyle="1" w:styleId="111">
    <w:name w:val="Char Char Char"/>
    <w:basedOn w:val="1"/>
    <w:qFormat/>
    <w:uiPriority w:val="0"/>
    <w:pPr>
      <w:ind w:firstLine="200" w:firstLineChars="200"/>
    </w:pPr>
    <w:rPr>
      <w:rFonts w:ascii="Times New Roman" w:hAnsi="Times New Roman" w:eastAsia="宋体" w:cs="Times New Roman"/>
      <w:sz w:val="24"/>
    </w:rPr>
  </w:style>
  <w:style w:type="paragraph" w:customStyle="1" w:styleId="112">
    <w:name w:val="5"/>
    <w:basedOn w:val="1"/>
    <w:qFormat/>
    <w:uiPriority w:val="0"/>
    <w:pPr>
      <w:tabs>
        <w:tab w:val="right" w:pos="-2120"/>
      </w:tabs>
      <w:snapToGrid w:val="0"/>
    </w:pPr>
    <w:rPr>
      <w:rFonts w:ascii="Tahoma" w:hAnsi="Tahoma" w:eastAsia="宋体" w:cs="Times New Roman"/>
      <w:spacing w:val="6"/>
      <w:sz w:val="24"/>
      <w:szCs w:val="20"/>
    </w:rPr>
  </w:style>
  <w:style w:type="paragraph" w:customStyle="1" w:styleId="113">
    <w:name w:val="表格"/>
    <w:basedOn w:val="1"/>
    <w:qFormat/>
    <w:uiPriority w:val="0"/>
    <w:pPr>
      <w:tabs>
        <w:tab w:val="left" w:pos="1200"/>
      </w:tabs>
      <w:spacing w:line="500" w:lineRule="exact"/>
      <w:jc w:val="center"/>
    </w:pPr>
    <w:rPr>
      <w:rFonts w:ascii="宋体" w:hAnsi="Times New Roman" w:eastAsia="宋体" w:cs="Times New Roman"/>
      <w:sz w:val="24"/>
      <w:szCs w:val="18"/>
    </w:rPr>
  </w:style>
  <w:style w:type="paragraph" w:styleId="11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5">
    <w:name w:val="p0"/>
    <w:basedOn w:val="1"/>
    <w:qFormat/>
    <w:uiPriority w:val="0"/>
    <w:pPr>
      <w:widowControl/>
    </w:pPr>
    <w:rPr>
      <w:rFonts w:ascii="Times New Roman" w:hAnsi="Times New Roman" w:eastAsia="宋体" w:cs="Times New Roman"/>
      <w:kern w:val="0"/>
      <w:szCs w:val="21"/>
    </w:rPr>
  </w:style>
  <w:style w:type="paragraph" w:customStyle="1" w:styleId="116">
    <w:name w:val="表格文字"/>
    <w:basedOn w:val="1"/>
    <w:qFormat/>
    <w:uiPriority w:val="0"/>
    <w:pPr>
      <w:spacing w:before="25" w:after="25"/>
      <w:jc w:val="left"/>
    </w:pPr>
    <w:rPr>
      <w:bCs/>
      <w:spacing w:val="1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8.xml.rels><?xml version="1.0" encoding="UTF-8" standalone="yes"?>
<Relationships xmlns="http://schemas.openxmlformats.org/package/2006/relationships"><Relationship Id="rId1" Type="http://schemas.openxmlformats.org/officeDocument/2006/relationships/image" Target="media/image1.jpeg"/></Relationships>
</file>

<file path=word/_rels/foot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108</Pages>
  <Words>29509</Words>
  <Characters>31326</Characters>
  <Lines>267</Lines>
  <Paragraphs>75</Paragraphs>
  <TotalTime>4</TotalTime>
  <ScaleCrop>false</ScaleCrop>
  <LinksUpToDate>false</LinksUpToDate>
  <CharactersWithSpaces>32006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2023-04-27T07:30:00Z</dcterms:created>
  <dc:creator>ynzb</dc:creator>
  <cp:lastModifiedBy>珍</cp:lastModifiedBy>
  <cp:lastPrinted>2026-04-02T02:59:00Z</cp:lastPrinted>
  <dcterms:modified xsi:type="dcterms:W3CDTF">2026-04-15T09:28:17Z</dcterms:modified>
  <dc:title>云南招标股份有限公司</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15AA5C4287F4491FA2E1828A42ED963E_13</vt:lpwstr>
  </property>
  <property fmtid="{D5CDD505-2E9C-101B-9397-08002B2CF9AE}" pid="4" name="KSOTemplateDocerSaveRecord">
    <vt:lpwstr>eyJoZGlkIjoiMjZhMGU5YjI4YTAxN2Y3M2FhODA2MTI4OTQ0OGRiNmYiLCJ1c2VySWQiOiI0NDg4NzYzNzMifQ==</vt:lpwstr>
  </property>
</Properties>
</file>