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版本号：N510182202600007420260413001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环保应急物资采购项目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N5101822026000074</w:t>
      </w:r>
    </w:p>
    <w:p>
      <w:pPr>
        <w:pStyle w:val="null3"/>
        <w:jc w:val="left"/>
        <w:outlineLvl w:val="2"/>
      </w:pPr>
      <w:r>
        <w:rPr>
          <w:rFonts w:ascii="仿宋_GB2312" w:hAnsi="仿宋_GB2312" w:cs="仿宋_GB2312" w:eastAsia="仿宋_GB2312"/>
          <w:sz w:val="28"/>
          <w:b/>
        </w:rPr>
        <w:t>成都新材料产业功能区（成都石油化学工业园区）</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成都新材料产业功能区（成都石油化学工业园区）</w:t>
      </w:r>
      <w:r>
        <w:rPr>
          <w:rFonts w:ascii="仿宋_GB2312" w:hAnsi="仿宋_GB2312" w:cs="仿宋_GB2312" w:eastAsia="仿宋_GB2312"/>
        </w:rPr>
        <w:t xml:space="preserve"> 委托，拟对 </w:t>
      </w:r>
      <w:r>
        <w:rPr>
          <w:rFonts w:ascii="仿宋_GB2312" w:hAnsi="仿宋_GB2312" w:cs="仿宋_GB2312" w:eastAsia="仿宋_GB2312"/>
        </w:rPr>
        <w:t>环保应急物资采购项目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成都市彭州市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N5101822026000074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环保应急物资采购项目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采购人拟采购一批环保应急物资，用于园区水渠及管道截流、污染物消减，满足园区事故状态下的应急污染防控需要。本项目共计1个采购包，拟确定中标供应商1名。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成都新材料产业功能区（成都石油化学工业园区）</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四川省成都市彭州市致和街道东三环路三段999号发展大厦B座7楼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611730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028-83733067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采购包1：380,000.00元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1）本项目按照《四川省政府采购营商环境指标提升专项行动工作方案》中“成本+合理利润”原则，代理服务费为8000元。（2）由中标供应商在领取中标（成交）通知书前向采购代理机构一次性缴纳代理服务费； 收款单位：联投项目管理（集团）有限公司； 开 户 行：中国建设银行股份有限公司成都益州支行； 银行账号： 51050141618500000138。（3）发票开具：代理服务费交纳后，请填写《中标（成交）通知书及发票信息单》（下载地址：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成都新材料产业功能区（成都石油化学工业园区）</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成都新材料产业功能区（成都石油化学工业园区）</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按照本项目招标文件及中标供应商投标文件进行验收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成都新材料产业功能区（成都石油化学工业园区）</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联系人：雷老师</w:t>
      </w:r>
    </w:p>
    <w:p>
      <w:pPr>
        <w:pStyle w:val="null3"/>
        <w:jc w:val="left"/>
      </w:pPr>
      <w:r>
        <w:rPr>
          <w:rFonts w:ascii="仿宋_GB2312" w:hAnsi="仿宋_GB2312" w:cs="仿宋_GB2312" w:eastAsia="仿宋_GB2312"/>
        </w:rPr>
        <w:t>联系电话：028-83733067</w:t>
      </w:r>
    </w:p>
    <w:p>
      <w:pPr>
        <w:pStyle w:val="null3"/>
        <w:jc w:val="left"/>
      </w:pPr>
      <w:r>
        <w:rPr>
          <w:rFonts w:ascii="仿宋_GB2312" w:hAnsi="仿宋_GB2312" w:cs="仿宋_GB2312" w:eastAsia="仿宋_GB2312"/>
        </w:rPr>
        <w:t>地址：四川省成都市彭州市致和街道东三环路三段999号发展大厦B座7楼</w:t>
      </w:r>
    </w:p>
    <w:p>
      <w:pPr>
        <w:pStyle w:val="null3"/>
        <w:jc w:val="left"/>
      </w:pPr>
      <w:r>
        <w:rPr>
          <w:rFonts w:ascii="仿宋_GB2312" w:hAnsi="仿宋_GB2312" w:cs="仿宋_GB2312" w:eastAsia="仿宋_GB2312"/>
        </w:rPr>
        <w:t>邮编：611730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380,000.00</w:t>
      </w:r>
    </w:p>
    <w:p>
      <w:pPr>
        <w:pStyle w:val="null3"/>
        <w:jc w:val="left"/>
      </w:pPr>
      <w:r>
        <w:rPr>
          <w:rFonts w:ascii="仿宋_GB2312" w:hAnsi="仿宋_GB2312" w:cs="仿宋_GB2312" w:eastAsia="仿宋_GB2312"/>
        </w:rPr>
        <w:t>采购包最高限价（元）: 380,000.00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A02369900 其他环境污染防治设备</w:t>
            </w:r>
          </w:p>
        </w:tc>
        <w:tc>
          <w:tcPr>
            <w:tcW w:type="dxa" w:w="821"/>
          </w:tcPr>
          <w:p>
            <w:pPr>
              <w:pStyle w:val="null3"/>
              <w:jc w:val="left"/>
            </w:pPr>
            <w:r>
              <w:rPr>
                <w:rFonts w:ascii="仿宋_GB2312" w:hAnsi="仿宋_GB2312" w:cs="仿宋_GB2312" w:eastAsia="仿宋_GB2312"/>
              </w:rPr>
              <w:t>环保应急物资</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380,000.00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环保应急物资采购项目</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380,000.00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A02369900 其他环境污染防治设备</w:t>
            </w:r>
          </w:p>
        </w:tc>
        <w:tc>
          <w:tcPr>
            <w:tcW w:type="dxa" w:w="2492"/>
          </w:tcPr>
          <w:p>
            <w:pPr>
              <w:pStyle w:val="null3"/>
              <w:jc w:val="left"/>
            </w:pPr>
            <w:r>
              <w:rPr>
                <w:rFonts w:ascii="仿宋_GB2312" w:hAnsi="仿宋_GB2312" w:cs="仿宋_GB2312" w:eastAsia="仿宋_GB2312"/>
              </w:rPr>
              <w:t>环保应急物资</w:t>
            </w:r>
          </w:p>
        </w:tc>
        <w:tc>
          <w:tcPr>
            <w:tcW w:type="dxa" w:w="2492"/>
          </w:tcPr>
          <w:p>
            <w:pPr>
              <w:pStyle w:val="null3"/>
              <w:jc w:val="left"/>
            </w:pPr>
            <w:r>
              <w:rPr>
                <w:rFonts w:ascii="仿宋_GB2312" w:hAnsi="仿宋_GB2312" w:cs="仿宋_GB2312" w:eastAsia="仿宋_GB2312"/>
              </w:rPr>
              <w:t>组合式防洪板</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标的名称：环保应急物资</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jc w:val="left"/>
            </w:pPr>
            <w:r>
              <w:rPr>
                <w:rFonts w:ascii="仿宋_GB2312" w:hAnsi="仿宋_GB2312" w:cs="仿宋_GB2312" w:eastAsia="仿宋_GB2312"/>
              </w:rPr>
              <w:t>说明1：因系统格式固化原因，“3.1采购内容”中除“报价要求”以外的内容均不适用本项目，不作为评审依据 。采购内容以下表为准。</w:t>
            </w:r>
            <w:r>
              <w:br/>
            </w:r>
            <w:r>
              <w:rPr>
                <w:rFonts w:ascii="仿宋_GB2312" w:hAnsi="仿宋_GB2312" w:cs="仿宋_GB2312" w:eastAsia="仿宋_GB2312"/>
              </w:rPr>
              <w:t xml:space="preserve"> 说明2：因系统格式固化原因，本项目中小企业声明函中填写的“标的名称”及“所属行业”以下表“采购标的汇总表”为准。</w:t>
            </w:r>
            <w:r>
              <w:br/>
            </w:r>
            <w:r>
              <w:rPr>
                <w:rFonts w:ascii="仿宋_GB2312" w:hAnsi="仿宋_GB2312" w:cs="仿宋_GB2312" w:eastAsia="仿宋_GB2312"/>
              </w:rPr>
              <w:t xml:space="preserve"> 说明3：因系统格式固化原因，，本项目“强制采购节能产品”“优先采购节能产品 ”“优先采购环境标志产品”“进口产品”“核心产品”以下表“采购标的汇总表”为准。【注：（1）依据《财政部发展改革委生态环境部市场监管总局关于调整优化节能产品、环境标志产品政府采购执行机制的通知》（财库〔2019〕9号）文件，上述根据采购的产品（标的名称）予以认定。】</w:t>
            </w:r>
          </w:p>
          <w:tbl>
            <w:tblPr>
              <w:tblInd w:type="dxa" w:w="120"/>
              <w:tblBorders>
                <w:top w:val="none" w:color="000000" w:sz="4"/>
                <w:left w:val="none" w:color="000000" w:sz="4"/>
                <w:bottom w:val="none" w:color="000000" w:sz="4"/>
                <w:right w:val="none" w:color="000000" w:sz="4"/>
                <w:insideH w:val="none"/>
                <w:insideV w:val="none"/>
              </w:tblBorders>
            </w:tblPr>
            <w:tblGrid>
              <w:gridCol w:w="338"/>
              <w:gridCol w:w="611"/>
              <w:gridCol w:w="338"/>
              <w:gridCol w:w="426"/>
              <w:gridCol w:w="764"/>
              <w:gridCol w:w="371"/>
              <w:gridCol w:w="436"/>
              <w:gridCol w:w="469"/>
              <w:gridCol w:w="491"/>
              <w:gridCol w:w="491"/>
              <w:gridCol w:w="524"/>
              <w:gridCol w:w="338"/>
            </w:tblGrid>
            <w:tr>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标的名称</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7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★单价最高限价（元）</w:t>
                  </w:r>
                </w:p>
              </w:tc>
              <w:tc>
                <w:tcPr>
                  <w:tcW w:type="dxa" w:w="3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所属行业</w:t>
                  </w:r>
                </w:p>
              </w:tc>
              <w:tc>
                <w:tcPr>
                  <w:tcW w:type="dxa" w:w="4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是否涉及核心产品</w:t>
                  </w:r>
                </w:p>
              </w:tc>
              <w:tc>
                <w:tcPr>
                  <w:tcW w:type="dxa" w:w="4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是否涉及采购进口产品</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是否涉及强制采购节能产品</w:t>
                  </w:r>
                </w:p>
              </w:tc>
              <w:tc>
                <w:tcPr>
                  <w:tcW w:type="dxa" w:w="4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是否涉及优先采购节能产品</w:t>
                  </w:r>
                </w:p>
              </w:tc>
              <w:tc>
                <w:tcPr>
                  <w:tcW w:type="dxa" w:w="5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是否涉及优先采购环境标志产品</w:t>
                  </w:r>
                </w:p>
              </w:tc>
              <w:tc>
                <w:tcPr>
                  <w:tcW w:type="dxa" w:w="3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备注</w:t>
                  </w: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防汛沙袋</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PVC围油栏</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吸油毡</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椰壳活性炭</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19000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便携式多功能四合一气体检测仪</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3955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便携式电导率仪</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便携式余氯监测仪</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重金属快检试剂包</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盒</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耐酸碱防化手套</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移动发电机</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17500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潜水泵</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7000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沟渠密封袋</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860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絮凝剂</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吨</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0.2</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7300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线手套</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耐酸碱防化靴</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安全绳</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快速膨胀袋</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应急移动照明灯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组合式防洪板</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防护全面罩</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780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轻型防护服</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防爆对讲机</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5800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土工布</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m</w:t>
                  </w:r>
                  <w:r>
                    <w:rPr>
                      <w:rFonts w:ascii="仿宋_GB2312" w:hAnsi="仿宋_GB2312" w:cs="仿宋_GB2312" w:eastAsia="仿宋_GB2312"/>
                      <w:sz w:val="24"/>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土工膜</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m</w:t>
                  </w:r>
                  <w:r>
                    <w:rPr>
                      <w:rFonts w:ascii="仿宋_GB2312" w:hAnsi="仿宋_GB2312" w:cs="仿宋_GB2312" w:eastAsia="仿宋_GB2312"/>
                      <w:sz w:val="24"/>
                      <w:color w:val="000000"/>
                    </w:rPr>
                    <w:t>2</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充气式封堵气囊</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1200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夏季防护服</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秋季防护服</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件</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205</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冬季防护服</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w:t>
                  </w: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750</w:t>
                  </w:r>
                </w:p>
              </w:tc>
              <w:tc>
                <w:tcPr>
                  <w:tcW w:type="dxa" w:w="3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工业</w:t>
                  </w:r>
                </w:p>
              </w:tc>
              <w:tc>
                <w:tcPr>
                  <w:tcW w:type="dxa" w:w="4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4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否</w:t>
                  </w:r>
                </w:p>
              </w:tc>
              <w:tc>
                <w:tcPr>
                  <w:tcW w:type="dxa" w:w="5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是</w:t>
                  </w:r>
                </w:p>
              </w:tc>
              <w:tc>
                <w:tcPr>
                  <w:tcW w:type="dxa" w:w="3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45"/>
              <w:gridCol w:w="1175"/>
              <w:gridCol w:w="3778"/>
            </w:tblGrid>
            <w:tr>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1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标的名称</w:t>
                  </w:r>
                </w:p>
              </w:tc>
              <w:tc>
                <w:tcPr>
                  <w:tcW w:type="dxa" w:w="37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防汛沙袋</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1.采用帆布材质，承重≥</w:t>
                  </w:r>
                  <w:r>
                    <w:rPr>
                      <w:rFonts w:ascii="仿宋_GB2312" w:hAnsi="仿宋_GB2312" w:cs="仿宋_GB2312" w:eastAsia="仿宋_GB2312"/>
                      <w:sz w:val="24"/>
                      <w:color w:val="000000"/>
                    </w:rPr>
                    <w:t>20</w:t>
                  </w:r>
                  <w:r>
                    <w:rPr>
                      <w:rFonts w:ascii="仿宋_GB2312" w:hAnsi="仿宋_GB2312" w:cs="仿宋_GB2312" w:eastAsia="仿宋_GB2312"/>
                      <w:sz w:val="24"/>
                      <w:color w:val="000000"/>
                    </w:rPr>
                    <w:t>千克。</w:t>
                  </w:r>
                </w:p>
                <w:p>
                  <w:pPr>
                    <w:pStyle w:val="null3"/>
                    <w:jc w:val="both"/>
                  </w:pPr>
                  <w:r>
                    <w:rPr>
                      <w:rFonts w:ascii="仿宋_GB2312" w:hAnsi="仿宋_GB2312" w:cs="仿宋_GB2312" w:eastAsia="仿宋_GB2312"/>
                      <w:sz w:val="24"/>
                      <w:color w:val="000000"/>
                    </w:rPr>
                    <w:t>2.规格≥30cm*70cm，印有“防汛沙袋”字样。</w:t>
                  </w:r>
                </w:p>
                <w:p>
                  <w:pPr>
                    <w:pStyle w:val="null3"/>
                    <w:jc w:val="both"/>
                  </w:pPr>
                  <w:r>
                    <w:rPr>
                      <w:rFonts w:ascii="仿宋_GB2312" w:hAnsi="仿宋_GB2312" w:cs="仿宋_GB2312" w:eastAsia="仿宋_GB2312"/>
                      <w:sz w:val="24"/>
                    </w:rPr>
                    <w:t>3.抗拉强度：经向≥800N/5cm；纬向≥600N/5cm。</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PVC围油栏</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★1.围油栏表面清洁，围油栏PVC包布涂层不脱落、不纹裂；围油栏主体材料为PVC布。</w:t>
                  </w:r>
                </w:p>
                <w:p>
                  <w:pPr>
                    <w:pStyle w:val="null3"/>
                    <w:jc w:val="both"/>
                  </w:pPr>
                  <w:r>
                    <w:rPr>
                      <w:rFonts w:ascii="仿宋_GB2312" w:hAnsi="仿宋_GB2312" w:cs="仿宋_GB2312" w:eastAsia="仿宋_GB2312"/>
                      <w:sz w:val="24"/>
                    </w:rPr>
                    <w:t>2.带有连接结构件，连接结构件具有防腐、耐油特性。</w:t>
                  </w:r>
                </w:p>
                <w:p>
                  <w:pPr>
                    <w:pStyle w:val="null3"/>
                    <w:jc w:val="both"/>
                  </w:pPr>
                  <w:r>
                    <w:rPr>
                      <w:rFonts w:ascii="仿宋_GB2312" w:hAnsi="仿宋_GB2312" w:cs="仿宋_GB2312" w:eastAsia="仿宋_GB2312"/>
                      <w:sz w:val="24"/>
                    </w:rPr>
                    <w:t>▲3.围油栏PVC包布性能：最小总抗拉强度为：≥33000N。</w:t>
                  </w:r>
                </w:p>
                <w:p>
                  <w:pPr>
                    <w:pStyle w:val="null3"/>
                    <w:jc w:val="both"/>
                  </w:pPr>
                  <w:r>
                    <w:rPr>
                      <w:rFonts w:ascii="仿宋_GB2312" w:hAnsi="仿宋_GB2312" w:cs="仿宋_GB2312" w:eastAsia="仿宋_GB2312"/>
                      <w:sz w:val="24"/>
                    </w:rPr>
                    <w:t>4.围油栏与船或岸边可由缆绳连接定位，围油栏外表平整光滑；围油栏无易损件，围油栏主体可原地维修，其它配件可在原地更换；水中静态布放能够维持稳定的姿态，不丢失干舷和吃水。</w:t>
                  </w:r>
                </w:p>
                <w:p>
                  <w:pPr>
                    <w:pStyle w:val="null3"/>
                    <w:jc w:val="both"/>
                  </w:pPr>
                  <w:r>
                    <w:rPr>
                      <w:rFonts w:ascii="仿宋_GB2312" w:hAnsi="仿宋_GB2312" w:cs="仿宋_GB2312" w:eastAsia="仿宋_GB2312"/>
                      <w:sz w:val="24"/>
                    </w:rPr>
                    <w:t>5.围油栏高度≥600mm，水上高度≥300mm。</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吸油毡</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1.产品材料为100%聚丙烯；尺寸：≥1m（宽）×2m（长）×5mm（厚），重量≥20kg/包；</w:t>
                  </w:r>
                </w:p>
                <w:p>
                  <w:pPr>
                    <w:pStyle w:val="null3"/>
                    <w:jc w:val="both"/>
                  </w:pPr>
                  <w:r>
                    <w:rPr>
                      <w:rFonts w:ascii="仿宋_GB2312" w:hAnsi="仿宋_GB2312" w:cs="仿宋_GB2312" w:eastAsia="仿宋_GB2312"/>
                      <w:sz w:val="24"/>
                      <w:color w:val="000000"/>
                    </w:rPr>
                    <w:t>2.吸油量为本身重量10倍以上(20℃，1000秒燃料油)；吸水性：不大于本身质量6%(20℃)；持油性：油保持率≥99%(常温)；吸性速度≥5min（完全浸透）。</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椰壳活性炭</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1.高碘值椰壳颗粒活性炭，碘值≥800。</w:t>
                  </w:r>
                </w:p>
                <w:p>
                  <w:pPr>
                    <w:pStyle w:val="null3"/>
                    <w:jc w:val="both"/>
                  </w:pPr>
                  <w:r>
                    <w:rPr>
                      <w:rFonts w:ascii="仿宋_GB2312" w:hAnsi="仿宋_GB2312" w:cs="仿宋_GB2312" w:eastAsia="仿宋_GB2312"/>
                      <w:sz w:val="24"/>
                      <w:color w:val="000000"/>
                    </w:rPr>
                    <w:t>2.含水量：≤15%，粒径6-12目或8-16目，编织袋包装，重量≥25kg/袋。</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便携式多功能四合一气体检测仪</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★1.可同时检测可燃气，一氧化碳，氧气，硫化氢气体：</w:t>
                  </w:r>
                </w:p>
                <w:p>
                  <w:pPr>
                    <w:pStyle w:val="null3"/>
                    <w:jc w:val="both"/>
                  </w:pPr>
                  <w:r>
                    <w:rPr>
                      <w:rFonts w:ascii="仿宋_GB2312" w:hAnsi="仿宋_GB2312" w:cs="仿宋_GB2312" w:eastAsia="仿宋_GB2312"/>
                      <w:sz w:val="24"/>
                    </w:rPr>
                    <w:t>可燃性气体：测量范围：</w:t>
                  </w:r>
                  <w:r>
                    <w:rPr>
                      <w:rFonts w:ascii="仿宋_GB2312" w:hAnsi="仿宋_GB2312" w:cs="仿宋_GB2312" w:eastAsia="仿宋_GB2312"/>
                      <w:sz w:val="24"/>
                    </w:rPr>
                    <w:t>0~100% LEL，分辨率≤1% LEL；氧气：测量范围：0%~30%，分辨率≤0.1%；一氧化碳：测量范围：0ppm~1000ppm，分辨率≤1ppm；硫化氢：测量范围：0ppm~100ppm，分辨率≤1ppm。</w:t>
                  </w:r>
                </w:p>
                <w:p>
                  <w:pPr>
                    <w:pStyle w:val="null3"/>
                    <w:jc w:val="both"/>
                  </w:pPr>
                  <w:r>
                    <w:rPr>
                      <w:rFonts w:ascii="仿宋_GB2312" w:hAnsi="仿宋_GB2312" w:cs="仿宋_GB2312" w:eastAsia="仿宋_GB2312"/>
                      <w:sz w:val="24"/>
                    </w:rPr>
                    <w:t>2.连续工作时间≥6h,检测响应时间≤30秒。</w:t>
                  </w:r>
                </w:p>
                <w:p>
                  <w:pPr>
                    <w:pStyle w:val="null3"/>
                    <w:jc w:val="both"/>
                  </w:pPr>
                  <w:r>
                    <w:rPr>
                      <w:rFonts w:ascii="仿宋_GB2312" w:hAnsi="仿宋_GB2312" w:cs="仿宋_GB2312" w:eastAsia="仿宋_GB2312"/>
                      <w:sz w:val="24"/>
                    </w:rPr>
                    <w:t>★3.防爆等级≥Ex ia IIC T4。</w:t>
                  </w:r>
                </w:p>
                <w:p>
                  <w:pPr>
                    <w:pStyle w:val="null3"/>
                    <w:jc w:val="both"/>
                  </w:pPr>
                  <w:r>
                    <w:rPr>
                      <w:rFonts w:ascii="仿宋_GB2312" w:hAnsi="仿宋_GB2312" w:cs="仿宋_GB2312" w:eastAsia="仿宋_GB2312"/>
                      <w:sz w:val="24"/>
                    </w:rPr>
                    <w:t>4.防护等级≥IP66。</w:t>
                  </w:r>
                </w:p>
                <w:p>
                  <w:pPr>
                    <w:pStyle w:val="null3"/>
                    <w:jc w:val="both"/>
                  </w:pPr>
                  <w:r>
                    <w:rPr>
                      <w:rFonts w:ascii="仿宋_GB2312" w:hAnsi="仿宋_GB2312" w:cs="仿宋_GB2312" w:eastAsia="仿宋_GB2312"/>
                      <w:sz w:val="24"/>
                    </w:rPr>
                    <w:t>5.声光报警</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便携式电导率仪</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1.电导率测量范围：0~400.0mS/cm，分辨率：0.001μS/cm~0.1 mS/cm，示值误差：±0.5%F.S。</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rPr>
                    <w:t>具有量程自动切换功能、自动关机功能等。</w:t>
                  </w:r>
                </w:p>
                <w:p>
                  <w:pPr>
                    <w:pStyle w:val="null3"/>
                    <w:jc w:val="both"/>
                  </w:pPr>
                  <w:r>
                    <w:rPr>
                      <w:rFonts w:ascii="仿宋_GB2312" w:hAnsi="仿宋_GB2312" w:cs="仿宋_GB2312" w:eastAsia="仿宋_GB2312"/>
                      <w:sz w:val="24"/>
                    </w:rPr>
                    <w:t>3.防护等级</w:t>
                  </w:r>
                  <w:r>
                    <w:rPr>
                      <w:rFonts w:ascii="仿宋_GB2312" w:hAnsi="仿宋_GB2312" w:cs="仿宋_GB2312" w:eastAsia="仿宋_GB2312"/>
                      <w:sz w:val="24"/>
                      <w:color w:val="000000"/>
                    </w:rPr>
                    <w:t>≥IP65,</w:t>
                  </w:r>
                  <w:r>
                    <w:rPr>
                      <w:rFonts w:ascii="仿宋_GB2312" w:hAnsi="仿宋_GB2312" w:cs="仿宋_GB2312" w:eastAsia="仿宋_GB2312"/>
                      <w:sz w:val="24"/>
                    </w:rPr>
                    <w:t xml:space="preserve"> </w:t>
                  </w:r>
                  <w:r>
                    <w:rPr>
                      <w:rFonts w:ascii="仿宋_GB2312" w:hAnsi="仿宋_GB2312" w:cs="仿宋_GB2312" w:eastAsia="仿宋_GB2312"/>
                      <w:sz w:val="24"/>
                    </w:rPr>
                    <w:t>测量数值存储功能</w:t>
                  </w:r>
                  <w:r>
                    <w:rPr>
                      <w:rFonts w:ascii="仿宋_GB2312" w:hAnsi="仿宋_GB2312" w:cs="仿宋_GB2312" w:eastAsia="仿宋_GB2312"/>
                      <w:sz w:val="24"/>
                      <w:color w:val="000000"/>
                    </w:rPr>
                    <w:t>≥256组。</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便携式余氯监测仪</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1.测量范围：0～10mg/L，精度</w:t>
                  </w:r>
                  <w:r>
                    <w:rPr>
                      <w:rFonts w:ascii="仿宋_GB2312" w:hAnsi="仿宋_GB2312" w:cs="仿宋_GB2312" w:eastAsia="仿宋_GB2312"/>
                      <w:sz w:val="24"/>
                    </w:rPr>
                    <w:t>≥</w:t>
                  </w:r>
                  <w:r>
                    <w:rPr>
                      <w:rFonts w:ascii="仿宋_GB2312" w:hAnsi="仿宋_GB2312" w:cs="仿宋_GB2312" w:eastAsia="仿宋_GB2312"/>
                      <w:sz w:val="24"/>
                      <w:color w:val="000000"/>
                    </w:rPr>
                    <w:t>1.0mg/L；误差：±5%。</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rPr>
                    <w:t>光源：</w:t>
                  </w:r>
                  <w:r>
                    <w:rPr>
                      <w:rFonts w:ascii="仿宋_GB2312" w:hAnsi="仿宋_GB2312" w:cs="仿宋_GB2312" w:eastAsia="仿宋_GB2312"/>
                      <w:sz w:val="24"/>
                    </w:rPr>
                    <w:t>LED发光二极管，寿命≥50000h。</w:t>
                  </w:r>
                </w:p>
                <w:p>
                  <w:pPr>
                    <w:pStyle w:val="null3"/>
                    <w:jc w:val="both"/>
                  </w:pPr>
                  <w:r>
                    <w:rPr>
                      <w:rFonts w:ascii="仿宋_GB2312" w:hAnsi="仿宋_GB2312" w:cs="仿宋_GB2312" w:eastAsia="仿宋_GB2312"/>
                      <w:sz w:val="24"/>
                    </w:rPr>
                    <w:t>3.防护等级</w:t>
                  </w:r>
                  <w:r>
                    <w:rPr>
                      <w:rFonts w:ascii="仿宋_GB2312" w:hAnsi="仿宋_GB2312" w:cs="仿宋_GB2312" w:eastAsia="仿宋_GB2312"/>
                      <w:sz w:val="24"/>
                      <w:color w:val="000000"/>
                    </w:rPr>
                    <w:t>≥IP65。</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重金属快检试剂包</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1.铅：测试范围：0-2mg/L，≥60次/盒。</w:t>
                  </w:r>
                </w:p>
                <w:p>
                  <w:pPr>
                    <w:pStyle w:val="null3"/>
                    <w:jc w:val="both"/>
                  </w:pPr>
                  <w:r>
                    <w:rPr>
                      <w:rFonts w:ascii="仿宋_GB2312" w:hAnsi="仿宋_GB2312" w:cs="仿宋_GB2312" w:eastAsia="仿宋_GB2312"/>
                      <w:sz w:val="24"/>
                      <w:color w:val="000000"/>
                    </w:rPr>
                    <w:t>2.镉：测试范围：0-2mg/L，≥60次/盒。</w:t>
                  </w:r>
                </w:p>
                <w:p>
                  <w:pPr>
                    <w:pStyle w:val="null3"/>
                    <w:jc w:val="both"/>
                  </w:pPr>
                  <w:r>
                    <w:rPr>
                      <w:rFonts w:ascii="仿宋_GB2312" w:hAnsi="仿宋_GB2312" w:cs="仿宋_GB2312" w:eastAsia="仿宋_GB2312"/>
                      <w:sz w:val="24"/>
                      <w:color w:val="000000"/>
                    </w:rPr>
                    <w:t>3.汞：测试范围：0-2mg/L，≥60次/盒。</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耐酸碱防化手套</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color w:val="333333"/>
                    </w:rPr>
                    <w:t>手套具有，耐磨、防水防滑等功能。</w:t>
                  </w:r>
                </w:p>
                <w:p>
                  <w:pPr>
                    <w:pStyle w:val="null3"/>
                    <w:jc w:val="both"/>
                  </w:pPr>
                  <w:r>
                    <w:rPr>
                      <w:rFonts w:ascii="仿宋_GB2312" w:hAnsi="仿宋_GB2312" w:cs="仿宋_GB2312" w:eastAsia="仿宋_GB2312"/>
                      <w:sz w:val="24"/>
                    </w:rPr>
                    <w:t>2.手套厚度≥0.45mm，手套长度≥27cm。</w:t>
                  </w:r>
                </w:p>
                <w:p>
                  <w:pPr>
                    <w:pStyle w:val="null3"/>
                    <w:jc w:val="both"/>
                  </w:pPr>
                  <w:r>
                    <w:rPr>
                      <w:rFonts w:ascii="仿宋_GB2312" w:hAnsi="仿宋_GB2312" w:cs="仿宋_GB2312" w:eastAsia="仿宋_GB2312"/>
                      <w:sz w:val="28"/>
                    </w:rPr>
                    <w:t>★</w:t>
                  </w:r>
                  <w:r>
                    <w:rPr>
                      <w:rFonts w:ascii="仿宋_GB2312" w:hAnsi="仿宋_GB2312" w:cs="仿宋_GB2312" w:eastAsia="仿宋_GB2312"/>
                      <w:sz w:val="24"/>
                    </w:rPr>
                    <w:t>3.按照GB 28881-2023《手部防护 化学品及微生物防护手套》进行抗渗透性能测试，抗渗透性能等级：96%硫酸≥6级，40%氢氧化钠≥4级，65%硝酸≥6级，99%乙酸≥6级。</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移动发电机</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1.发动机型式：双缸，风冷，四冲程。</w:t>
                  </w:r>
                </w:p>
                <w:p>
                  <w:pPr>
                    <w:pStyle w:val="null3"/>
                    <w:jc w:val="both"/>
                  </w:pPr>
                  <w:r>
                    <w:rPr>
                      <w:rFonts w:ascii="仿宋_GB2312" w:hAnsi="仿宋_GB2312" w:cs="仿宋_GB2312" w:eastAsia="仿宋_GB2312"/>
                      <w:sz w:val="24"/>
                      <w:color w:val="000000"/>
                    </w:rPr>
                    <w:t>2.燃油：柴油, 启动方式：电启动。</w:t>
                  </w:r>
                </w:p>
                <w:p>
                  <w:pPr>
                    <w:pStyle w:val="null3"/>
                    <w:jc w:val="both"/>
                  </w:pPr>
                  <w:r>
                    <w:rPr>
                      <w:rFonts w:ascii="仿宋_GB2312" w:hAnsi="仿宋_GB2312" w:cs="仿宋_GB2312" w:eastAsia="仿宋_GB2312"/>
                      <w:sz w:val="24"/>
                      <w:color w:val="000000"/>
                    </w:rPr>
                    <w:t>3.发电机组额定功率：≥10kw,最大功率≥11kw。</w:t>
                  </w:r>
                </w:p>
                <w:p>
                  <w:pPr>
                    <w:pStyle w:val="null3"/>
                    <w:jc w:val="both"/>
                  </w:pPr>
                  <w:r>
                    <w:rPr>
                      <w:rFonts w:ascii="仿宋_GB2312" w:hAnsi="仿宋_GB2312" w:cs="仿宋_GB2312" w:eastAsia="仿宋_GB2312"/>
                      <w:sz w:val="24"/>
                      <w:color w:val="000000"/>
                    </w:rPr>
                    <w:t>4.发电机组额定输出电压：220V-380V。</w:t>
                  </w:r>
                </w:p>
                <w:p>
                  <w:pPr>
                    <w:pStyle w:val="null3"/>
                    <w:jc w:val="both"/>
                  </w:pPr>
                  <w:r>
                    <w:rPr>
                      <w:rFonts w:ascii="仿宋_GB2312" w:hAnsi="仿宋_GB2312" w:cs="仿宋_GB2312" w:eastAsia="仿宋_GB2312"/>
                      <w:sz w:val="24"/>
                      <w:color w:val="000000"/>
                    </w:rPr>
                    <w:t>5.持续运行时间≥8小时，油箱容量≥30L。</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6.发电机放置任一方向倾斜≥20°的斜面上，发电机组应不得倾翻或溢出燃油。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7.发电机组安装在倾斜≥6°的斜面上时候应能正常工作，发电机倾斜≥45°自动停机。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8.发电机组自带照明装置，可提供户外照明，发出声音报警，红蓝闪光报警。</w:t>
                  </w:r>
                </w:p>
                <w:p>
                  <w:pPr>
                    <w:pStyle w:val="null3"/>
                    <w:jc w:val="both"/>
                  </w:pPr>
                  <w:r>
                    <w:rPr>
                      <w:rFonts w:ascii="仿宋_GB2312" w:hAnsi="仿宋_GB2312" w:cs="仿宋_GB2312" w:eastAsia="仿宋_GB2312"/>
                      <w:sz w:val="24"/>
                      <w:color w:val="000000"/>
                    </w:rPr>
                    <w:t>9.发电机组应具有短路保护、高温保护、过流保护、过载保护、缺机油保护、接地故障保护、自动电压调节功能。</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潜水泵</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1.类型：防爆排污</w:t>
                  </w:r>
                  <w:r>
                    <w:rPr>
                      <w:rFonts w:ascii="仿宋_GB2312" w:hAnsi="仿宋_GB2312" w:cs="仿宋_GB2312" w:eastAsia="仿宋_GB2312"/>
                      <w:sz w:val="24"/>
                    </w:rPr>
                    <w:t>潜水泵；</w:t>
                  </w:r>
                  <w:r>
                    <w:rPr>
                      <w:rFonts w:ascii="仿宋_GB2312" w:hAnsi="仿宋_GB2312" w:cs="仿宋_GB2312" w:eastAsia="仿宋_GB2312"/>
                      <w:sz w:val="24"/>
                    </w:rPr>
                    <w:t>泵功率</w:t>
                  </w:r>
                  <w:r>
                    <w:rPr>
                      <w:rFonts w:ascii="仿宋_GB2312" w:hAnsi="仿宋_GB2312" w:cs="仿宋_GB2312" w:eastAsia="仿宋_GB2312"/>
                      <w:sz w:val="24"/>
                    </w:rPr>
                    <w:t>≥3KW，铸铁，扬程≥13米，流量≥40</w:t>
                  </w:r>
                  <w:r>
                    <w:rPr>
                      <w:rFonts w:ascii="仿宋_GB2312" w:hAnsi="仿宋_GB2312" w:cs="仿宋_GB2312" w:eastAsia="仿宋_GB2312"/>
                      <w:sz w:val="24"/>
                    </w:rPr>
                    <w:t>m³</w:t>
                  </w:r>
                  <w:r>
                    <w:rPr>
                      <w:rFonts w:ascii="仿宋_GB2312" w:hAnsi="仿宋_GB2312" w:cs="仿宋_GB2312" w:eastAsia="仿宋_GB2312"/>
                      <w:sz w:val="24"/>
                    </w:rPr>
                    <w:t>，</w:t>
                  </w:r>
                  <w:r>
                    <w:rPr>
                      <w:rFonts w:ascii="仿宋_GB2312" w:hAnsi="仿宋_GB2312" w:cs="仿宋_GB2312" w:eastAsia="仿宋_GB2312"/>
                      <w:sz w:val="24"/>
                    </w:rPr>
                    <w:t>电压</w:t>
                  </w:r>
                  <w:r>
                    <w:rPr>
                      <w:rFonts w:ascii="仿宋_GB2312" w:hAnsi="仿宋_GB2312" w:cs="仿宋_GB2312" w:eastAsia="仿宋_GB2312"/>
                      <w:sz w:val="24"/>
                    </w:rPr>
                    <w:t>220V或380V。</w:t>
                  </w:r>
                  <w:r>
                    <w:rPr>
                      <w:rFonts w:ascii="仿宋_GB2312" w:hAnsi="仿宋_GB2312" w:cs="仿宋_GB2312" w:eastAsia="仿宋_GB2312"/>
                      <w:sz w:val="24"/>
                    </w:rPr>
                    <w:t>配备出水管</w:t>
                  </w:r>
                  <w:r>
                    <w:rPr>
                      <w:rFonts w:ascii="仿宋_GB2312" w:hAnsi="仿宋_GB2312" w:cs="仿宋_GB2312" w:eastAsia="仿宋_GB2312"/>
                      <w:sz w:val="24"/>
                    </w:rPr>
                    <w:t>≥15米。</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沟渠密封袋</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1.囊体厚度≥3mm，规格：直径</w:t>
                  </w:r>
                  <w:r>
                    <w:rPr>
                      <w:rFonts w:ascii="仿宋_GB2312" w:hAnsi="仿宋_GB2312" w:cs="仿宋_GB2312" w:eastAsia="仿宋_GB2312"/>
                      <w:sz w:val="24"/>
                      <w:color w:val="000000"/>
                    </w:rPr>
                    <w:t>≥</w:t>
                  </w:r>
                  <w:r>
                    <w:rPr>
                      <w:rFonts w:ascii="仿宋_GB2312" w:hAnsi="仿宋_GB2312" w:cs="仿宋_GB2312" w:eastAsia="仿宋_GB2312"/>
                      <w:sz w:val="24"/>
                    </w:rPr>
                    <w:t>60cm。</w:t>
                  </w:r>
                </w:p>
                <w:p>
                  <w:pPr>
                    <w:pStyle w:val="null3"/>
                    <w:jc w:val="both"/>
                  </w:pPr>
                  <w:r>
                    <w:rPr>
                      <w:rFonts w:ascii="仿宋_GB2312" w:hAnsi="仿宋_GB2312" w:cs="仿宋_GB2312" w:eastAsia="仿宋_GB2312"/>
                      <w:sz w:val="24"/>
                    </w:rPr>
                    <w:t>2.工作压力≥0.03Mpa。</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絮凝剂</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1.聚丙烯酰胺阴离子，分子量≥800万。</w:t>
                  </w:r>
                </w:p>
                <w:p>
                  <w:pPr>
                    <w:pStyle w:val="null3"/>
                    <w:jc w:val="both"/>
                  </w:pPr>
                  <w:r>
                    <w:rPr>
                      <w:rFonts w:ascii="仿宋_GB2312" w:hAnsi="仿宋_GB2312" w:cs="仿宋_GB2312" w:eastAsia="仿宋_GB2312"/>
                      <w:sz w:val="24"/>
                      <w:color w:val="000000"/>
                    </w:rPr>
                    <w:t>2.密封袋防潮袋包装，规格：≥20kg/袋。</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线手套</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1.采用毛纺细纱材料针织而成，掌心具有防滑设计。</w:t>
                  </w:r>
                </w:p>
                <w:p>
                  <w:pPr>
                    <w:pStyle w:val="null3"/>
                    <w:jc w:val="both"/>
                  </w:pPr>
                  <w:r>
                    <w:rPr>
                      <w:rFonts w:ascii="仿宋_GB2312" w:hAnsi="仿宋_GB2312" w:cs="仿宋_GB2312" w:eastAsia="仿宋_GB2312"/>
                      <w:sz w:val="24"/>
                    </w:rPr>
                    <w:t>2.手套具有保暖、耐磨等功能，重量≥600g。</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耐酸碱防化靴</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4"/>
                    </w:rPr>
                    <w:t>1.符合GB 20265-2019《足部防护 防化学品鞋》标准。</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安全绳</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1.直径≥10MM，可承受拉力≥200KG。</w:t>
                  </w:r>
                </w:p>
                <w:p>
                  <w:pPr>
                    <w:pStyle w:val="null3"/>
                    <w:jc w:val="both"/>
                  </w:pPr>
                  <w:r>
                    <w:rPr>
                      <w:rFonts w:ascii="仿宋_GB2312" w:hAnsi="仿宋_GB2312" w:cs="仿宋_GB2312" w:eastAsia="仿宋_GB2312"/>
                      <w:sz w:val="24"/>
                    </w:rPr>
                    <w:t>2.材质为尼龙材料。</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快速膨胀袋</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1.满足断裂强力:≥12kN/m；膨胀至20kg所需时间:≤2.5min；耐压强度≥150 Kg。</w:t>
                  </w:r>
                </w:p>
                <w:p>
                  <w:pPr>
                    <w:pStyle w:val="null3"/>
                    <w:jc w:val="both"/>
                  </w:pPr>
                  <w:r>
                    <w:rPr>
                      <w:rFonts w:ascii="仿宋_GB2312" w:hAnsi="仿宋_GB2312" w:cs="仿宋_GB2312" w:eastAsia="仿宋_GB2312"/>
                      <w:sz w:val="24"/>
                      <w:color w:val="000000"/>
                    </w:rPr>
                    <w:t>2.尺寸≥250mm×500mm，保水率≥90%。</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应急移动照明灯</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1.工作灯应由灯盘、发电机、控制面板、遥控器、升降气杆、气泵、行走脚轮组成。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2.执行标准:GB/T 15211-2013 《安全防范报警设备 环境适应性要求和试验方法》。</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3.工作灯支持通过发电机外接220V/50Hz电源供电，工作灯应能不借助任何工具徒手完成组装，外壳防护等级试验:照明灯的外壳防护等级应≥IP65。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工作灯应有U形支架设计，支持气杆倒卧支撑；全方位自动泛光工作灯在10m处的光照强度应≥175Lx；工作灯在20m处的光照强度应≥50Lx；全方位自动泛光工作灯的照明角度应支持水平360°、垂直360°手动调节；工作灯应能通过无线遥控器或控制面板手动控制升降杆的升降及照明系统的开关，无线遥控器的遥控距离应≥65m 。</w:t>
                  </w:r>
                </w:p>
                <w:p>
                  <w:pPr>
                    <w:pStyle w:val="null3"/>
                    <w:jc w:val="both"/>
                  </w:pPr>
                  <w:r>
                    <w:rPr>
                      <w:rFonts w:ascii="仿宋_GB2312" w:hAnsi="仿宋_GB2312" w:cs="仿宋_GB2312" w:eastAsia="仿宋_GB2312"/>
                      <w:sz w:val="24"/>
                      <w:color w:val="000000"/>
                    </w:rPr>
                    <w:t>5.灯头功率≥4x500W，发电机额定输出功率≥2.8KW，燃油箱额定容量≥15L，连续工作时间≥13小时，升起高度≥4500mm。</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组合式防洪板</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1.主材料：ABS；平均厚度≥4mm。</w:t>
                  </w:r>
                </w:p>
                <w:p>
                  <w:pPr>
                    <w:pStyle w:val="null3"/>
                    <w:jc w:val="both"/>
                  </w:pPr>
                  <w:r>
                    <w:rPr>
                      <w:rFonts w:ascii="仿宋_GB2312" w:hAnsi="仿宋_GB2312" w:cs="仿宋_GB2312" w:eastAsia="仿宋_GB2312"/>
                      <w:sz w:val="24"/>
                      <w:color w:val="000000"/>
                    </w:rPr>
                    <w:t>2.外观结构：迎水面整体为拱坝曲面结构；安装结构：挡板通过弹簧升降立柱连接固定。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3.硬度：≥75HD；密度：≥1.0g/cm³。</w:t>
                  </w:r>
                </w:p>
                <w:p>
                  <w:pPr>
                    <w:pStyle w:val="null3"/>
                    <w:jc w:val="both"/>
                  </w:pPr>
                  <w:r>
                    <w:rPr>
                      <w:rFonts w:ascii="仿宋_GB2312" w:hAnsi="仿宋_GB2312" w:cs="仿宋_GB2312" w:eastAsia="仿宋_GB2312"/>
                      <w:sz w:val="24"/>
                      <w:color w:val="000000"/>
                    </w:rPr>
                    <w:t>4.弯曲强度：≥60MPa；拉伸强度：≥40MPa；断裂伸长率：≥14%；简支梁冲击强度：≥38KJ/㎡。</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5.产品尺寸：高度≥66cm。</w:t>
                  </w:r>
                </w:p>
                <w:p>
                  <w:pPr>
                    <w:pStyle w:val="null3"/>
                    <w:jc w:val="both"/>
                  </w:pPr>
                  <w:r>
                    <w:rPr>
                      <w:rFonts w:ascii="仿宋_GB2312" w:hAnsi="仿宋_GB2312" w:cs="仿宋_GB2312" w:eastAsia="仿宋_GB2312"/>
                      <w:sz w:val="24"/>
                      <w:color w:val="000000"/>
                    </w:rPr>
                    <w:t>★6.需满足“3服务要求-（1）排洪渠及小濛渠截断”的相关参数要求。</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防护全面罩</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4"/>
                      <w:color w:val="000000"/>
                    </w:rPr>
                    <w:t>1.符合GB 2890-2022《呼吸防护自吸过滤式防毒面具》标准要求。</w:t>
                  </w:r>
                </w:p>
                <w:p>
                  <w:pPr>
                    <w:pStyle w:val="null3"/>
                    <w:jc w:val="both"/>
                  </w:pPr>
                  <w:r>
                    <w:rPr>
                      <w:rFonts w:ascii="仿宋_GB2312" w:hAnsi="仿宋_GB2312" w:cs="仿宋_GB2312" w:eastAsia="仿宋_GB2312"/>
                      <w:sz w:val="24"/>
                      <w:color w:val="000000"/>
                    </w:rPr>
                    <w:t>2.每个面具配一个综合滤毒罐。</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轻型防护服</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1.防护服可耐多种无机化学品，如浓硫酸、盐酸、硝酸、氢氧化钠等；可防止有生物污染物泼溅对身体造成伤害；防护服各部位无缝对接，</w:t>
                  </w:r>
                  <w:r>
                    <w:rPr>
                      <w:rFonts w:ascii="仿宋_GB2312" w:hAnsi="仿宋_GB2312" w:cs="仿宋_GB2312" w:eastAsia="仿宋_GB2312"/>
                      <w:sz w:val="24"/>
                    </w:rPr>
                    <w:t>防护服收口结构需</w:t>
                  </w:r>
                  <w:r>
                    <w:rPr>
                      <w:rFonts w:ascii="仿宋_GB2312" w:hAnsi="仿宋_GB2312" w:cs="仿宋_GB2312" w:eastAsia="仿宋_GB2312"/>
                      <w:sz w:val="24"/>
                      <w:color w:val="000000"/>
                    </w:rPr>
                    <w:t>紧密贴合手腕、脚踝和头部。</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防爆对讲机</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1.频率范围：400-470MHz；信道容量：≥256；有效通信距离≥5公里（视具体环境调整）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2.防爆等级≥Ex ib lIB T4 Gb。</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3.防尘防水等级：≥IP67。</w:t>
                  </w:r>
                </w:p>
                <w:p>
                  <w:pPr>
                    <w:pStyle w:val="null3"/>
                    <w:jc w:val="both"/>
                  </w:pPr>
                  <w:r>
                    <w:rPr>
                      <w:rFonts w:ascii="仿宋_GB2312" w:hAnsi="仿宋_GB2312" w:cs="仿宋_GB2312" w:eastAsia="仿宋_GB2312"/>
                      <w:sz w:val="24"/>
                      <w:color w:val="000000"/>
                    </w:rPr>
                    <w:t>4.电池：锂离子电池，通过防爆认证，电池容量</w:t>
                  </w:r>
                  <w:r>
                    <w:rPr>
                      <w:rFonts w:ascii="仿宋_GB2312" w:hAnsi="仿宋_GB2312" w:cs="仿宋_GB2312" w:eastAsia="仿宋_GB2312"/>
                      <w:sz w:val="24"/>
                      <w:color w:val="000000"/>
                    </w:rPr>
                    <w:t>≥1960mAh。</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土工布</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1.土工布≥400g/㎡</w:t>
                  </w:r>
                  <w:r>
                    <w:rPr>
                      <w:rFonts w:ascii="仿宋_GB2312" w:hAnsi="仿宋_GB2312" w:cs="仿宋_GB2312" w:eastAsia="仿宋_GB2312"/>
                      <w:sz w:val="24"/>
                      <w:color w:val="000000"/>
                    </w:rPr>
                    <w:t>。</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土工膜</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1.厚度：1.5mm-2.5mm</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充气式堵水气囊</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一、工作原理</w:t>
                  </w:r>
                </w:p>
                <w:p>
                  <w:pPr>
                    <w:pStyle w:val="null3"/>
                    <w:jc w:val="both"/>
                  </w:pPr>
                  <w:r>
                    <w:rPr>
                      <w:rFonts w:ascii="仿宋_GB2312" w:hAnsi="仿宋_GB2312" w:cs="仿宋_GB2312" w:eastAsia="仿宋_GB2312"/>
                      <w:sz w:val="24"/>
                      <w:color w:val="000000"/>
                    </w:rPr>
                    <w:t>1.充气膨胀：通过充气泵向气囊内充气，使其膨胀并与管壁紧密贴合。</w:t>
                  </w:r>
                </w:p>
                <w:p>
                  <w:pPr>
                    <w:pStyle w:val="null3"/>
                    <w:jc w:val="both"/>
                  </w:pPr>
                  <w:r>
                    <w:rPr>
                      <w:rFonts w:ascii="仿宋_GB2312" w:hAnsi="仿宋_GB2312" w:cs="仿宋_GB2312" w:eastAsia="仿宋_GB2312"/>
                      <w:sz w:val="24"/>
                      <w:color w:val="000000"/>
                    </w:rPr>
                    <w:t>2.密封阻水：利用气囊材料的弹性和内部压力形成密封，阻止水流通过。</w:t>
                  </w:r>
                </w:p>
                <w:p>
                  <w:pPr>
                    <w:pStyle w:val="null3"/>
                    <w:jc w:val="both"/>
                  </w:pPr>
                  <w:r>
                    <w:rPr>
                      <w:rFonts w:ascii="仿宋_GB2312" w:hAnsi="仿宋_GB2312" w:cs="仿宋_GB2312" w:eastAsia="仿宋_GB2312"/>
                      <w:sz w:val="24"/>
                      <w:color w:val="000000"/>
                    </w:rPr>
                    <w:t>3.放气回收：任务完成后放气收缩。</w:t>
                  </w:r>
                </w:p>
                <w:p>
                  <w:pPr>
                    <w:pStyle w:val="null3"/>
                    <w:jc w:val="both"/>
                  </w:pPr>
                  <w:r>
                    <w:rPr>
                      <w:rFonts w:ascii="仿宋_GB2312" w:hAnsi="仿宋_GB2312" w:cs="仿宋_GB2312" w:eastAsia="仿宋_GB2312"/>
                      <w:sz w:val="24"/>
                      <w:color w:val="000000"/>
                    </w:rPr>
                    <w:t>二、核心特点</w:t>
                  </w:r>
                </w:p>
                <w:p>
                  <w:pPr>
                    <w:pStyle w:val="null3"/>
                    <w:jc w:val="both"/>
                  </w:pPr>
                  <w:r>
                    <w:rPr>
                      <w:rFonts w:ascii="仿宋_GB2312" w:hAnsi="仿宋_GB2312" w:cs="仿宋_GB2312" w:eastAsia="仿宋_GB2312"/>
                      <w:sz w:val="24"/>
                      <w:color w:val="000000"/>
                    </w:rPr>
                    <w:t>1.材质：</w:t>
                  </w:r>
                </w:p>
                <w:p>
                  <w:pPr>
                    <w:pStyle w:val="null3"/>
                    <w:jc w:val="both"/>
                  </w:pPr>
                  <w:r>
                    <w:rPr>
                      <w:rFonts w:ascii="仿宋_GB2312" w:hAnsi="仿宋_GB2312" w:cs="仿宋_GB2312" w:eastAsia="仿宋_GB2312"/>
                      <w:sz w:val="24"/>
                      <w:color w:val="000000"/>
                    </w:rPr>
                    <w:t>外层：橡胶或聚氨酯涂层织物。</w:t>
                  </w:r>
                </w:p>
                <w:p>
                  <w:pPr>
                    <w:pStyle w:val="null3"/>
                    <w:jc w:val="both"/>
                  </w:pPr>
                  <w:r>
                    <w:rPr>
                      <w:rFonts w:ascii="仿宋_GB2312" w:hAnsi="仿宋_GB2312" w:cs="仿宋_GB2312" w:eastAsia="仿宋_GB2312"/>
                      <w:sz w:val="24"/>
                      <w:color w:val="000000"/>
                    </w:rPr>
                    <w:t>内层：气密性橡胶层。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4"/>
                      <w:color w:val="000000"/>
                    </w:rPr>
                    <w:t>2.须匹配管径（DN800）。</w:t>
                  </w:r>
                </w:p>
                <w:p>
                  <w:pPr>
                    <w:pStyle w:val="null3"/>
                    <w:jc w:val="left"/>
                  </w:pPr>
                  <w:r>
                    <w:rPr>
                      <w:rFonts w:ascii="仿宋_GB2312" w:hAnsi="仿宋_GB2312" w:cs="仿宋_GB2312" w:eastAsia="仿宋_GB2312"/>
                      <w:sz w:val="28"/>
                    </w:rPr>
                    <w:t>★</w:t>
                  </w:r>
                  <w:r>
                    <w:rPr>
                      <w:rFonts w:ascii="仿宋_GB2312" w:hAnsi="仿宋_GB2312" w:cs="仿宋_GB2312" w:eastAsia="仿宋_GB2312"/>
                      <w:sz w:val="24"/>
                      <w:color w:val="000000"/>
                    </w:rPr>
                    <w:t>3.配备无线充气泵（保证5-10分钟充满气囊）</w:t>
                  </w:r>
                </w:p>
                <w:p>
                  <w:pPr>
                    <w:pStyle w:val="null3"/>
                    <w:jc w:val="both"/>
                  </w:pPr>
                  <w:r>
                    <w:rPr>
                      <w:rFonts w:ascii="仿宋_GB2312" w:hAnsi="仿宋_GB2312" w:cs="仿宋_GB2312" w:eastAsia="仿宋_GB2312"/>
                      <w:sz w:val="28"/>
                    </w:rPr>
                    <w:t>★</w:t>
                  </w:r>
                  <w:r>
                    <w:rPr>
                      <w:rFonts w:ascii="仿宋_GB2312" w:hAnsi="仿宋_GB2312" w:cs="仿宋_GB2312" w:eastAsia="仿宋_GB2312"/>
                      <w:sz w:val="24"/>
                      <w:color w:val="000000"/>
                    </w:rPr>
                    <w:t>4.须满足“3 服务要求-</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小濛渠北环路处雨水涵管在事故状态下临时封堵</w:t>
                  </w:r>
                  <w:r>
                    <w:rPr>
                      <w:rFonts w:ascii="仿宋_GB2312" w:hAnsi="仿宋_GB2312" w:cs="仿宋_GB2312" w:eastAsia="仿宋_GB2312"/>
                      <w:sz w:val="24"/>
                      <w:color w:val="000000"/>
                    </w:rPr>
                    <w:t>”</w:t>
                  </w:r>
                  <w:r>
                    <w:rPr>
                      <w:rFonts w:ascii="仿宋_GB2312" w:hAnsi="仿宋_GB2312" w:cs="仿宋_GB2312" w:eastAsia="仿宋_GB2312"/>
                      <w:sz w:val="24"/>
                    </w:rPr>
                    <w:t>的</w:t>
                  </w:r>
                  <w:r>
                    <w:rPr>
                      <w:rFonts w:ascii="仿宋_GB2312" w:hAnsi="仿宋_GB2312" w:cs="仿宋_GB2312" w:eastAsia="仿宋_GB2312"/>
                      <w:sz w:val="24"/>
                      <w:color w:val="000000"/>
                    </w:rPr>
                    <w:t>相关参数要求。</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夏季</w:t>
                  </w:r>
                  <w:r>
                    <w:rPr>
                      <w:rFonts w:ascii="仿宋_GB2312" w:hAnsi="仿宋_GB2312" w:cs="仿宋_GB2312" w:eastAsia="仿宋_GB2312"/>
                      <w:sz w:val="24"/>
                      <w:color w:val="000000"/>
                    </w:rPr>
                    <w:t>防护服</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1.款式：短袖防护服，手臂处有可定制标识的可拆卸臂章。</w:t>
                  </w:r>
                </w:p>
                <w:p>
                  <w:pPr>
                    <w:pStyle w:val="null3"/>
                    <w:jc w:val="both"/>
                  </w:pPr>
                  <w:r>
                    <w:rPr>
                      <w:rFonts w:ascii="仿宋_GB2312" w:hAnsi="仿宋_GB2312" w:cs="仿宋_GB2312" w:eastAsia="仿宋_GB2312"/>
                      <w:sz w:val="24"/>
                      <w:color w:val="000000"/>
                    </w:rPr>
                    <w:t>2.面料：100%纯棉，克重≥150g/㎡。</w:t>
                  </w:r>
                </w:p>
                <w:p>
                  <w:pPr>
                    <w:pStyle w:val="null3"/>
                    <w:jc w:val="both"/>
                  </w:pPr>
                  <w:r>
                    <w:rPr>
                      <w:rFonts w:ascii="仿宋_GB2312" w:hAnsi="仿宋_GB2312" w:cs="仿宋_GB2312" w:eastAsia="仿宋_GB2312"/>
                      <w:sz w:val="24"/>
                      <w:color w:val="000000"/>
                    </w:rPr>
                    <w:t>3.辅料：拉链，四合扣，反光条，魔术贴。</w:t>
                  </w:r>
                </w:p>
                <w:p>
                  <w:pPr>
                    <w:pStyle w:val="null3"/>
                    <w:jc w:val="both"/>
                  </w:pPr>
                  <w:r>
                    <w:rPr>
                      <w:rFonts w:ascii="仿宋_GB2312" w:hAnsi="仿宋_GB2312" w:cs="仿宋_GB2312" w:eastAsia="仿宋_GB2312"/>
                      <w:sz w:val="24"/>
                      <w:color w:val="000000"/>
                    </w:rPr>
                    <w:t>4.特性：斜纹，色牢度≥3级。</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春秋季</w:t>
                  </w:r>
                  <w:r>
                    <w:rPr>
                      <w:rFonts w:ascii="仿宋_GB2312" w:hAnsi="仿宋_GB2312" w:cs="仿宋_GB2312" w:eastAsia="仿宋_GB2312"/>
                      <w:sz w:val="24"/>
                      <w:color w:val="000000"/>
                    </w:rPr>
                    <w:t>防护服</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1.款式：长袖防护服，手臂处有可定制标识的可拆卸臂章，衣服背面设计可隐藏的定制标识。</w:t>
                  </w:r>
                </w:p>
                <w:p>
                  <w:pPr>
                    <w:pStyle w:val="null3"/>
                    <w:jc w:val="both"/>
                  </w:pPr>
                  <w:r>
                    <w:rPr>
                      <w:rFonts w:ascii="仿宋_GB2312" w:hAnsi="仿宋_GB2312" w:cs="仿宋_GB2312" w:eastAsia="仿宋_GB2312"/>
                      <w:sz w:val="24"/>
                      <w:color w:val="000000"/>
                    </w:rPr>
                    <w:t>2.面料：100%纯棉，克重≥235g/㎡。</w:t>
                  </w:r>
                </w:p>
                <w:p>
                  <w:pPr>
                    <w:pStyle w:val="null3"/>
                    <w:jc w:val="both"/>
                  </w:pPr>
                  <w:r>
                    <w:rPr>
                      <w:rFonts w:ascii="仿宋_GB2312" w:hAnsi="仿宋_GB2312" w:cs="仿宋_GB2312" w:eastAsia="仿宋_GB2312"/>
                      <w:sz w:val="24"/>
                      <w:color w:val="000000"/>
                    </w:rPr>
                    <w:t>3.辅料：拉链，四合扣，反光条，魔术贴。</w:t>
                  </w:r>
                </w:p>
                <w:p>
                  <w:pPr>
                    <w:pStyle w:val="null3"/>
                    <w:jc w:val="both"/>
                  </w:pPr>
                  <w:r>
                    <w:rPr>
                      <w:rFonts w:ascii="仿宋_GB2312" w:hAnsi="仿宋_GB2312" w:cs="仿宋_GB2312" w:eastAsia="仿宋_GB2312"/>
                      <w:sz w:val="24"/>
                      <w:color w:val="000000"/>
                    </w:rPr>
                    <w:t>4.特性：斜纹，色牢度≥3级。</w:t>
                  </w:r>
                </w:p>
              </w:tc>
            </w:tr>
            <w:tr>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11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冬季</w:t>
                  </w:r>
                  <w:r>
                    <w:rPr>
                      <w:rFonts w:ascii="仿宋_GB2312" w:hAnsi="仿宋_GB2312" w:cs="仿宋_GB2312" w:eastAsia="仿宋_GB2312"/>
                      <w:sz w:val="24"/>
                      <w:color w:val="000000"/>
                    </w:rPr>
                    <w:t>防护服</w:t>
                  </w:r>
                </w:p>
              </w:tc>
              <w:tc>
                <w:tcPr>
                  <w:tcW w:type="dxa" w:w="37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1.款式：长袖羽绒冲锋衣套装，手臂处有定制标识的可拆卸臂章，衣服背面设计可隐藏的定制标识。</w:t>
                  </w:r>
                </w:p>
                <w:p>
                  <w:pPr>
                    <w:pStyle w:val="null3"/>
                    <w:jc w:val="both"/>
                  </w:pPr>
                  <w:r>
                    <w:rPr>
                      <w:rFonts w:ascii="仿宋_GB2312" w:hAnsi="仿宋_GB2312" w:cs="仿宋_GB2312" w:eastAsia="仿宋_GB2312"/>
                      <w:sz w:val="24"/>
                      <w:color w:val="000000"/>
                    </w:rPr>
                    <w:t>2.面料：高弹布，色牢度≥3级，≥80%白鸭绒填充内胆，裤子加绒。</w:t>
                  </w:r>
                </w:p>
                <w:p>
                  <w:pPr>
                    <w:pStyle w:val="null3"/>
                    <w:jc w:val="both"/>
                  </w:pPr>
                  <w:r>
                    <w:rPr>
                      <w:rFonts w:ascii="仿宋_GB2312" w:hAnsi="仿宋_GB2312" w:cs="仿宋_GB2312" w:eastAsia="仿宋_GB2312"/>
                      <w:sz w:val="24"/>
                      <w:color w:val="000000"/>
                    </w:rPr>
                    <w:t>3.辅料：拉链，四合扣，反光条，魔术贴。</w:t>
                  </w:r>
                </w:p>
              </w:tc>
            </w:tr>
          </w:tbl>
          <w:p>
            <w:pPr>
              <w:pStyle w:val="null3"/>
              <w:jc w:val="both"/>
            </w:pPr>
            <w:r>
              <w:rPr>
                <w:rFonts w:ascii="仿宋_GB2312" w:hAnsi="仿宋_GB2312" w:cs="仿宋_GB2312" w:eastAsia="仿宋_GB2312"/>
                <w:sz w:val="24"/>
              </w:rPr>
              <w:t>★注：如所投产品涉及国家强制认证（CCC认证）、电信设备进网许可证、防爆合格证等国家强制规定材料，供应商应严格执行国家相关法律法规的要求，在中标后提供相关材料复印件。</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排洪渠及小濛渠截断</w:t>
            </w:r>
          </w:p>
          <w:p>
            <w:pPr>
              <w:pStyle w:val="null3"/>
              <w:jc w:val="both"/>
            </w:pPr>
            <w:r>
              <w:rPr>
                <w:rFonts w:ascii="仿宋_GB2312" w:hAnsi="仿宋_GB2312" w:cs="仿宋_GB2312" w:eastAsia="仿宋_GB2312"/>
                <w:sz w:val="24"/>
              </w:rPr>
              <w:t>临时截断装置采用防汛沙袋、组合式防洪板等截流装备。</w:t>
            </w:r>
          </w:p>
          <w:p>
            <w:pPr>
              <w:pStyle w:val="null3"/>
              <w:jc w:val="both"/>
            </w:pPr>
            <w:r>
              <w:rPr>
                <w:rFonts w:ascii="仿宋_GB2312" w:hAnsi="仿宋_GB2312" w:cs="仿宋_GB2312" w:eastAsia="仿宋_GB2312"/>
                <w:sz w:val="24"/>
              </w:rPr>
              <w:t>①排洪渠截断</w:t>
            </w:r>
          </w:p>
          <w:p>
            <w:pPr>
              <w:pStyle w:val="null3"/>
              <w:jc w:val="both"/>
            </w:pPr>
            <w:r>
              <w:rPr>
                <w:rFonts w:ascii="仿宋_GB2312" w:hAnsi="仿宋_GB2312" w:cs="仿宋_GB2312" w:eastAsia="仿宋_GB2312"/>
                <w:sz w:val="24"/>
              </w:rPr>
              <w:t>截断装置位于下游</w:t>
            </w:r>
            <w:r>
              <w:rPr>
                <w:rFonts w:ascii="仿宋_GB2312" w:hAnsi="仿宋_GB2312" w:cs="仿宋_GB2312" w:eastAsia="仿宋_GB2312"/>
                <w:sz w:val="24"/>
              </w:rPr>
              <w:t>1.5km（桩号K1+900）处，临时截断装置选用防汛沙袋、组合式防洪板等截流装备。（详见附件-图1）</w:t>
            </w:r>
          </w:p>
          <w:p>
            <w:pPr>
              <w:pStyle w:val="null3"/>
              <w:jc w:val="both"/>
            </w:pPr>
            <w:r>
              <w:rPr>
                <w:rFonts w:ascii="仿宋_GB2312" w:hAnsi="仿宋_GB2312" w:cs="仿宋_GB2312" w:eastAsia="仿宋_GB2312"/>
                <w:sz w:val="24"/>
              </w:rPr>
              <w:t>事故状态下临时截断后，渠道</w:t>
            </w:r>
            <w:r>
              <w:rPr>
                <w:rFonts w:ascii="仿宋_GB2312" w:hAnsi="仿宋_GB2312" w:cs="仿宋_GB2312" w:eastAsia="仿宋_GB2312"/>
                <w:sz w:val="24"/>
              </w:rPr>
              <w:t>K0+900段不蓄水，蓄水段位于K0+900~K1+900段，增设的临时截断装置处上游排洪渠能拦截废水5810m</w:t>
            </w:r>
            <w:r>
              <w:rPr>
                <w:rFonts w:ascii="仿宋_GB2312" w:hAnsi="仿宋_GB2312" w:cs="仿宋_GB2312" w:eastAsia="仿宋_GB2312"/>
                <w:sz w:val="24"/>
              </w:rPr>
              <w:t>3</w:t>
            </w:r>
            <w:r>
              <w:rPr>
                <w:rFonts w:ascii="仿宋_GB2312" w:hAnsi="仿宋_GB2312" w:cs="仿宋_GB2312" w:eastAsia="仿宋_GB2312"/>
                <w:sz w:val="24"/>
              </w:rPr>
              <w:t>。事故水中包含有汽油、柴油、苯、二甲苯、芳烃、液氨、环氧乙烷、苯酚、氯苯、甲醇等组份。</w:t>
            </w:r>
          </w:p>
          <w:p>
            <w:pPr>
              <w:pStyle w:val="null3"/>
              <w:jc w:val="left"/>
            </w:pPr>
            <w:r>
              <w:rPr>
                <w:rFonts w:ascii="仿宋_GB2312" w:hAnsi="仿宋_GB2312" w:cs="仿宋_GB2312" w:eastAsia="仿宋_GB2312"/>
                <w:sz w:val="24"/>
                <w:b/>
              </w:rPr>
              <w:t>排洪渠纵断面设计参数</w:t>
            </w:r>
          </w:p>
          <w:tbl>
            <w:tblPr>
              <w:tblBorders>
                <w:top w:val="none" w:color="000000" w:sz="4"/>
                <w:left w:val="none" w:color="000000" w:sz="4"/>
                <w:bottom w:val="none" w:color="000000" w:sz="4"/>
                <w:right w:val="none" w:color="000000" w:sz="4"/>
                <w:insideH w:val="none"/>
                <w:insideV w:val="none"/>
              </w:tblBorders>
            </w:tblPr>
            <w:tblGrid>
              <w:gridCol w:w="1186"/>
              <w:gridCol w:w="3640"/>
              <w:gridCol w:w="772"/>
            </w:tblGrid>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桩号</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水力要素</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坡度</w:t>
                  </w:r>
                </w:p>
              </w:tc>
            </w:tr>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K0+000~K0+900</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w:t>
                  </w:r>
                  <w:r>
                    <w:rPr>
                      <w:rFonts w:ascii="仿宋_GB2312" w:hAnsi="仿宋_GB2312" w:cs="仿宋_GB2312" w:eastAsia="仿宋_GB2312"/>
                      <w:sz w:val="24"/>
                    </w:rPr>
                    <w:t>Q=91.80m</w:t>
                  </w:r>
                  <w:r>
                    <w:rPr>
                      <w:rFonts w:ascii="仿宋_GB2312" w:hAnsi="仿宋_GB2312" w:cs="仿宋_GB2312" w:eastAsia="仿宋_GB2312"/>
                      <w:sz w:val="24"/>
                    </w:rPr>
                    <w:t>3</w:t>
                  </w:r>
                  <w:r>
                    <w:rPr>
                      <w:rFonts w:ascii="仿宋_GB2312" w:hAnsi="仿宋_GB2312" w:cs="仿宋_GB2312" w:eastAsia="仿宋_GB2312"/>
                      <w:sz w:val="24"/>
                    </w:rPr>
                    <w:t>/s，底宽2.0m，糙率n=0.020，流速V=5.96m/s</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i=-0.911%</w:t>
                  </w:r>
                </w:p>
              </w:tc>
            </w:tr>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K0+900~K1+900</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w:t>
                  </w:r>
                  <w:r>
                    <w:rPr>
                      <w:rFonts w:ascii="仿宋_GB2312" w:hAnsi="仿宋_GB2312" w:cs="仿宋_GB2312" w:eastAsia="仿宋_GB2312"/>
                      <w:sz w:val="24"/>
                    </w:rPr>
                    <w:t>Q=91.80m</w:t>
                  </w:r>
                  <w:r>
                    <w:rPr>
                      <w:rFonts w:ascii="仿宋_GB2312" w:hAnsi="仿宋_GB2312" w:cs="仿宋_GB2312" w:eastAsia="仿宋_GB2312"/>
                      <w:sz w:val="24"/>
                    </w:rPr>
                    <w:t>3</w:t>
                  </w:r>
                  <w:r>
                    <w:rPr>
                      <w:rFonts w:ascii="仿宋_GB2312" w:hAnsi="仿宋_GB2312" w:cs="仿宋_GB2312" w:eastAsia="仿宋_GB2312"/>
                      <w:sz w:val="24"/>
                    </w:rPr>
                    <w:t>/s，底宽2.3m，糙率n=0.020，流速V=5.06m/s</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i=-0.58%</w:t>
                  </w:r>
                </w:p>
              </w:tc>
            </w:tr>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K1+900~K3+400</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w:t>
                  </w:r>
                  <w:r>
                    <w:rPr>
                      <w:rFonts w:ascii="仿宋_GB2312" w:hAnsi="仿宋_GB2312" w:cs="仿宋_GB2312" w:eastAsia="仿宋_GB2312"/>
                      <w:sz w:val="24"/>
                    </w:rPr>
                    <w:t>Q=91.80m</w:t>
                  </w:r>
                  <w:r>
                    <w:rPr>
                      <w:rFonts w:ascii="仿宋_GB2312" w:hAnsi="仿宋_GB2312" w:cs="仿宋_GB2312" w:eastAsia="仿宋_GB2312"/>
                      <w:sz w:val="24"/>
                    </w:rPr>
                    <w:t>3</w:t>
                  </w:r>
                  <w:r>
                    <w:rPr>
                      <w:rFonts w:ascii="仿宋_GB2312" w:hAnsi="仿宋_GB2312" w:cs="仿宋_GB2312" w:eastAsia="仿宋_GB2312"/>
                      <w:sz w:val="24"/>
                    </w:rPr>
                    <w:t>/s，底宽2.0m，糙率n=0.020，流速V=5.96m/s</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i=-0.90%</w:t>
                  </w:r>
                </w:p>
              </w:tc>
            </w:tr>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K3+400~K4+800</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w:t>
                  </w:r>
                  <w:r>
                    <w:rPr>
                      <w:rFonts w:ascii="仿宋_GB2312" w:hAnsi="仿宋_GB2312" w:cs="仿宋_GB2312" w:eastAsia="仿宋_GB2312"/>
                      <w:sz w:val="24"/>
                    </w:rPr>
                    <w:t>Q=91.80m</w:t>
                  </w:r>
                  <w:r>
                    <w:rPr>
                      <w:rFonts w:ascii="仿宋_GB2312" w:hAnsi="仿宋_GB2312" w:cs="仿宋_GB2312" w:eastAsia="仿宋_GB2312"/>
                      <w:sz w:val="24"/>
                    </w:rPr>
                    <w:t>3</w:t>
                  </w:r>
                  <w:r>
                    <w:rPr>
                      <w:rFonts w:ascii="仿宋_GB2312" w:hAnsi="仿宋_GB2312" w:cs="仿宋_GB2312" w:eastAsia="仿宋_GB2312"/>
                      <w:sz w:val="24"/>
                    </w:rPr>
                    <w:t>/s，底宽2.0m，糙率n=0.020，流速V=5.628m/s</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i=-0.786%</w:t>
                  </w:r>
                </w:p>
              </w:tc>
            </w:tr>
            <w:tr>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K4+800~K6+013.371</w:t>
                  </w:r>
                </w:p>
              </w:tc>
              <w:tc>
                <w:tcPr>
                  <w:tcW w:type="dxa" w:w="3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流量</w:t>
                  </w:r>
                  <w:r>
                    <w:rPr>
                      <w:rFonts w:ascii="仿宋_GB2312" w:hAnsi="仿宋_GB2312" w:cs="仿宋_GB2312" w:eastAsia="仿宋_GB2312"/>
                      <w:sz w:val="24"/>
                    </w:rPr>
                    <w:t>Q=91.80m</w:t>
                  </w:r>
                  <w:r>
                    <w:rPr>
                      <w:rFonts w:ascii="仿宋_GB2312" w:hAnsi="仿宋_GB2312" w:cs="仿宋_GB2312" w:eastAsia="仿宋_GB2312"/>
                      <w:sz w:val="24"/>
                    </w:rPr>
                    <w:t>3</w:t>
                  </w:r>
                  <w:r>
                    <w:rPr>
                      <w:rFonts w:ascii="仿宋_GB2312" w:hAnsi="仿宋_GB2312" w:cs="仿宋_GB2312" w:eastAsia="仿宋_GB2312"/>
                      <w:sz w:val="24"/>
                    </w:rPr>
                    <w:t>/s，底宽3.4m，糙率n=0.020，流速V=3.373m/s</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i=-0.199%</w:t>
                  </w:r>
                </w:p>
              </w:tc>
            </w:tr>
          </w:tbl>
          <w:p>
            <w:pPr>
              <w:pStyle w:val="null3"/>
              <w:jc w:val="both"/>
            </w:pPr>
            <w:r>
              <w:rPr>
                <w:rFonts w:ascii="仿宋_GB2312" w:hAnsi="仿宋_GB2312" w:cs="仿宋_GB2312" w:eastAsia="仿宋_GB2312"/>
                <w:sz w:val="24"/>
              </w:rPr>
              <w:t>（详见附件</w:t>
            </w:r>
            <w:r>
              <w:rPr>
                <w:rFonts w:ascii="仿宋_GB2312" w:hAnsi="仿宋_GB2312" w:cs="仿宋_GB2312" w:eastAsia="仿宋_GB2312"/>
                <w:sz w:val="24"/>
              </w:rPr>
              <w:t>-图2、图3、图4）</w:t>
            </w:r>
          </w:p>
          <w:p>
            <w:pPr>
              <w:pStyle w:val="null3"/>
              <w:jc w:val="both"/>
            </w:pPr>
            <w:r>
              <w:rPr>
                <w:rFonts w:ascii="仿宋_GB2312" w:hAnsi="仿宋_GB2312" w:cs="仿宋_GB2312" w:eastAsia="仿宋_GB2312"/>
                <w:sz w:val="24"/>
              </w:rPr>
              <w:t>②小濛渠截断</w:t>
            </w:r>
          </w:p>
          <w:p>
            <w:pPr>
              <w:pStyle w:val="null3"/>
              <w:jc w:val="both"/>
            </w:pPr>
            <w:r>
              <w:rPr>
                <w:rFonts w:ascii="仿宋_GB2312" w:hAnsi="仿宋_GB2312" w:cs="仿宋_GB2312" w:eastAsia="仿宋_GB2312"/>
                <w:sz w:val="24"/>
              </w:rPr>
              <w:t>小濛渠西环路桥下游</w:t>
            </w:r>
            <w:r>
              <w:rPr>
                <w:rFonts w:ascii="仿宋_GB2312" w:hAnsi="仿宋_GB2312" w:cs="仿宋_GB2312" w:eastAsia="仿宋_GB2312"/>
                <w:sz w:val="24"/>
              </w:rPr>
              <w:t>1km处增设临时截断装置，采用防汛沙袋等新型便捷截流装备。事故水中包含有汽油、柴油、苯、二甲苯、芳烃、液氨、环氧乙烷、苯酚、氯苯、甲醇等组份。</w:t>
            </w:r>
          </w:p>
          <w:p>
            <w:pPr>
              <w:pStyle w:val="null3"/>
              <w:jc w:val="both"/>
            </w:pPr>
            <w:r>
              <w:rPr>
                <w:rFonts w:ascii="仿宋_GB2312" w:hAnsi="仿宋_GB2312" w:cs="仿宋_GB2312" w:eastAsia="仿宋_GB2312"/>
                <w:sz w:val="24"/>
              </w:rPr>
              <w:t>（详见附件</w:t>
            </w:r>
            <w:r>
              <w:rPr>
                <w:rFonts w:ascii="仿宋_GB2312" w:hAnsi="仿宋_GB2312" w:cs="仿宋_GB2312" w:eastAsia="仿宋_GB2312"/>
                <w:sz w:val="24"/>
              </w:rPr>
              <w:t>-图5、图6、图7）</w:t>
            </w:r>
          </w:p>
          <w:p>
            <w:pPr>
              <w:pStyle w:val="null3"/>
              <w:jc w:val="both"/>
            </w:pPr>
            <w:r>
              <w:rPr>
                <w:rFonts w:ascii="仿宋_GB2312" w:hAnsi="仿宋_GB2312" w:cs="仿宋_GB2312" w:eastAsia="仿宋_GB2312"/>
                <w:sz w:val="24"/>
                <w:b/>
              </w:rPr>
              <w:t>事故废水拦截能力计算结果一览表</w:t>
            </w:r>
          </w:p>
          <w:tbl>
            <w:tblPr>
              <w:tblBorders>
                <w:top w:val="none" w:color="000000" w:sz="4"/>
                <w:left w:val="none" w:color="000000" w:sz="4"/>
                <w:bottom w:val="none" w:color="000000" w:sz="4"/>
                <w:right w:val="none" w:color="000000" w:sz="4"/>
                <w:insideH w:val="none"/>
                <w:insideV w:val="none"/>
              </w:tblBorders>
            </w:tblPr>
            <w:tblGrid>
              <w:gridCol w:w="290"/>
              <w:gridCol w:w="545"/>
              <w:gridCol w:w="406"/>
              <w:gridCol w:w="580"/>
              <w:gridCol w:w="440"/>
              <w:gridCol w:w="487"/>
              <w:gridCol w:w="429"/>
              <w:gridCol w:w="290"/>
              <w:gridCol w:w="533"/>
              <w:gridCol w:w="568"/>
              <w:gridCol w:w="580"/>
              <w:gridCol w:w="452"/>
            </w:tblGrid>
            <w:tr>
              <w:tc>
                <w:tcPr>
                  <w:tcW w:type="dxa" w:w="29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名称</w:t>
                  </w:r>
                </w:p>
              </w:tc>
              <w:tc>
                <w:tcPr>
                  <w:tcW w:type="dxa" w:w="4278"/>
                  <w:gridSpan w:val="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论证对象</w:t>
                  </w:r>
                </w:p>
              </w:tc>
              <w:tc>
                <w:tcPr>
                  <w:tcW w:type="dxa" w:w="1032"/>
                  <w:gridSpan w:val="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实际废水拦截能力</w:t>
                  </w:r>
                </w:p>
              </w:tc>
            </w:tr>
            <w:tr>
              <w:tc>
                <w:tcPr>
                  <w:tcW w:type="dxa" w:w="290"/>
                  <w:vMerge/>
                  <w:tcBorders>
                    <w:top w:val="single" w:color="000000" w:sz="4"/>
                    <w:left w:val="single" w:color="000000" w:sz="4"/>
                    <w:bottom w:val="single" w:color="000000" w:sz="4"/>
                    <w:right w:val="single" w:color="000000" w:sz="4"/>
                  </w:tcBorders>
                </w:tcPr>
                <w:p/>
              </w:tc>
              <w:tc>
                <w:tcPr>
                  <w:tcW w:type="dxa" w:w="9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正常灌溉水量</w:t>
                  </w:r>
                </w:p>
              </w:tc>
              <w:tc>
                <w:tcPr>
                  <w:tcW w:type="dxa" w:w="102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事故期间接纳雨水量</w:t>
                  </w:r>
                </w:p>
              </w:tc>
              <w:tc>
                <w:tcPr>
                  <w:tcW w:type="dxa" w:w="916"/>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截止闸</w:t>
                  </w:r>
                  <w:r>
                    <w:rPr>
                      <w:rFonts w:ascii="仿宋_GB2312" w:hAnsi="仿宋_GB2312" w:cs="仿宋_GB2312" w:eastAsia="仿宋_GB2312"/>
                      <w:sz w:val="21"/>
                      <w:b/>
                    </w:rPr>
                    <w:t>1关闸期间外泄流量</w:t>
                  </w:r>
                </w:p>
              </w:tc>
              <w:tc>
                <w:tcPr>
                  <w:tcW w:type="dxa" w:w="823"/>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泄漏物料量</w:t>
                  </w:r>
                </w:p>
              </w:tc>
              <w:tc>
                <w:tcPr>
                  <w:tcW w:type="dxa" w:w="5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合计（</w:t>
                  </w:r>
                  <w:r>
                    <w:rPr>
                      <w:rFonts w:ascii="仿宋_GB2312" w:hAnsi="仿宋_GB2312" w:cs="仿宋_GB2312" w:eastAsia="仿宋_GB2312"/>
                      <w:sz w:val="21"/>
                      <w:b/>
                    </w:rPr>
                    <w:t>m</w:t>
                  </w:r>
                  <w:r>
                    <w:rPr>
                      <w:rFonts w:ascii="仿宋_GB2312" w:hAnsi="仿宋_GB2312" w:cs="仿宋_GB2312" w:eastAsia="仿宋_GB2312"/>
                      <w:sz w:val="21"/>
                      <w:b/>
                    </w:rPr>
                    <w:t>3</w:t>
                  </w:r>
                  <w:r>
                    <w:rPr>
                      <w:rFonts w:ascii="仿宋_GB2312" w:hAnsi="仿宋_GB2312" w:cs="仿宋_GB2312" w:eastAsia="仿宋_GB2312"/>
                      <w:sz w:val="21"/>
                      <w:b/>
                    </w:rPr>
                    <w:t>）</w:t>
                  </w:r>
                </w:p>
              </w:tc>
            </w:tr>
            <w:tr>
              <w:tc>
                <w:tcPr>
                  <w:tcW w:type="dxa" w:w="290"/>
                  <w:vMerge/>
                  <w:tcBorders>
                    <w:top w:val="single" w:color="000000" w:sz="4"/>
                    <w:left w:val="single" w:color="000000" w:sz="4"/>
                    <w:bottom w:val="single" w:color="000000" w:sz="4"/>
                    <w:right w:val="single" w:color="000000" w:sz="4"/>
                  </w:tcBorders>
                </w:tcP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b/>
                    </w:rPr>
                    <w:t>取值</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计算结果（</w:t>
                  </w:r>
                  <w:r>
                    <w:rPr>
                      <w:rFonts w:ascii="仿宋_GB2312" w:hAnsi="仿宋_GB2312" w:cs="仿宋_GB2312" w:eastAsia="仿宋_GB2312"/>
                      <w:sz w:val="21"/>
                      <w:b/>
                    </w:rPr>
                    <w:t>m</w:t>
                  </w:r>
                  <w:r>
                    <w:rPr>
                      <w:rFonts w:ascii="仿宋_GB2312" w:hAnsi="仿宋_GB2312" w:cs="仿宋_GB2312" w:eastAsia="仿宋_GB2312"/>
                      <w:sz w:val="21"/>
                      <w:b/>
                    </w:rPr>
                    <w:t>3</w:t>
                  </w:r>
                  <w:r>
                    <w:rPr>
                      <w:rFonts w:ascii="仿宋_GB2312" w:hAnsi="仿宋_GB2312" w:cs="仿宋_GB2312" w:eastAsia="仿宋_GB2312"/>
                      <w:sz w:val="21"/>
                      <w:b/>
                    </w:rPr>
                    <w:t>）</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b/>
                    </w:rPr>
                    <w:t>取值</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计算结果（</w:t>
                  </w:r>
                  <w:r>
                    <w:rPr>
                      <w:rFonts w:ascii="仿宋_GB2312" w:hAnsi="仿宋_GB2312" w:cs="仿宋_GB2312" w:eastAsia="仿宋_GB2312"/>
                      <w:sz w:val="21"/>
                      <w:b/>
                    </w:rPr>
                    <w:t>m</w:t>
                  </w:r>
                  <w:r>
                    <w:rPr>
                      <w:rFonts w:ascii="仿宋_GB2312" w:hAnsi="仿宋_GB2312" w:cs="仿宋_GB2312" w:eastAsia="仿宋_GB2312"/>
                      <w:sz w:val="21"/>
                      <w:b/>
                    </w:rPr>
                    <w:t>3</w:t>
                  </w:r>
                  <w:r>
                    <w:rPr>
                      <w:rFonts w:ascii="仿宋_GB2312" w:hAnsi="仿宋_GB2312" w:cs="仿宋_GB2312" w:eastAsia="仿宋_GB2312"/>
                      <w:sz w:val="21"/>
                      <w:b/>
                    </w:rPr>
                    <w:t>）</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b/>
                    </w:rPr>
                    <w:t>取值</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计算结果（</w:t>
                  </w:r>
                  <w:r>
                    <w:rPr>
                      <w:rFonts w:ascii="仿宋_GB2312" w:hAnsi="仿宋_GB2312" w:cs="仿宋_GB2312" w:eastAsia="仿宋_GB2312"/>
                      <w:sz w:val="21"/>
                      <w:b/>
                    </w:rPr>
                    <w:t>m</w:t>
                  </w:r>
                  <w:r>
                    <w:rPr>
                      <w:rFonts w:ascii="仿宋_GB2312" w:hAnsi="仿宋_GB2312" w:cs="仿宋_GB2312" w:eastAsia="仿宋_GB2312"/>
                      <w:sz w:val="21"/>
                      <w:b/>
                    </w:rPr>
                    <w:t>3</w:t>
                  </w:r>
                  <w:r>
                    <w:rPr>
                      <w:rFonts w:ascii="仿宋_GB2312" w:hAnsi="仿宋_GB2312" w:cs="仿宋_GB2312" w:eastAsia="仿宋_GB2312"/>
                      <w:sz w:val="21"/>
                      <w:b/>
                    </w:rPr>
                    <w:t>）</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参数</w:t>
                  </w:r>
                </w:p>
                <w:p>
                  <w:pPr>
                    <w:pStyle w:val="null3"/>
                    <w:jc w:val="both"/>
                  </w:pPr>
                  <w:r>
                    <w:rPr>
                      <w:rFonts w:ascii="仿宋_GB2312" w:hAnsi="仿宋_GB2312" w:cs="仿宋_GB2312" w:eastAsia="仿宋_GB2312"/>
                      <w:sz w:val="21"/>
                      <w:b/>
                    </w:rPr>
                    <w:t>取值</w:t>
                  </w:r>
                </w:p>
              </w:tc>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计算结果（</w:t>
                  </w:r>
                  <w:r>
                    <w:rPr>
                      <w:rFonts w:ascii="仿宋_GB2312" w:hAnsi="仿宋_GB2312" w:cs="仿宋_GB2312" w:eastAsia="仿宋_GB2312"/>
                      <w:sz w:val="21"/>
                      <w:b/>
                    </w:rPr>
                    <w:t>m</w:t>
                  </w:r>
                  <w:r>
                    <w:rPr>
                      <w:rFonts w:ascii="仿宋_GB2312" w:hAnsi="仿宋_GB2312" w:cs="仿宋_GB2312" w:eastAsia="仿宋_GB2312"/>
                      <w:sz w:val="21"/>
                      <w:b/>
                    </w:rPr>
                    <w:t>3</w:t>
                  </w:r>
                  <w:r>
                    <w:rPr>
                      <w:rFonts w:ascii="仿宋_GB2312" w:hAnsi="仿宋_GB2312" w:cs="仿宋_GB2312" w:eastAsia="仿宋_GB2312"/>
                      <w:sz w:val="21"/>
                      <w:b/>
                    </w:rPr>
                    <w:t>）</w:t>
                  </w:r>
                </w:p>
              </w:tc>
              <w:tc>
                <w:tcPr>
                  <w:tcW w:type="dxa" w:w="568"/>
                  <w:vMerge/>
                  <w:tcBorders>
                    <w:top w:val="single" w:color="000000" w:sz="4"/>
                    <w:left w:val="single" w:color="000000" w:sz="4"/>
                    <w:bottom w:val="single" w:color="000000" w:sz="4"/>
                    <w:right w:val="single" w:color="000000" w:sz="4"/>
                  </w:tcBorders>
                </w:tcP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参数取值</w:t>
                  </w:r>
                </w:p>
              </w:tc>
              <w:tc>
                <w:tcPr>
                  <w:tcW w:type="dxa" w:w="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计算结果（</w:t>
                  </w:r>
                  <w:r>
                    <w:rPr>
                      <w:rFonts w:ascii="仿宋_GB2312" w:hAnsi="仿宋_GB2312" w:cs="仿宋_GB2312" w:eastAsia="仿宋_GB2312"/>
                      <w:sz w:val="21"/>
                      <w:b/>
                    </w:rPr>
                    <w:t>m</w:t>
                  </w:r>
                  <w:r>
                    <w:rPr>
                      <w:rFonts w:ascii="仿宋_GB2312" w:hAnsi="仿宋_GB2312" w:cs="仿宋_GB2312" w:eastAsia="仿宋_GB2312"/>
                      <w:sz w:val="21"/>
                      <w:b/>
                    </w:rPr>
                    <w:t>3</w:t>
                  </w:r>
                  <w:r>
                    <w:rPr>
                      <w:rFonts w:ascii="仿宋_GB2312" w:hAnsi="仿宋_GB2312" w:cs="仿宋_GB2312" w:eastAsia="仿宋_GB2312"/>
                      <w:sz w:val="21"/>
                      <w:b/>
                    </w:rPr>
                    <w:t>）</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截流区间</w:t>
                  </w:r>
                  <w:r>
                    <w:rPr>
                      <w:rFonts w:ascii="仿宋_GB2312" w:hAnsi="仿宋_GB2312" w:cs="仿宋_GB2312" w:eastAsia="仿宋_GB2312"/>
                      <w:sz w:val="21"/>
                    </w:rPr>
                    <w:t>1</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L</w:t>
                  </w:r>
                  <w:r>
                    <w:rPr>
                      <w:rFonts w:ascii="仿宋_GB2312" w:hAnsi="仿宋_GB2312" w:cs="仿宋_GB2312" w:eastAsia="仿宋_GB2312"/>
                      <w:sz w:val="21"/>
                    </w:rPr>
                    <w:t>：</w:t>
                  </w:r>
                  <w:r>
                    <w:rPr>
                      <w:rFonts w:ascii="仿宋_GB2312" w:hAnsi="仿宋_GB2312" w:cs="仿宋_GB2312" w:eastAsia="仿宋_GB2312"/>
                      <w:sz w:val="21"/>
                    </w:rPr>
                    <w:t>600</w:t>
                  </w:r>
                </w:p>
                <w:p>
                  <w:pPr>
                    <w:pStyle w:val="null3"/>
                    <w:jc w:val="both"/>
                  </w:pPr>
                  <w:r>
                    <w:rPr>
                      <w:rFonts w:ascii="仿宋_GB2312" w:hAnsi="仿宋_GB2312" w:cs="仿宋_GB2312" w:eastAsia="仿宋_GB2312"/>
                      <w:sz w:val="21"/>
                      <w:i/>
                    </w:rPr>
                    <w:t>b</w:t>
                  </w:r>
                  <w:r>
                    <w:rPr>
                      <w:rFonts w:ascii="仿宋_GB2312" w:hAnsi="仿宋_GB2312" w:cs="仿宋_GB2312" w:eastAsia="仿宋_GB2312"/>
                      <w:sz w:val="21"/>
                    </w:rPr>
                    <w:t>：</w:t>
                  </w:r>
                  <w:r>
                    <w:rPr>
                      <w:rFonts w:ascii="仿宋_GB2312" w:hAnsi="仿宋_GB2312" w:cs="仿宋_GB2312" w:eastAsia="仿宋_GB2312"/>
                      <w:sz w:val="21"/>
                    </w:rPr>
                    <w:t>2.7</w:t>
                  </w:r>
                </w:p>
                <w:p>
                  <w:pPr>
                    <w:pStyle w:val="null3"/>
                    <w:jc w:val="both"/>
                  </w:pPr>
                  <w:r>
                    <w:rPr>
                      <w:rFonts w:ascii="仿宋_GB2312" w:hAnsi="仿宋_GB2312" w:cs="仿宋_GB2312" w:eastAsia="仿宋_GB2312"/>
                      <w:sz w:val="21"/>
                      <w:i/>
                    </w:rPr>
                    <w:t>z</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i/>
                    </w:rPr>
                    <w:t>h</w:t>
                  </w:r>
                  <w:r>
                    <w:rPr>
                      <w:rFonts w:ascii="仿宋_GB2312" w:hAnsi="仿宋_GB2312" w:cs="仿宋_GB2312" w:eastAsia="仿宋_GB2312"/>
                      <w:sz w:val="21"/>
                    </w:rPr>
                    <w:t>：</w:t>
                  </w:r>
                  <w:r>
                    <w:rPr>
                      <w:rFonts w:ascii="仿宋_GB2312" w:hAnsi="仿宋_GB2312" w:cs="仿宋_GB2312" w:eastAsia="仿宋_GB2312"/>
                      <w:sz w:val="21"/>
                    </w:rPr>
                    <w:t>0.65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1320</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q</w:t>
                  </w:r>
                  <w:r>
                    <w:rPr>
                      <w:rFonts w:ascii="仿宋_GB2312" w:hAnsi="仿宋_GB2312" w:cs="仿宋_GB2312" w:eastAsia="仿宋_GB2312"/>
                      <w:sz w:val="21"/>
                      <w:i/>
                    </w:rPr>
                    <w:t>n</w:t>
                  </w:r>
                  <w:r>
                    <w:rPr>
                      <w:rFonts w:ascii="仿宋_GB2312" w:hAnsi="仿宋_GB2312" w:cs="仿宋_GB2312" w:eastAsia="仿宋_GB2312"/>
                      <w:sz w:val="21"/>
                    </w:rPr>
                    <w:t>：</w:t>
                  </w:r>
                  <w:r>
                    <w:rPr>
                      <w:rFonts w:ascii="仿宋_GB2312" w:hAnsi="仿宋_GB2312" w:cs="仿宋_GB2312" w:eastAsia="仿宋_GB2312"/>
                      <w:sz w:val="21"/>
                    </w:rPr>
                    <w:t>924.7</w:t>
                  </w:r>
                </w:p>
                <w:p>
                  <w:pPr>
                    <w:pStyle w:val="null3"/>
                    <w:jc w:val="both"/>
                  </w:pPr>
                  <w:r>
                    <w:rPr>
                      <w:rFonts w:ascii="仿宋_GB2312" w:hAnsi="仿宋_GB2312" w:cs="仿宋_GB2312" w:eastAsia="仿宋_GB2312"/>
                      <w:sz w:val="21"/>
                      <w:i/>
                    </w:rPr>
                    <w:t>n</w:t>
                  </w:r>
                  <w:r>
                    <w:rPr>
                      <w:rFonts w:ascii="仿宋_GB2312" w:hAnsi="仿宋_GB2312" w:cs="仿宋_GB2312" w:eastAsia="仿宋_GB2312"/>
                      <w:sz w:val="21"/>
                    </w:rPr>
                    <w:t>：</w:t>
                  </w:r>
                  <w:r>
                    <w:rPr>
                      <w:rFonts w:ascii="仿宋_GB2312" w:hAnsi="仿宋_GB2312" w:cs="仿宋_GB2312" w:eastAsia="仿宋_GB2312"/>
                      <w:sz w:val="21"/>
                    </w:rPr>
                    <w:t>153.4</w:t>
                  </w:r>
                </w:p>
                <w:p>
                  <w:pPr>
                    <w:pStyle w:val="null3"/>
                    <w:jc w:val="both"/>
                  </w:pPr>
                  <w:r>
                    <w:rPr>
                      <w:rFonts w:ascii="仿宋_GB2312" w:hAnsi="仿宋_GB2312" w:cs="仿宋_GB2312" w:eastAsia="仿宋_GB2312"/>
                      <w:sz w:val="21"/>
                      <w:i/>
                    </w:rPr>
                    <w:t>f</w:t>
                  </w:r>
                  <w:r>
                    <w:rPr>
                      <w:rFonts w:ascii="仿宋_GB2312" w:hAnsi="仿宋_GB2312" w:cs="仿宋_GB2312" w:eastAsia="仿宋_GB2312"/>
                      <w:sz w:val="21"/>
                    </w:rPr>
                    <w:t>：</w:t>
                  </w:r>
                  <w:r>
                    <w:rPr>
                      <w:rFonts w:ascii="仿宋_GB2312" w:hAnsi="仿宋_GB2312" w:cs="仿宋_GB2312" w:eastAsia="仿宋_GB2312"/>
                      <w:sz w:val="21"/>
                    </w:rPr>
                    <w:t>0.46</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27.9</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Q</w:t>
                  </w:r>
                  <w:r>
                    <w:rPr>
                      <w:rFonts w:ascii="仿宋_GB2312" w:hAnsi="仿宋_GB2312" w:cs="仿宋_GB2312" w:eastAsia="仿宋_GB2312"/>
                      <w:sz w:val="21"/>
                      <w:i/>
                    </w:rPr>
                    <w:t>0</w:t>
                  </w:r>
                  <w:r>
                    <w:rPr>
                      <w:rFonts w:ascii="仿宋_GB2312" w:hAnsi="仿宋_GB2312" w:cs="仿宋_GB2312" w:eastAsia="仿宋_GB2312"/>
                      <w:sz w:val="21"/>
                    </w:rPr>
                    <w:t>：</w:t>
                  </w:r>
                  <w:r>
                    <w:rPr>
                      <w:rFonts w:ascii="仿宋_GB2312" w:hAnsi="仿宋_GB2312" w:cs="仿宋_GB2312" w:eastAsia="仿宋_GB2312"/>
                      <w:sz w:val="21"/>
                    </w:rPr>
                    <w:t>4</w:t>
                  </w:r>
                </w:p>
                <w:p>
                  <w:pPr>
                    <w:pStyle w:val="null3"/>
                    <w:jc w:val="both"/>
                  </w:pPr>
                  <w:r>
                    <w:rPr>
                      <w:rFonts w:ascii="仿宋_GB2312" w:hAnsi="仿宋_GB2312" w:cs="仿宋_GB2312" w:eastAsia="仿宋_GB2312"/>
                      <w:sz w:val="21"/>
                      <w:i/>
                    </w:rPr>
                    <w:t>T</w:t>
                  </w:r>
                  <w:r>
                    <w:rPr>
                      <w:rFonts w:ascii="仿宋_GB2312" w:hAnsi="仿宋_GB2312" w:cs="仿宋_GB2312" w:eastAsia="仿宋_GB2312"/>
                      <w:sz w:val="21"/>
                    </w:rPr>
                    <w:t>：</w:t>
                  </w:r>
                  <w:r>
                    <w:rPr>
                      <w:rFonts w:ascii="仿宋_GB2312" w:hAnsi="仿宋_GB2312" w:cs="仿宋_GB2312" w:eastAsia="仿宋_GB2312"/>
                      <w:sz w:val="21"/>
                    </w:rPr>
                    <w:t>600</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3747.9</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S</w:t>
                  </w:r>
                  <w:r>
                    <w:rPr>
                      <w:rFonts w:ascii="仿宋_GB2312" w:hAnsi="仿宋_GB2312" w:cs="仿宋_GB2312" w:eastAsia="仿宋_GB2312"/>
                      <w:sz w:val="21"/>
                    </w:rPr>
                    <w:t>：</w:t>
                  </w:r>
                  <w:r>
                    <w:rPr>
                      <w:rFonts w:ascii="仿宋_GB2312" w:hAnsi="仿宋_GB2312" w:cs="仿宋_GB2312" w:eastAsia="仿宋_GB2312"/>
                      <w:sz w:val="21"/>
                    </w:rPr>
                    <w:t>0.005</w:t>
                  </w:r>
                </w:p>
                <w:p>
                  <w:pPr>
                    <w:pStyle w:val="null3"/>
                    <w:jc w:val="both"/>
                  </w:pPr>
                  <w:r>
                    <w:rPr>
                      <w:rFonts w:ascii="仿宋_GB2312" w:hAnsi="仿宋_GB2312" w:cs="仿宋_GB2312" w:eastAsia="仿宋_GB2312"/>
                      <w:sz w:val="21"/>
                      <w:i/>
                    </w:rPr>
                    <w:t>h</w:t>
                  </w:r>
                  <w:r>
                    <w:rPr>
                      <w:rFonts w:ascii="仿宋_GB2312" w:hAnsi="仿宋_GB2312" w:cs="仿宋_GB2312" w:eastAsia="仿宋_GB2312"/>
                      <w:sz w:val="21"/>
                      <w:i/>
                    </w:rPr>
                    <w:t>max</w:t>
                  </w:r>
                  <w:r>
                    <w:rPr>
                      <w:rFonts w:ascii="仿宋_GB2312" w:hAnsi="仿宋_GB2312" w:cs="仿宋_GB2312" w:eastAsia="仿宋_GB2312"/>
                      <w:sz w:val="21"/>
                    </w:rPr>
                    <w:t>：</w:t>
                  </w:r>
                  <w:r>
                    <w:rPr>
                      <w:rFonts w:ascii="仿宋_GB2312" w:hAnsi="仿宋_GB2312" w:cs="仿宋_GB2312" w:eastAsia="仿宋_GB2312"/>
                      <w:sz w:val="21"/>
                    </w:rPr>
                    <w:t>2.5</w:t>
                  </w:r>
                </w:p>
                <w:p>
                  <w:pPr>
                    <w:pStyle w:val="null3"/>
                    <w:jc w:val="both"/>
                  </w:pPr>
                  <w:r>
                    <w:rPr>
                      <w:rFonts w:ascii="仿宋_GB2312" w:hAnsi="仿宋_GB2312" w:cs="仿宋_GB2312" w:eastAsia="仿宋_GB2312"/>
                      <w:sz w:val="21"/>
                      <w:i/>
                    </w:rPr>
                    <w:t>b</w:t>
                  </w:r>
                  <w:r>
                    <w:rPr>
                      <w:rFonts w:ascii="仿宋_GB2312" w:hAnsi="仿宋_GB2312" w:cs="仿宋_GB2312" w:eastAsia="仿宋_GB2312"/>
                      <w:sz w:val="21"/>
                    </w:rPr>
                    <w:t>：</w:t>
                  </w:r>
                  <w:r>
                    <w:rPr>
                      <w:rFonts w:ascii="仿宋_GB2312" w:hAnsi="仿宋_GB2312" w:cs="仿宋_GB2312" w:eastAsia="仿宋_GB2312"/>
                      <w:sz w:val="21"/>
                    </w:rPr>
                    <w:t>2.7</w:t>
                  </w:r>
                </w:p>
                <w:p>
                  <w:pPr>
                    <w:pStyle w:val="null3"/>
                    <w:jc w:val="both"/>
                  </w:pPr>
                  <w:r>
                    <w:rPr>
                      <w:rFonts w:ascii="仿宋_GB2312" w:hAnsi="仿宋_GB2312" w:cs="仿宋_GB2312" w:eastAsia="仿宋_GB2312"/>
                      <w:sz w:val="21"/>
                      <w:i/>
                    </w:rPr>
                    <w:t>z</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2729</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截流区间</w:t>
                  </w:r>
                  <w:r>
                    <w:rPr>
                      <w:rFonts w:ascii="仿宋_GB2312" w:hAnsi="仿宋_GB2312" w:cs="仿宋_GB2312" w:eastAsia="仿宋_GB2312"/>
                      <w:sz w:val="21"/>
                    </w:rPr>
                    <w:t>2</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L</w:t>
                  </w:r>
                  <w:r>
                    <w:rPr>
                      <w:rFonts w:ascii="仿宋_GB2312" w:hAnsi="仿宋_GB2312" w:cs="仿宋_GB2312" w:eastAsia="仿宋_GB2312"/>
                      <w:sz w:val="21"/>
                    </w:rPr>
                    <w:t>：</w:t>
                  </w:r>
                  <w:r>
                    <w:rPr>
                      <w:rFonts w:ascii="仿宋_GB2312" w:hAnsi="仿宋_GB2312" w:cs="仿宋_GB2312" w:eastAsia="仿宋_GB2312"/>
                      <w:sz w:val="21"/>
                    </w:rPr>
                    <w:t>660</w:t>
                  </w:r>
                </w:p>
                <w:p>
                  <w:pPr>
                    <w:pStyle w:val="null3"/>
                    <w:jc w:val="both"/>
                  </w:pPr>
                  <w:r>
                    <w:rPr>
                      <w:rFonts w:ascii="仿宋_GB2312" w:hAnsi="仿宋_GB2312" w:cs="仿宋_GB2312" w:eastAsia="仿宋_GB2312"/>
                      <w:sz w:val="21"/>
                      <w:i/>
                    </w:rPr>
                    <w:t>b</w:t>
                  </w:r>
                  <w:r>
                    <w:rPr>
                      <w:rFonts w:ascii="仿宋_GB2312" w:hAnsi="仿宋_GB2312" w:cs="仿宋_GB2312" w:eastAsia="仿宋_GB2312"/>
                      <w:sz w:val="21"/>
                    </w:rPr>
                    <w:t>：</w:t>
                  </w:r>
                  <w:r>
                    <w:rPr>
                      <w:rFonts w:ascii="仿宋_GB2312" w:hAnsi="仿宋_GB2312" w:cs="仿宋_GB2312" w:eastAsia="仿宋_GB2312"/>
                      <w:sz w:val="21"/>
                    </w:rPr>
                    <w:t>2.7</w:t>
                  </w:r>
                </w:p>
                <w:p>
                  <w:pPr>
                    <w:pStyle w:val="null3"/>
                    <w:jc w:val="both"/>
                  </w:pPr>
                  <w:r>
                    <w:rPr>
                      <w:rFonts w:ascii="仿宋_GB2312" w:hAnsi="仿宋_GB2312" w:cs="仿宋_GB2312" w:eastAsia="仿宋_GB2312"/>
                      <w:sz w:val="21"/>
                      <w:i/>
                    </w:rPr>
                    <w:t>z</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i/>
                    </w:rPr>
                    <w:t>h</w:t>
                  </w:r>
                  <w:r>
                    <w:rPr>
                      <w:rFonts w:ascii="仿宋_GB2312" w:hAnsi="仿宋_GB2312" w:cs="仿宋_GB2312" w:eastAsia="仿宋_GB2312"/>
                      <w:sz w:val="21"/>
                    </w:rPr>
                    <w:t>：</w:t>
                  </w:r>
                  <w:r>
                    <w:rPr>
                      <w:rFonts w:ascii="仿宋_GB2312" w:hAnsi="仿宋_GB2312" w:cs="仿宋_GB2312" w:eastAsia="仿宋_GB2312"/>
                      <w:sz w:val="21"/>
                    </w:rPr>
                    <w:t>0.65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1452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q</w:t>
                  </w:r>
                  <w:r>
                    <w:rPr>
                      <w:rFonts w:ascii="仿宋_GB2312" w:hAnsi="仿宋_GB2312" w:cs="仿宋_GB2312" w:eastAsia="仿宋_GB2312"/>
                      <w:sz w:val="21"/>
                      <w:i/>
                    </w:rPr>
                    <w:t>n</w:t>
                  </w:r>
                  <w:r>
                    <w:rPr>
                      <w:rFonts w:ascii="仿宋_GB2312" w:hAnsi="仿宋_GB2312" w:cs="仿宋_GB2312" w:eastAsia="仿宋_GB2312"/>
                      <w:sz w:val="21"/>
                    </w:rPr>
                    <w:t>：</w:t>
                  </w:r>
                  <w:r>
                    <w:rPr>
                      <w:rFonts w:ascii="仿宋_GB2312" w:hAnsi="仿宋_GB2312" w:cs="仿宋_GB2312" w:eastAsia="仿宋_GB2312"/>
                      <w:sz w:val="21"/>
                    </w:rPr>
                    <w:t>924.7</w:t>
                  </w:r>
                </w:p>
                <w:p>
                  <w:pPr>
                    <w:pStyle w:val="null3"/>
                    <w:jc w:val="both"/>
                  </w:pPr>
                  <w:r>
                    <w:rPr>
                      <w:rFonts w:ascii="仿宋_GB2312" w:hAnsi="仿宋_GB2312" w:cs="仿宋_GB2312" w:eastAsia="仿宋_GB2312"/>
                      <w:sz w:val="21"/>
                      <w:i/>
                    </w:rPr>
                    <w:t>n</w:t>
                  </w:r>
                  <w:r>
                    <w:rPr>
                      <w:rFonts w:ascii="仿宋_GB2312" w:hAnsi="仿宋_GB2312" w:cs="仿宋_GB2312" w:eastAsia="仿宋_GB2312"/>
                      <w:sz w:val="21"/>
                    </w:rPr>
                    <w:t>：</w:t>
                  </w:r>
                  <w:r>
                    <w:rPr>
                      <w:rFonts w:ascii="仿宋_GB2312" w:hAnsi="仿宋_GB2312" w:cs="仿宋_GB2312" w:eastAsia="仿宋_GB2312"/>
                      <w:sz w:val="21"/>
                    </w:rPr>
                    <w:t>153.4</w:t>
                  </w:r>
                </w:p>
                <w:p>
                  <w:pPr>
                    <w:pStyle w:val="null3"/>
                    <w:jc w:val="both"/>
                  </w:pPr>
                  <w:r>
                    <w:rPr>
                      <w:rFonts w:ascii="仿宋_GB2312" w:hAnsi="仿宋_GB2312" w:cs="仿宋_GB2312" w:eastAsia="仿宋_GB2312"/>
                      <w:sz w:val="21"/>
                      <w:i/>
                    </w:rPr>
                    <w:t>f</w:t>
                  </w:r>
                  <w:r>
                    <w:rPr>
                      <w:rFonts w:ascii="仿宋_GB2312" w:hAnsi="仿宋_GB2312" w:cs="仿宋_GB2312" w:eastAsia="仿宋_GB2312"/>
                      <w:sz w:val="21"/>
                    </w:rPr>
                    <w:t>：</w:t>
                  </w:r>
                  <w:r>
                    <w:rPr>
                      <w:rFonts w:ascii="仿宋_GB2312" w:hAnsi="仿宋_GB2312" w:cs="仿宋_GB2312" w:eastAsia="仿宋_GB2312"/>
                      <w:sz w:val="21"/>
                    </w:rPr>
                    <w:t>0.51</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30.6</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1515.6</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S</w:t>
                  </w:r>
                  <w:r>
                    <w:rPr>
                      <w:rFonts w:ascii="仿宋_GB2312" w:hAnsi="仿宋_GB2312" w:cs="仿宋_GB2312" w:eastAsia="仿宋_GB2312"/>
                      <w:sz w:val="21"/>
                    </w:rPr>
                    <w:t>：</w:t>
                  </w:r>
                  <w:r>
                    <w:rPr>
                      <w:rFonts w:ascii="仿宋_GB2312" w:hAnsi="仿宋_GB2312" w:cs="仿宋_GB2312" w:eastAsia="仿宋_GB2312"/>
                      <w:sz w:val="21"/>
                    </w:rPr>
                    <w:t>0.005</w:t>
                  </w:r>
                </w:p>
                <w:p>
                  <w:pPr>
                    <w:pStyle w:val="null3"/>
                    <w:jc w:val="both"/>
                  </w:pPr>
                  <w:r>
                    <w:rPr>
                      <w:rFonts w:ascii="仿宋_GB2312" w:hAnsi="仿宋_GB2312" w:cs="仿宋_GB2312" w:eastAsia="仿宋_GB2312"/>
                      <w:sz w:val="21"/>
                      <w:i/>
                    </w:rPr>
                    <w:t>h</w:t>
                  </w:r>
                  <w:r>
                    <w:rPr>
                      <w:rFonts w:ascii="仿宋_GB2312" w:hAnsi="仿宋_GB2312" w:cs="仿宋_GB2312" w:eastAsia="仿宋_GB2312"/>
                      <w:sz w:val="21"/>
                      <w:i/>
                    </w:rPr>
                    <w:t>max</w:t>
                  </w:r>
                  <w:r>
                    <w:rPr>
                      <w:rFonts w:ascii="仿宋_GB2312" w:hAnsi="仿宋_GB2312" w:cs="仿宋_GB2312" w:eastAsia="仿宋_GB2312"/>
                      <w:sz w:val="21"/>
                    </w:rPr>
                    <w:t>：</w:t>
                  </w:r>
                  <w:r>
                    <w:rPr>
                      <w:rFonts w:ascii="仿宋_GB2312" w:hAnsi="仿宋_GB2312" w:cs="仿宋_GB2312" w:eastAsia="仿宋_GB2312"/>
                      <w:sz w:val="21"/>
                    </w:rPr>
                    <w:t>2.5</w:t>
                  </w:r>
                </w:p>
                <w:p>
                  <w:pPr>
                    <w:pStyle w:val="null3"/>
                    <w:jc w:val="both"/>
                  </w:pPr>
                  <w:r>
                    <w:rPr>
                      <w:rFonts w:ascii="仿宋_GB2312" w:hAnsi="仿宋_GB2312" w:cs="仿宋_GB2312" w:eastAsia="仿宋_GB2312"/>
                      <w:sz w:val="21"/>
                      <w:i/>
                    </w:rPr>
                    <w:t>b</w:t>
                  </w:r>
                  <w:r>
                    <w:rPr>
                      <w:rFonts w:ascii="仿宋_GB2312" w:hAnsi="仿宋_GB2312" w:cs="仿宋_GB2312" w:eastAsia="仿宋_GB2312"/>
                      <w:sz w:val="21"/>
                    </w:rPr>
                    <w:t>：</w:t>
                  </w:r>
                  <w:r>
                    <w:rPr>
                      <w:rFonts w:ascii="仿宋_GB2312" w:hAnsi="仿宋_GB2312" w:cs="仿宋_GB2312" w:eastAsia="仿宋_GB2312"/>
                      <w:sz w:val="21"/>
                    </w:rPr>
                    <w:t>2.7</w:t>
                  </w:r>
                </w:p>
                <w:p>
                  <w:pPr>
                    <w:pStyle w:val="null3"/>
                    <w:jc w:val="both"/>
                  </w:pPr>
                  <w:r>
                    <w:rPr>
                      <w:rFonts w:ascii="仿宋_GB2312" w:hAnsi="仿宋_GB2312" w:cs="仿宋_GB2312" w:eastAsia="仿宋_GB2312"/>
                      <w:sz w:val="21"/>
                      <w:i/>
                    </w:rPr>
                    <w:t>z</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2729</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截流区间</w:t>
                  </w:r>
                  <w:r>
                    <w:rPr>
                      <w:rFonts w:ascii="仿宋_GB2312" w:hAnsi="仿宋_GB2312" w:cs="仿宋_GB2312" w:eastAsia="仿宋_GB2312"/>
                      <w:sz w:val="21"/>
                    </w:rPr>
                    <w:t>3</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L</w:t>
                  </w:r>
                  <w:r>
                    <w:rPr>
                      <w:rFonts w:ascii="仿宋_GB2312" w:hAnsi="仿宋_GB2312" w:cs="仿宋_GB2312" w:eastAsia="仿宋_GB2312"/>
                      <w:sz w:val="21"/>
                    </w:rPr>
                    <w:t>：</w:t>
                  </w:r>
                  <w:r>
                    <w:rPr>
                      <w:rFonts w:ascii="仿宋_GB2312" w:hAnsi="仿宋_GB2312" w:cs="仿宋_GB2312" w:eastAsia="仿宋_GB2312"/>
                      <w:sz w:val="21"/>
                    </w:rPr>
                    <w:t>700</w:t>
                  </w:r>
                </w:p>
                <w:p>
                  <w:pPr>
                    <w:pStyle w:val="null3"/>
                    <w:jc w:val="both"/>
                  </w:pPr>
                  <w:r>
                    <w:rPr>
                      <w:rFonts w:ascii="仿宋_GB2312" w:hAnsi="仿宋_GB2312" w:cs="仿宋_GB2312" w:eastAsia="仿宋_GB2312"/>
                      <w:sz w:val="21"/>
                      <w:i/>
                    </w:rPr>
                    <w:t>b</w:t>
                  </w:r>
                  <w:r>
                    <w:rPr>
                      <w:rFonts w:ascii="仿宋_GB2312" w:hAnsi="仿宋_GB2312" w:cs="仿宋_GB2312" w:eastAsia="仿宋_GB2312"/>
                      <w:sz w:val="21"/>
                    </w:rPr>
                    <w:t>：</w:t>
                  </w:r>
                  <w:r>
                    <w:rPr>
                      <w:rFonts w:ascii="仿宋_GB2312" w:hAnsi="仿宋_GB2312" w:cs="仿宋_GB2312" w:eastAsia="仿宋_GB2312"/>
                      <w:sz w:val="21"/>
                    </w:rPr>
                    <w:t>2.7</w:t>
                  </w:r>
                </w:p>
                <w:p>
                  <w:pPr>
                    <w:pStyle w:val="null3"/>
                    <w:jc w:val="both"/>
                  </w:pPr>
                  <w:r>
                    <w:rPr>
                      <w:rFonts w:ascii="仿宋_GB2312" w:hAnsi="仿宋_GB2312" w:cs="仿宋_GB2312" w:eastAsia="仿宋_GB2312"/>
                      <w:sz w:val="21"/>
                      <w:i/>
                    </w:rPr>
                    <w:t>z</w:t>
                  </w:r>
                  <w:r>
                    <w:rPr>
                      <w:rFonts w:ascii="仿宋_GB2312" w:hAnsi="仿宋_GB2312" w:cs="仿宋_GB2312" w:eastAsia="仿宋_GB2312"/>
                      <w:sz w:val="21"/>
                    </w:rPr>
                    <w:t>：</w:t>
                  </w:r>
                  <w:r>
                    <w:rPr>
                      <w:rFonts w:ascii="仿宋_GB2312" w:hAnsi="仿宋_GB2312" w:cs="仿宋_GB2312" w:eastAsia="仿宋_GB2312"/>
                      <w:sz w:val="21"/>
                    </w:rPr>
                    <w:t>1.0</w:t>
                  </w:r>
                </w:p>
                <w:p>
                  <w:pPr>
                    <w:pStyle w:val="null3"/>
                    <w:jc w:val="both"/>
                  </w:pPr>
                  <w:r>
                    <w:rPr>
                      <w:rFonts w:ascii="仿宋_GB2312" w:hAnsi="仿宋_GB2312" w:cs="仿宋_GB2312" w:eastAsia="仿宋_GB2312"/>
                      <w:sz w:val="21"/>
                      <w:i/>
                    </w:rPr>
                    <w:t>h</w:t>
                  </w:r>
                  <w:r>
                    <w:rPr>
                      <w:rFonts w:ascii="仿宋_GB2312" w:hAnsi="仿宋_GB2312" w:cs="仿宋_GB2312" w:eastAsia="仿宋_GB2312"/>
                      <w:sz w:val="21"/>
                    </w:rPr>
                    <w:t>：</w:t>
                  </w:r>
                  <w:r>
                    <w:rPr>
                      <w:rFonts w:ascii="仿宋_GB2312" w:hAnsi="仿宋_GB2312" w:cs="仿宋_GB2312" w:eastAsia="仿宋_GB2312"/>
                      <w:sz w:val="21"/>
                    </w:rPr>
                    <w:t>0.65</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1540</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q</w:t>
                  </w:r>
                  <w:r>
                    <w:rPr>
                      <w:rFonts w:ascii="仿宋_GB2312" w:hAnsi="仿宋_GB2312" w:cs="仿宋_GB2312" w:eastAsia="仿宋_GB2312"/>
                      <w:sz w:val="21"/>
                      <w:i/>
                    </w:rPr>
                    <w:t>n</w:t>
                  </w:r>
                  <w:r>
                    <w:rPr>
                      <w:rFonts w:ascii="仿宋_GB2312" w:hAnsi="仿宋_GB2312" w:cs="仿宋_GB2312" w:eastAsia="仿宋_GB2312"/>
                      <w:sz w:val="21"/>
                    </w:rPr>
                    <w:t>：</w:t>
                  </w:r>
                  <w:r>
                    <w:rPr>
                      <w:rFonts w:ascii="仿宋_GB2312" w:hAnsi="仿宋_GB2312" w:cs="仿宋_GB2312" w:eastAsia="仿宋_GB2312"/>
                      <w:sz w:val="21"/>
                    </w:rPr>
                    <w:t>924.7</w:t>
                  </w:r>
                </w:p>
                <w:p>
                  <w:pPr>
                    <w:pStyle w:val="null3"/>
                    <w:jc w:val="both"/>
                  </w:pPr>
                  <w:r>
                    <w:rPr>
                      <w:rFonts w:ascii="仿宋_GB2312" w:hAnsi="仿宋_GB2312" w:cs="仿宋_GB2312" w:eastAsia="仿宋_GB2312"/>
                      <w:sz w:val="21"/>
                      <w:i/>
                    </w:rPr>
                    <w:t>n</w:t>
                  </w:r>
                  <w:r>
                    <w:rPr>
                      <w:rFonts w:ascii="仿宋_GB2312" w:hAnsi="仿宋_GB2312" w:cs="仿宋_GB2312" w:eastAsia="仿宋_GB2312"/>
                      <w:sz w:val="21"/>
                    </w:rPr>
                    <w:t>：</w:t>
                  </w:r>
                  <w:r>
                    <w:rPr>
                      <w:rFonts w:ascii="仿宋_GB2312" w:hAnsi="仿宋_GB2312" w:cs="仿宋_GB2312" w:eastAsia="仿宋_GB2312"/>
                      <w:sz w:val="21"/>
                    </w:rPr>
                    <w:t>153.4</w:t>
                  </w:r>
                </w:p>
                <w:p>
                  <w:pPr>
                    <w:pStyle w:val="null3"/>
                    <w:jc w:val="both"/>
                  </w:pPr>
                  <w:r>
                    <w:rPr>
                      <w:rFonts w:ascii="仿宋_GB2312" w:hAnsi="仿宋_GB2312" w:cs="仿宋_GB2312" w:eastAsia="仿宋_GB2312"/>
                      <w:sz w:val="21"/>
                      <w:i/>
                    </w:rPr>
                    <w:t>f</w:t>
                  </w:r>
                  <w:r>
                    <w:rPr>
                      <w:rFonts w:ascii="仿宋_GB2312" w:hAnsi="仿宋_GB2312" w:cs="仿宋_GB2312" w:eastAsia="仿宋_GB2312"/>
                      <w:sz w:val="21"/>
                    </w:rPr>
                    <w:t>：</w:t>
                  </w:r>
                  <w:r>
                    <w:rPr>
                      <w:rFonts w:ascii="仿宋_GB2312" w:hAnsi="仿宋_GB2312" w:cs="仿宋_GB2312" w:eastAsia="仿宋_GB2312"/>
                      <w:sz w:val="21"/>
                    </w:rPr>
                    <w:t>0.54</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32.5</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1572.5</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i/>
                    </w:rPr>
                    <w:t>S</w:t>
                  </w:r>
                  <w:r>
                    <w:rPr>
                      <w:rFonts w:ascii="仿宋_GB2312" w:hAnsi="仿宋_GB2312" w:cs="仿宋_GB2312" w:eastAsia="仿宋_GB2312"/>
                      <w:sz w:val="21"/>
                    </w:rPr>
                    <w:t>：</w:t>
                  </w:r>
                  <w:r>
                    <w:rPr>
                      <w:rFonts w:ascii="仿宋_GB2312" w:hAnsi="仿宋_GB2312" w:cs="仿宋_GB2312" w:eastAsia="仿宋_GB2312"/>
                      <w:sz w:val="21"/>
                    </w:rPr>
                    <w:t>0.005</w:t>
                  </w:r>
                </w:p>
                <w:p>
                  <w:pPr>
                    <w:pStyle w:val="null3"/>
                    <w:jc w:val="both"/>
                  </w:pPr>
                  <w:r>
                    <w:rPr>
                      <w:rFonts w:ascii="仿宋_GB2312" w:hAnsi="仿宋_GB2312" w:cs="仿宋_GB2312" w:eastAsia="仿宋_GB2312"/>
                      <w:sz w:val="21"/>
                      <w:i/>
                    </w:rPr>
                    <w:t>h</w:t>
                  </w:r>
                  <w:r>
                    <w:rPr>
                      <w:rFonts w:ascii="仿宋_GB2312" w:hAnsi="仿宋_GB2312" w:cs="仿宋_GB2312" w:eastAsia="仿宋_GB2312"/>
                      <w:sz w:val="21"/>
                      <w:i/>
                    </w:rPr>
                    <w:t>max</w:t>
                  </w:r>
                  <w:r>
                    <w:rPr>
                      <w:rFonts w:ascii="仿宋_GB2312" w:hAnsi="仿宋_GB2312" w:cs="仿宋_GB2312" w:eastAsia="仿宋_GB2312"/>
                      <w:sz w:val="21"/>
                    </w:rPr>
                    <w:t>：</w:t>
                  </w:r>
                  <w:r>
                    <w:rPr>
                      <w:rFonts w:ascii="仿宋_GB2312" w:hAnsi="仿宋_GB2312" w:cs="仿宋_GB2312" w:eastAsia="仿宋_GB2312"/>
                      <w:sz w:val="21"/>
                    </w:rPr>
                    <w:t>2.5</w:t>
                  </w:r>
                </w:p>
                <w:p>
                  <w:pPr>
                    <w:pStyle w:val="null3"/>
                    <w:jc w:val="both"/>
                  </w:pPr>
                  <w:r>
                    <w:rPr>
                      <w:rFonts w:ascii="仿宋_GB2312" w:hAnsi="仿宋_GB2312" w:cs="仿宋_GB2312" w:eastAsia="仿宋_GB2312"/>
                      <w:sz w:val="21"/>
                      <w:i/>
                    </w:rPr>
                    <w:t>b</w:t>
                  </w:r>
                  <w:r>
                    <w:rPr>
                      <w:rFonts w:ascii="仿宋_GB2312" w:hAnsi="仿宋_GB2312" w:cs="仿宋_GB2312" w:eastAsia="仿宋_GB2312"/>
                      <w:sz w:val="21"/>
                    </w:rPr>
                    <w:t>：</w:t>
                  </w:r>
                  <w:r>
                    <w:rPr>
                      <w:rFonts w:ascii="仿宋_GB2312" w:hAnsi="仿宋_GB2312" w:cs="仿宋_GB2312" w:eastAsia="仿宋_GB2312"/>
                      <w:sz w:val="21"/>
                    </w:rPr>
                    <w:t>2.7</w:t>
                  </w:r>
                </w:p>
                <w:p>
                  <w:pPr>
                    <w:pStyle w:val="null3"/>
                    <w:jc w:val="both"/>
                  </w:pPr>
                  <w:r>
                    <w:rPr>
                      <w:rFonts w:ascii="仿宋_GB2312" w:hAnsi="仿宋_GB2312" w:cs="仿宋_GB2312" w:eastAsia="仿宋_GB2312"/>
                      <w:sz w:val="21"/>
                      <w:i/>
                    </w:rPr>
                    <w:t>z</w:t>
                  </w:r>
                  <w:r>
                    <w:rPr>
                      <w:rFonts w:ascii="仿宋_GB2312" w:hAnsi="仿宋_GB2312" w:cs="仿宋_GB2312" w:eastAsia="仿宋_GB2312"/>
                      <w:sz w:val="21"/>
                    </w:rPr>
                    <w:t>：</w:t>
                  </w:r>
                  <w:r>
                    <w:rPr>
                      <w:rFonts w:ascii="仿宋_GB2312" w:hAnsi="仿宋_GB2312" w:cs="仿宋_GB2312" w:eastAsia="仿宋_GB2312"/>
                      <w:sz w:val="21"/>
                    </w:rPr>
                    <w:t>1.0</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2729</w:t>
                  </w:r>
                </w:p>
              </w:tc>
            </w:tr>
            <w:tr>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合计</w:t>
                  </w:r>
                </w:p>
              </w:tc>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4312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91</w:t>
                  </w:r>
                </w:p>
              </w:tc>
              <w:tc>
                <w:tcPr>
                  <w:tcW w:type="dxa" w:w="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2400</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33</w:t>
                  </w:r>
                </w:p>
              </w:tc>
              <w:tc>
                <w:tcPr>
                  <w:tcW w:type="dxa" w:w="5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6836</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8187</w:t>
                  </w:r>
                </w:p>
              </w:tc>
            </w:tr>
          </w:tbl>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小濛渠北环路处雨水涵管在事故状态下临时封堵</w:t>
            </w:r>
          </w:p>
          <w:p>
            <w:pPr>
              <w:pStyle w:val="null3"/>
              <w:jc w:val="both"/>
            </w:pPr>
            <w:r>
              <w:rPr>
                <w:rFonts w:ascii="仿宋_GB2312" w:hAnsi="仿宋_GB2312" w:cs="仿宋_GB2312" w:eastAsia="仿宋_GB2312"/>
                <w:sz w:val="24"/>
              </w:rPr>
              <w:t>采用充气式封堵气囊，具体点位为北环路雨水涵管</w:t>
            </w:r>
            <w:r>
              <w:rPr>
                <w:rFonts w:ascii="仿宋_GB2312" w:hAnsi="仿宋_GB2312" w:cs="仿宋_GB2312" w:eastAsia="仿宋_GB2312"/>
                <w:sz w:val="24"/>
              </w:rPr>
              <w:t>1（103.894656°E，31.072041°N）、北环路雨水涵管2（103.897979°E，31.072049°N）、北环路雨水涵管3（103.902620°E，31.072054°N）、北环路雨水涵管4（103.913534°E，31.072074°N）、北环路雨水涵管5（103.921059°E，31.072085°N）。</w:t>
            </w:r>
          </w:p>
          <w:p>
            <w:pPr>
              <w:pStyle w:val="null3"/>
              <w:jc w:val="both"/>
            </w:pPr>
            <w:r>
              <w:rPr>
                <w:rFonts w:ascii="仿宋_GB2312" w:hAnsi="仿宋_GB2312" w:cs="仿宋_GB2312" w:eastAsia="仿宋_GB2312"/>
                <w:sz w:val="24"/>
              </w:rPr>
              <w:t>（详见附件</w:t>
            </w:r>
            <w:r>
              <w:rPr>
                <w:rFonts w:ascii="仿宋_GB2312" w:hAnsi="仿宋_GB2312" w:cs="仿宋_GB2312" w:eastAsia="仿宋_GB2312"/>
                <w:sz w:val="24"/>
              </w:rPr>
              <w:t>-图8）</w:t>
            </w:r>
          </w:p>
          <w:p>
            <w:pPr>
              <w:pStyle w:val="null3"/>
              <w:jc w:val="both"/>
            </w:pPr>
            <w:r>
              <w:rPr>
                <w:rFonts w:ascii="仿宋_GB2312" w:hAnsi="仿宋_GB2312" w:cs="仿宋_GB2312" w:eastAsia="仿宋_GB2312"/>
                <w:sz w:val="24"/>
              </w:rPr>
              <w:t>封堵的</w:t>
            </w:r>
            <w:r>
              <w:rPr>
                <w:rFonts w:ascii="仿宋_GB2312" w:hAnsi="仿宋_GB2312" w:cs="仿宋_GB2312" w:eastAsia="仿宋_GB2312"/>
                <w:sz w:val="24"/>
              </w:rPr>
              <w:t>5处雨水涵管为混凝土，直径Φ=0.75m。事故水中包含有汽油、柴油、苯、二甲苯、芳烃、液氨、环氧乙烷、苯酚、氯苯、甲醇等组份。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其他要求</w:t>
            </w:r>
          </w:p>
          <w:p>
            <w:pPr>
              <w:pStyle w:val="null3"/>
              <w:jc w:val="both"/>
            </w:pPr>
            <w:r>
              <w:rPr>
                <w:rFonts w:ascii="仿宋_GB2312" w:hAnsi="仿宋_GB2312" w:cs="仿宋_GB2312" w:eastAsia="仿宋_GB2312"/>
                <w:sz w:val="24"/>
              </w:rPr>
              <w:t>采购的防汛沙袋等截流装备要通用，既能够临时拦截排洪渠，又能够临时拦截小濛渠河水。</w:t>
            </w:r>
          </w:p>
          <w:p>
            <w:pPr>
              <w:pStyle w:val="null3"/>
              <w:jc w:val="left"/>
            </w:pPr>
            <w:r>
              <w:rPr>
                <w:rFonts w:ascii="仿宋_GB2312" w:hAnsi="仿宋_GB2312" w:cs="仿宋_GB2312" w:eastAsia="仿宋_GB2312"/>
              </w:rPr>
              <w:t xml:space="preserve"> </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 （说明：因系统固化原因，3.3.2商务要求中“付款进度安排”不适用本项目。“付款进度安排”以此为准）</w:t>
            </w:r>
          </w:p>
        </w:tc>
        <w:tc>
          <w:tcPr>
            <w:tcW w:type="dxa" w:w="5814"/>
          </w:tcPr>
          <w:p>
            <w:pPr>
              <w:pStyle w:val="null3"/>
              <w:jc w:val="left"/>
            </w:pPr>
            <w:r>
              <w:rPr>
                <w:rFonts w:ascii="仿宋_GB2312" w:hAnsi="仿宋_GB2312" w:cs="仿宋_GB2312" w:eastAsia="仿宋_GB2312"/>
                <w:sz w:val="21"/>
              </w:rPr>
              <w:t>（1）双方合同签订之日起10日内，收到供应商出具的合法有效完整的完税发票及凭证资料后，达到付款条件10个工作日内，支付合同总金额40%。</w:t>
            </w:r>
            <w:r>
              <w:br/>
            </w:r>
            <w:r>
              <w:rPr>
                <w:rFonts w:ascii="仿宋_GB2312" w:hAnsi="仿宋_GB2312" w:cs="仿宋_GB2312" w:eastAsia="仿宋_GB2312"/>
                <w:sz w:val="21"/>
              </w:rPr>
              <w:t xml:space="preserve"> （2）供应商供货完成并通过采购人验收后，收到供应商出具的合法有效完整的完税发票及凭证资料，达到付款条件10个工作日内，支付合同总金额60%。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w:t>
            </w:r>
          </w:p>
        </w:tc>
        <w:tc>
          <w:tcPr>
            <w:tcW w:type="dxa" w:w="5814"/>
          </w:tcPr>
          <w:p>
            <w:pPr>
              <w:pStyle w:val="null3"/>
              <w:jc w:val="left"/>
            </w:pPr>
            <w:r>
              <w:rPr>
                <w:rFonts w:ascii="仿宋_GB2312" w:hAnsi="仿宋_GB2312" w:cs="仿宋_GB2312" w:eastAsia="仿宋_GB2312"/>
                <w:sz w:val="21"/>
              </w:rPr>
              <w:t>报价应是最终用户验收合格后的总价，包括但不限于包装、运输、安装调试、保险、风险、服务、所有税费、验收合格交付使用及保修期内保修服务与备用物件和采购文件规定的其它全部费用。</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方案及其他说明</w:t>
            </w:r>
          </w:p>
        </w:tc>
        <w:tc>
          <w:tcPr>
            <w:tcW w:type="dxa" w:w="5814"/>
          </w:tcPr>
          <w:p>
            <w:pPr>
              <w:pStyle w:val="null3"/>
              <w:jc w:val="left"/>
            </w:pPr>
            <w:r>
              <w:rPr>
                <w:rFonts w:ascii="仿宋_GB2312" w:hAnsi="仿宋_GB2312" w:cs="仿宋_GB2312" w:eastAsia="仿宋_GB2312"/>
                <w:sz w:val="21"/>
              </w:rPr>
              <w:t>1.供应商提供2023年1月1日（含1日）至提交投标文件截止日的类似项目业绩；</w:t>
            </w:r>
            <w:r>
              <w:br/>
            </w:r>
            <w:r>
              <w:rPr>
                <w:rFonts w:ascii="仿宋_GB2312" w:hAnsi="仿宋_GB2312" w:cs="仿宋_GB2312" w:eastAsia="仿宋_GB2312"/>
                <w:sz w:val="21"/>
              </w:rPr>
              <w:t xml:space="preserve"> 2.供应商为本项目提供实施方案；</w:t>
            </w:r>
            <w:r>
              <w:br/>
            </w:r>
            <w:r>
              <w:rPr>
                <w:rFonts w:ascii="仿宋_GB2312" w:hAnsi="仿宋_GB2312" w:cs="仿宋_GB2312" w:eastAsia="仿宋_GB2312"/>
                <w:sz w:val="21"/>
              </w:rPr>
              <w:t xml:space="preserve"> 3.供应商为本项目提供售后服务方案。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自采购合同签订之日起60日完成供货并经采购人验收通过</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成都市彭州市新材料创新中心，采购人指定地点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1、双方合同签订之日起10日内，收到供应商出具的合法有效完整的完税发票及凭证资料后，达到付款条件10个工作日内，支付合同总金额40%。，达到付款条件起10日内，支付合同总金额的40.00%</w:t>
            </w:r>
          </w:p>
          <w:p>
            <w:pPr>
              <w:pStyle w:val="null3"/>
              <w:jc w:val="left"/>
            </w:pPr>
            <w:r>
              <w:rPr>
                <w:rFonts w:ascii="仿宋_GB2312" w:hAnsi="仿宋_GB2312" w:cs="仿宋_GB2312" w:eastAsia="仿宋_GB2312"/>
              </w:rPr>
              <w:t>2、供应商供货完成并经采购人验收合格后，收到供应商出具的合法有效完整的完税发票及凭证资料，达到付款条件10个工作日内，支付合同总金额60%。，达到付款条件起10日内，支付合同总金额的60.00%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详见第二章“履约验收方案”（以供应商提供的《投标（响应）函》中“我单位完全接受和理解本项目采购文件规定的实质性要求”即视为响应）</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供应商须提供自采购人验收合格之日起不少于6个月的质保（国家有更高要求的以更高要求为准）。 在接到采购人的报修通知后30分钟内响应，3小时内赶到采购人指定地点进行维修。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1.采购人与供应商双方必须遵守合同并执行合同中的各项规定，保证合同的正常履行，不得擅自中止或解除合同，否则违约方应向对方支付合同总价10%的违约金。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3.供应商交付货物如经采购人验收不合格的或不符合合同及采购文件要求的，采购人有权拒收货物并解除合同，不再支付任何费用，供应商还应向采购人支付合同总金额10%的违约金。 4.供应商不能交付货物或逾期交付货物而违约的，除应及时交足货物外，应向采购人偿付逾期交货部分货款总额的万分之一/天的违约金；逾期交货超过10天，采购人有权解除合同，不再支付任何费用，供应商还应再按合同总价的10%向采购人偿付违约金。 5.供应商货物（包括采购人使用过程中）经采购人送交具有法定资格条件的质量技术监督机构检测后，如检测结果认定货物质量不符合合同规定标准的，采购人有权终止合同，供应商还应另付合同总价的10%的违约金给采购人，并须全额退还采购人已经支付给供应商的货款及其利息。 6.供应商保证合同货物的权利无瑕疵，包括货物所有权及知识产权等权利无瑕疵。如任何第三方经法院（或仲裁机构）裁决有权对上述货物主张权利或国家机关依法对货物进行没收查处的，供应商须全额退还采购人已经支付给供应商的货款及其利息，还应另按合同总价的10%向采购人支付违约金并赔偿因此给采购人造成的一切损失。 7.供应商未按合同约定提供售后服务的，应向采购人支付合同总价的10%的违约金，且采购人有权委托第三方进行服务，相关费用由供应商承担。 8.供应商偿付的违约金不足以弥补采购人损失的，还应按采购人损失尚未弥补的部分，支付赔偿金给采购人。 （二）争议解决办法 1.因货物的质量问题发生争议，由质量技术监督部门或其指定的质量鉴定机构进行质量鉴定。货物符合标准的，鉴定费由采购人承担；货物不符合质量标准的，鉴定费由供应商承担。 2.合同履行期间，若双方发生争议，可协商或由有关部门调解解决，协商或调解不成的，双方可向采购人所在地人民法院进行诉讼。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采购文件的说明：【说明1：“投标人响应产品应当明确品牌和规格型号并指向唯一产品，不能指向唯一产品的，应通过报价表唯一产品说明栏补充说明”，不适用于本项目，评审依据以此为准：1.投标人响应产品应当明确品牌（实质性要求）】 【说明2（本说明无需供应商进行响应）：投标人需明确规格型号，若不能明确规格型号，通过报价表进行说明】 【说明3：评分标准中所涉及的响应内容，供应商编制于对应的“关联格式”中。若编制响应文件过程中，涉及提供证明材料或单独提供承诺函等，供应商将前述材料编制于第六章响应文件格式-《其他资料》中】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专门面向中小企业采购（监狱企业、残疾人福利性单位均视同小微企业，符合中小企业划分标准的个体工商户视同中小企业），非中小企业参与的将视为资格审查不通过。注：中小企业提供《中小企业声明函》，残疾人福利性单位提供《残疾人福利性单位声明函》，监狱企业提供由省级以上监狱管理局、戒毒管理局（含新疆生产建设兵团）出具的属于监狱企业的证明文件。（说明：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需要投标人进行承诺的实质性要求（因系统固化原因，序号1以此为准）。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招标文件中明确要求单独提供承诺函的，投标人按照招标文件要求上传承诺函；无明确要求的，只需投标人按照投标（响应）函中承诺严格遵守并履行的相关实质性要求。</w:t>
            </w:r>
          </w:p>
        </w:tc>
        <w:tc>
          <w:tcPr>
            <w:tcW w:type="dxa" w:w="1661"/>
          </w:tcPr>
          <w:p>
            <w:pPr>
              <w:pStyle w:val="null3"/>
              <w:jc w:val="left"/>
            </w:pPr>
            <w:r>
              <w:rPr>
                <w:rFonts w:ascii="仿宋_GB2312" w:hAnsi="仿宋_GB2312" w:cs="仿宋_GB2312" w:eastAsia="仿宋_GB2312"/>
              </w:rPr>
              <w:t>服务内容要求、商务要求应答表.docx,报价明细表,其他资料.docx,报价表,技术要求应答表.docx,投标（响应）函.docx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投标人应满足招标文件所有实质性要求，不存在采购文件规定的无效情形。</w:t>
            </w:r>
          </w:p>
        </w:tc>
        <w:tc>
          <w:tcPr>
            <w:tcW w:type="dxa" w:w="3322"/>
          </w:tcPr>
          <w:p>
            <w:pPr>
              <w:pStyle w:val="null3"/>
              <w:jc w:val="left"/>
            </w:pPr>
            <w:r>
              <w:rPr>
                <w:rFonts w:ascii="仿宋_GB2312" w:hAnsi="仿宋_GB2312" w:cs="仿宋_GB2312" w:eastAsia="仿宋_GB2312"/>
              </w:rPr>
              <w:t>投标人按照采购文件要求上传相应材料，且不存在采购文件规定的无效情形。</w:t>
            </w:r>
          </w:p>
        </w:tc>
        <w:tc>
          <w:tcPr>
            <w:tcW w:type="dxa" w:w="1661"/>
          </w:tcPr>
          <w:p>
            <w:pPr>
              <w:pStyle w:val="null3"/>
              <w:jc w:val="left"/>
            </w:pPr>
            <w:r>
              <w:rPr>
                <w:rFonts w:ascii="仿宋_GB2312" w:hAnsi="仿宋_GB2312" w:cs="仿宋_GB2312" w:eastAsia="仿宋_GB2312"/>
              </w:rPr>
              <w:t>服务内容要求、商务要求应答表.docx,报价明细表,其他资料.docx,报价表,技术要求应答表.docx,投标（响应）函.docx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详细评审68.00分</w:t>
            </w:r>
          </w:p>
          <w:p>
            <w:pPr>
              <w:pStyle w:val="null3"/>
              <w:jc w:val="left"/>
            </w:pPr>
            <w:r>
              <w:rPr>
                <w:rFonts w:ascii="仿宋_GB2312" w:hAnsi="仿宋_GB2312" w:cs="仿宋_GB2312" w:eastAsia="仿宋_GB2312"/>
              </w:rPr>
              <w:t>报价得分32.00分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技术参数要求</w:t>
            </w:r>
          </w:p>
        </w:tc>
        <w:tc>
          <w:tcPr>
            <w:tcW w:type="dxa" w:w="2575"/>
          </w:tcPr>
          <w:p>
            <w:pPr>
              <w:pStyle w:val="null3"/>
              <w:jc w:val="left"/>
            </w:pPr>
            <w:r>
              <w:rPr>
                <w:rFonts w:ascii="仿宋_GB2312" w:hAnsi="仿宋_GB2312" w:cs="仿宋_GB2312" w:eastAsia="仿宋_GB2312"/>
              </w:rPr>
              <w:t>招标文件“技术参数”中：标注“▲”条款12条；一般技术参数条款（指未标注“▲”“★”的条款）65条； （1）标注“▲”条款响应得分=（投标人满足标注“▲”条款的数量÷招标文件中标注“▲”条款的总数量）*18.12分； （2）一般技术参数条款响应得分=（投标人满足一般技术参数条款的数量÷招标文件中一般技术参数条款的总数量）*9.88分 注： ①本招标文件以序号数字（如 “1.”“2.”“3.”…）为一条； ②针对标注“▲”号的技术参数，若技术参数要求提供对应证明材料，应按要求提供；若技术参数未要求提供证明材料，投标时需提供生产厂家的印刷资料或生产厂家的说明书或国家认可的第三方检测机构出具的检测报告，若未提供有效证明材料则该参数将被视为不满足 ③针对一般条款的技术响应，若技术参数要求提供对应证明材料，应按要求提供，否则对应技术参数条款将视为不满足。</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技术要求应答表.docx</w:t>
            </w:r>
          </w:p>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根据投标人2023年1月1日（含1日）至提交投标文件截止日的类似项目业绩进行评审，每提供1个业绩得2.5分，最多得10分。 注：提供合同或中标（成交）通知书扫描件，以合同签订时间或中标（成交）通知书发出之日为准。同时提供合同和中标（成交）通知书的，以合同签订时间为准。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根据投标人提供的实施方案，包含: （1）配送方案； （2）安装及调试方案； （3）应急保障方案； （4）人员培训方案。 上述4项内容齐全且无缺陷（缺陷是指：内容涉及的规范或标准错误、内容表述错误、内容与本项目无关、内容不利于项目实施的任意一种情形）得10分，每缺少一项内容扣2.5分，扣完为止；单项内容每存在一处缺陷扣1.25分，单项内容分扣完为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根据投标人提供的售后服务方案，包含: （1）售后服务人员管理方案； （2）售后服务流程； （3）服务响应措施； （4）备品配件方案。 上述4项内容齐全且无缺陷（缺陷是指：内容涉及的规范或标准错误、内容表述错误、内容与本项目无关、内容不利于项目实施的任意一种情形）得20分，每缺少一项内容扣5分，扣完为止；单项内容每存在一处缺陷扣2.5分，单项内容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（1）满足招标文件要求且投标价格最低的投标报价为评标基准价，其价格分为满分； （2）其他投标人的价格分统一按照下列公式计算： 投标报价得分=（评标基准价／投标报价）*32</w:t>
            </w:r>
          </w:p>
        </w:tc>
        <w:tc>
          <w:tcPr>
            <w:tcW w:type="dxa" w:w="831"/>
          </w:tcPr>
          <w:p>
            <w:pPr>
              <w:pStyle w:val="null3"/>
              <w:jc w:val="center"/>
            </w:pPr>
            <w:r>
              <w:rPr>
                <w:rFonts w:ascii="仿宋_GB2312" w:hAnsi="仿宋_GB2312" w:cs="仿宋_GB2312" w:eastAsia="仿宋_GB2312"/>
              </w:rPr>
              <w:t>32.0000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报价明细表,关于符合本国产品标准的声明函,报价表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详见附件：其他资料.docx</w:t>
      </w:r>
    </w:p>
    <w:p>
      <w:pPr>
        <w:pStyle w:val="null3"/>
        <w:ind w:firstLine="960"/>
        <w:jc w:val="left"/>
      </w:pPr>
      <w:r>
        <w:rPr>
          <w:rFonts w:ascii="仿宋_GB2312" w:hAnsi="仿宋_GB2312" w:cs="仿宋_GB2312" w:eastAsia="仿宋_GB2312"/>
        </w:rPr>
        <w:t>详见附件：投标（响应）函.docx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