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版本号：N513311202600015120260527002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四川省交通运行监测与应急指挥系统网络运维费用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N5133112026000151</w:t>
      </w:r>
    </w:p>
    <w:p>
      <w:pPr>
        <w:pStyle w:val="null3"/>
        <w:jc w:val="left"/>
        <w:outlineLvl w:val="2"/>
      </w:pPr>
      <w:r>
        <w:rPr>
          <w:rFonts w:ascii="仿宋_GB2312" w:hAnsi="仿宋_GB2312" w:cs="仿宋_GB2312" w:eastAsia="仿宋_GB2312"/>
          <w:sz w:val="28"/>
          <w:b/>
        </w:rPr>
        <w:t>甘孜藏族自治州交通运行监测中心</w:t>
      </w:r>
    </w:p>
    <w:p>
      <w:pPr>
        <w:pStyle w:val="null3"/>
        <w:jc w:val="center"/>
        <w:outlineLvl w:val="2"/>
      </w:pPr>
      <w:r>
        <w:rPr>
          <w:rFonts w:ascii="仿宋_GB2312" w:hAnsi="仿宋_GB2312" w:cs="仿宋_GB2312" w:eastAsia="仿宋_GB2312"/>
          <w:sz w:val="28"/>
          <w:b/>
        </w:rPr>
        <w:t>甘孜州天路工程咨询有限公司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甘孜州天路工程咨询有限公司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甘孜藏族自治州交通运行监测中心</w:t>
      </w:r>
      <w:r>
        <w:rPr>
          <w:rFonts w:ascii="仿宋_GB2312" w:hAnsi="仿宋_GB2312" w:cs="仿宋_GB2312" w:eastAsia="仿宋_GB2312"/>
        </w:rPr>
        <w:t xml:space="preserve"> 委托，拟对 </w:t>
      </w:r>
      <w:r>
        <w:rPr>
          <w:rFonts w:ascii="仿宋_GB2312" w:hAnsi="仿宋_GB2312" w:cs="仿宋_GB2312" w:eastAsia="仿宋_GB2312"/>
        </w:rPr>
        <w:t>四川省交通运行监测与应急指挥系统网络运维费用</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N5133112026000151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四川省交通运行监测与应急指挥系统网络运维费用</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四川省交通运行监测与应急指挥系统甘孜州一期专用设备于2020年11月19日建设完成并移交采购单位使用，此次运维服务于2026年6月10日到期，现采购未来三年运维服务。资金来源为财政性资金，预算金额72万元。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甘孜藏族自治州交通运行监测中心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康定市炉城镇向阳街73号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梁武斌</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13558503332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甘孜州天路工程咨询有限公司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四川省甘孜藏族自治州康定市甘孜藏族自治州康定市榆林街道榆磨路60号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李盛玉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13404073957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招标代理服务费收费标准，严格参照以下文件执行：原国家计委《招标代理服务收费管理暂行办法》（计价格〔2002〕1980号）文件要求下浮20%收取（收款账户信息：收款账户名称：甘孜州天路工程咨询有限公司；税号：91513300MA66TTUE65；开户银行：中国农业银行股份有限公司甘孜分行；账号：22571001040014034 联行号：103681057108）。</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甘孜藏族自治州交通运行监测中心</w:t>
      </w:r>
      <w:r>
        <w:rPr>
          <w:rFonts w:ascii="仿宋_GB2312" w:hAnsi="仿宋_GB2312" w:cs="仿宋_GB2312" w:eastAsia="仿宋_GB2312"/>
        </w:rPr>
        <w:t xml:space="preserve"> 和 </w:t>
      </w:r>
      <w:r>
        <w:rPr>
          <w:rFonts w:ascii="仿宋_GB2312" w:hAnsi="仿宋_GB2312" w:cs="仿宋_GB2312" w:eastAsia="仿宋_GB2312"/>
        </w:rPr>
        <w:t>甘孜州天路工程咨询有限公司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甘孜藏族自治州交通运行监测中心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甘孜州天路工程咨询有限公司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完成合同规定的100%工作内容，供应商提出验收申请之日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按本项目技术要求完成</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按本项目商务要求完成</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将严格按照政府采购相关法律法规以及按照《财政部关于进一步加强政府采购需求和履约验收管理的指导意见》（财库〔2016〕205号）、中标人的响应文件、双方签订的合同条款中的相关货物、商务要求对本项目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应严格按照《财政部关于进一步加强政府采购需求和履约验收管理的指导意见》（财库〔2016〕205号）等相关规定的要求进行验收，各项技术、商务指标以采购文件要求、成交供应商响应情况及双方签订的合同条款约定为准；采购人与供应商双方如对质量要求和技术指标的约定标准有相互抵触或异议的事项，由采购人在采购文件及响应文件中按质量要求和技术指标比较优胜的原则确定该项的约定标准进行验收。 2.采购人无故不进行验收工作并已使用项目履约成果的，视同验收合格。</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甘孜州天路工程咨询有限公司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甘孜州天路工程咨询有限公司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甘孜州天路工程咨询有限公司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联系人：李盛玉</w:t>
      </w:r>
    </w:p>
    <w:p>
      <w:pPr>
        <w:pStyle w:val="null3"/>
        <w:jc w:val="left"/>
      </w:pPr>
      <w:r>
        <w:rPr>
          <w:rFonts w:ascii="仿宋_GB2312" w:hAnsi="仿宋_GB2312" w:cs="仿宋_GB2312" w:eastAsia="仿宋_GB2312"/>
        </w:rPr>
        <w:t>联系电话：13404073957</w:t>
      </w:r>
    </w:p>
    <w:p>
      <w:pPr>
        <w:pStyle w:val="null3"/>
        <w:jc w:val="left"/>
      </w:pPr>
      <w:r>
        <w:rPr>
          <w:rFonts w:ascii="仿宋_GB2312" w:hAnsi="仿宋_GB2312" w:cs="仿宋_GB2312" w:eastAsia="仿宋_GB2312"/>
        </w:rPr>
        <w:t>地址：四川省甘孜藏族自治州康定市榆林街道榆磨路60号</w:t>
      </w:r>
    </w:p>
    <w:p>
      <w:pPr>
        <w:pStyle w:val="null3"/>
        <w:jc w:val="left"/>
      </w:pPr>
      <w:r>
        <w:rPr>
          <w:rFonts w:ascii="仿宋_GB2312" w:hAnsi="仿宋_GB2312" w:cs="仿宋_GB2312" w:eastAsia="仿宋_GB2312"/>
        </w:rPr>
        <w:t>邮编：626000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C16079900 其他运行维护服务</w:t>
            </w:r>
          </w:p>
        </w:tc>
        <w:tc>
          <w:tcPr>
            <w:tcW w:type="dxa" w:w="821"/>
          </w:tcPr>
          <w:p>
            <w:pPr>
              <w:pStyle w:val="null3"/>
              <w:jc w:val="left"/>
            </w:pPr>
            <w:r>
              <w:rPr>
                <w:rFonts w:ascii="仿宋_GB2312" w:hAnsi="仿宋_GB2312" w:cs="仿宋_GB2312" w:eastAsia="仿宋_GB2312"/>
              </w:rPr>
              <w:t>甘孜藏族自治州交通运行监测中心四川省交通运行监测与应急指挥系统网络运维费用</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甘孜藏族自治州交通运行监测中心四川省交通运行监测与应急指挥系统网络运维费用</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标的名称：甘孜藏族自治州交通运行监测中心四川省交通运行监测与应急指挥系统网络运维费用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甘孜藏族自治州交通运行监测中心四川省交通运行监测与应急指挥系统网络运维</w:t>
            </w:r>
          </w:p>
        </w:tc>
        <w:tc>
          <w:tcPr>
            <w:tcW w:type="dxa" w:w="5814"/>
          </w:tcPr>
          <w:p>
            <w:pPr>
              <w:pStyle w:val="null3"/>
              <w:ind w:firstLine="560"/>
              <w:jc w:val="both"/>
            </w:pPr>
            <w:r>
              <w:rPr>
                <w:rFonts w:ascii="仿宋_GB2312" w:hAnsi="仿宋_GB2312" w:cs="仿宋_GB2312" w:eastAsia="仿宋_GB2312"/>
                <w:sz w:val="20"/>
                <w:b/>
              </w:rPr>
              <w:t>1、交通运行监测与应急指挥系统平台运行维护</w:t>
            </w:r>
          </w:p>
          <w:p>
            <w:pPr>
              <w:pStyle w:val="null3"/>
              <w:ind w:firstLine="560"/>
              <w:jc w:val="both"/>
            </w:pPr>
            <w:r>
              <w:rPr>
                <w:rFonts w:ascii="仿宋_GB2312" w:hAnsi="仿宋_GB2312" w:cs="仿宋_GB2312" w:eastAsia="仿宋_GB2312"/>
                <w:sz w:val="20"/>
              </w:rPr>
              <w:t>1.1服务范围</w:t>
            </w:r>
          </w:p>
          <w:p>
            <w:pPr>
              <w:pStyle w:val="null3"/>
              <w:ind w:firstLine="560"/>
              <w:jc w:val="both"/>
            </w:pPr>
            <w:r>
              <w:rPr>
                <w:rFonts w:ascii="仿宋_GB2312" w:hAnsi="仿宋_GB2312" w:cs="仿宋_GB2312" w:eastAsia="仿宋_GB2312"/>
                <w:sz w:val="20"/>
              </w:rPr>
              <w:t>甘孜州交通局所属全州</w:t>
            </w:r>
            <w:r>
              <w:rPr>
                <w:rFonts w:ascii="仿宋_GB2312" w:hAnsi="仿宋_GB2312" w:cs="仿宋_GB2312" w:eastAsia="仿宋_GB2312"/>
                <w:sz w:val="20"/>
              </w:rPr>
              <w:t>18个</w:t>
            </w:r>
            <w:r>
              <w:rPr>
                <w:rFonts w:ascii="仿宋_GB2312" w:hAnsi="仿宋_GB2312" w:cs="仿宋_GB2312" w:eastAsia="仿宋_GB2312"/>
                <w:sz w:val="20"/>
              </w:rPr>
              <w:t>前端设备、</w:t>
            </w:r>
            <w:r>
              <w:rPr>
                <w:rFonts w:ascii="仿宋_GB2312" w:hAnsi="仿宋_GB2312" w:cs="仿宋_GB2312" w:eastAsia="仿宋_GB2312"/>
                <w:sz w:val="20"/>
              </w:rPr>
              <w:t>5套F型可变情报板加电运行、看护、除尘、6个车船载4G流量卡内不小于10G的包月流量、30条传输链路等日常设备维护、线路维护、日常电费缴纳等维护和保障服务，为全州国省干线公路交通顺畅、智慧管理保驾护航。</w:t>
            </w:r>
          </w:p>
          <w:p>
            <w:pPr>
              <w:pStyle w:val="null3"/>
              <w:ind w:firstLine="560"/>
              <w:jc w:val="both"/>
            </w:pPr>
            <w:r>
              <w:rPr>
                <w:rFonts w:ascii="仿宋_GB2312" w:hAnsi="仿宋_GB2312" w:cs="仿宋_GB2312" w:eastAsia="仿宋_GB2312"/>
                <w:sz w:val="20"/>
              </w:rPr>
              <w:t>1.2服务内容</w:t>
            </w:r>
          </w:p>
          <w:p>
            <w:pPr>
              <w:pStyle w:val="null3"/>
              <w:ind w:firstLine="560"/>
              <w:jc w:val="both"/>
            </w:pPr>
            <w:r>
              <w:rPr>
                <w:rFonts w:ascii="仿宋_GB2312" w:hAnsi="仿宋_GB2312" w:cs="仿宋_GB2312" w:eastAsia="仿宋_GB2312"/>
                <w:sz w:val="20"/>
              </w:rPr>
              <w:t>▲（1）负责前端设备的日常维护和保养，主要包括红外高清球机、F型情报板及设备杆件的检修、调试和保养。</w:t>
            </w:r>
          </w:p>
          <w:p>
            <w:pPr>
              <w:pStyle w:val="null3"/>
              <w:ind w:firstLine="560"/>
              <w:jc w:val="both"/>
            </w:pPr>
            <w:r>
              <w:rPr>
                <w:rFonts w:ascii="仿宋_GB2312" w:hAnsi="仿宋_GB2312" w:cs="仿宋_GB2312" w:eastAsia="仿宋_GB2312"/>
                <w:sz w:val="20"/>
              </w:rPr>
              <w:t>▲（2）负责对前端故障点位进行处理，并在服务要求的时限内排除故障，恢复前端点位正常运行。</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b/>
              </w:rPr>
              <w:t>2、前端维护点位表</w:t>
            </w:r>
          </w:p>
          <w:tbl>
            <w:tblPr>
              <w:tblInd w:type="dxa" w:w="240"/>
              <w:tblBorders>
                <w:top w:val="none" w:color="000000" w:sz="4"/>
                <w:left w:val="none" w:color="000000" w:sz="4"/>
                <w:bottom w:val="none" w:color="000000" w:sz="4"/>
                <w:right w:val="none" w:color="000000" w:sz="4"/>
                <w:insideH w:val="none"/>
                <w:insideV w:val="none"/>
              </w:tblBorders>
            </w:tblPr>
            <w:tblGrid>
              <w:gridCol w:w="729"/>
              <w:gridCol w:w="3119"/>
              <w:gridCol w:w="1750"/>
            </w:tblGrid>
            <w:tr>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站点名称</w:t>
                  </w:r>
                </w:p>
              </w:tc>
              <w:tc>
                <w:tcPr>
                  <w:tcW w:type="dxa" w:w="1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桩号</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G248康定上柏桑（养护站）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K1138+329</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G248康定上柏桑诱导屏</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K1138+310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G318泸定二郎山和平沟大桥</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K2774+150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G350丹巴半扇门乡一村（养护站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K1090+900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G248丹巴水子乡（养护站）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K1138+129</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G227理塘奔戈乡（交调站）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K1768+300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G318巴塘德达乡（养护站）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K3227+700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G318巴塘德达乡养护站诱导屏</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K3227+720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G227新龙森工局</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K1642+400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G215白玉建设镇</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K2384+300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G215德格龚垭养护站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K2238+980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G215德格龚垭养护站诱导屏</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K2238+960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G227稻城桑堆镇吉乙村</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K1901+583</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G227稻城桑堆镇吉乙村诱导屏</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K1901+560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G227稻城赤土乡呷拉同</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K1963+754</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G548乡城香巴拉镇古尔</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K489+400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G215得荣宋绒（分局）</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K204+127</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8</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G548色达洛若</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K154+700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G227色达歌乐沱</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K1321+854</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G227色达歌乐沱诱导屏</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K1321+870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G345石渠蒙宜养护站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K3389+415</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G317德格雀儿山隧道甘孜端</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K831+900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G317德格雀儿山隧道德格端</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K832+750</w:t>
                  </w: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b/>
              </w:rPr>
              <w:t>3、服务设备清单</w:t>
            </w:r>
          </w:p>
          <w:tbl>
            <w:tblPr>
              <w:tblInd w:type="dxa" w:w="330"/>
              <w:tblBorders>
                <w:top w:val="none" w:color="000000" w:sz="4"/>
                <w:left w:val="none" w:color="000000" w:sz="4"/>
                <w:bottom w:val="none" w:color="000000" w:sz="4"/>
                <w:right w:val="none" w:color="000000" w:sz="4"/>
                <w:insideH w:val="none"/>
                <w:insideV w:val="none"/>
              </w:tblBorders>
            </w:tblPr>
            <w:tblGrid>
              <w:gridCol w:w="766"/>
              <w:gridCol w:w="2134"/>
              <w:gridCol w:w="816"/>
              <w:gridCol w:w="916"/>
              <w:gridCol w:w="966"/>
            </w:tblGrid>
            <w:tr>
              <w:tc>
                <w:tcPr>
                  <w:tcW w:type="dxa" w:w="76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1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8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9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9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红外高清球机</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8</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信号浪涌保护器</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3</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电源浪涌保护器（开关型）</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6</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电源浪涌保护器（限压型）</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6</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光缆终端盒</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3</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光电转换器</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3</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视频设备箱体电源</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8</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自动重合闸装置</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3</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视频设备箱体</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8</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视频设备杆体</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8</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F型可变情报板</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96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大屏控制器</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966"/>
                  <w:vMerge/>
                  <w:tcBorders>
                    <w:top w:val="none" w:color="000000" w:sz="4"/>
                    <w:left w:val="none" w:color="000000" w:sz="4"/>
                    <w:bottom w:val="single" w:color="000000" w:sz="4"/>
                    <w:right w:val="single" w:color="000000" w:sz="4"/>
                  </w:tcBorders>
                </w:tc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F型可变情报板杆件</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F型可变情报板设备箱体</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F型可变情报板箱体电源</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传输链路服务</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车船载流量卡</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６</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≥10G/月</w:t>
                  </w:r>
                </w:p>
              </w:tc>
            </w:tr>
            <w:tr>
              <w:tc>
                <w:tcPr>
                  <w:tcW w:type="dxa" w:w="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w:t>
                  </w:r>
                </w:p>
              </w:tc>
              <w:tc>
                <w:tcPr>
                  <w:tcW w:type="dxa" w:w="21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电费代缴服务</w:t>
                  </w:r>
                </w:p>
              </w:tc>
              <w:tc>
                <w:tcPr>
                  <w:tcW w:type="dxa" w:w="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both"/>
            </w:pPr>
            <w:r>
              <w:rPr>
                <w:rFonts w:ascii="仿宋_GB2312" w:hAnsi="仿宋_GB2312" w:cs="仿宋_GB2312" w:eastAsia="仿宋_GB2312"/>
                <w:sz w:val="21"/>
              </w:rPr>
              <w:t>▲（1）建立本地信息化保障支撑团队，有专门的运维人员承担外出维护工作，提供现场服务和24小时响应服务。</w:t>
            </w:r>
          </w:p>
          <w:p>
            <w:pPr>
              <w:pStyle w:val="null3"/>
              <w:ind w:firstLine="560"/>
              <w:jc w:val="both"/>
            </w:pPr>
            <w:r>
              <w:rPr>
                <w:rFonts w:ascii="仿宋_GB2312" w:hAnsi="仿宋_GB2312" w:cs="仿宋_GB2312" w:eastAsia="仿宋_GB2312"/>
                <w:sz w:val="21"/>
              </w:rPr>
              <w:t>★（2）对于故障必须在24小时内反馈处理结果和意见。</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3）在线率要求</w:t>
            </w:r>
          </w:p>
          <w:p>
            <w:pPr>
              <w:pStyle w:val="null3"/>
              <w:ind w:firstLine="560"/>
              <w:jc w:val="both"/>
            </w:pPr>
            <w:r>
              <w:rPr>
                <w:rFonts w:ascii="仿宋_GB2312" w:hAnsi="仿宋_GB2312" w:cs="仿宋_GB2312" w:eastAsia="仿宋_GB2312"/>
                <w:sz w:val="21"/>
              </w:rPr>
              <w:t>站点的单点在线率</w:t>
            </w:r>
            <w:r>
              <w:rPr>
                <w:rFonts w:ascii="仿宋_GB2312" w:hAnsi="仿宋_GB2312" w:cs="仿宋_GB2312" w:eastAsia="仿宋_GB2312"/>
                <w:sz w:val="21"/>
              </w:rPr>
              <w:t>=单位时间段内联网监控监测（省/市）平台可正常接收调用的总时长÷单位时间段总时长（其中单位时间段包括：月、季、年等，下同）。</w:t>
            </w:r>
          </w:p>
          <w:p>
            <w:pPr>
              <w:pStyle w:val="null3"/>
              <w:ind w:firstLine="560"/>
              <w:jc w:val="both"/>
            </w:pPr>
            <w:r>
              <w:rPr>
                <w:rFonts w:ascii="仿宋_GB2312" w:hAnsi="仿宋_GB2312" w:cs="仿宋_GB2312" w:eastAsia="仿宋_GB2312"/>
                <w:sz w:val="21"/>
              </w:rPr>
              <w:t>平均在线率</w:t>
            </w:r>
            <w:r>
              <w:rPr>
                <w:rFonts w:ascii="仿宋_GB2312" w:hAnsi="仿宋_GB2312" w:cs="仿宋_GB2312" w:eastAsia="仿宋_GB2312"/>
                <w:sz w:val="21"/>
              </w:rPr>
              <w:t>=单位时间段内各站点单点在线率的总和÷站点总数。</w:t>
            </w:r>
          </w:p>
          <w:p>
            <w:pPr>
              <w:pStyle w:val="null3"/>
              <w:ind w:firstLine="560"/>
              <w:jc w:val="both"/>
            </w:pPr>
            <w:r>
              <w:rPr>
                <w:rFonts w:ascii="仿宋_GB2312" w:hAnsi="仿宋_GB2312" w:cs="仿宋_GB2312" w:eastAsia="仿宋_GB2312"/>
                <w:sz w:val="21"/>
              </w:rPr>
              <w:t>采用有线传输网络方式接入的终端，每个站点月度、季度、年度的单点在线率应</w:t>
            </w:r>
            <w:r>
              <w:rPr>
                <w:rFonts w:ascii="仿宋_GB2312" w:hAnsi="仿宋_GB2312" w:cs="仿宋_GB2312" w:eastAsia="仿宋_GB2312"/>
                <w:sz w:val="21"/>
              </w:rPr>
              <w:t>≥8</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月度、季度、年度的平均在线率应</w:t>
            </w:r>
            <w:r>
              <w:rPr>
                <w:rFonts w:ascii="仿宋_GB2312" w:hAnsi="仿宋_GB2312" w:cs="仿宋_GB2312" w:eastAsia="仿宋_GB2312"/>
                <w:sz w:val="21"/>
              </w:rPr>
              <w:t>≥7</w:t>
            </w:r>
            <w:r>
              <w:rPr>
                <w:rFonts w:ascii="仿宋_GB2312" w:hAnsi="仿宋_GB2312" w:cs="仿宋_GB2312" w:eastAsia="仿宋_GB2312"/>
                <w:sz w:val="21"/>
              </w:rPr>
              <w:t>5</w:t>
            </w:r>
            <w:r>
              <w:rPr>
                <w:rFonts w:ascii="仿宋_GB2312" w:hAnsi="仿宋_GB2312" w:cs="仿宋_GB2312" w:eastAsia="仿宋_GB2312"/>
                <w:sz w:val="21"/>
              </w:rPr>
              <w:t>%、≥8</w:t>
            </w:r>
            <w:r>
              <w:rPr>
                <w:rFonts w:ascii="仿宋_GB2312" w:hAnsi="仿宋_GB2312" w:cs="仿宋_GB2312" w:eastAsia="仿宋_GB2312"/>
                <w:sz w:val="21"/>
              </w:rPr>
              <w:t>5</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采购人将对在线率进行考核，如未达到要求，则将根据产生影响程度大小扣减服务费，不可抗拒因素除外（如地震、泥石流、山火、停电等）。</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rPr>
              <w:t>服务期限</w:t>
            </w:r>
            <w:r>
              <w:rPr>
                <w:rFonts w:ascii="仿宋_GB2312" w:hAnsi="仿宋_GB2312" w:cs="仿宋_GB2312" w:eastAsia="仿宋_GB2312"/>
              </w:rPr>
              <w:t>：本次采购服务期限为</w:t>
            </w:r>
            <w:r>
              <w:rPr>
                <w:rFonts w:ascii="仿宋_GB2312" w:hAnsi="仿宋_GB2312" w:cs="仿宋_GB2312" w:eastAsia="仿宋_GB2312"/>
              </w:rPr>
              <w:t>3</w:t>
            </w:r>
            <w:r>
              <w:rPr>
                <w:rFonts w:ascii="仿宋_GB2312" w:hAnsi="仿宋_GB2312" w:cs="仿宋_GB2312" w:eastAsia="仿宋_GB2312"/>
              </w:rPr>
              <w:t>年，合同</w:t>
            </w:r>
            <w:r>
              <w:rPr>
                <w:rFonts w:ascii="仿宋_GB2312" w:hAnsi="仿宋_GB2312" w:cs="仿宋_GB2312" w:eastAsia="仿宋_GB2312"/>
              </w:rPr>
              <w:t>1</w:t>
            </w:r>
            <w:r>
              <w:rPr>
                <w:rFonts w:ascii="仿宋_GB2312" w:hAnsi="仿宋_GB2312" w:cs="仿宋_GB2312" w:eastAsia="仿宋_GB2312"/>
              </w:rPr>
              <w:t>年</w:t>
            </w:r>
            <w:r>
              <w:rPr>
                <w:rFonts w:ascii="仿宋_GB2312" w:hAnsi="仿宋_GB2312" w:cs="仿宋_GB2312" w:eastAsia="仿宋_GB2312"/>
              </w:rPr>
              <w:t>1</w:t>
            </w:r>
            <w:r>
              <w:rPr>
                <w:rFonts w:ascii="仿宋_GB2312" w:hAnsi="仿宋_GB2312" w:cs="仿宋_GB2312" w:eastAsia="仿宋_GB2312"/>
              </w:rPr>
              <w:t>签，每年自合同签订之日起</w:t>
            </w:r>
            <w:r>
              <w:rPr>
                <w:rFonts w:ascii="仿宋_GB2312" w:hAnsi="仿宋_GB2312" w:cs="仿宋_GB2312" w:eastAsia="仿宋_GB2312"/>
              </w:rPr>
              <w:t>365</w:t>
            </w:r>
            <w:r>
              <w:rPr>
                <w:rFonts w:ascii="仿宋_GB2312" w:hAnsi="仿宋_GB2312" w:cs="仿宋_GB2312" w:eastAsia="仿宋_GB2312"/>
              </w:rPr>
              <w:t>日。每年经考核合格后续签次年合同。</w:t>
            </w:r>
          </w:p>
          <w:p>
            <w:pPr>
              <w:pStyle w:val="null3"/>
              <w:jc w:val="left"/>
            </w:pPr>
            <w:r>
              <w:rPr>
                <w:rFonts w:ascii="仿宋_GB2312" w:hAnsi="仿宋_GB2312" w:cs="仿宋_GB2312" w:eastAsia="仿宋_GB2312"/>
              </w:rPr>
              <w:t>2.</w:t>
            </w:r>
            <w:r>
              <w:rPr>
                <w:rFonts w:ascii="仿宋_GB2312" w:hAnsi="仿宋_GB2312" w:cs="仿宋_GB2312" w:eastAsia="仿宋_GB2312"/>
              </w:rPr>
              <w:t>服务地点</w:t>
            </w:r>
            <w:r>
              <w:rPr>
                <w:rFonts w:ascii="仿宋_GB2312" w:hAnsi="仿宋_GB2312" w:cs="仿宋_GB2312" w:eastAsia="仿宋_GB2312"/>
              </w:rPr>
              <w:t>：</w:t>
            </w:r>
            <w:r>
              <w:rPr>
                <w:rFonts w:ascii="仿宋_GB2312" w:hAnsi="仿宋_GB2312" w:cs="仿宋_GB2312" w:eastAsia="仿宋_GB2312"/>
              </w:rPr>
              <w:t>采购人指定地点</w:t>
            </w:r>
          </w:p>
          <w:p>
            <w:pPr>
              <w:pStyle w:val="null3"/>
              <w:jc w:val="left"/>
            </w:pPr>
            <w:r>
              <w:rPr>
                <w:rFonts w:ascii="仿宋_GB2312" w:hAnsi="仿宋_GB2312" w:cs="仿宋_GB2312" w:eastAsia="仿宋_GB2312"/>
              </w:rPr>
              <w:t>3.</w:t>
            </w:r>
            <w:r>
              <w:rPr>
                <w:rFonts w:ascii="仿宋_GB2312" w:hAnsi="仿宋_GB2312" w:cs="仿宋_GB2312" w:eastAsia="仿宋_GB2312"/>
              </w:rPr>
              <w:t>验收、交付标准和方法</w:t>
            </w:r>
          </w:p>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w:t>
            </w:r>
            <w:r>
              <w:rPr>
                <w:rFonts w:ascii="仿宋_GB2312" w:hAnsi="仿宋_GB2312" w:cs="仿宋_GB2312" w:eastAsia="仿宋_GB2312"/>
              </w:rPr>
              <w:t>2016</w:t>
            </w:r>
            <w:r>
              <w:rPr>
                <w:rFonts w:ascii="仿宋_GB2312" w:hAnsi="仿宋_GB2312" w:cs="仿宋_GB2312" w:eastAsia="仿宋_GB2312"/>
              </w:rPr>
              <w:t>〕</w:t>
            </w:r>
            <w:r>
              <w:rPr>
                <w:rFonts w:ascii="仿宋_GB2312" w:hAnsi="仿宋_GB2312" w:cs="仿宋_GB2312" w:eastAsia="仿宋_GB2312"/>
              </w:rPr>
              <w:t xml:space="preserve">205 </w:t>
            </w:r>
            <w:r>
              <w:rPr>
                <w:rFonts w:ascii="仿宋_GB2312" w:hAnsi="仿宋_GB2312" w:cs="仿宋_GB2312" w:eastAsia="仿宋_GB2312"/>
              </w:rPr>
              <w:t>号）的要求、采购文件的质量要求和技术指标、成交供应商的响应文件及承诺以及合同约定标准进行验收。</w:t>
            </w:r>
          </w:p>
          <w:p>
            <w:pPr>
              <w:pStyle w:val="null3"/>
              <w:jc w:val="left"/>
            </w:pPr>
            <w:r>
              <w:rPr>
                <w:rFonts w:ascii="仿宋_GB2312" w:hAnsi="仿宋_GB2312" w:cs="仿宋_GB2312" w:eastAsia="仿宋_GB2312"/>
              </w:rPr>
              <w:t>4.</w:t>
            </w:r>
            <w:r>
              <w:rPr>
                <w:rFonts w:ascii="仿宋_GB2312" w:hAnsi="仿宋_GB2312" w:cs="仿宋_GB2312" w:eastAsia="仿宋_GB2312"/>
              </w:rPr>
              <w:t>支付方式</w:t>
            </w:r>
            <w:r>
              <w:rPr>
                <w:rFonts w:ascii="仿宋_GB2312" w:hAnsi="仿宋_GB2312" w:cs="仿宋_GB2312" w:eastAsia="仿宋_GB2312"/>
              </w:rPr>
              <w:t>：</w:t>
            </w:r>
            <w:r>
              <w:rPr>
                <w:rFonts w:ascii="仿宋_GB2312" w:hAnsi="仿宋_GB2312" w:cs="仿宋_GB2312" w:eastAsia="仿宋_GB2312"/>
              </w:rPr>
              <w:t>分期付款</w:t>
            </w:r>
          </w:p>
          <w:p>
            <w:pPr>
              <w:pStyle w:val="null3"/>
              <w:jc w:val="left"/>
            </w:pPr>
            <w:r>
              <w:rPr>
                <w:rFonts w:ascii="仿宋_GB2312" w:hAnsi="仿宋_GB2312" w:cs="仿宋_GB2312" w:eastAsia="仿宋_GB2312"/>
              </w:rPr>
              <w:t>5.</w:t>
            </w:r>
            <w:r>
              <w:rPr>
                <w:rFonts w:ascii="仿宋_GB2312" w:hAnsi="仿宋_GB2312" w:cs="仿宋_GB2312" w:eastAsia="仿宋_GB2312"/>
              </w:rPr>
              <w:t>付款进度安排</w:t>
            </w:r>
            <w:r>
              <w:rPr>
                <w:rFonts w:ascii="仿宋_GB2312" w:hAnsi="仿宋_GB2312" w:cs="仿宋_GB2312" w:eastAsia="仿宋_GB2312"/>
              </w:rPr>
              <w:t>：</w:t>
            </w:r>
            <w:r>
              <w:rPr>
                <w:rFonts w:ascii="仿宋_GB2312" w:hAnsi="仿宋_GB2312" w:cs="仿宋_GB2312" w:eastAsia="仿宋_GB2312"/>
              </w:rPr>
              <w:t>第一次支付：</w:t>
            </w:r>
            <w:r>
              <w:rPr>
                <w:rFonts w:ascii="仿宋_GB2312" w:hAnsi="仿宋_GB2312" w:cs="仿宋_GB2312" w:eastAsia="仿宋_GB2312"/>
              </w:rPr>
              <w:t>合同签订后</w:t>
            </w:r>
            <w:r>
              <w:rPr>
                <w:rFonts w:ascii="仿宋_GB2312" w:hAnsi="仿宋_GB2312" w:cs="仿宋_GB2312" w:eastAsia="仿宋_GB2312"/>
              </w:rPr>
              <w:t>15</w:t>
            </w:r>
            <w:r>
              <w:rPr>
                <w:rFonts w:ascii="仿宋_GB2312" w:hAnsi="仿宋_GB2312" w:cs="仿宋_GB2312" w:eastAsia="仿宋_GB2312"/>
              </w:rPr>
              <w:t>日，达到付款条件起</w:t>
            </w:r>
            <w:r>
              <w:rPr>
                <w:rFonts w:ascii="仿宋_GB2312" w:hAnsi="仿宋_GB2312" w:cs="仿宋_GB2312" w:eastAsia="仿宋_GB2312"/>
              </w:rPr>
              <w:t>15</w:t>
            </w:r>
            <w:r>
              <w:rPr>
                <w:rFonts w:ascii="仿宋_GB2312" w:hAnsi="仿宋_GB2312" w:cs="仿宋_GB2312" w:eastAsia="仿宋_GB2312"/>
              </w:rPr>
              <w:t>日内，支付合同总金额的</w:t>
            </w:r>
            <w:r>
              <w:rPr>
                <w:rFonts w:ascii="仿宋_GB2312" w:hAnsi="仿宋_GB2312" w:cs="仿宋_GB2312" w:eastAsia="仿宋_GB2312"/>
              </w:rPr>
              <w:t>50%</w:t>
            </w:r>
            <w:r>
              <w:rPr>
                <w:rFonts w:ascii="仿宋_GB2312" w:hAnsi="仿宋_GB2312" w:cs="仿宋_GB2312" w:eastAsia="仿宋_GB2312"/>
              </w:rPr>
              <w:t>。</w:t>
            </w:r>
            <w:r>
              <w:rPr>
                <w:rFonts w:ascii="仿宋_GB2312" w:hAnsi="仿宋_GB2312" w:cs="仿宋_GB2312" w:eastAsia="仿宋_GB2312"/>
              </w:rPr>
              <w:t>第二次支付：</w:t>
            </w:r>
            <w:r>
              <w:rPr>
                <w:rFonts w:ascii="仿宋_GB2312" w:hAnsi="仿宋_GB2312" w:cs="仿宋_GB2312" w:eastAsia="仿宋_GB2312"/>
              </w:rPr>
              <w:t>当年期满考核合格后，支付当年度服务费尾款，达到付款条件起</w:t>
            </w:r>
            <w:r>
              <w:rPr>
                <w:rFonts w:ascii="仿宋_GB2312" w:hAnsi="仿宋_GB2312" w:cs="仿宋_GB2312" w:eastAsia="仿宋_GB2312"/>
              </w:rPr>
              <w:t>15</w:t>
            </w:r>
            <w:r>
              <w:rPr>
                <w:rFonts w:ascii="仿宋_GB2312" w:hAnsi="仿宋_GB2312" w:cs="仿宋_GB2312" w:eastAsia="仿宋_GB2312"/>
              </w:rPr>
              <w:t>日内，支付合同总金额的</w:t>
            </w:r>
            <w:r>
              <w:rPr>
                <w:rFonts w:ascii="仿宋_GB2312" w:hAnsi="仿宋_GB2312" w:cs="仿宋_GB2312" w:eastAsia="仿宋_GB2312"/>
              </w:rPr>
              <w:t>50%</w:t>
            </w:r>
            <w:r>
              <w:rPr>
                <w:rFonts w:ascii="仿宋_GB2312" w:hAnsi="仿宋_GB2312" w:cs="仿宋_GB2312" w:eastAsia="仿宋_GB2312"/>
              </w:rPr>
              <w:t>。</w:t>
            </w:r>
            <w:r>
              <w:rPr>
                <w:rFonts w:ascii="仿宋_GB2312" w:hAnsi="仿宋_GB2312" w:cs="仿宋_GB2312" w:eastAsia="仿宋_GB2312"/>
              </w:rPr>
              <w:t>若考核不合格按考核得分百分比扣除相应合同金额。</w:t>
            </w:r>
          </w:p>
          <w:p>
            <w:pPr>
              <w:pStyle w:val="null3"/>
              <w:jc w:val="left"/>
            </w:pPr>
            <w:r>
              <w:rPr>
                <w:rFonts w:ascii="仿宋_GB2312" w:hAnsi="仿宋_GB2312" w:cs="仿宋_GB2312" w:eastAsia="仿宋_GB2312"/>
              </w:rPr>
              <w:t>6.</w:t>
            </w:r>
            <w:r>
              <w:rPr>
                <w:rFonts w:ascii="仿宋_GB2312" w:hAnsi="仿宋_GB2312" w:cs="仿宋_GB2312" w:eastAsia="仿宋_GB2312"/>
              </w:rPr>
              <w:t>违约责任与解决争议的方法</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）违约责任</w:t>
            </w:r>
          </w:p>
          <w:p>
            <w:pPr>
              <w:pStyle w:val="null3"/>
              <w:jc w:val="left"/>
            </w:pPr>
            <w:r>
              <w:rPr>
                <w:rFonts w:ascii="仿宋_GB2312" w:hAnsi="仿宋_GB2312" w:cs="仿宋_GB2312" w:eastAsia="仿宋_GB2312"/>
              </w:rPr>
              <w:t>1</w:t>
            </w:r>
            <w:r>
              <w:rPr>
                <w:rFonts w:ascii="仿宋_GB2312" w:hAnsi="仿宋_GB2312" w:cs="仿宋_GB2312" w:eastAsia="仿宋_GB2312"/>
              </w:rPr>
              <w:t>）双方必须遵守采购合同并执行采购合同中的各项规定，保证采购合同的 正常履行。</w:t>
            </w:r>
          </w:p>
          <w:p>
            <w:pPr>
              <w:pStyle w:val="null3"/>
              <w:jc w:val="left"/>
            </w:pPr>
            <w:r>
              <w:rPr>
                <w:rFonts w:ascii="仿宋_GB2312" w:hAnsi="仿宋_GB2312" w:cs="仿宋_GB2312" w:eastAsia="仿宋_GB2312"/>
              </w:rPr>
              <w:t>2</w:t>
            </w:r>
            <w:r>
              <w:rPr>
                <w:rFonts w:ascii="仿宋_GB2312" w:hAnsi="仿宋_GB2312" w:cs="仿宋_GB2312" w:eastAsia="仿宋_GB2312"/>
              </w:rPr>
              <w:t>）如因成交供应商工作人员在履行职务过程中的疏忽、失职、过错等故意</w:t>
            </w:r>
            <w:r>
              <w:rPr>
                <w:rFonts w:ascii="仿宋_GB2312" w:hAnsi="仿宋_GB2312" w:cs="仿宋_GB2312" w:eastAsia="仿宋_GB2312"/>
              </w:rPr>
              <w:t>或者过失原因给采购人造成损失或侵害，包括但不限于采购人本身的财产损失、由此而导致的采购人对任何第三方的法律责任等，成交供应商对此均应承担全部的赔偿责任。</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）解决争议的办法</w:t>
            </w:r>
            <w:r>
              <w:rPr>
                <w:rFonts w:ascii="仿宋_GB2312" w:hAnsi="仿宋_GB2312" w:cs="仿宋_GB2312" w:eastAsia="仿宋_GB2312"/>
                <w:sz w:val="21"/>
              </w:rPr>
              <w:t>。</w:t>
            </w:r>
            <w:r>
              <w:rPr>
                <w:rFonts w:ascii="仿宋_GB2312" w:hAnsi="仿宋_GB2312" w:cs="仿宋_GB2312" w:eastAsia="仿宋_GB2312"/>
                <w:sz w:val="21"/>
              </w:rPr>
              <w:t>合同履行期间</w:t>
            </w:r>
            <w:r>
              <w:rPr>
                <w:rFonts w:ascii="仿宋_GB2312" w:hAnsi="仿宋_GB2312" w:cs="仿宋_GB2312" w:eastAsia="仿宋_GB2312"/>
                <w:sz w:val="21"/>
              </w:rPr>
              <w:t>,</w:t>
            </w:r>
            <w:r>
              <w:rPr>
                <w:rFonts w:ascii="仿宋_GB2312" w:hAnsi="仿宋_GB2312" w:cs="仿宋_GB2312" w:eastAsia="仿宋_GB2312"/>
                <w:sz w:val="21"/>
              </w:rPr>
              <w:t>若双方发生争议，可协商或由有关部门调解解决，协商或调解不成的，由当事人依法向采购人所在地有管辖权的法院提起诉讼维护其合法权益。</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知识产权要求：供应商应保证在本项目中所提供的任何一部分相关技术资料和成果资料，均不会产生因第三方提出侵犯其专利权、商标权或其它知识产权而引起的法律和经济纠纷。</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保密要求：采购人和供应商须按照《中华人民共和国保守国家秘密法》执行本项目实施方案编制</w:t>
            </w:r>
            <w:r>
              <w:rPr>
                <w:rFonts w:ascii="仿宋_GB2312" w:hAnsi="仿宋_GB2312" w:cs="仿宋_GB2312" w:eastAsia="仿宋_GB2312"/>
              </w:rPr>
              <w:t>,</w:t>
            </w:r>
            <w:r>
              <w:rPr>
                <w:rFonts w:ascii="仿宋_GB2312" w:hAnsi="仿宋_GB2312" w:cs="仿宋_GB2312" w:eastAsia="仿宋_GB2312"/>
              </w:rPr>
              <w:t>本项目服务过程中涉及的所有信息资料和成果资料的所有权均归采购人所有</w:t>
            </w:r>
            <w:r>
              <w:rPr>
                <w:rFonts w:ascii="仿宋_GB2312" w:hAnsi="仿宋_GB2312" w:cs="仿宋_GB2312" w:eastAsia="仿宋_GB2312"/>
              </w:rPr>
              <w:t>(</w:t>
            </w:r>
            <w:r>
              <w:rPr>
                <w:rFonts w:ascii="仿宋_GB2312" w:hAnsi="仿宋_GB2312" w:cs="仿宋_GB2312" w:eastAsia="仿宋_GB2312"/>
              </w:rPr>
              <w:t>包括采购人提供以及供应商自行收集的</w:t>
            </w:r>
            <w:r>
              <w:rPr>
                <w:rFonts w:ascii="仿宋_GB2312" w:hAnsi="仿宋_GB2312" w:cs="仿宋_GB2312" w:eastAsia="仿宋_GB2312"/>
              </w:rPr>
              <w:t>)</w:t>
            </w:r>
            <w:r>
              <w:rPr>
                <w:rFonts w:ascii="仿宋_GB2312" w:hAnsi="仿宋_GB2312" w:cs="仿宋_GB2312" w:eastAsia="仿宋_GB2312"/>
              </w:rPr>
              <w:t>，供应商对服务过程中涉及的所有信息资料负有保密义务，未经采购人同意供应商不得将信息资料透漏给第三方，否则采购人有权追究其法律责任。</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成交供应商应完全按照采购人的要求在法律法规和标准范围内修改成果文件。</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合同价款是供应商响应采购项目要求的工作内容的价格体现</w:t>
            </w:r>
            <w:r>
              <w:rPr>
                <w:rFonts w:ascii="仿宋_GB2312" w:hAnsi="仿宋_GB2312" w:cs="仿宋_GB2312" w:eastAsia="仿宋_GB2312"/>
              </w:rPr>
              <w:t>,</w:t>
            </w:r>
            <w:r>
              <w:rPr>
                <w:rFonts w:ascii="仿宋_GB2312" w:hAnsi="仿宋_GB2312" w:cs="仿宋_GB2312" w:eastAsia="仿宋_GB2312"/>
              </w:rPr>
              <w:t>包括完成本项目所涉及的人工劳务、设备投入、管理、利润、税金、风险及代理服务费等一切费用。供应商只允许有一个报价，任何有选择或可调整的报价将不予接受</w:t>
            </w:r>
            <w:r>
              <w:rPr>
                <w:rFonts w:ascii="仿宋_GB2312" w:hAnsi="仿宋_GB2312" w:cs="仿宋_GB2312" w:eastAsia="仿宋_GB2312"/>
              </w:rPr>
              <w:t>,</w:t>
            </w:r>
            <w:r>
              <w:rPr>
                <w:rFonts w:ascii="仿宋_GB2312" w:hAnsi="仿宋_GB2312" w:cs="仿宋_GB2312" w:eastAsia="仿宋_GB2312"/>
              </w:rPr>
              <w:t>并按无效响应处理。</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）①供应商应根据项目特征制定总体服务计划，合理安排服务期内各项工作，及时响应采购人要求，快速处理各类服务要求。梳理各项巡检要点，分析重点难点，并制定针对性服务方案，保障项目顺利实施。 ②为保障本项目顺利进行，提升服务质量，供应商应制定运维质量保障措施，安全文明实施项目。 ③对于各类突发情况或临时故障，供应商应提前制定应急预案，有序处理各种意外情形。 ④供应商应做好档案管理，做到各项工作留痕，资料移交完整。</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运维服务期间，成交供应商负责本项目全部设备的日常巡检、维护保养及故障处置工作。设备发生故障时，成交供应商须第一时间响应并及时完成维修修复，逾期未完成维修的，应自行承担由此造成的超时延误损失及一切相关责任。</w:t>
            </w:r>
          </w:p>
          <w:p>
            <w:pPr>
              <w:pStyle w:val="null3"/>
              <w:jc w:val="left"/>
            </w:pPr>
            <w:r>
              <w:rPr>
                <w:rFonts w:ascii="仿宋_GB2312" w:hAnsi="仿宋_GB2312" w:cs="仿宋_GB2312" w:eastAsia="仿宋_GB2312"/>
                <w:sz w:val="21"/>
              </w:rPr>
              <w:t>若需更换</w:t>
            </w:r>
            <w:r>
              <w:rPr>
                <w:rFonts w:ascii="仿宋_GB2312" w:hAnsi="仿宋_GB2312" w:cs="仿宋_GB2312" w:eastAsia="仿宋_GB2312"/>
                <w:sz w:val="21"/>
              </w:rPr>
              <w:t>摄像头和诱导屏</w:t>
            </w:r>
            <w:r>
              <w:rPr>
                <w:rFonts w:ascii="仿宋_GB2312" w:hAnsi="仿宋_GB2312" w:cs="仿宋_GB2312" w:eastAsia="仿宋_GB2312"/>
                <w:sz w:val="21"/>
              </w:rPr>
              <w:t>，由成交供应商负责采购及更换安装；相关更换费用按同期市场合理价格编制报价报送采购人，待采购人审核批复后，按程序办理费用支付结算。【说明：提供承诺函并加盖电子签章，格式自拟。】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本次采购服务期限为3年，合同1年1签，每年自合同签订之日起365日。每年经考核合格后续签次年合同。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 号）的要求、采购文件的质量要求和技术指标、成交供应商的响应文件及承诺以及合同约定标准进行验收。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1、第一次支付， 合同签订后15日 ，达到付款条件起15日内，支付合同总金额的50.00%</w:t>
            </w:r>
          </w:p>
          <w:p>
            <w:pPr>
              <w:pStyle w:val="null3"/>
              <w:jc w:val="left"/>
            </w:pPr>
            <w:r>
              <w:rPr>
                <w:rFonts w:ascii="仿宋_GB2312" w:hAnsi="仿宋_GB2312" w:cs="仿宋_GB2312" w:eastAsia="仿宋_GB2312"/>
              </w:rPr>
              <w:t>2、第二次支付，当年期满考核合格后，支付当年度服务费尾款 ，若考核不合格按考核得分百分比扣除相应合同金额，达到付款条件起15日内，支付合同总金额的50.00%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1）双方必须遵守采购合同并执行采购合同中的各项规定，保证采购合同的 正常履行。 2）如因成交供应商工作人员在履行职务过程中的疏忽、失职、过错等故意 或者过失原因给采购人造成损失或侵害，包括但不限于采购人本身的财产损失、由此而导致的采购人对任何第三方的法律责任等，成交供应商对此均应承担全部的赔偿责任。 3）解决争议的办法。合同履行期间,若双方发生争议，可协商或由有关部门调解解决，协商或调解不成的，由当事人依法向采购人所在地有管辖权的法院提起诉讼维护其合法权益。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（1）知识产权要求：供应商应保证在本项目中所提供的任何一部分相关技术资料和成果资料，均不会产生因第三方提出侵犯其专利权、商标权或其它知识产权而引起的法律和经济纠纷。 （2）保密要求：采购人和供应商须按照《中华人民共和国保守国家秘密法》执行本项目实施方案编制,本项目服务过程中涉及的所有信息资料和成果资料的所有权均归采购人所有(包括采购人提供以及供应商自行收集的)，供应商对服务过程中涉及的所有信息资料负有保密义务，未经采购人同意供应商不得将信息资料透漏给第三方，否则采购人有权追究其法律责任。 （3）成交供应商应完全按照采购人的要求在法律法规和标准范围内修改成果文件。 （4）合同价款是供应商响应采购项目要求的工作内容的价格体现,包括完成本项目所涉及的人工劳务、设备投入、管理、利润、税金、风险及代理服务费等一切费用。供应商只允许有一个报价，任何有选择或可调整的报价将不予接受,并按无效响应处理。 （5）①供应商应根据项目特征制定总体服务计划，合理安排服务期内各项工作，及时响应采购人要求，快速处理各类服务要求。梳理各项巡检要点，分析重点难点，并制定针对性服务方案，保障项目顺利实施。 ②为保障本项目顺利进行，提升服务质量，供应商应制定运维质量保障措施，安全文明实施项目。 ③对于各类突发情况或临时故障，供应商应提前制定应急预案，有序处理各种意外情形。 ④供应商应做好档案管理，做到各项工作留痕，资料移交完整。 ★（6）运维服务期间，成交供应商负责本项目全部设备的日常巡检、维护保养及故障处置工作。设备发生故障时，成交供应商须第一时间响应并及时完成维修修复，逾期未完成维修的，应自行承担由此造成的超时延误损失及一切相关责任。 若需更换摄像头和诱导屏，由成交供应商负责采购及更换安装；相关更换费用按同期市场合理价格编制报价报送采购人，待采购人审核批复后，按程序办理费用支付结算。【说明：提供承诺函并加盖电子签章，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服务内容及要求响应程度</w:t>
            </w:r>
          </w:p>
        </w:tc>
        <w:tc>
          <w:tcPr>
            <w:tcW w:type="dxa" w:w="2575"/>
          </w:tcPr>
          <w:p>
            <w:pPr>
              <w:pStyle w:val="null3"/>
              <w:jc w:val="left"/>
            </w:pPr>
            <w:r>
              <w:rPr>
                <w:rFonts w:ascii="仿宋_GB2312" w:hAnsi="仿宋_GB2312" w:cs="仿宋_GB2312" w:eastAsia="仿宋_GB2312"/>
              </w:rPr>
              <w:t>完全符合第三章 磋商项目技术、服务、商务及其他要求3.2技术要求技术参数与性能指标和3.3服务要求（服务内容要求、商务要求）的服务内容中“▲项（共3项）”要求的得 9分，有一项负偏离的扣 3分；符合3.4其他要求中“非▲项（共5项）”要求的得 5分；有一项负偏离的扣 1分，扣完为止。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技术支撑人员配置</w:t>
            </w:r>
          </w:p>
        </w:tc>
        <w:tc>
          <w:tcPr>
            <w:tcW w:type="dxa" w:w="2575"/>
          </w:tcPr>
          <w:p>
            <w:pPr>
              <w:pStyle w:val="null3"/>
              <w:jc w:val="left"/>
            </w:pPr>
            <w:r>
              <w:rPr>
                <w:rFonts w:ascii="仿宋_GB2312" w:hAnsi="仿宋_GB2312" w:cs="仿宋_GB2312" w:eastAsia="仿宋_GB2312"/>
              </w:rPr>
              <w:t>本项目配备的技术支撑团队人员，每具有1名“网络工程师”证书得2分，最高得10分。 注：须提供人员的身份证复印件，证书复印件或网络查询截图，在职证明。</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技术支撑人员配置.docx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供应商自2020年1月1日起至今，每有一个类似项目业绩得2分，最多得10分。注：提供合同复印件或中标（成交）通知书。</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类似项目业绩.docx</w:t>
            </w:r>
          </w:p>
        </w:tc>
      </w:tr>
      <w:tr>
        <w:tc>
          <w:tcPr>
            <w:tcW w:type="dxa" w:w="831"/>
            <w:vMerge/>
          </w:tcPr>
          <w:p/>
        </w:tc>
        <w:tc>
          <w:tcPr>
            <w:tcW w:type="dxa" w:w="1661"/>
          </w:tcPr>
          <w:p>
            <w:pPr>
              <w:pStyle w:val="null3"/>
              <w:jc w:val="left"/>
            </w:pPr>
            <w:r>
              <w:rPr>
                <w:rFonts w:ascii="仿宋_GB2312" w:hAnsi="仿宋_GB2312" w:cs="仿宋_GB2312" w:eastAsia="仿宋_GB2312"/>
              </w:rPr>
              <w:t>运维服务总体方案</w:t>
            </w:r>
          </w:p>
        </w:tc>
        <w:tc>
          <w:tcPr>
            <w:tcW w:type="dxa" w:w="2575"/>
          </w:tcPr>
          <w:p>
            <w:pPr>
              <w:pStyle w:val="null3"/>
              <w:jc w:val="left"/>
            </w:pPr>
            <w:r>
              <w:rPr>
                <w:rFonts w:ascii="仿宋_GB2312" w:hAnsi="仿宋_GB2312" w:cs="仿宋_GB2312" w:eastAsia="仿宋_GB2312"/>
              </w:rPr>
              <w:t>根据供应商针对本项目提供的运维总体方案进行综合评分，内容包含：①运维服务计划；②运维重点难点剖析及应对计划；③巡检计划；④运维保密措施；⑤运维服务考核验收；内容完全响应磋商文件得15分.每缺少一项内容的扣3分，每有一处内容存在缺陷扣1.5分，扣完为止。注：缺陷是指：①内容仅有标题或框架缺乏具体说明阐述;②内容不符合国家、地方、行业标准、行业惯例以及项目特点;③语言、项目名称、实施地点、政策、规范标准错误;④方案套用其他项目内容、与本项目无关。</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运维质量保障措施</w:t>
            </w:r>
          </w:p>
        </w:tc>
        <w:tc>
          <w:tcPr>
            <w:tcW w:type="dxa" w:w="2575"/>
          </w:tcPr>
          <w:p>
            <w:pPr>
              <w:pStyle w:val="null3"/>
              <w:jc w:val="left"/>
            </w:pPr>
            <w:r>
              <w:rPr>
                <w:rFonts w:ascii="仿宋_GB2312" w:hAnsi="仿宋_GB2312" w:cs="仿宋_GB2312" w:eastAsia="仿宋_GB2312"/>
              </w:rPr>
              <w:t>根据供应商针对本项目提供的运维保障措施进行综合评分，内容包含：①质量保障措施；②安全文明措施；③维保配套工具；④运维团队；内容完全响应磋商文件得12分.每缺少一项内容的扣3分，每有一处内容存在缺陷扣1.5分，扣完为止。注：缺陷是指：①内容仅有标题或框架缺乏具体说明阐述;②内容不符合国家、地方、行业标准、行业惯例以及项目特点;③语言、项目名称、实施地点、政策、规范标准错误;④措施套用其他项目内容、与本项目无关。</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应急响应管理</w:t>
            </w:r>
          </w:p>
        </w:tc>
        <w:tc>
          <w:tcPr>
            <w:tcW w:type="dxa" w:w="2575"/>
          </w:tcPr>
          <w:p>
            <w:pPr>
              <w:pStyle w:val="null3"/>
              <w:jc w:val="left"/>
            </w:pPr>
            <w:r>
              <w:rPr>
                <w:rFonts w:ascii="仿宋_GB2312" w:hAnsi="仿宋_GB2312" w:cs="仿宋_GB2312" w:eastAsia="仿宋_GB2312"/>
              </w:rPr>
              <w:t>根据供应商针对本项目的应急预案，包括：①应急管理制度；②应急预案实施流程；③应急事件处理流程；④突发事件应急策略；⑤其他故障风险分析及应对措施描述评分；内容完全响应磋商文件得15分.每缺少一项内容的扣3分，每有一处内容存在缺陷扣1.5分，扣完为止。注：缺陷是指：①内容仅有标题或框架缺乏具体说明阐述;②内容不符合国家、地方、行业标准、行业惯例以及项目特点;③语言、项目名称、实施地点、政策、规范标准错误;④应急响应管理的措施套用其他项目内容、与本项目无关。</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运维档案管理</w:t>
            </w:r>
          </w:p>
        </w:tc>
        <w:tc>
          <w:tcPr>
            <w:tcW w:type="dxa" w:w="2575"/>
          </w:tcPr>
          <w:p>
            <w:pPr>
              <w:pStyle w:val="null3"/>
              <w:jc w:val="left"/>
            </w:pPr>
            <w:r>
              <w:rPr>
                <w:rFonts w:ascii="仿宋_GB2312" w:hAnsi="仿宋_GB2312" w:cs="仿宋_GB2312" w:eastAsia="仿宋_GB2312"/>
              </w:rPr>
              <w:t>根据供应商提供的运维服务文档方案，包含 ： ①运维周报；②周巡检记录表；③故障处理报告；④维护日志记录表；⑤运维月报/年报；⑥维护确认单；⑦满意度调查表。内容完全响应磋商文件得14分.每缺少一项内容的扣2分，每有一处内容存在缺陷扣1分，扣完为止。注：缺陷是指：①内容仅有标题或框架缺乏具体说明阐述;②内容不符合国家、地方、行业标准、行业惯例以及项目特点;③语言、项目名称、实施地点、政策、规范标准错误;④运维档案管理套用其他项目内容、与本项目无关。</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磋商报价最低的供应商的报价作为磋商基准价。2.磋商报价得分=(磋商基准价／磋商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详见附件：类似项目业绩.docx</w:t>
      </w:r>
    </w:p>
    <w:p>
      <w:pPr>
        <w:pStyle w:val="null3"/>
        <w:ind w:firstLine="960"/>
        <w:jc w:val="left"/>
      </w:pPr>
      <w:r>
        <w:rPr>
          <w:rFonts w:ascii="仿宋_GB2312" w:hAnsi="仿宋_GB2312" w:cs="仿宋_GB2312" w:eastAsia="仿宋_GB2312"/>
        </w:rPr>
        <w:t>详见附件：技术支撑人员配置.docx</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