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57D640">
      <w:pPr>
        <w:pStyle w:val="23"/>
        <w:adjustRightInd w:val="0"/>
        <w:snapToGrid w:val="0"/>
        <w:spacing w:line="240" w:lineRule="atLeast"/>
        <w:jc w:val="center"/>
        <w:rPr>
          <w:rFonts w:hint="eastAsia" w:ascii="宋体" w:hAnsi="宋体" w:eastAsia="宋体" w:cs="宋体"/>
          <w:color w:val="auto"/>
          <w:highlight w:val="none"/>
        </w:rPr>
      </w:pPr>
    </w:p>
    <w:p w14:paraId="7305CB1D">
      <w:pPr>
        <w:pStyle w:val="23"/>
        <w:adjustRightInd w:val="0"/>
        <w:snapToGrid w:val="0"/>
        <w:spacing w:line="240" w:lineRule="atLeast"/>
        <w:jc w:val="center"/>
        <w:rPr>
          <w:rFonts w:hint="eastAsia" w:ascii="宋体" w:hAnsi="宋体" w:eastAsia="宋体" w:cs="宋体"/>
          <w:color w:val="auto"/>
          <w:highlight w:val="none"/>
        </w:rPr>
      </w:pPr>
    </w:p>
    <w:p w14:paraId="7CC86089">
      <w:pPr>
        <w:pStyle w:val="23"/>
        <w:adjustRightInd w:val="0"/>
        <w:snapToGrid w:val="0"/>
        <w:spacing w:line="240" w:lineRule="atLeast"/>
        <w:jc w:val="center"/>
        <w:rPr>
          <w:rFonts w:hint="eastAsia" w:ascii="宋体" w:hAnsi="宋体" w:eastAsia="宋体" w:cs="宋体"/>
          <w:color w:val="auto"/>
          <w:highlight w:val="none"/>
        </w:rPr>
      </w:pPr>
    </w:p>
    <w:p w14:paraId="1447B2E0">
      <w:pPr>
        <w:pStyle w:val="23"/>
        <w:adjustRightInd w:val="0"/>
        <w:snapToGrid w:val="0"/>
        <w:spacing w:line="240" w:lineRule="atLeast"/>
        <w:jc w:val="right"/>
        <w:rPr>
          <w:rFonts w:hint="eastAsia" w:ascii="宋体" w:hAnsi="宋体" w:eastAsia="宋体" w:cs="宋体"/>
          <w:color w:val="auto"/>
          <w:highlight w:val="none"/>
        </w:rPr>
      </w:pPr>
    </w:p>
    <w:p w14:paraId="016A10E6">
      <w:pPr>
        <w:pStyle w:val="23"/>
        <w:adjustRightInd w:val="0"/>
        <w:snapToGrid w:val="0"/>
        <w:spacing w:line="240" w:lineRule="atLeast"/>
        <w:jc w:val="cente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lang w:eastAsia="zh-CN"/>
        </w:rPr>
        <w:t>政府采购【郴州电子标】</w:t>
      </w:r>
    </w:p>
    <w:p w14:paraId="3A6F3654">
      <w:pPr>
        <w:pStyle w:val="23"/>
        <w:adjustRightInd w:val="0"/>
        <w:snapToGrid w:val="0"/>
        <w:spacing w:line="240" w:lineRule="atLeast"/>
        <w:jc w:val="center"/>
        <w:rPr>
          <w:rFonts w:hint="eastAsia" w:ascii="宋体" w:hAnsi="宋体" w:eastAsia="宋体" w:cs="宋体"/>
          <w:bCs/>
          <w:color w:val="auto"/>
          <w:sz w:val="72"/>
          <w:szCs w:val="72"/>
          <w:highlight w:val="none"/>
        </w:rPr>
      </w:pPr>
    </w:p>
    <w:p w14:paraId="79439C64">
      <w:pPr>
        <w:pStyle w:val="23"/>
        <w:adjustRightInd w:val="0"/>
        <w:snapToGrid w:val="0"/>
        <w:spacing w:line="240" w:lineRule="atLeast"/>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招标文件</w:t>
      </w:r>
    </w:p>
    <w:p w14:paraId="1108F4C1">
      <w:pPr>
        <w:pStyle w:val="23"/>
        <w:adjustRightInd w:val="0"/>
        <w:snapToGrid w:val="0"/>
        <w:spacing w:line="240" w:lineRule="atLeast"/>
        <w:jc w:val="center"/>
        <w:rPr>
          <w:rFonts w:hint="eastAsia" w:ascii="宋体" w:hAnsi="宋体" w:eastAsia="宋体" w:cs="宋体"/>
          <w:b/>
          <w:bCs/>
          <w:color w:val="auto"/>
          <w:sz w:val="52"/>
          <w:szCs w:val="52"/>
          <w:highlight w:val="none"/>
          <w:lang w:eastAsia="zh-CN"/>
        </w:rPr>
      </w:pPr>
      <w:r>
        <w:rPr>
          <w:rFonts w:hint="eastAsia" w:ascii="宋体" w:hAnsi="宋体" w:eastAsia="宋体" w:cs="宋体"/>
          <w:b/>
          <w:bCs/>
          <w:color w:val="auto"/>
          <w:sz w:val="52"/>
          <w:szCs w:val="52"/>
          <w:highlight w:val="none"/>
          <w:lang w:eastAsia="zh-CN"/>
        </w:rPr>
        <w:t>（</w:t>
      </w:r>
      <w:r>
        <w:rPr>
          <w:rFonts w:hint="eastAsia" w:ascii="宋体" w:hAnsi="宋体" w:eastAsia="宋体" w:cs="宋体"/>
          <w:b/>
          <w:bCs/>
          <w:color w:val="auto"/>
          <w:sz w:val="52"/>
          <w:szCs w:val="52"/>
          <w:highlight w:val="none"/>
        </w:rPr>
        <w:t>服务类综合评分法</w:t>
      </w:r>
      <w:r>
        <w:rPr>
          <w:rFonts w:hint="eastAsia" w:ascii="宋体" w:hAnsi="宋体" w:eastAsia="宋体" w:cs="宋体"/>
          <w:b/>
          <w:bCs/>
          <w:color w:val="auto"/>
          <w:sz w:val="52"/>
          <w:szCs w:val="52"/>
          <w:highlight w:val="none"/>
          <w:lang w:eastAsia="zh-CN"/>
        </w:rPr>
        <w:t>）</w:t>
      </w:r>
    </w:p>
    <w:p w14:paraId="518131F3">
      <w:pPr>
        <w:pStyle w:val="23"/>
        <w:adjustRightInd w:val="0"/>
        <w:snapToGrid w:val="0"/>
        <w:spacing w:line="240" w:lineRule="atLeast"/>
        <w:jc w:val="center"/>
        <w:rPr>
          <w:rFonts w:hint="eastAsia" w:ascii="宋体" w:hAnsi="宋体" w:eastAsia="宋体" w:cs="宋体"/>
          <w:b/>
          <w:bCs/>
          <w:color w:val="auto"/>
          <w:sz w:val="32"/>
          <w:szCs w:val="32"/>
          <w:highlight w:val="none"/>
        </w:rPr>
      </w:pPr>
    </w:p>
    <w:p w14:paraId="3778BB1C">
      <w:pPr>
        <w:pStyle w:val="23"/>
        <w:adjustRightInd w:val="0"/>
        <w:snapToGrid w:val="0"/>
        <w:spacing w:line="240" w:lineRule="atLeast"/>
        <w:jc w:val="center"/>
        <w:rPr>
          <w:rFonts w:hint="eastAsia" w:ascii="宋体" w:hAnsi="宋体" w:eastAsia="宋体" w:cs="宋体"/>
          <w:b/>
          <w:bCs/>
          <w:color w:val="auto"/>
          <w:sz w:val="32"/>
          <w:szCs w:val="32"/>
          <w:highlight w:val="none"/>
        </w:rPr>
      </w:pPr>
    </w:p>
    <w:p w14:paraId="69DB6C94">
      <w:pPr>
        <w:pStyle w:val="23"/>
        <w:adjustRightInd w:val="0"/>
        <w:snapToGrid w:val="0"/>
        <w:spacing w:line="240" w:lineRule="atLeast"/>
        <w:jc w:val="center"/>
        <w:rPr>
          <w:rFonts w:hint="eastAsia" w:ascii="宋体" w:hAnsi="宋体" w:eastAsia="宋体" w:cs="宋体"/>
          <w:b/>
          <w:bCs/>
          <w:color w:val="auto"/>
          <w:sz w:val="44"/>
          <w:szCs w:val="44"/>
          <w:highlight w:val="none"/>
        </w:rPr>
      </w:pPr>
    </w:p>
    <w:p w14:paraId="2AD80777">
      <w:pPr>
        <w:pStyle w:val="23"/>
        <w:adjustRightInd w:val="0"/>
        <w:snapToGrid w:val="0"/>
        <w:spacing w:line="240" w:lineRule="atLeast"/>
        <w:jc w:val="center"/>
        <w:rPr>
          <w:rFonts w:hint="eastAsia" w:ascii="宋体" w:hAnsi="宋体" w:eastAsia="宋体" w:cs="宋体"/>
          <w:bCs/>
          <w:color w:val="auto"/>
          <w:highlight w:val="none"/>
        </w:rPr>
      </w:pPr>
    </w:p>
    <w:p w14:paraId="01182EE1">
      <w:pPr>
        <w:adjustRightInd w:val="0"/>
        <w:snapToGrid w:val="0"/>
        <w:spacing w:line="360" w:lineRule="auto"/>
        <w:ind w:firstLine="1205" w:firstLineChars="4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采购项目名称：</w:t>
      </w:r>
      <w:r>
        <w:rPr>
          <w:rFonts w:hint="eastAsia" w:ascii="宋体" w:hAnsi="宋体" w:cs="宋体"/>
          <w:color w:val="auto"/>
          <w:sz w:val="30"/>
          <w:szCs w:val="30"/>
          <w:highlight w:val="none"/>
          <w:u w:val="single"/>
          <w:lang w:eastAsia="zh-CN"/>
        </w:rPr>
        <w:t>湖南省南岭山地—湘江上游中央财政国土绿化示范项目郴州市九县（市）作业设计技术服务</w:t>
      </w:r>
      <w:r>
        <w:rPr>
          <w:rFonts w:hint="eastAsia" w:ascii="宋体" w:hAnsi="宋体" w:eastAsia="宋体" w:cs="宋体"/>
          <w:color w:val="auto"/>
          <w:sz w:val="30"/>
          <w:szCs w:val="30"/>
          <w:highlight w:val="none"/>
        </w:rPr>
        <w:t xml:space="preserve"> </w:t>
      </w:r>
    </w:p>
    <w:p w14:paraId="0775A17F">
      <w:pPr>
        <w:adjustRightInd w:val="0"/>
        <w:snapToGrid w:val="0"/>
        <w:spacing w:line="360" w:lineRule="auto"/>
        <w:ind w:firstLine="1054" w:firstLineChars="350"/>
        <w:rPr>
          <w:rFonts w:hint="eastAsia" w:ascii="宋体" w:hAnsi="宋体" w:cs="宋体"/>
          <w:b w:val="0"/>
          <w:bCs/>
          <w:color w:val="auto"/>
          <w:sz w:val="30"/>
          <w:szCs w:val="30"/>
          <w:highlight w:val="none"/>
          <w:u w:val="single"/>
          <w:lang w:eastAsia="zh-CN"/>
        </w:rPr>
      </w:pPr>
      <w:r>
        <w:rPr>
          <w:rFonts w:hint="eastAsia" w:ascii="宋体" w:hAnsi="宋体" w:cs="宋体"/>
          <w:b/>
          <w:color w:val="auto"/>
          <w:sz w:val="30"/>
          <w:szCs w:val="30"/>
          <w:highlight w:val="none"/>
          <w:lang w:eastAsia="zh-CN"/>
        </w:rPr>
        <w:t>政府采购计划编号</w:t>
      </w:r>
      <w:r>
        <w:rPr>
          <w:rFonts w:hint="eastAsia" w:ascii="宋体" w:hAnsi="宋体" w:eastAsia="宋体" w:cs="宋体"/>
          <w:b/>
          <w:color w:val="auto"/>
          <w:sz w:val="30"/>
          <w:szCs w:val="30"/>
          <w:highlight w:val="none"/>
        </w:rPr>
        <w:t>：</w:t>
      </w:r>
      <w:r>
        <w:rPr>
          <w:rFonts w:hint="eastAsia" w:ascii="宋体" w:hAnsi="宋体" w:eastAsia="宋体" w:cs="宋体"/>
          <w:b w:val="0"/>
          <w:bCs/>
          <w:color w:val="auto"/>
          <w:sz w:val="30"/>
          <w:szCs w:val="30"/>
          <w:highlight w:val="none"/>
          <w:u w:val="single"/>
        </w:rPr>
        <w:t xml:space="preserve"> </w:t>
      </w:r>
      <w:r>
        <w:rPr>
          <w:rFonts w:hint="eastAsia" w:ascii="宋体" w:hAnsi="宋体" w:cs="宋体"/>
          <w:b w:val="0"/>
          <w:bCs/>
          <w:color w:val="auto"/>
          <w:sz w:val="30"/>
          <w:szCs w:val="30"/>
          <w:highlight w:val="none"/>
          <w:u w:val="single"/>
          <w:lang w:eastAsia="zh-CN"/>
        </w:rPr>
        <w:t>郴财采计[2025]0037号</w:t>
      </w:r>
    </w:p>
    <w:p w14:paraId="05337A2C">
      <w:pPr>
        <w:adjustRightInd w:val="0"/>
        <w:snapToGrid w:val="0"/>
        <w:spacing w:line="360" w:lineRule="auto"/>
        <w:ind w:firstLine="1054" w:firstLineChars="350"/>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委托代理编号：</w:t>
      </w:r>
      <w:r>
        <w:rPr>
          <w:rFonts w:hint="eastAsia" w:ascii="宋体" w:hAnsi="宋体" w:cs="宋体"/>
          <w:b w:val="0"/>
          <w:bCs/>
          <w:color w:val="auto"/>
          <w:sz w:val="30"/>
          <w:szCs w:val="30"/>
          <w:highlight w:val="none"/>
          <w:u w:val="single"/>
          <w:lang w:eastAsia="zh-CN"/>
        </w:rPr>
        <w:t>ZKGSF(ZB)-20250368</w:t>
      </w:r>
    </w:p>
    <w:p w14:paraId="7B1BAE5E">
      <w:pPr>
        <w:adjustRightInd w:val="0"/>
        <w:snapToGrid w:val="0"/>
        <w:spacing w:line="360" w:lineRule="auto"/>
        <w:ind w:firstLine="1054" w:firstLineChars="35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采   购   人：</w:t>
      </w:r>
      <w:r>
        <w:rPr>
          <w:rFonts w:hint="eastAsia" w:ascii="宋体" w:hAnsi="宋体" w:eastAsia="宋体" w:cs="宋体"/>
          <w:b/>
          <w:color w:val="auto"/>
          <w:sz w:val="30"/>
          <w:szCs w:val="30"/>
          <w:highlight w:val="none"/>
          <w:u w:val="single"/>
        </w:rPr>
        <w:t xml:space="preserve"> </w:t>
      </w:r>
      <w:r>
        <w:rPr>
          <w:rFonts w:hint="eastAsia" w:ascii="宋体" w:hAnsi="宋体" w:cs="宋体"/>
          <w:color w:val="auto"/>
          <w:sz w:val="30"/>
          <w:szCs w:val="30"/>
          <w:highlight w:val="none"/>
          <w:u w:val="single"/>
          <w:lang w:eastAsia="zh-CN"/>
        </w:rPr>
        <w:t>郴州市林业局</w:t>
      </w:r>
      <w:r>
        <w:rPr>
          <w:rFonts w:hint="eastAsia" w:ascii="宋体" w:hAnsi="宋体" w:eastAsia="宋体" w:cs="宋体"/>
          <w:b/>
          <w:color w:val="auto"/>
          <w:sz w:val="30"/>
          <w:szCs w:val="30"/>
          <w:highlight w:val="none"/>
          <w:u w:val="single"/>
        </w:rPr>
        <w:t xml:space="preserve"> </w:t>
      </w:r>
    </w:p>
    <w:p w14:paraId="38F24F2E">
      <w:pPr>
        <w:adjustRightInd w:val="0"/>
        <w:snapToGrid w:val="0"/>
        <w:spacing w:line="360" w:lineRule="auto"/>
        <w:ind w:firstLine="1054" w:firstLineChars="350"/>
        <w:rPr>
          <w:rFonts w:hint="eastAsia" w:ascii="宋体" w:hAnsi="宋体" w:eastAsia="宋体" w:cs="宋体"/>
          <w:b/>
          <w:color w:val="auto"/>
          <w:sz w:val="32"/>
          <w:szCs w:val="21"/>
          <w:highlight w:val="none"/>
        </w:rPr>
      </w:pPr>
      <w:r>
        <w:rPr>
          <w:rFonts w:hint="eastAsia" w:ascii="宋体" w:hAnsi="宋体" w:eastAsia="宋体" w:cs="宋体"/>
          <w:b/>
          <w:color w:val="auto"/>
          <w:sz w:val="30"/>
          <w:szCs w:val="30"/>
          <w:highlight w:val="none"/>
        </w:rPr>
        <w:t>采购代理机构：</w:t>
      </w:r>
      <w:r>
        <w:rPr>
          <w:rFonts w:hint="eastAsia" w:ascii="宋体" w:hAnsi="宋体" w:eastAsia="宋体" w:cs="宋体"/>
          <w:b/>
          <w:color w:val="auto"/>
          <w:sz w:val="30"/>
          <w:szCs w:val="30"/>
          <w:highlight w:val="none"/>
          <w:u w:val="single"/>
        </w:rPr>
        <w:t xml:space="preserve"> </w:t>
      </w:r>
      <w:r>
        <w:rPr>
          <w:rFonts w:hint="eastAsia" w:ascii="宋体" w:hAnsi="宋体" w:cs="宋体"/>
          <w:b w:val="0"/>
          <w:bCs/>
          <w:color w:val="auto"/>
          <w:sz w:val="30"/>
          <w:szCs w:val="30"/>
          <w:highlight w:val="none"/>
          <w:u w:val="single"/>
          <w:lang w:eastAsia="zh-CN"/>
        </w:rPr>
        <w:t>中科高盛咨询集团有限公司</w:t>
      </w:r>
      <w:r>
        <w:rPr>
          <w:rFonts w:hint="eastAsia" w:ascii="宋体" w:hAnsi="宋体" w:eastAsia="宋体" w:cs="宋体"/>
          <w:b/>
          <w:color w:val="auto"/>
          <w:sz w:val="32"/>
          <w:szCs w:val="21"/>
          <w:highlight w:val="none"/>
          <w:u w:val="single"/>
        </w:rPr>
        <w:t xml:space="preserve"> </w:t>
      </w:r>
    </w:p>
    <w:p w14:paraId="6B79D17E">
      <w:pPr>
        <w:pStyle w:val="23"/>
        <w:adjustRightInd w:val="0"/>
        <w:snapToGrid w:val="0"/>
        <w:spacing w:line="360" w:lineRule="auto"/>
        <w:jc w:val="center"/>
        <w:rPr>
          <w:rFonts w:hint="eastAsia" w:ascii="宋体" w:hAnsi="宋体" w:eastAsia="宋体" w:cs="宋体"/>
          <w:bCs/>
          <w:color w:val="auto"/>
          <w:sz w:val="32"/>
          <w:szCs w:val="32"/>
          <w:highlight w:val="none"/>
        </w:rPr>
      </w:pPr>
    </w:p>
    <w:p w14:paraId="0E857A7A">
      <w:pPr>
        <w:pStyle w:val="23"/>
        <w:adjustRightInd w:val="0"/>
        <w:snapToGrid w:val="0"/>
        <w:spacing w:line="240" w:lineRule="atLeast"/>
        <w:jc w:val="center"/>
        <w:rPr>
          <w:rFonts w:hint="eastAsia" w:ascii="宋体" w:hAnsi="宋体" w:eastAsia="宋体" w:cs="宋体"/>
          <w:bCs/>
          <w:color w:val="auto"/>
          <w:sz w:val="32"/>
          <w:szCs w:val="32"/>
          <w:highlight w:val="none"/>
        </w:rPr>
      </w:pPr>
    </w:p>
    <w:p w14:paraId="031FF344">
      <w:pPr>
        <w:pStyle w:val="23"/>
        <w:adjustRightInd w:val="0"/>
        <w:snapToGrid w:val="0"/>
        <w:spacing w:line="240" w:lineRule="atLeast"/>
        <w:jc w:val="center"/>
        <w:rPr>
          <w:rFonts w:hint="eastAsia" w:ascii="宋体" w:hAnsi="宋体" w:eastAsia="宋体" w:cs="宋体"/>
          <w:bCs/>
          <w:color w:val="auto"/>
          <w:sz w:val="32"/>
          <w:szCs w:val="32"/>
          <w:highlight w:val="none"/>
        </w:rPr>
      </w:pPr>
    </w:p>
    <w:p w14:paraId="2F983405">
      <w:pPr>
        <w:pStyle w:val="23"/>
        <w:adjustRightInd w:val="0"/>
        <w:snapToGrid w:val="0"/>
        <w:spacing w:line="240" w:lineRule="atLeast"/>
        <w:jc w:val="center"/>
        <w:rPr>
          <w:rFonts w:hint="eastAsia" w:ascii="宋体" w:hAnsi="宋体" w:eastAsia="宋体" w:cs="宋体"/>
          <w:bCs/>
          <w:color w:val="auto"/>
          <w:sz w:val="32"/>
          <w:szCs w:val="32"/>
          <w:highlight w:val="none"/>
        </w:rPr>
      </w:pPr>
    </w:p>
    <w:p w14:paraId="50EA30BC">
      <w:pPr>
        <w:pStyle w:val="23"/>
        <w:adjustRightInd w:val="0"/>
        <w:snapToGrid w:val="0"/>
        <w:spacing w:line="240" w:lineRule="atLeast"/>
        <w:jc w:val="center"/>
        <w:rPr>
          <w:rFonts w:hint="eastAsia" w:ascii="宋体" w:hAnsi="宋体" w:eastAsia="宋体" w:cs="宋体"/>
          <w:bCs/>
          <w:color w:val="auto"/>
          <w:sz w:val="32"/>
          <w:szCs w:val="32"/>
          <w:highlight w:val="none"/>
        </w:rPr>
      </w:pPr>
    </w:p>
    <w:p w14:paraId="4ED2A519">
      <w:pPr>
        <w:pStyle w:val="23"/>
        <w:adjustRightInd w:val="0"/>
        <w:snapToGrid w:val="0"/>
        <w:spacing w:line="240" w:lineRule="atLeast"/>
        <w:jc w:val="center"/>
        <w:rPr>
          <w:rFonts w:hint="eastAsia" w:ascii="宋体" w:hAnsi="宋体" w:eastAsia="宋体" w:cs="宋体"/>
          <w:bCs/>
          <w:color w:val="auto"/>
          <w:sz w:val="32"/>
          <w:szCs w:val="32"/>
          <w:highlight w:val="none"/>
        </w:rPr>
      </w:pPr>
    </w:p>
    <w:p w14:paraId="0E84D3BE">
      <w:pPr>
        <w:pStyle w:val="23"/>
        <w:adjustRightInd w:val="0"/>
        <w:snapToGrid w:val="0"/>
        <w:spacing w:line="240" w:lineRule="atLeast"/>
        <w:jc w:val="center"/>
        <w:rPr>
          <w:rFonts w:hint="eastAsia" w:ascii="宋体" w:hAnsi="宋体" w:eastAsia="宋体" w:cs="宋体"/>
          <w:bCs/>
          <w:color w:val="auto"/>
          <w:sz w:val="32"/>
          <w:szCs w:val="32"/>
          <w:highlight w:val="none"/>
        </w:rPr>
      </w:pPr>
    </w:p>
    <w:p w14:paraId="6C3E3C43">
      <w:pPr>
        <w:pStyle w:val="23"/>
        <w:adjustRightInd w:val="0"/>
        <w:snapToGrid w:val="0"/>
        <w:spacing w:line="240" w:lineRule="atLeast"/>
        <w:jc w:val="center"/>
        <w:rPr>
          <w:rFonts w:hint="eastAsia" w:ascii="宋体" w:hAnsi="宋体" w:eastAsia="宋体" w:cs="宋体"/>
          <w:bCs/>
          <w:color w:val="auto"/>
          <w:sz w:val="32"/>
          <w:szCs w:val="32"/>
          <w:highlight w:val="none"/>
        </w:rPr>
      </w:pPr>
    </w:p>
    <w:p w14:paraId="1CD0B317">
      <w:pPr>
        <w:pStyle w:val="23"/>
        <w:adjustRightInd w:val="0"/>
        <w:snapToGrid w:val="0"/>
        <w:spacing w:line="240" w:lineRule="atLeast"/>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highlight w:val="none"/>
        </w:rPr>
        <w:t xml:space="preserve"> </w:t>
      </w:r>
      <w:r>
        <w:rPr>
          <w:rFonts w:hint="eastAsia" w:ascii="宋体" w:hAnsi="宋体" w:eastAsia="宋体" w:cs="宋体"/>
          <w:b/>
          <w:color w:val="auto"/>
          <w:sz w:val="32"/>
          <w:highlight w:val="none"/>
          <w:lang w:val="en-US" w:eastAsia="zh-CN"/>
        </w:rPr>
        <w:t>202</w:t>
      </w:r>
      <w:r>
        <w:rPr>
          <w:rFonts w:hint="eastAsia" w:hAnsi="宋体" w:cs="宋体"/>
          <w:b/>
          <w:color w:val="auto"/>
          <w:sz w:val="32"/>
          <w:highlight w:val="none"/>
          <w:lang w:val="en-US" w:eastAsia="zh-CN"/>
        </w:rPr>
        <w:t>5</w:t>
      </w:r>
      <w:r>
        <w:rPr>
          <w:rFonts w:hint="eastAsia" w:ascii="宋体" w:hAnsi="宋体" w:eastAsia="宋体" w:cs="宋体"/>
          <w:b/>
          <w:color w:val="auto"/>
          <w:sz w:val="32"/>
          <w:highlight w:val="none"/>
        </w:rPr>
        <w:t>年</w:t>
      </w:r>
      <w:r>
        <w:rPr>
          <w:rFonts w:hint="eastAsia" w:hAnsi="宋体" w:cs="宋体"/>
          <w:b/>
          <w:color w:val="auto"/>
          <w:sz w:val="32"/>
          <w:highlight w:val="none"/>
          <w:lang w:val="en-US" w:eastAsia="zh-CN"/>
        </w:rPr>
        <w:t>3</w:t>
      </w:r>
      <w:r>
        <w:rPr>
          <w:rFonts w:hint="eastAsia" w:ascii="宋体" w:hAnsi="宋体" w:eastAsia="宋体" w:cs="宋体"/>
          <w:b/>
          <w:color w:val="auto"/>
          <w:sz w:val="32"/>
          <w:highlight w:val="none"/>
        </w:rPr>
        <w:t>月</w:t>
      </w:r>
    </w:p>
    <w:p w14:paraId="5BA0DFA8">
      <w:pPr>
        <w:pStyle w:val="23"/>
        <w:adjustRightInd w:val="0"/>
        <w:snapToGrid w:val="0"/>
        <w:spacing w:line="240" w:lineRule="atLeast"/>
        <w:jc w:val="center"/>
        <w:rPr>
          <w:rFonts w:hint="eastAsia" w:ascii="宋体" w:hAnsi="宋体" w:eastAsia="宋体" w:cs="宋体"/>
          <w:b/>
          <w:bCs/>
          <w:color w:val="auto"/>
          <w:sz w:val="32"/>
          <w:szCs w:val="32"/>
          <w:highlight w:val="none"/>
        </w:rPr>
      </w:pPr>
    </w:p>
    <w:p w14:paraId="12F867C5">
      <w:pPr>
        <w:pStyle w:val="23"/>
        <w:adjustRightInd w:val="0"/>
        <w:snapToGrid w:val="0"/>
        <w:spacing w:line="240" w:lineRule="atLeast"/>
        <w:jc w:val="center"/>
        <w:rPr>
          <w:rFonts w:hint="eastAsia" w:ascii="宋体" w:hAnsi="宋体" w:eastAsia="宋体" w:cs="宋体"/>
          <w:b/>
          <w:bCs/>
          <w:color w:val="auto"/>
          <w:sz w:val="32"/>
          <w:szCs w:val="32"/>
          <w:highlight w:val="none"/>
        </w:rPr>
        <w:sectPr>
          <w:headerReference r:id="rId3" w:type="default"/>
          <w:pgSz w:w="11906" w:h="16838"/>
          <w:pgMar w:top="1440" w:right="1588" w:bottom="1440" w:left="1588" w:header="851" w:footer="992" w:gutter="0"/>
          <w:pgNumType w:fmt="decimal"/>
          <w:cols w:space="720" w:num="1"/>
          <w:docGrid w:type="lines" w:linePitch="312" w:charSpace="0"/>
        </w:sectPr>
      </w:pPr>
    </w:p>
    <w:p w14:paraId="4748A923">
      <w:pPr>
        <w:pStyle w:val="23"/>
        <w:adjustRightInd w:val="0"/>
        <w:snapToGrid w:val="0"/>
        <w:spacing w:line="360" w:lineRule="auto"/>
        <w:jc w:val="center"/>
        <w:rPr>
          <w:rFonts w:hint="eastAsia" w:ascii="宋体" w:hAnsi="宋体" w:eastAsia="宋体" w:cs="宋体"/>
          <w:b/>
          <w:color w:val="auto"/>
          <w:spacing w:val="160"/>
          <w:sz w:val="36"/>
          <w:szCs w:val="36"/>
          <w:highlight w:val="none"/>
        </w:rPr>
      </w:pPr>
    </w:p>
    <w:p w14:paraId="1223A2E1">
      <w:pPr>
        <w:pStyle w:val="23"/>
        <w:adjustRightInd w:val="0"/>
        <w:snapToGrid w:val="0"/>
        <w:spacing w:line="360" w:lineRule="auto"/>
        <w:jc w:val="center"/>
        <w:rPr>
          <w:rFonts w:hint="eastAsia" w:ascii="宋体" w:hAnsi="宋体" w:eastAsia="宋体" w:cs="宋体"/>
          <w:b/>
          <w:color w:val="auto"/>
          <w:spacing w:val="160"/>
          <w:sz w:val="36"/>
          <w:szCs w:val="36"/>
          <w:highlight w:val="none"/>
        </w:rPr>
      </w:pPr>
    </w:p>
    <w:p w14:paraId="6D9F5F75">
      <w:pPr>
        <w:pStyle w:val="23"/>
        <w:adjustRightInd w:val="0"/>
        <w:snapToGrid w:val="0"/>
        <w:spacing w:line="360" w:lineRule="auto"/>
        <w:jc w:val="center"/>
        <w:rPr>
          <w:rFonts w:hint="eastAsia" w:ascii="宋体" w:hAnsi="宋体" w:eastAsia="宋体" w:cs="宋体"/>
          <w:b/>
          <w:color w:val="auto"/>
          <w:spacing w:val="160"/>
          <w:sz w:val="36"/>
          <w:szCs w:val="36"/>
          <w:highlight w:val="none"/>
        </w:rPr>
      </w:pPr>
      <w:r>
        <w:rPr>
          <w:rFonts w:hint="eastAsia" w:ascii="宋体" w:hAnsi="宋体" w:eastAsia="宋体" w:cs="宋体"/>
          <w:b/>
          <w:color w:val="auto"/>
          <w:spacing w:val="160"/>
          <w:sz w:val="36"/>
          <w:szCs w:val="36"/>
          <w:highlight w:val="none"/>
        </w:rPr>
        <w:t>目录</w:t>
      </w:r>
    </w:p>
    <w:p w14:paraId="67180D34">
      <w:pPr>
        <w:pStyle w:val="29"/>
        <w:tabs>
          <w:tab w:val="right" w:leader="dot" w:pos="8844"/>
        </w:tabs>
        <w:rPr>
          <w:color w:val="auto"/>
          <w:highlight w:val="none"/>
        </w:rPr>
      </w:pPr>
      <w:r>
        <w:rPr>
          <w:rStyle w:val="47"/>
          <w:rFonts w:hint="eastAsia" w:ascii="宋体" w:hAnsi="宋体" w:eastAsia="宋体" w:cs="宋体"/>
          <w:b w:val="0"/>
          <w:color w:val="auto"/>
          <w:highlight w:val="none"/>
        </w:rPr>
        <w:fldChar w:fldCharType="begin"/>
      </w:r>
      <w:r>
        <w:rPr>
          <w:rStyle w:val="47"/>
          <w:rFonts w:hint="eastAsia" w:ascii="宋体" w:hAnsi="宋体" w:eastAsia="宋体" w:cs="宋体"/>
          <w:b w:val="0"/>
          <w:color w:val="auto"/>
          <w:highlight w:val="none"/>
        </w:rPr>
        <w:instrText xml:space="preserve"> TOC \o "1-4" \h \z \u </w:instrText>
      </w:r>
      <w:r>
        <w:rPr>
          <w:rStyle w:val="47"/>
          <w:rFonts w:hint="eastAsia" w:ascii="宋体" w:hAnsi="宋体" w:eastAsia="宋体" w:cs="宋体"/>
          <w:b w:val="0"/>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_Toc24023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2"/>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_Toc24023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highlight w:val="none"/>
        </w:rPr>
        <w:fldChar w:fldCharType="end"/>
      </w:r>
    </w:p>
    <w:p w14:paraId="2447310E">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_Toc12787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一、采购项目</w:t>
      </w:r>
      <w:r>
        <w:rPr>
          <w:rFonts w:hint="eastAsia" w:ascii="宋体" w:hAnsi="宋体" w:eastAsia="宋体" w:cs="宋体"/>
          <w:color w:val="auto"/>
          <w:szCs w:val="21"/>
          <w:highlight w:val="none"/>
          <w:lang w:val="en-US" w:eastAsia="zh-CN"/>
        </w:rPr>
        <w:t>基本信息</w:t>
      </w:r>
      <w:r>
        <w:rPr>
          <w:color w:val="auto"/>
          <w:highlight w:val="none"/>
        </w:rPr>
        <w:tab/>
      </w:r>
      <w:r>
        <w:rPr>
          <w:color w:val="auto"/>
          <w:highlight w:val="none"/>
        </w:rPr>
        <w:fldChar w:fldCharType="begin"/>
      </w:r>
      <w:r>
        <w:rPr>
          <w:color w:val="auto"/>
          <w:highlight w:val="none"/>
        </w:rPr>
        <w:instrText xml:space="preserve"> PAGEREF _Toc12787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highlight w:val="none"/>
        </w:rPr>
        <w:fldChar w:fldCharType="end"/>
      </w:r>
    </w:p>
    <w:p w14:paraId="4B146EEB">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二、采购人的采购需求（按包）</w:t>
      </w:r>
      <w:r>
        <w:rPr>
          <w:color w:val="auto"/>
          <w:highlight w:val="none"/>
        </w:rPr>
        <w:tab/>
      </w:r>
      <w:r>
        <w:rPr>
          <w:color w:val="auto"/>
          <w:highlight w:val="none"/>
        </w:rPr>
        <w:fldChar w:fldCharType="begin"/>
      </w:r>
      <w:r>
        <w:rPr>
          <w:color w:val="auto"/>
          <w:highlight w:val="none"/>
        </w:rPr>
        <w:instrText xml:space="preserve"> PAGEREF _Toc309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highlight w:val="none"/>
        </w:rPr>
        <w:fldChar w:fldCharType="end"/>
      </w:r>
    </w:p>
    <w:p w14:paraId="60699ED8">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_Toc28959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三、采购项目需落实的政府采购政策：</w:t>
      </w:r>
      <w:r>
        <w:rPr>
          <w:color w:val="auto"/>
          <w:highlight w:val="none"/>
        </w:rPr>
        <w:tab/>
      </w:r>
      <w:r>
        <w:rPr>
          <w:color w:val="auto"/>
          <w:highlight w:val="none"/>
        </w:rPr>
        <w:fldChar w:fldCharType="begin"/>
      </w:r>
      <w:r>
        <w:rPr>
          <w:color w:val="auto"/>
          <w:highlight w:val="none"/>
        </w:rPr>
        <w:instrText xml:space="preserve"> PAGEREF _Toc28959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color w:val="auto"/>
          <w:highlight w:val="none"/>
        </w:rPr>
        <w:fldChar w:fldCharType="end"/>
      </w:r>
    </w:p>
    <w:p w14:paraId="64C8DBF5">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_Toc1793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、投标人的资格要求：</w:t>
      </w:r>
      <w:r>
        <w:rPr>
          <w:color w:val="auto"/>
          <w:highlight w:val="none"/>
        </w:rPr>
        <w:tab/>
      </w:r>
      <w:r>
        <w:rPr>
          <w:color w:val="auto"/>
          <w:highlight w:val="none"/>
        </w:rPr>
        <w:fldChar w:fldCharType="begin"/>
      </w:r>
      <w:r>
        <w:rPr>
          <w:color w:val="auto"/>
          <w:highlight w:val="none"/>
        </w:rPr>
        <w:instrText xml:space="preserve"> PAGEREF _Toc1793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color w:val="auto"/>
          <w:highlight w:val="none"/>
        </w:rPr>
        <w:fldChar w:fldCharType="end"/>
      </w:r>
    </w:p>
    <w:p w14:paraId="675654A4">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_Toc22634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rPr>
        <w:t>、获取电子招标文件的时间、期限、方式</w:t>
      </w:r>
      <w:r>
        <w:rPr>
          <w:color w:val="auto"/>
          <w:highlight w:val="none"/>
        </w:rPr>
        <w:tab/>
      </w:r>
      <w:r>
        <w:rPr>
          <w:color w:val="auto"/>
          <w:highlight w:val="none"/>
        </w:rPr>
        <w:fldChar w:fldCharType="begin"/>
      </w:r>
      <w:r>
        <w:rPr>
          <w:color w:val="auto"/>
          <w:highlight w:val="none"/>
        </w:rPr>
        <w:instrText xml:space="preserve"> PAGEREF _Toc22634 \h </w:instrText>
      </w:r>
      <w:r>
        <w:rPr>
          <w:color w:val="auto"/>
          <w:highlight w:val="none"/>
        </w:rPr>
        <w:fldChar w:fldCharType="separate"/>
      </w:r>
      <w:r>
        <w:rPr>
          <w:color w:val="auto"/>
          <w:highlight w:val="none"/>
        </w:rPr>
        <w:t>8</w:t>
      </w:r>
      <w:r>
        <w:rPr>
          <w:color w:val="auto"/>
          <w:highlight w:val="none"/>
        </w:rPr>
        <w:fldChar w:fldCharType="end"/>
      </w:r>
      <w:r>
        <w:rPr>
          <w:rFonts w:hint="eastAsia" w:ascii="宋体" w:hAnsi="宋体" w:eastAsia="宋体" w:cs="宋体"/>
          <w:color w:val="auto"/>
          <w:highlight w:val="none"/>
        </w:rPr>
        <w:fldChar w:fldCharType="end"/>
      </w:r>
    </w:p>
    <w:p w14:paraId="440DB360">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_Toc7985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六</w:t>
      </w:r>
      <w:r>
        <w:rPr>
          <w:rFonts w:hint="eastAsia" w:ascii="宋体" w:hAnsi="宋体" w:eastAsia="宋体" w:cs="宋体"/>
          <w:color w:val="auto"/>
          <w:szCs w:val="21"/>
          <w:highlight w:val="none"/>
        </w:rPr>
        <w:t>、投标截止时间、开标时间、开标地点</w:t>
      </w:r>
      <w:r>
        <w:rPr>
          <w:color w:val="auto"/>
          <w:highlight w:val="none"/>
        </w:rPr>
        <w:tab/>
      </w:r>
      <w:r>
        <w:rPr>
          <w:color w:val="auto"/>
          <w:highlight w:val="none"/>
        </w:rPr>
        <w:fldChar w:fldCharType="begin"/>
      </w:r>
      <w:r>
        <w:rPr>
          <w:color w:val="auto"/>
          <w:highlight w:val="none"/>
        </w:rPr>
        <w:instrText xml:space="preserve"> PAGEREF _Toc7985 \h </w:instrText>
      </w:r>
      <w:r>
        <w:rPr>
          <w:color w:val="auto"/>
          <w:highlight w:val="none"/>
        </w:rPr>
        <w:fldChar w:fldCharType="separate"/>
      </w:r>
      <w:r>
        <w:rPr>
          <w:color w:val="auto"/>
          <w:highlight w:val="none"/>
        </w:rPr>
        <w:t>8</w:t>
      </w:r>
      <w:r>
        <w:rPr>
          <w:color w:val="auto"/>
          <w:highlight w:val="none"/>
        </w:rPr>
        <w:fldChar w:fldCharType="end"/>
      </w:r>
      <w:r>
        <w:rPr>
          <w:rFonts w:hint="eastAsia" w:ascii="宋体" w:hAnsi="宋体" w:eastAsia="宋体" w:cs="宋体"/>
          <w:color w:val="auto"/>
          <w:highlight w:val="none"/>
        </w:rPr>
        <w:fldChar w:fldCharType="end"/>
      </w:r>
    </w:p>
    <w:p w14:paraId="000F2FA3">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_Toc32071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七</w:t>
      </w:r>
      <w:r>
        <w:rPr>
          <w:rFonts w:hint="eastAsia" w:ascii="宋体" w:hAnsi="宋体" w:eastAsia="宋体" w:cs="宋体"/>
          <w:color w:val="auto"/>
          <w:szCs w:val="21"/>
          <w:highlight w:val="none"/>
        </w:rPr>
        <w:t>、招标文件公告期限：</w:t>
      </w:r>
      <w:r>
        <w:rPr>
          <w:color w:val="auto"/>
          <w:highlight w:val="none"/>
        </w:rPr>
        <w:tab/>
      </w:r>
      <w:r>
        <w:rPr>
          <w:color w:val="auto"/>
          <w:highlight w:val="none"/>
        </w:rPr>
        <w:fldChar w:fldCharType="begin"/>
      </w:r>
      <w:r>
        <w:rPr>
          <w:color w:val="auto"/>
          <w:highlight w:val="none"/>
        </w:rPr>
        <w:instrText xml:space="preserve"> PAGEREF _Toc32071 \h </w:instrText>
      </w:r>
      <w:r>
        <w:rPr>
          <w:color w:val="auto"/>
          <w:highlight w:val="none"/>
        </w:rPr>
        <w:fldChar w:fldCharType="separate"/>
      </w:r>
      <w:r>
        <w:rPr>
          <w:color w:val="auto"/>
          <w:highlight w:val="none"/>
        </w:rPr>
        <w:t>8</w:t>
      </w:r>
      <w:r>
        <w:rPr>
          <w:color w:val="auto"/>
          <w:highlight w:val="none"/>
        </w:rPr>
        <w:fldChar w:fldCharType="end"/>
      </w:r>
      <w:r>
        <w:rPr>
          <w:rFonts w:hint="eastAsia" w:ascii="宋体" w:hAnsi="宋体" w:eastAsia="宋体" w:cs="宋体"/>
          <w:color w:val="auto"/>
          <w:highlight w:val="none"/>
        </w:rPr>
        <w:fldChar w:fldCharType="end"/>
      </w:r>
    </w:p>
    <w:p w14:paraId="227FBD7A">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_Toc24950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八</w:t>
      </w:r>
      <w:r>
        <w:rPr>
          <w:rFonts w:hint="eastAsia" w:ascii="宋体" w:hAnsi="宋体" w:eastAsia="宋体" w:cs="宋体"/>
          <w:color w:val="auto"/>
          <w:szCs w:val="21"/>
          <w:highlight w:val="none"/>
        </w:rPr>
        <w:t>、疑问及质疑：</w:t>
      </w:r>
      <w:r>
        <w:rPr>
          <w:color w:val="auto"/>
          <w:highlight w:val="none"/>
        </w:rPr>
        <w:tab/>
      </w:r>
      <w:r>
        <w:rPr>
          <w:color w:val="auto"/>
          <w:highlight w:val="none"/>
        </w:rPr>
        <w:fldChar w:fldCharType="begin"/>
      </w:r>
      <w:r>
        <w:rPr>
          <w:color w:val="auto"/>
          <w:highlight w:val="none"/>
        </w:rPr>
        <w:instrText xml:space="preserve"> PAGEREF _Toc24950 \h </w:instrText>
      </w:r>
      <w:r>
        <w:rPr>
          <w:color w:val="auto"/>
          <w:highlight w:val="none"/>
        </w:rPr>
        <w:fldChar w:fldCharType="separate"/>
      </w:r>
      <w:r>
        <w:rPr>
          <w:color w:val="auto"/>
          <w:highlight w:val="none"/>
        </w:rPr>
        <w:t>9</w:t>
      </w:r>
      <w:r>
        <w:rPr>
          <w:color w:val="auto"/>
          <w:highlight w:val="none"/>
        </w:rPr>
        <w:fldChar w:fldCharType="end"/>
      </w:r>
      <w:r>
        <w:rPr>
          <w:rFonts w:hint="eastAsia" w:ascii="宋体" w:hAnsi="宋体" w:eastAsia="宋体" w:cs="宋体"/>
          <w:color w:val="auto"/>
          <w:highlight w:val="none"/>
        </w:rPr>
        <w:fldChar w:fldCharType="end"/>
      </w:r>
    </w:p>
    <w:p w14:paraId="324F7382">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_Toc14464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九</w:t>
      </w:r>
      <w:r>
        <w:rPr>
          <w:rFonts w:hint="eastAsia" w:ascii="宋体" w:hAnsi="宋体" w:eastAsia="宋体" w:cs="宋体"/>
          <w:color w:val="auto"/>
          <w:szCs w:val="21"/>
          <w:highlight w:val="none"/>
        </w:rPr>
        <w:t>、对本次招标提出询问，请按以下方式联系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_Toc14464 \h </w:instrText>
      </w:r>
      <w:r>
        <w:rPr>
          <w:color w:val="auto"/>
          <w:highlight w:val="none"/>
        </w:rPr>
        <w:fldChar w:fldCharType="separate"/>
      </w:r>
      <w:r>
        <w:rPr>
          <w:color w:val="auto"/>
          <w:highlight w:val="none"/>
        </w:rPr>
        <w:t>9</w:t>
      </w:r>
      <w:r>
        <w:rPr>
          <w:color w:val="auto"/>
          <w:highlight w:val="none"/>
        </w:rPr>
        <w:fldChar w:fldCharType="end"/>
      </w:r>
      <w:r>
        <w:rPr>
          <w:rFonts w:hint="eastAsia" w:ascii="宋体" w:hAnsi="宋体" w:eastAsia="宋体" w:cs="宋体"/>
          <w:color w:val="auto"/>
          <w:highlight w:val="none"/>
        </w:rPr>
        <w:fldChar w:fldCharType="end"/>
      </w:r>
    </w:p>
    <w:p w14:paraId="498AE66A">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_Toc27597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val="en-US" w:eastAsia="zh-CN"/>
        </w:rPr>
        <w:t>十</w:t>
      </w:r>
      <w:r>
        <w:rPr>
          <w:rFonts w:hint="eastAsia" w:ascii="宋体" w:hAnsi="宋体" w:eastAsia="宋体" w:cs="宋体"/>
          <w:color w:val="auto"/>
          <w:szCs w:val="21"/>
          <w:highlight w:val="none"/>
        </w:rPr>
        <w:t>、其它补充事宜</w:t>
      </w:r>
      <w:r>
        <w:rPr>
          <w:color w:val="auto"/>
          <w:highlight w:val="none"/>
        </w:rPr>
        <w:tab/>
      </w:r>
      <w:r>
        <w:rPr>
          <w:color w:val="auto"/>
          <w:highlight w:val="none"/>
        </w:rPr>
        <w:fldChar w:fldCharType="begin"/>
      </w:r>
      <w:r>
        <w:rPr>
          <w:color w:val="auto"/>
          <w:highlight w:val="none"/>
        </w:rPr>
        <w:instrText xml:space="preserve"> PAGEREF _Toc27597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48B8E255">
      <w:pPr>
        <w:pStyle w:val="29"/>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_Toc7958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2"/>
          <w:highlight w:val="none"/>
        </w:rPr>
        <w:t>第二章 投标须知</w:t>
      </w:r>
      <w:r>
        <w:rPr>
          <w:color w:val="auto"/>
          <w:highlight w:val="none"/>
        </w:rPr>
        <w:tab/>
      </w:r>
      <w:r>
        <w:rPr>
          <w:color w:val="auto"/>
          <w:highlight w:val="none"/>
        </w:rPr>
        <w:fldChar w:fldCharType="begin"/>
      </w:r>
      <w:r>
        <w:rPr>
          <w:color w:val="auto"/>
          <w:highlight w:val="none"/>
        </w:rPr>
        <w:instrText xml:space="preserve"> PAGEREF _Toc7958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highlight w:val="none"/>
        </w:rPr>
        <w:fldChar w:fldCharType="end"/>
      </w:r>
    </w:p>
    <w:p w14:paraId="1F083843">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_Toc31325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第一节 投标须知前附表</w:t>
      </w:r>
      <w:r>
        <w:rPr>
          <w:color w:val="auto"/>
          <w:highlight w:val="none"/>
        </w:rPr>
        <w:tab/>
      </w:r>
      <w:r>
        <w:rPr>
          <w:color w:val="auto"/>
          <w:highlight w:val="none"/>
        </w:rPr>
        <w:fldChar w:fldCharType="begin"/>
      </w:r>
      <w:r>
        <w:rPr>
          <w:color w:val="auto"/>
          <w:highlight w:val="none"/>
        </w:rPr>
        <w:instrText xml:space="preserve"> PAGEREF _Toc31325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highlight w:val="none"/>
        </w:rPr>
        <w:fldChar w:fldCharType="end"/>
      </w:r>
    </w:p>
    <w:p w14:paraId="7ADBD3A3">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_Toc13076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第二节 投标须知</w:t>
      </w:r>
      <w:r>
        <w:rPr>
          <w:color w:val="auto"/>
          <w:highlight w:val="none"/>
        </w:rPr>
        <w:tab/>
      </w:r>
      <w:r>
        <w:rPr>
          <w:color w:val="auto"/>
          <w:highlight w:val="none"/>
        </w:rPr>
        <w:fldChar w:fldCharType="begin"/>
      </w:r>
      <w:r>
        <w:rPr>
          <w:color w:val="auto"/>
          <w:highlight w:val="none"/>
        </w:rPr>
        <w:instrText xml:space="preserve"> PAGEREF _Toc13076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color w:val="auto"/>
          <w:highlight w:val="none"/>
        </w:rPr>
        <w:fldChar w:fldCharType="end"/>
      </w:r>
    </w:p>
    <w:p w14:paraId="7CDA28A2">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_Toc27519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一、总则</w:t>
      </w:r>
      <w:r>
        <w:rPr>
          <w:color w:val="auto"/>
          <w:highlight w:val="none"/>
        </w:rPr>
        <w:tab/>
      </w:r>
      <w:r>
        <w:rPr>
          <w:color w:val="auto"/>
          <w:highlight w:val="none"/>
        </w:rPr>
        <w:fldChar w:fldCharType="begin"/>
      </w:r>
      <w:r>
        <w:rPr>
          <w:color w:val="auto"/>
          <w:highlight w:val="none"/>
        </w:rPr>
        <w:instrText xml:space="preserve"> PAGEREF _Toc27519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color w:val="auto"/>
          <w:highlight w:val="none"/>
        </w:rPr>
        <w:fldChar w:fldCharType="end"/>
      </w:r>
    </w:p>
    <w:p w14:paraId="09B53B47">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_Toc5118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二、招标文件</w:t>
      </w:r>
      <w:r>
        <w:rPr>
          <w:color w:val="auto"/>
          <w:highlight w:val="none"/>
        </w:rPr>
        <w:tab/>
      </w:r>
      <w:r>
        <w:rPr>
          <w:color w:val="auto"/>
          <w:highlight w:val="none"/>
        </w:rPr>
        <w:fldChar w:fldCharType="begin"/>
      </w:r>
      <w:r>
        <w:rPr>
          <w:color w:val="auto"/>
          <w:highlight w:val="none"/>
        </w:rPr>
        <w:instrText xml:space="preserve"> PAGEREF _Toc5118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highlight w:val="none"/>
        </w:rPr>
        <w:fldChar w:fldCharType="end"/>
      </w:r>
    </w:p>
    <w:p w14:paraId="39C27115">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_Toc30957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三、投标文件</w:t>
      </w:r>
      <w:r>
        <w:rPr>
          <w:color w:val="auto"/>
          <w:highlight w:val="none"/>
        </w:rPr>
        <w:tab/>
      </w:r>
      <w:r>
        <w:rPr>
          <w:color w:val="auto"/>
          <w:highlight w:val="none"/>
        </w:rPr>
        <w:fldChar w:fldCharType="begin"/>
      </w:r>
      <w:r>
        <w:rPr>
          <w:color w:val="auto"/>
          <w:highlight w:val="none"/>
        </w:rPr>
        <w:instrText xml:space="preserve"> PAGEREF _Toc30957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color w:val="auto"/>
          <w:highlight w:val="none"/>
        </w:rPr>
        <w:fldChar w:fldCharType="end"/>
      </w:r>
    </w:p>
    <w:p w14:paraId="72A6F375">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_Toc29644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四、 投标</w:t>
      </w:r>
      <w:r>
        <w:rPr>
          <w:color w:val="auto"/>
          <w:highlight w:val="none"/>
        </w:rPr>
        <w:tab/>
      </w:r>
      <w:r>
        <w:rPr>
          <w:color w:val="auto"/>
          <w:highlight w:val="none"/>
        </w:rPr>
        <w:fldChar w:fldCharType="begin"/>
      </w:r>
      <w:r>
        <w:rPr>
          <w:color w:val="auto"/>
          <w:highlight w:val="none"/>
        </w:rPr>
        <w:instrText xml:space="preserve"> PAGEREF _Toc29644 \h </w:instrText>
      </w:r>
      <w:r>
        <w:rPr>
          <w:color w:val="auto"/>
          <w:highlight w:val="none"/>
        </w:rPr>
        <w:fldChar w:fldCharType="separate"/>
      </w:r>
      <w:r>
        <w:rPr>
          <w:color w:val="auto"/>
          <w:highlight w:val="none"/>
        </w:rPr>
        <w:t>22</w:t>
      </w:r>
      <w:r>
        <w:rPr>
          <w:color w:val="auto"/>
          <w:highlight w:val="none"/>
        </w:rPr>
        <w:fldChar w:fldCharType="end"/>
      </w:r>
      <w:r>
        <w:rPr>
          <w:rFonts w:hint="eastAsia" w:ascii="宋体" w:hAnsi="宋体" w:eastAsia="宋体" w:cs="宋体"/>
          <w:color w:val="auto"/>
          <w:highlight w:val="none"/>
        </w:rPr>
        <w:fldChar w:fldCharType="end"/>
      </w:r>
    </w:p>
    <w:p w14:paraId="1AB4F84A">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_Toc30559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五、开标，资格审查和评标</w:t>
      </w:r>
      <w:r>
        <w:rPr>
          <w:color w:val="auto"/>
          <w:highlight w:val="none"/>
        </w:rPr>
        <w:tab/>
      </w:r>
      <w:r>
        <w:rPr>
          <w:color w:val="auto"/>
          <w:highlight w:val="none"/>
        </w:rPr>
        <w:fldChar w:fldCharType="begin"/>
      </w:r>
      <w:r>
        <w:rPr>
          <w:color w:val="auto"/>
          <w:highlight w:val="none"/>
        </w:rPr>
        <w:instrText xml:space="preserve"> PAGEREF _Toc30559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eastAsia="宋体" w:cs="宋体"/>
          <w:color w:val="auto"/>
          <w:highlight w:val="none"/>
        </w:rPr>
        <w:fldChar w:fldCharType="end"/>
      </w:r>
    </w:p>
    <w:p w14:paraId="7F964839">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_Toc31877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六、中标信息公布</w:t>
      </w:r>
      <w:r>
        <w:rPr>
          <w:color w:val="auto"/>
          <w:highlight w:val="none"/>
        </w:rPr>
        <w:tab/>
      </w:r>
      <w:r>
        <w:rPr>
          <w:color w:val="auto"/>
          <w:highlight w:val="none"/>
        </w:rPr>
        <w:fldChar w:fldCharType="begin"/>
      </w:r>
      <w:r>
        <w:rPr>
          <w:color w:val="auto"/>
          <w:highlight w:val="none"/>
        </w:rPr>
        <w:instrText xml:space="preserve"> PAGEREF _Toc31877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7B0D3335">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_Toc14372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七、合同签订</w:t>
      </w:r>
      <w:r>
        <w:rPr>
          <w:color w:val="auto"/>
          <w:highlight w:val="none"/>
        </w:rPr>
        <w:tab/>
      </w:r>
      <w:r>
        <w:rPr>
          <w:color w:val="auto"/>
          <w:highlight w:val="none"/>
        </w:rPr>
        <w:fldChar w:fldCharType="begin"/>
      </w:r>
      <w:r>
        <w:rPr>
          <w:color w:val="auto"/>
          <w:highlight w:val="none"/>
        </w:rPr>
        <w:instrText xml:space="preserve"> PAGEREF _Toc14372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eastAsia="宋体" w:cs="宋体"/>
          <w:color w:val="auto"/>
          <w:highlight w:val="none"/>
        </w:rPr>
        <w:fldChar w:fldCharType="end"/>
      </w:r>
    </w:p>
    <w:p w14:paraId="77EC7062">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_Toc29694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八、政府采购政策</w:t>
      </w:r>
      <w:r>
        <w:rPr>
          <w:color w:val="auto"/>
          <w:highlight w:val="none"/>
        </w:rPr>
        <w:tab/>
      </w:r>
      <w:r>
        <w:rPr>
          <w:color w:val="auto"/>
          <w:highlight w:val="none"/>
        </w:rPr>
        <w:fldChar w:fldCharType="begin"/>
      </w:r>
      <w:r>
        <w:rPr>
          <w:color w:val="auto"/>
          <w:highlight w:val="none"/>
        </w:rPr>
        <w:instrText xml:space="preserve"> PAGEREF _Toc29694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eastAsia="宋体" w:cs="宋体"/>
          <w:color w:val="auto"/>
          <w:highlight w:val="none"/>
        </w:rPr>
        <w:fldChar w:fldCharType="end"/>
      </w:r>
    </w:p>
    <w:p w14:paraId="283CB3DC">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_Toc17533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九、其他规定</w:t>
      </w:r>
      <w:r>
        <w:rPr>
          <w:color w:val="auto"/>
          <w:highlight w:val="none"/>
        </w:rPr>
        <w:tab/>
      </w:r>
      <w:r>
        <w:rPr>
          <w:color w:val="auto"/>
          <w:highlight w:val="none"/>
        </w:rPr>
        <w:fldChar w:fldCharType="begin"/>
      </w:r>
      <w:r>
        <w:rPr>
          <w:color w:val="auto"/>
          <w:highlight w:val="none"/>
        </w:rPr>
        <w:instrText xml:space="preserve"> PAGEREF _Toc17533 \h </w:instrText>
      </w:r>
      <w:r>
        <w:rPr>
          <w:color w:val="auto"/>
          <w:highlight w:val="none"/>
        </w:rPr>
        <w:fldChar w:fldCharType="separate"/>
      </w:r>
      <w:r>
        <w:rPr>
          <w:color w:val="auto"/>
          <w:highlight w:val="none"/>
        </w:rPr>
        <w:t>29</w:t>
      </w:r>
      <w:r>
        <w:rPr>
          <w:color w:val="auto"/>
          <w:highlight w:val="none"/>
        </w:rPr>
        <w:fldChar w:fldCharType="end"/>
      </w:r>
      <w:r>
        <w:rPr>
          <w:rFonts w:hint="eastAsia" w:ascii="宋体" w:hAnsi="宋体" w:eastAsia="宋体" w:cs="宋体"/>
          <w:color w:val="auto"/>
          <w:highlight w:val="none"/>
        </w:rPr>
        <w:fldChar w:fldCharType="end"/>
      </w:r>
    </w:p>
    <w:p w14:paraId="4A5A7113">
      <w:pPr>
        <w:pStyle w:val="29"/>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_Toc5705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2"/>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_Toc5705 \h </w:instrText>
      </w:r>
      <w:r>
        <w:rPr>
          <w:color w:val="auto"/>
          <w:highlight w:val="none"/>
        </w:rPr>
        <w:fldChar w:fldCharType="separate"/>
      </w:r>
      <w:r>
        <w:rPr>
          <w:color w:val="auto"/>
          <w:highlight w:val="none"/>
        </w:rPr>
        <w:t>31</w:t>
      </w:r>
      <w:r>
        <w:rPr>
          <w:color w:val="auto"/>
          <w:highlight w:val="none"/>
        </w:rPr>
        <w:fldChar w:fldCharType="end"/>
      </w:r>
      <w:r>
        <w:rPr>
          <w:rFonts w:hint="eastAsia" w:ascii="宋体" w:hAnsi="宋体" w:eastAsia="宋体" w:cs="宋体"/>
          <w:color w:val="auto"/>
          <w:highlight w:val="none"/>
        </w:rPr>
        <w:fldChar w:fldCharType="end"/>
      </w:r>
    </w:p>
    <w:p w14:paraId="2DB35D7C">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_Toc10428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1．资格审查主体</w:t>
      </w:r>
      <w:r>
        <w:rPr>
          <w:color w:val="auto"/>
          <w:highlight w:val="none"/>
        </w:rPr>
        <w:tab/>
      </w:r>
      <w:r>
        <w:rPr>
          <w:color w:val="auto"/>
          <w:highlight w:val="none"/>
        </w:rPr>
        <w:fldChar w:fldCharType="begin"/>
      </w:r>
      <w:r>
        <w:rPr>
          <w:color w:val="auto"/>
          <w:highlight w:val="none"/>
        </w:rPr>
        <w:instrText xml:space="preserve"> PAGEREF _Toc10428 \h </w:instrText>
      </w:r>
      <w:r>
        <w:rPr>
          <w:color w:val="auto"/>
          <w:highlight w:val="none"/>
        </w:rPr>
        <w:fldChar w:fldCharType="separate"/>
      </w:r>
      <w:r>
        <w:rPr>
          <w:color w:val="auto"/>
          <w:highlight w:val="none"/>
        </w:rPr>
        <w:t>31</w:t>
      </w:r>
      <w:r>
        <w:rPr>
          <w:color w:val="auto"/>
          <w:highlight w:val="none"/>
        </w:rPr>
        <w:fldChar w:fldCharType="end"/>
      </w:r>
      <w:r>
        <w:rPr>
          <w:rFonts w:hint="eastAsia" w:ascii="宋体" w:hAnsi="宋体" w:eastAsia="宋体" w:cs="宋体"/>
          <w:color w:val="auto"/>
          <w:highlight w:val="none"/>
        </w:rPr>
        <w:fldChar w:fldCharType="end"/>
      </w:r>
    </w:p>
    <w:p w14:paraId="70787ED7">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_Toc9425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2．资格审查</w:t>
      </w:r>
      <w:r>
        <w:rPr>
          <w:color w:val="auto"/>
          <w:highlight w:val="none"/>
        </w:rPr>
        <w:tab/>
      </w:r>
      <w:r>
        <w:rPr>
          <w:color w:val="auto"/>
          <w:highlight w:val="none"/>
        </w:rPr>
        <w:fldChar w:fldCharType="begin"/>
      </w:r>
      <w:r>
        <w:rPr>
          <w:color w:val="auto"/>
          <w:highlight w:val="none"/>
        </w:rPr>
        <w:instrText xml:space="preserve"> PAGEREF _Toc9425 \h </w:instrText>
      </w:r>
      <w:r>
        <w:rPr>
          <w:color w:val="auto"/>
          <w:highlight w:val="none"/>
        </w:rPr>
        <w:fldChar w:fldCharType="separate"/>
      </w:r>
      <w:r>
        <w:rPr>
          <w:color w:val="auto"/>
          <w:highlight w:val="none"/>
        </w:rPr>
        <w:t>31</w:t>
      </w:r>
      <w:r>
        <w:rPr>
          <w:color w:val="auto"/>
          <w:highlight w:val="none"/>
        </w:rPr>
        <w:fldChar w:fldCharType="end"/>
      </w:r>
      <w:r>
        <w:rPr>
          <w:rFonts w:hint="eastAsia" w:ascii="宋体" w:hAnsi="宋体" w:eastAsia="宋体" w:cs="宋体"/>
          <w:color w:val="auto"/>
          <w:highlight w:val="none"/>
        </w:rPr>
        <w:fldChar w:fldCharType="end"/>
      </w:r>
    </w:p>
    <w:p w14:paraId="61682ABF">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_Toc30072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3．资格审查结果</w:t>
      </w:r>
      <w:r>
        <w:rPr>
          <w:color w:val="auto"/>
          <w:highlight w:val="none"/>
        </w:rPr>
        <w:tab/>
      </w:r>
      <w:r>
        <w:rPr>
          <w:color w:val="auto"/>
          <w:highlight w:val="none"/>
        </w:rPr>
        <w:fldChar w:fldCharType="begin"/>
      </w:r>
      <w:r>
        <w:rPr>
          <w:color w:val="auto"/>
          <w:highlight w:val="none"/>
        </w:rPr>
        <w:instrText xml:space="preserve"> PAGEREF _Toc30072 \h </w:instrText>
      </w:r>
      <w:r>
        <w:rPr>
          <w:color w:val="auto"/>
          <w:highlight w:val="none"/>
        </w:rPr>
        <w:fldChar w:fldCharType="separate"/>
      </w:r>
      <w:r>
        <w:rPr>
          <w:color w:val="auto"/>
          <w:highlight w:val="none"/>
        </w:rPr>
        <w:t>32</w:t>
      </w:r>
      <w:r>
        <w:rPr>
          <w:color w:val="auto"/>
          <w:highlight w:val="none"/>
        </w:rPr>
        <w:fldChar w:fldCharType="end"/>
      </w:r>
      <w:r>
        <w:rPr>
          <w:rFonts w:hint="eastAsia" w:ascii="宋体" w:hAnsi="宋体" w:eastAsia="宋体" w:cs="宋体"/>
          <w:color w:val="auto"/>
          <w:highlight w:val="none"/>
        </w:rPr>
        <w:fldChar w:fldCharType="end"/>
      </w:r>
    </w:p>
    <w:p w14:paraId="4F0F83EF">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_Toc22337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附表1资格审查表</w:t>
      </w:r>
      <w:r>
        <w:rPr>
          <w:color w:val="auto"/>
          <w:highlight w:val="none"/>
        </w:rPr>
        <w:tab/>
      </w:r>
      <w:r>
        <w:rPr>
          <w:color w:val="auto"/>
          <w:highlight w:val="none"/>
        </w:rPr>
        <w:fldChar w:fldCharType="begin"/>
      </w:r>
      <w:r>
        <w:rPr>
          <w:color w:val="auto"/>
          <w:highlight w:val="none"/>
        </w:rPr>
        <w:instrText xml:space="preserve"> PAGEREF _Toc22337 \h </w:instrText>
      </w:r>
      <w:r>
        <w:rPr>
          <w:color w:val="auto"/>
          <w:highlight w:val="none"/>
        </w:rPr>
        <w:fldChar w:fldCharType="separate"/>
      </w:r>
      <w:r>
        <w:rPr>
          <w:color w:val="auto"/>
          <w:highlight w:val="none"/>
        </w:rPr>
        <w:t>33</w:t>
      </w:r>
      <w:r>
        <w:rPr>
          <w:color w:val="auto"/>
          <w:highlight w:val="none"/>
        </w:rPr>
        <w:fldChar w:fldCharType="end"/>
      </w:r>
      <w:r>
        <w:rPr>
          <w:rFonts w:hint="eastAsia" w:ascii="宋体" w:hAnsi="宋体" w:eastAsia="宋体" w:cs="宋体"/>
          <w:color w:val="auto"/>
          <w:highlight w:val="none"/>
        </w:rPr>
        <w:fldChar w:fldCharType="end"/>
      </w:r>
    </w:p>
    <w:p w14:paraId="61E3BAE1">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_Toc3931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附表2 资格审查结果一览表</w:t>
      </w:r>
      <w:r>
        <w:rPr>
          <w:color w:val="auto"/>
          <w:highlight w:val="none"/>
        </w:rPr>
        <w:tab/>
      </w:r>
      <w:r>
        <w:rPr>
          <w:color w:val="auto"/>
          <w:highlight w:val="none"/>
        </w:rPr>
        <w:fldChar w:fldCharType="begin"/>
      </w:r>
      <w:r>
        <w:rPr>
          <w:color w:val="auto"/>
          <w:highlight w:val="none"/>
        </w:rPr>
        <w:instrText xml:space="preserve"> PAGEREF _Toc3931 \h </w:instrText>
      </w:r>
      <w:r>
        <w:rPr>
          <w:color w:val="auto"/>
          <w:highlight w:val="none"/>
        </w:rPr>
        <w:fldChar w:fldCharType="separate"/>
      </w:r>
      <w:r>
        <w:rPr>
          <w:color w:val="auto"/>
          <w:highlight w:val="none"/>
        </w:rPr>
        <w:t>34</w:t>
      </w:r>
      <w:r>
        <w:rPr>
          <w:color w:val="auto"/>
          <w:highlight w:val="none"/>
        </w:rPr>
        <w:fldChar w:fldCharType="end"/>
      </w:r>
      <w:r>
        <w:rPr>
          <w:rFonts w:hint="eastAsia" w:ascii="宋体" w:hAnsi="宋体" w:eastAsia="宋体" w:cs="宋体"/>
          <w:color w:val="auto"/>
          <w:highlight w:val="none"/>
        </w:rPr>
        <w:fldChar w:fldCharType="end"/>
      </w:r>
    </w:p>
    <w:p w14:paraId="17112997">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_Toc1183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附表3 资格审查合格投标人名单</w:t>
      </w:r>
      <w:r>
        <w:rPr>
          <w:color w:val="auto"/>
          <w:highlight w:val="none"/>
        </w:rPr>
        <w:tab/>
      </w:r>
      <w:r>
        <w:rPr>
          <w:color w:val="auto"/>
          <w:highlight w:val="none"/>
        </w:rPr>
        <w:fldChar w:fldCharType="begin"/>
      </w:r>
      <w:r>
        <w:rPr>
          <w:color w:val="auto"/>
          <w:highlight w:val="none"/>
        </w:rPr>
        <w:instrText xml:space="preserve"> PAGEREF _Toc1183 \h </w:instrText>
      </w:r>
      <w:r>
        <w:rPr>
          <w:color w:val="auto"/>
          <w:highlight w:val="none"/>
        </w:rPr>
        <w:fldChar w:fldCharType="separate"/>
      </w:r>
      <w:r>
        <w:rPr>
          <w:color w:val="auto"/>
          <w:highlight w:val="none"/>
        </w:rPr>
        <w:t>35</w:t>
      </w:r>
      <w:r>
        <w:rPr>
          <w:color w:val="auto"/>
          <w:highlight w:val="none"/>
        </w:rPr>
        <w:fldChar w:fldCharType="end"/>
      </w:r>
      <w:r>
        <w:rPr>
          <w:rFonts w:hint="eastAsia" w:ascii="宋体" w:hAnsi="宋体" w:eastAsia="宋体" w:cs="宋体"/>
          <w:color w:val="auto"/>
          <w:highlight w:val="none"/>
        </w:rPr>
        <w:fldChar w:fldCharType="end"/>
      </w:r>
    </w:p>
    <w:p w14:paraId="34ACEBA1">
      <w:pPr>
        <w:pStyle w:val="29"/>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_Toc27212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2"/>
          <w:highlight w:val="none"/>
        </w:rPr>
        <w:t>第四章 评标方法及标准（综合评分法）</w:t>
      </w:r>
      <w:r>
        <w:rPr>
          <w:color w:val="auto"/>
          <w:highlight w:val="none"/>
        </w:rPr>
        <w:tab/>
      </w:r>
      <w:r>
        <w:rPr>
          <w:color w:val="auto"/>
          <w:highlight w:val="none"/>
        </w:rPr>
        <w:fldChar w:fldCharType="begin"/>
      </w:r>
      <w:r>
        <w:rPr>
          <w:color w:val="auto"/>
          <w:highlight w:val="none"/>
        </w:rPr>
        <w:instrText xml:space="preserve"> PAGEREF _Toc27212 \h </w:instrText>
      </w:r>
      <w:r>
        <w:rPr>
          <w:color w:val="auto"/>
          <w:highlight w:val="none"/>
        </w:rPr>
        <w:fldChar w:fldCharType="separate"/>
      </w:r>
      <w:r>
        <w:rPr>
          <w:color w:val="auto"/>
          <w:highlight w:val="none"/>
        </w:rPr>
        <w:t>35</w:t>
      </w:r>
      <w:r>
        <w:rPr>
          <w:color w:val="auto"/>
          <w:highlight w:val="none"/>
        </w:rPr>
        <w:fldChar w:fldCharType="end"/>
      </w:r>
      <w:r>
        <w:rPr>
          <w:rFonts w:hint="eastAsia" w:ascii="宋体" w:hAnsi="宋体" w:eastAsia="宋体" w:cs="宋体"/>
          <w:color w:val="auto"/>
          <w:highlight w:val="none"/>
        </w:rPr>
        <w:fldChar w:fldCharType="end"/>
      </w:r>
    </w:p>
    <w:p w14:paraId="0CED8B97">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_Toc20037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第一节 评标方法及标准前附表</w:t>
      </w:r>
      <w:r>
        <w:rPr>
          <w:color w:val="auto"/>
          <w:highlight w:val="none"/>
        </w:rPr>
        <w:tab/>
      </w:r>
      <w:r>
        <w:rPr>
          <w:color w:val="auto"/>
          <w:highlight w:val="none"/>
        </w:rPr>
        <w:fldChar w:fldCharType="begin"/>
      </w:r>
      <w:r>
        <w:rPr>
          <w:color w:val="auto"/>
          <w:highlight w:val="none"/>
        </w:rPr>
        <w:instrText xml:space="preserve"> PAGEREF _Toc20037 \h </w:instrText>
      </w:r>
      <w:r>
        <w:rPr>
          <w:color w:val="auto"/>
          <w:highlight w:val="none"/>
        </w:rPr>
        <w:fldChar w:fldCharType="separate"/>
      </w:r>
      <w:r>
        <w:rPr>
          <w:color w:val="auto"/>
          <w:highlight w:val="none"/>
        </w:rPr>
        <w:t>36</w:t>
      </w:r>
      <w:r>
        <w:rPr>
          <w:color w:val="auto"/>
          <w:highlight w:val="none"/>
        </w:rPr>
        <w:fldChar w:fldCharType="end"/>
      </w:r>
      <w:r>
        <w:rPr>
          <w:rFonts w:hint="eastAsia" w:ascii="宋体" w:hAnsi="宋体" w:eastAsia="宋体" w:cs="宋体"/>
          <w:color w:val="auto"/>
          <w:highlight w:val="none"/>
        </w:rPr>
        <w:fldChar w:fldCharType="end"/>
      </w:r>
    </w:p>
    <w:p w14:paraId="758EC3AC">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_Toc29450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第二节 评标方法及标准</w:t>
      </w:r>
      <w:r>
        <w:rPr>
          <w:color w:val="auto"/>
          <w:highlight w:val="none"/>
        </w:rPr>
        <w:tab/>
      </w:r>
      <w:r>
        <w:rPr>
          <w:color w:val="auto"/>
          <w:highlight w:val="none"/>
        </w:rPr>
        <w:fldChar w:fldCharType="begin"/>
      </w:r>
      <w:r>
        <w:rPr>
          <w:color w:val="auto"/>
          <w:highlight w:val="none"/>
        </w:rPr>
        <w:instrText xml:space="preserve"> PAGEREF _Toc29450 \h </w:instrText>
      </w:r>
      <w:r>
        <w:rPr>
          <w:color w:val="auto"/>
          <w:highlight w:val="none"/>
        </w:rPr>
        <w:fldChar w:fldCharType="separate"/>
      </w:r>
      <w:r>
        <w:rPr>
          <w:color w:val="auto"/>
          <w:highlight w:val="none"/>
        </w:rPr>
        <w:t>37</w:t>
      </w:r>
      <w:r>
        <w:rPr>
          <w:color w:val="auto"/>
          <w:highlight w:val="none"/>
        </w:rPr>
        <w:fldChar w:fldCharType="end"/>
      </w:r>
      <w:r>
        <w:rPr>
          <w:rFonts w:hint="eastAsia" w:ascii="宋体" w:hAnsi="宋体" w:eastAsia="宋体" w:cs="宋体"/>
          <w:color w:val="auto"/>
          <w:highlight w:val="none"/>
        </w:rPr>
        <w:fldChar w:fldCharType="end"/>
      </w:r>
    </w:p>
    <w:p w14:paraId="644336BE">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_Toc9118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1．评标方法</w:t>
      </w:r>
      <w:r>
        <w:rPr>
          <w:color w:val="auto"/>
          <w:highlight w:val="none"/>
        </w:rPr>
        <w:tab/>
      </w:r>
      <w:r>
        <w:rPr>
          <w:color w:val="auto"/>
          <w:highlight w:val="none"/>
        </w:rPr>
        <w:fldChar w:fldCharType="begin"/>
      </w:r>
      <w:r>
        <w:rPr>
          <w:color w:val="auto"/>
          <w:highlight w:val="none"/>
        </w:rPr>
        <w:instrText xml:space="preserve"> PAGEREF _Toc9118 \h </w:instrText>
      </w:r>
      <w:r>
        <w:rPr>
          <w:color w:val="auto"/>
          <w:highlight w:val="none"/>
        </w:rPr>
        <w:fldChar w:fldCharType="separate"/>
      </w:r>
      <w:r>
        <w:rPr>
          <w:color w:val="auto"/>
          <w:highlight w:val="none"/>
        </w:rPr>
        <w:t>37</w:t>
      </w:r>
      <w:r>
        <w:rPr>
          <w:color w:val="auto"/>
          <w:highlight w:val="none"/>
        </w:rPr>
        <w:fldChar w:fldCharType="end"/>
      </w:r>
      <w:r>
        <w:rPr>
          <w:rFonts w:hint="eastAsia" w:ascii="宋体" w:hAnsi="宋体" w:eastAsia="宋体" w:cs="宋体"/>
          <w:color w:val="auto"/>
          <w:highlight w:val="none"/>
        </w:rPr>
        <w:fldChar w:fldCharType="end"/>
      </w:r>
    </w:p>
    <w:p w14:paraId="1DC24595">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_Toc17004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2．评标程序</w:t>
      </w:r>
      <w:r>
        <w:rPr>
          <w:color w:val="auto"/>
          <w:highlight w:val="none"/>
        </w:rPr>
        <w:tab/>
      </w:r>
      <w:r>
        <w:rPr>
          <w:color w:val="auto"/>
          <w:highlight w:val="none"/>
        </w:rPr>
        <w:fldChar w:fldCharType="begin"/>
      </w:r>
      <w:r>
        <w:rPr>
          <w:color w:val="auto"/>
          <w:highlight w:val="none"/>
        </w:rPr>
        <w:instrText xml:space="preserve"> PAGEREF _Toc17004 \h </w:instrText>
      </w:r>
      <w:r>
        <w:rPr>
          <w:color w:val="auto"/>
          <w:highlight w:val="none"/>
        </w:rPr>
        <w:fldChar w:fldCharType="separate"/>
      </w:r>
      <w:r>
        <w:rPr>
          <w:color w:val="auto"/>
          <w:highlight w:val="none"/>
        </w:rPr>
        <w:t>37</w:t>
      </w:r>
      <w:r>
        <w:rPr>
          <w:color w:val="auto"/>
          <w:highlight w:val="none"/>
        </w:rPr>
        <w:fldChar w:fldCharType="end"/>
      </w:r>
      <w:r>
        <w:rPr>
          <w:rFonts w:hint="eastAsia" w:ascii="宋体" w:hAnsi="宋体" w:eastAsia="宋体" w:cs="宋体"/>
          <w:color w:val="auto"/>
          <w:highlight w:val="none"/>
        </w:rPr>
        <w:fldChar w:fldCharType="end"/>
      </w:r>
    </w:p>
    <w:p w14:paraId="255E5640">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_Toc27857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3．投标文件的符合性审查</w:t>
      </w:r>
      <w:r>
        <w:rPr>
          <w:color w:val="auto"/>
          <w:highlight w:val="none"/>
        </w:rPr>
        <w:tab/>
      </w:r>
      <w:r>
        <w:rPr>
          <w:color w:val="auto"/>
          <w:highlight w:val="none"/>
        </w:rPr>
        <w:fldChar w:fldCharType="begin"/>
      </w:r>
      <w:r>
        <w:rPr>
          <w:color w:val="auto"/>
          <w:highlight w:val="none"/>
        </w:rPr>
        <w:instrText xml:space="preserve"> PAGEREF _Toc27857 \h </w:instrText>
      </w:r>
      <w:r>
        <w:rPr>
          <w:color w:val="auto"/>
          <w:highlight w:val="none"/>
        </w:rPr>
        <w:fldChar w:fldCharType="separate"/>
      </w:r>
      <w:r>
        <w:rPr>
          <w:color w:val="auto"/>
          <w:highlight w:val="none"/>
        </w:rPr>
        <w:t>37</w:t>
      </w:r>
      <w:r>
        <w:rPr>
          <w:color w:val="auto"/>
          <w:highlight w:val="none"/>
        </w:rPr>
        <w:fldChar w:fldCharType="end"/>
      </w:r>
      <w:r>
        <w:rPr>
          <w:rFonts w:hint="eastAsia" w:ascii="宋体" w:hAnsi="宋体" w:eastAsia="宋体" w:cs="宋体"/>
          <w:color w:val="auto"/>
          <w:highlight w:val="none"/>
        </w:rPr>
        <w:fldChar w:fldCharType="end"/>
      </w:r>
    </w:p>
    <w:p w14:paraId="2962FF93">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_Toc20456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4．投标文件的澄清</w:t>
      </w:r>
      <w:r>
        <w:rPr>
          <w:color w:val="auto"/>
          <w:highlight w:val="none"/>
        </w:rPr>
        <w:tab/>
      </w:r>
      <w:r>
        <w:rPr>
          <w:color w:val="auto"/>
          <w:highlight w:val="none"/>
        </w:rPr>
        <w:fldChar w:fldCharType="begin"/>
      </w:r>
      <w:r>
        <w:rPr>
          <w:color w:val="auto"/>
          <w:highlight w:val="none"/>
        </w:rPr>
        <w:instrText xml:space="preserve"> PAGEREF _Toc20456 \h </w:instrText>
      </w:r>
      <w:r>
        <w:rPr>
          <w:color w:val="auto"/>
          <w:highlight w:val="none"/>
        </w:rPr>
        <w:fldChar w:fldCharType="separate"/>
      </w:r>
      <w:r>
        <w:rPr>
          <w:color w:val="auto"/>
          <w:highlight w:val="none"/>
        </w:rPr>
        <w:t>37</w:t>
      </w:r>
      <w:r>
        <w:rPr>
          <w:color w:val="auto"/>
          <w:highlight w:val="none"/>
        </w:rPr>
        <w:fldChar w:fldCharType="end"/>
      </w:r>
      <w:r>
        <w:rPr>
          <w:rFonts w:hint="eastAsia" w:ascii="宋体" w:hAnsi="宋体" w:eastAsia="宋体" w:cs="宋体"/>
          <w:color w:val="auto"/>
          <w:highlight w:val="none"/>
        </w:rPr>
        <w:fldChar w:fldCharType="end"/>
      </w:r>
    </w:p>
    <w:p w14:paraId="20E303A4">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_Toc23488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5．投标文件的比较与评价</w:t>
      </w:r>
      <w:r>
        <w:rPr>
          <w:color w:val="auto"/>
          <w:highlight w:val="none"/>
        </w:rPr>
        <w:tab/>
      </w:r>
      <w:r>
        <w:rPr>
          <w:color w:val="auto"/>
          <w:highlight w:val="none"/>
        </w:rPr>
        <w:fldChar w:fldCharType="begin"/>
      </w:r>
      <w:r>
        <w:rPr>
          <w:color w:val="auto"/>
          <w:highlight w:val="none"/>
        </w:rPr>
        <w:instrText xml:space="preserve"> PAGEREF _Toc23488 \h </w:instrText>
      </w:r>
      <w:r>
        <w:rPr>
          <w:color w:val="auto"/>
          <w:highlight w:val="none"/>
        </w:rPr>
        <w:fldChar w:fldCharType="separate"/>
      </w:r>
      <w:r>
        <w:rPr>
          <w:color w:val="auto"/>
          <w:highlight w:val="none"/>
        </w:rPr>
        <w:t>38</w:t>
      </w:r>
      <w:r>
        <w:rPr>
          <w:color w:val="auto"/>
          <w:highlight w:val="none"/>
        </w:rPr>
        <w:fldChar w:fldCharType="end"/>
      </w:r>
      <w:r>
        <w:rPr>
          <w:rFonts w:hint="eastAsia" w:ascii="宋体" w:hAnsi="宋体" w:eastAsia="宋体" w:cs="宋体"/>
          <w:color w:val="auto"/>
          <w:highlight w:val="none"/>
        </w:rPr>
        <w:fldChar w:fldCharType="end"/>
      </w:r>
    </w:p>
    <w:p w14:paraId="0AB1D686">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_Toc17681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6．</w:t>
      </w:r>
      <w:r>
        <w:rPr>
          <w:rFonts w:hint="eastAsia" w:ascii="宋体" w:hAnsi="宋体" w:eastAsia="宋体" w:cs="宋体"/>
          <w:color w:val="auto"/>
          <w:szCs w:val="24"/>
          <w:highlight w:val="none"/>
        </w:rPr>
        <w:t>推荐中标候选人</w:t>
      </w:r>
      <w:r>
        <w:rPr>
          <w:color w:val="auto"/>
          <w:highlight w:val="none"/>
        </w:rPr>
        <w:tab/>
      </w:r>
      <w:r>
        <w:rPr>
          <w:color w:val="auto"/>
          <w:highlight w:val="none"/>
        </w:rPr>
        <w:fldChar w:fldCharType="begin"/>
      </w:r>
      <w:r>
        <w:rPr>
          <w:color w:val="auto"/>
          <w:highlight w:val="none"/>
        </w:rPr>
        <w:instrText xml:space="preserve"> PAGEREF _Toc17681 \h </w:instrText>
      </w:r>
      <w:r>
        <w:rPr>
          <w:color w:val="auto"/>
          <w:highlight w:val="none"/>
        </w:rPr>
        <w:fldChar w:fldCharType="separate"/>
      </w:r>
      <w:r>
        <w:rPr>
          <w:color w:val="auto"/>
          <w:highlight w:val="none"/>
        </w:rPr>
        <w:t>38</w:t>
      </w:r>
      <w:r>
        <w:rPr>
          <w:color w:val="auto"/>
          <w:highlight w:val="none"/>
        </w:rPr>
        <w:fldChar w:fldCharType="end"/>
      </w:r>
      <w:r>
        <w:rPr>
          <w:rFonts w:hint="eastAsia" w:ascii="宋体" w:hAnsi="宋体" w:eastAsia="宋体" w:cs="宋体"/>
          <w:color w:val="auto"/>
          <w:highlight w:val="none"/>
        </w:rPr>
        <w:fldChar w:fldCharType="end"/>
      </w:r>
    </w:p>
    <w:p w14:paraId="5F662B4E">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_Toc7686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7．</w:t>
      </w:r>
      <w:r>
        <w:rPr>
          <w:rFonts w:hint="eastAsia" w:ascii="宋体" w:hAnsi="宋体" w:eastAsia="宋体" w:cs="宋体"/>
          <w:color w:val="auto"/>
          <w:szCs w:val="24"/>
          <w:highlight w:val="none"/>
        </w:rPr>
        <w:t>编写评标报告</w:t>
      </w:r>
      <w:r>
        <w:rPr>
          <w:color w:val="auto"/>
          <w:highlight w:val="none"/>
        </w:rPr>
        <w:tab/>
      </w:r>
      <w:r>
        <w:rPr>
          <w:color w:val="auto"/>
          <w:highlight w:val="none"/>
        </w:rPr>
        <w:fldChar w:fldCharType="begin"/>
      </w:r>
      <w:r>
        <w:rPr>
          <w:color w:val="auto"/>
          <w:highlight w:val="none"/>
        </w:rPr>
        <w:instrText xml:space="preserve"> PAGEREF _Toc7686 \h </w:instrText>
      </w:r>
      <w:r>
        <w:rPr>
          <w:color w:val="auto"/>
          <w:highlight w:val="none"/>
        </w:rPr>
        <w:fldChar w:fldCharType="separate"/>
      </w:r>
      <w:r>
        <w:rPr>
          <w:color w:val="auto"/>
          <w:highlight w:val="none"/>
        </w:rPr>
        <w:t>39</w:t>
      </w:r>
      <w:r>
        <w:rPr>
          <w:color w:val="auto"/>
          <w:highlight w:val="none"/>
        </w:rPr>
        <w:fldChar w:fldCharType="end"/>
      </w:r>
      <w:r>
        <w:rPr>
          <w:rFonts w:hint="eastAsia" w:ascii="宋体" w:hAnsi="宋体" w:eastAsia="宋体" w:cs="宋体"/>
          <w:color w:val="auto"/>
          <w:highlight w:val="none"/>
        </w:rPr>
        <w:fldChar w:fldCharType="end"/>
      </w:r>
    </w:p>
    <w:p w14:paraId="6F8EE650">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_Toc25119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8．</w:t>
      </w:r>
      <w:r>
        <w:rPr>
          <w:rFonts w:hint="eastAsia" w:ascii="宋体" w:hAnsi="宋体" w:eastAsia="宋体" w:cs="宋体"/>
          <w:color w:val="auto"/>
          <w:szCs w:val="24"/>
          <w:highlight w:val="none"/>
        </w:rPr>
        <w:t>评标报告</w:t>
      </w:r>
      <w:r>
        <w:rPr>
          <w:rFonts w:hint="eastAsia" w:ascii="宋体" w:hAnsi="宋体" w:eastAsia="宋体" w:cs="宋体"/>
          <w:bCs w:val="0"/>
          <w:color w:val="auto"/>
          <w:szCs w:val="24"/>
          <w:highlight w:val="none"/>
        </w:rPr>
        <w:t>复核</w:t>
      </w:r>
      <w:r>
        <w:rPr>
          <w:color w:val="auto"/>
          <w:highlight w:val="none"/>
        </w:rPr>
        <w:tab/>
      </w:r>
      <w:r>
        <w:rPr>
          <w:color w:val="auto"/>
          <w:highlight w:val="none"/>
        </w:rPr>
        <w:fldChar w:fldCharType="begin"/>
      </w:r>
      <w:r>
        <w:rPr>
          <w:color w:val="auto"/>
          <w:highlight w:val="none"/>
        </w:rPr>
        <w:instrText xml:space="preserve"> PAGEREF _Toc25119 \h </w:instrText>
      </w:r>
      <w:r>
        <w:rPr>
          <w:color w:val="auto"/>
          <w:highlight w:val="none"/>
        </w:rPr>
        <w:fldChar w:fldCharType="separate"/>
      </w:r>
      <w:r>
        <w:rPr>
          <w:color w:val="auto"/>
          <w:highlight w:val="none"/>
        </w:rPr>
        <w:t>39</w:t>
      </w:r>
      <w:r>
        <w:rPr>
          <w:color w:val="auto"/>
          <w:highlight w:val="none"/>
        </w:rPr>
        <w:fldChar w:fldCharType="end"/>
      </w:r>
      <w:r>
        <w:rPr>
          <w:rFonts w:hint="eastAsia" w:ascii="宋体" w:hAnsi="宋体" w:eastAsia="宋体" w:cs="宋体"/>
          <w:color w:val="auto"/>
          <w:highlight w:val="none"/>
        </w:rPr>
        <w:fldChar w:fldCharType="end"/>
      </w:r>
    </w:p>
    <w:p w14:paraId="51ECBAB3">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_Toc16343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9．</w:t>
      </w:r>
      <w:r>
        <w:rPr>
          <w:rFonts w:hint="eastAsia" w:ascii="宋体" w:hAnsi="宋体" w:eastAsia="宋体" w:cs="宋体"/>
          <w:bCs w:val="0"/>
          <w:color w:val="auto"/>
          <w:szCs w:val="24"/>
          <w:highlight w:val="none"/>
        </w:rPr>
        <w:t>停止评标</w:t>
      </w:r>
      <w:r>
        <w:rPr>
          <w:color w:val="auto"/>
          <w:highlight w:val="none"/>
        </w:rPr>
        <w:tab/>
      </w:r>
      <w:r>
        <w:rPr>
          <w:color w:val="auto"/>
          <w:highlight w:val="none"/>
        </w:rPr>
        <w:fldChar w:fldCharType="begin"/>
      </w:r>
      <w:r>
        <w:rPr>
          <w:color w:val="auto"/>
          <w:highlight w:val="none"/>
        </w:rPr>
        <w:instrText xml:space="preserve"> PAGEREF _Toc16343 \h </w:instrText>
      </w:r>
      <w:r>
        <w:rPr>
          <w:color w:val="auto"/>
          <w:highlight w:val="none"/>
        </w:rPr>
        <w:fldChar w:fldCharType="separate"/>
      </w:r>
      <w:r>
        <w:rPr>
          <w:color w:val="auto"/>
          <w:highlight w:val="none"/>
        </w:rPr>
        <w:t>39</w:t>
      </w:r>
      <w:r>
        <w:rPr>
          <w:color w:val="auto"/>
          <w:highlight w:val="none"/>
        </w:rPr>
        <w:fldChar w:fldCharType="end"/>
      </w:r>
      <w:r>
        <w:rPr>
          <w:rFonts w:hint="eastAsia" w:ascii="宋体" w:hAnsi="宋体" w:eastAsia="宋体" w:cs="宋体"/>
          <w:color w:val="auto"/>
          <w:highlight w:val="none"/>
        </w:rPr>
        <w:fldChar w:fldCharType="end"/>
      </w:r>
    </w:p>
    <w:p w14:paraId="4B400C6A">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_Toc9169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10.废标</w:t>
      </w:r>
      <w:r>
        <w:rPr>
          <w:color w:val="auto"/>
          <w:highlight w:val="none"/>
        </w:rPr>
        <w:tab/>
      </w:r>
      <w:r>
        <w:rPr>
          <w:color w:val="auto"/>
          <w:highlight w:val="none"/>
        </w:rPr>
        <w:fldChar w:fldCharType="begin"/>
      </w:r>
      <w:r>
        <w:rPr>
          <w:color w:val="auto"/>
          <w:highlight w:val="none"/>
        </w:rPr>
        <w:instrText xml:space="preserve"> PAGEREF _Toc9169 \h </w:instrText>
      </w:r>
      <w:r>
        <w:rPr>
          <w:color w:val="auto"/>
          <w:highlight w:val="none"/>
        </w:rPr>
        <w:fldChar w:fldCharType="separate"/>
      </w:r>
      <w:r>
        <w:rPr>
          <w:color w:val="auto"/>
          <w:highlight w:val="none"/>
        </w:rPr>
        <w:t>39</w:t>
      </w:r>
      <w:r>
        <w:rPr>
          <w:color w:val="auto"/>
          <w:highlight w:val="none"/>
        </w:rPr>
        <w:fldChar w:fldCharType="end"/>
      </w:r>
      <w:r>
        <w:rPr>
          <w:rFonts w:hint="eastAsia" w:ascii="宋体" w:hAnsi="宋体" w:eastAsia="宋体" w:cs="宋体"/>
          <w:color w:val="auto"/>
          <w:highlight w:val="none"/>
        </w:rPr>
        <w:fldChar w:fldCharType="end"/>
      </w:r>
    </w:p>
    <w:p w14:paraId="3708222F">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_Toc20209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Cs w:val="24"/>
          <w:highlight w:val="none"/>
        </w:rPr>
        <w:t>11．重新组建评标委员会进行评标</w:t>
      </w:r>
      <w:r>
        <w:rPr>
          <w:color w:val="auto"/>
          <w:highlight w:val="none"/>
        </w:rPr>
        <w:tab/>
      </w:r>
      <w:r>
        <w:rPr>
          <w:color w:val="auto"/>
          <w:highlight w:val="none"/>
        </w:rPr>
        <w:fldChar w:fldCharType="begin"/>
      </w:r>
      <w:r>
        <w:rPr>
          <w:color w:val="auto"/>
          <w:highlight w:val="none"/>
        </w:rPr>
        <w:instrText xml:space="preserve"> PAGEREF _Toc20209 \h </w:instrText>
      </w:r>
      <w:r>
        <w:rPr>
          <w:color w:val="auto"/>
          <w:highlight w:val="none"/>
        </w:rPr>
        <w:fldChar w:fldCharType="separate"/>
      </w:r>
      <w:r>
        <w:rPr>
          <w:color w:val="auto"/>
          <w:highlight w:val="none"/>
        </w:rPr>
        <w:t>40</w:t>
      </w:r>
      <w:r>
        <w:rPr>
          <w:color w:val="auto"/>
          <w:highlight w:val="none"/>
        </w:rPr>
        <w:fldChar w:fldCharType="end"/>
      </w:r>
      <w:r>
        <w:rPr>
          <w:rFonts w:hint="eastAsia" w:ascii="宋体" w:hAnsi="宋体" w:eastAsia="宋体" w:cs="宋体"/>
          <w:color w:val="auto"/>
          <w:highlight w:val="none"/>
        </w:rPr>
        <w:fldChar w:fldCharType="end"/>
      </w:r>
    </w:p>
    <w:p w14:paraId="4E1566AD">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_Toc7448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第三节 投标文件的符合性审查</w:t>
      </w:r>
      <w:r>
        <w:rPr>
          <w:color w:val="auto"/>
          <w:highlight w:val="none"/>
        </w:rPr>
        <w:tab/>
      </w:r>
      <w:r>
        <w:rPr>
          <w:color w:val="auto"/>
          <w:highlight w:val="none"/>
        </w:rPr>
        <w:fldChar w:fldCharType="begin"/>
      </w:r>
      <w:r>
        <w:rPr>
          <w:color w:val="auto"/>
          <w:highlight w:val="none"/>
        </w:rPr>
        <w:instrText xml:space="preserve"> PAGEREF _Toc7448 \h </w:instrText>
      </w:r>
      <w:r>
        <w:rPr>
          <w:color w:val="auto"/>
          <w:highlight w:val="none"/>
        </w:rPr>
        <w:fldChar w:fldCharType="separate"/>
      </w:r>
      <w:r>
        <w:rPr>
          <w:color w:val="auto"/>
          <w:highlight w:val="none"/>
        </w:rPr>
        <w:t>41</w:t>
      </w:r>
      <w:r>
        <w:rPr>
          <w:color w:val="auto"/>
          <w:highlight w:val="none"/>
        </w:rPr>
        <w:fldChar w:fldCharType="end"/>
      </w:r>
      <w:r>
        <w:rPr>
          <w:rFonts w:hint="eastAsia" w:ascii="宋体" w:hAnsi="宋体" w:eastAsia="宋体" w:cs="宋体"/>
          <w:color w:val="auto"/>
          <w:highlight w:val="none"/>
        </w:rPr>
        <w:fldChar w:fldCharType="end"/>
      </w:r>
    </w:p>
    <w:p w14:paraId="5CB60334">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_Toc1533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附表1 符合性审查表</w:t>
      </w:r>
      <w:r>
        <w:rPr>
          <w:color w:val="auto"/>
          <w:highlight w:val="none"/>
        </w:rPr>
        <w:tab/>
      </w:r>
      <w:r>
        <w:rPr>
          <w:color w:val="auto"/>
          <w:highlight w:val="none"/>
        </w:rPr>
        <w:fldChar w:fldCharType="begin"/>
      </w:r>
      <w:r>
        <w:rPr>
          <w:color w:val="auto"/>
          <w:highlight w:val="none"/>
        </w:rPr>
        <w:instrText xml:space="preserve"> PAGEREF _Toc1533 \h </w:instrText>
      </w:r>
      <w:r>
        <w:rPr>
          <w:color w:val="auto"/>
          <w:highlight w:val="none"/>
        </w:rPr>
        <w:fldChar w:fldCharType="separate"/>
      </w:r>
      <w:r>
        <w:rPr>
          <w:color w:val="auto"/>
          <w:highlight w:val="none"/>
        </w:rPr>
        <w:t>42</w:t>
      </w:r>
      <w:r>
        <w:rPr>
          <w:color w:val="auto"/>
          <w:highlight w:val="none"/>
        </w:rPr>
        <w:fldChar w:fldCharType="end"/>
      </w:r>
      <w:r>
        <w:rPr>
          <w:rFonts w:hint="eastAsia" w:ascii="宋体" w:hAnsi="宋体" w:eastAsia="宋体" w:cs="宋体"/>
          <w:color w:val="auto"/>
          <w:highlight w:val="none"/>
        </w:rPr>
        <w:fldChar w:fldCharType="end"/>
      </w:r>
    </w:p>
    <w:p w14:paraId="121E7D3D">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_Toc19315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1"/>
          <w:highlight w:val="none"/>
        </w:rPr>
        <w:t>附表2 符合性审查结果一览表</w:t>
      </w:r>
      <w:r>
        <w:rPr>
          <w:color w:val="auto"/>
          <w:highlight w:val="none"/>
        </w:rPr>
        <w:tab/>
      </w:r>
      <w:r>
        <w:rPr>
          <w:color w:val="auto"/>
          <w:highlight w:val="none"/>
        </w:rPr>
        <w:fldChar w:fldCharType="begin"/>
      </w:r>
      <w:r>
        <w:rPr>
          <w:color w:val="auto"/>
          <w:highlight w:val="none"/>
        </w:rPr>
        <w:instrText xml:space="preserve"> PAGEREF _Toc19315 \h </w:instrText>
      </w:r>
      <w:r>
        <w:rPr>
          <w:color w:val="auto"/>
          <w:highlight w:val="none"/>
        </w:rPr>
        <w:fldChar w:fldCharType="separate"/>
      </w:r>
      <w:r>
        <w:rPr>
          <w:color w:val="auto"/>
          <w:highlight w:val="none"/>
        </w:rPr>
        <w:t>43</w:t>
      </w:r>
      <w:r>
        <w:rPr>
          <w:color w:val="auto"/>
          <w:highlight w:val="none"/>
        </w:rPr>
        <w:fldChar w:fldCharType="end"/>
      </w:r>
      <w:r>
        <w:rPr>
          <w:rFonts w:hint="eastAsia" w:ascii="宋体" w:hAnsi="宋体" w:eastAsia="宋体" w:cs="宋体"/>
          <w:color w:val="auto"/>
          <w:highlight w:val="none"/>
        </w:rPr>
        <w:fldChar w:fldCharType="end"/>
      </w:r>
    </w:p>
    <w:p w14:paraId="043BDF9D">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_Toc19472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1"/>
          <w:highlight w:val="none"/>
        </w:rPr>
        <w:t>附表3 符合性审查合格投标人名单</w:t>
      </w:r>
      <w:r>
        <w:rPr>
          <w:color w:val="auto"/>
          <w:highlight w:val="none"/>
        </w:rPr>
        <w:tab/>
      </w:r>
      <w:r>
        <w:rPr>
          <w:color w:val="auto"/>
          <w:highlight w:val="none"/>
        </w:rPr>
        <w:fldChar w:fldCharType="begin"/>
      </w:r>
      <w:r>
        <w:rPr>
          <w:color w:val="auto"/>
          <w:highlight w:val="none"/>
        </w:rPr>
        <w:instrText xml:space="preserve"> PAGEREF _Toc19472 \h </w:instrText>
      </w:r>
      <w:r>
        <w:rPr>
          <w:color w:val="auto"/>
          <w:highlight w:val="none"/>
        </w:rPr>
        <w:fldChar w:fldCharType="separate"/>
      </w:r>
      <w:r>
        <w:rPr>
          <w:color w:val="auto"/>
          <w:highlight w:val="none"/>
        </w:rPr>
        <w:t>43</w:t>
      </w:r>
      <w:r>
        <w:rPr>
          <w:color w:val="auto"/>
          <w:highlight w:val="none"/>
        </w:rPr>
        <w:fldChar w:fldCharType="end"/>
      </w:r>
      <w:r>
        <w:rPr>
          <w:rFonts w:hint="eastAsia" w:ascii="宋体" w:hAnsi="宋体" w:eastAsia="宋体" w:cs="宋体"/>
          <w:color w:val="auto"/>
          <w:highlight w:val="none"/>
        </w:rPr>
        <w:fldChar w:fldCharType="end"/>
      </w:r>
    </w:p>
    <w:p w14:paraId="06B3F235">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_Toc8939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第四节 投标文件的比较与评价</w:t>
      </w:r>
      <w:r>
        <w:rPr>
          <w:color w:val="auto"/>
          <w:highlight w:val="none"/>
        </w:rPr>
        <w:tab/>
      </w:r>
      <w:r>
        <w:rPr>
          <w:color w:val="auto"/>
          <w:highlight w:val="none"/>
        </w:rPr>
        <w:fldChar w:fldCharType="begin"/>
      </w:r>
      <w:r>
        <w:rPr>
          <w:color w:val="auto"/>
          <w:highlight w:val="none"/>
        </w:rPr>
        <w:instrText xml:space="preserve"> PAGEREF _Toc8939 \h </w:instrText>
      </w:r>
      <w:r>
        <w:rPr>
          <w:color w:val="auto"/>
          <w:highlight w:val="none"/>
        </w:rPr>
        <w:fldChar w:fldCharType="separate"/>
      </w:r>
      <w:r>
        <w:rPr>
          <w:color w:val="auto"/>
          <w:highlight w:val="none"/>
        </w:rPr>
        <w:t>44</w:t>
      </w:r>
      <w:r>
        <w:rPr>
          <w:color w:val="auto"/>
          <w:highlight w:val="none"/>
        </w:rPr>
        <w:fldChar w:fldCharType="end"/>
      </w:r>
      <w:r>
        <w:rPr>
          <w:rFonts w:hint="eastAsia" w:ascii="宋体" w:hAnsi="宋体" w:eastAsia="宋体" w:cs="宋体"/>
          <w:color w:val="auto"/>
          <w:highlight w:val="none"/>
        </w:rPr>
        <w:fldChar w:fldCharType="end"/>
      </w:r>
    </w:p>
    <w:p w14:paraId="3A2C9196">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_Toc28979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附页1 评标方法及标准表</w:t>
      </w:r>
      <w:r>
        <w:rPr>
          <w:rFonts w:hint="eastAsia"/>
          <w:color w:val="auto"/>
          <w:szCs w:val="28"/>
          <w:highlight w:val="none"/>
        </w:rPr>
        <w:t>（第</w:t>
      </w:r>
      <w:r>
        <w:rPr>
          <w:rFonts w:hint="eastAsia"/>
          <w:color w:val="auto"/>
          <w:szCs w:val="28"/>
          <w:highlight w:val="none"/>
          <w:lang w:val="en-US" w:eastAsia="zh-CN"/>
        </w:rPr>
        <w:t>1</w:t>
      </w:r>
      <w:r>
        <w:rPr>
          <w:rFonts w:hint="eastAsia"/>
          <w:color w:val="auto"/>
          <w:szCs w:val="28"/>
          <w:highlight w:val="none"/>
        </w:rPr>
        <w:t>包至第</w:t>
      </w:r>
      <w:r>
        <w:rPr>
          <w:rFonts w:hint="eastAsia"/>
          <w:color w:val="auto"/>
          <w:szCs w:val="28"/>
          <w:highlight w:val="none"/>
          <w:lang w:val="en-US" w:eastAsia="zh-CN"/>
        </w:rPr>
        <w:t>4</w:t>
      </w:r>
      <w:r>
        <w:rPr>
          <w:rFonts w:hint="eastAsia"/>
          <w:color w:val="auto"/>
          <w:szCs w:val="28"/>
          <w:highlight w:val="none"/>
        </w:rPr>
        <w:t>包适用）</w:t>
      </w:r>
      <w:r>
        <w:rPr>
          <w:color w:val="auto"/>
          <w:highlight w:val="none"/>
        </w:rPr>
        <w:tab/>
      </w:r>
      <w:r>
        <w:rPr>
          <w:color w:val="auto"/>
          <w:highlight w:val="none"/>
        </w:rPr>
        <w:fldChar w:fldCharType="begin"/>
      </w:r>
      <w:r>
        <w:rPr>
          <w:color w:val="auto"/>
          <w:highlight w:val="none"/>
        </w:rPr>
        <w:instrText xml:space="preserve"> PAGEREF _Toc28979 \h </w:instrText>
      </w:r>
      <w:r>
        <w:rPr>
          <w:color w:val="auto"/>
          <w:highlight w:val="none"/>
        </w:rPr>
        <w:fldChar w:fldCharType="separate"/>
      </w:r>
      <w:r>
        <w:rPr>
          <w:color w:val="auto"/>
          <w:highlight w:val="none"/>
        </w:rPr>
        <w:t>46</w:t>
      </w:r>
      <w:r>
        <w:rPr>
          <w:color w:val="auto"/>
          <w:highlight w:val="none"/>
        </w:rPr>
        <w:fldChar w:fldCharType="end"/>
      </w:r>
      <w:r>
        <w:rPr>
          <w:rFonts w:hint="eastAsia" w:ascii="宋体" w:hAnsi="宋体" w:eastAsia="宋体" w:cs="宋体"/>
          <w:color w:val="auto"/>
          <w:highlight w:val="none"/>
        </w:rPr>
        <w:fldChar w:fldCharType="end"/>
      </w:r>
    </w:p>
    <w:p w14:paraId="53B2A860">
      <w:pPr>
        <w:pStyle w:val="29"/>
        <w:tabs>
          <w:tab w:val="right" w:leader="dot" w:pos="8844"/>
        </w:tabs>
        <w:rPr>
          <w:rFonts w:hint="eastAsia" w:ascii="宋体" w:hAnsi="宋体" w:eastAsia="宋体" w:cs="宋体"/>
          <w:color w:val="auto"/>
          <w:szCs w:val="32"/>
          <w:highlight w:val="none"/>
        </w:rPr>
      </w:pP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HYPERLINK \l _Toc14082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第五章 采购需求</w:t>
      </w:r>
      <w:r>
        <w:rPr>
          <w:rFonts w:hint="eastAsia" w:ascii="宋体" w:hAnsi="宋体" w:eastAsia="宋体" w:cs="宋体"/>
          <w:color w:val="auto"/>
          <w:szCs w:val="32"/>
          <w:highlight w:val="none"/>
        </w:rPr>
        <w:tab/>
      </w:r>
      <w:r>
        <w:rPr>
          <w:rFonts w:hint="eastAsia" w:ascii="宋体" w:hAnsi="宋体" w:eastAsia="宋体" w:cs="宋体"/>
          <w:color w:val="auto"/>
          <w:szCs w:val="32"/>
          <w:highlight w:val="none"/>
        </w:rPr>
        <w:fldChar w:fldCharType="begin"/>
      </w:r>
      <w:r>
        <w:rPr>
          <w:rFonts w:hint="eastAsia" w:ascii="宋体" w:hAnsi="宋体" w:eastAsia="宋体" w:cs="宋体"/>
          <w:color w:val="auto"/>
          <w:szCs w:val="32"/>
          <w:highlight w:val="none"/>
        </w:rPr>
        <w:instrText xml:space="preserve"> PAGEREF _Toc14082 \h </w:instrText>
      </w:r>
      <w:r>
        <w:rPr>
          <w:rFonts w:hint="eastAsia" w:ascii="宋体" w:hAnsi="宋体" w:eastAsia="宋体" w:cs="宋体"/>
          <w:color w:val="auto"/>
          <w:szCs w:val="32"/>
          <w:highlight w:val="none"/>
        </w:rPr>
        <w:fldChar w:fldCharType="separate"/>
      </w:r>
      <w:r>
        <w:rPr>
          <w:rFonts w:hint="eastAsia" w:ascii="宋体" w:hAnsi="宋体" w:eastAsia="宋体" w:cs="宋体"/>
          <w:color w:val="auto"/>
          <w:szCs w:val="32"/>
          <w:highlight w:val="none"/>
        </w:rPr>
        <w:t>48</w:t>
      </w:r>
      <w:r>
        <w:rPr>
          <w:rFonts w:hint="eastAsia" w:ascii="宋体" w:hAnsi="宋体" w:eastAsia="宋体" w:cs="宋体"/>
          <w:color w:val="auto"/>
          <w:szCs w:val="32"/>
          <w:highlight w:val="none"/>
        </w:rPr>
        <w:fldChar w:fldCharType="end"/>
      </w:r>
      <w:r>
        <w:rPr>
          <w:rFonts w:hint="eastAsia" w:ascii="宋体" w:hAnsi="宋体" w:eastAsia="宋体" w:cs="宋体"/>
          <w:color w:val="auto"/>
          <w:szCs w:val="32"/>
          <w:highlight w:val="none"/>
        </w:rPr>
        <w:fldChar w:fldCharType="end"/>
      </w:r>
    </w:p>
    <w:p w14:paraId="6691E23C">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_Toc6162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w:t>
      </w:r>
      <w:r>
        <w:rPr>
          <w:rFonts w:hint="eastAsia" w:ascii="宋体" w:hAnsi="宋体" w:cs="宋体"/>
          <w:color w:val="auto"/>
          <w:szCs w:val="28"/>
          <w:highlight w:val="none"/>
          <w:lang w:val="en-US" w:eastAsia="zh-CN"/>
        </w:rPr>
        <w:t>一</w:t>
      </w:r>
      <w:r>
        <w:rPr>
          <w:rFonts w:hint="eastAsia" w:ascii="宋体" w:hAnsi="宋体" w:eastAsia="宋体" w:cs="宋体"/>
          <w:color w:val="auto"/>
          <w:szCs w:val="28"/>
          <w:highlight w:val="none"/>
        </w:rPr>
        <w:t>节 技术要求</w:t>
      </w:r>
      <w:r>
        <w:rPr>
          <w:color w:val="auto"/>
          <w:highlight w:val="none"/>
        </w:rPr>
        <w:tab/>
      </w:r>
      <w:r>
        <w:rPr>
          <w:color w:val="auto"/>
          <w:highlight w:val="none"/>
        </w:rPr>
        <w:fldChar w:fldCharType="begin"/>
      </w:r>
      <w:r>
        <w:rPr>
          <w:color w:val="auto"/>
          <w:highlight w:val="none"/>
        </w:rPr>
        <w:instrText xml:space="preserve"> PAGEREF _Toc6162 \h </w:instrText>
      </w:r>
      <w:r>
        <w:rPr>
          <w:color w:val="auto"/>
          <w:highlight w:val="none"/>
        </w:rPr>
        <w:fldChar w:fldCharType="separate"/>
      </w:r>
      <w:r>
        <w:rPr>
          <w:color w:val="auto"/>
          <w:highlight w:val="none"/>
        </w:rPr>
        <w:t>48</w:t>
      </w:r>
      <w:r>
        <w:rPr>
          <w:color w:val="auto"/>
          <w:highlight w:val="none"/>
        </w:rPr>
        <w:fldChar w:fldCharType="end"/>
      </w:r>
      <w:r>
        <w:rPr>
          <w:rFonts w:hint="eastAsia" w:ascii="宋体" w:hAnsi="宋体" w:eastAsia="宋体" w:cs="宋体"/>
          <w:color w:val="auto"/>
          <w:highlight w:val="none"/>
        </w:rPr>
        <w:fldChar w:fldCharType="end"/>
      </w:r>
    </w:p>
    <w:p w14:paraId="34EBB6B3">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_Toc6342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 xml:space="preserve">第二节 </w:t>
      </w:r>
      <w:r>
        <w:rPr>
          <w:rFonts w:hint="eastAsia" w:ascii="宋体" w:hAnsi="宋体" w:cs="宋体"/>
          <w:color w:val="auto"/>
          <w:szCs w:val="28"/>
          <w:highlight w:val="none"/>
          <w:lang w:val="en-US" w:eastAsia="zh-CN"/>
        </w:rPr>
        <w:t>商务</w:t>
      </w:r>
      <w:r>
        <w:rPr>
          <w:rFonts w:hint="eastAsia" w:ascii="宋体" w:hAnsi="宋体" w:eastAsia="宋体" w:cs="宋体"/>
          <w:color w:val="auto"/>
          <w:szCs w:val="28"/>
          <w:highlight w:val="none"/>
        </w:rPr>
        <w:t>要求</w:t>
      </w:r>
      <w:r>
        <w:rPr>
          <w:color w:val="auto"/>
          <w:highlight w:val="none"/>
        </w:rPr>
        <w:tab/>
      </w:r>
      <w:r>
        <w:rPr>
          <w:color w:val="auto"/>
          <w:highlight w:val="none"/>
        </w:rPr>
        <w:fldChar w:fldCharType="begin"/>
      </w:r>
      <w:r>
        <w:rPr>
          <w:color w:val="auto"/>
          <w:highlight w:val="none"/>
        </w:rPr>
        <w:instrText xml:space="preserve"> PAGEREF _Toc6342 \h </w:instrText>
      </w:r>
      <w:r>
        <w:rPr>
          <w:color w:val="auto"/>
          <w:highlight w:val="none"/>
        </w:rPr>
        <w:fldChar w:fldCharType="separate"/>
      </w:r>
      <w:r>
        <w:rPr>
          <w:color w:val="auto"/>
          <w:highlight w:val="none"/>
        </w:rPr>
        <w:t>52</w:t>
      </w:r>
      <w:r>
        <w:rPr>
          <w:color w:val="auto"/>
          <w:highlight w:val="none"/>
        </w:rPr>
        <w:fldChar w:fldCharType="end"/>
      </w:r>
      <w:r>
        <w:rPr>
          <w:rFonts w:hint="eastAsia" w:ascii="宋体" w:hAnsi="宋体" w:eastAsia="宋体" w:cs="宋体"/>
          <w:color w:val="auto"/>
          <w:highlight w:val="none"/>
        </w:rPr>
        <w:fldChar w:fldCharType="end"/>
      </w:r>
    </w:p>
    <w:p w14:paraId="5FB41DD0">
      <w:pPr>
        <w:pStyle w:val="29"/>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_Toc12144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2"/>
          <w:highlight w:val="none"/>
        </w:rPr>
        <w:t>第六章 政府采购合同</w:t>
      </w:r>
      <w:r>
        <w:rPr>
          <w:color w:val="auto"/>
          <w:highlight w:val="none"/>
        </w:rPr>
        <w:tab/>
      </w:r>
      <w:r>
        <w:rPr>
          <w:color w:val="auto"/>
          <w:highlight w:val="none"/>
        </w:rPr>
        <w:fldChar w:fldCharType="begin"/>
      </w:r>
      <w:r>
        <w:rPr>
          <w:color w:val="auto"/>
          <w:highlight w:val="none"/>
        </w:rPr>
        <w:instrText xml:space="preserve"> PAGEREF _Toc12144 \h </w:instrText>
      </w:r>
      <w:r>
        <w:rPr>
          <w:color w:val="auto"/>
          <w:highlight w:val="none"/>
        </w:rPr>
        <w:fldChar w:fldCharType="separate"/>
      </w:r>
      <w:r>
        <w:rPr>
          <w:color w:val="auto"/>
          <w:highlight w:val="none"/>
        </w:rPr>
        <w:t>54</w:t>
      </w:r>
      <w:r>
        <w:rPr>
          <w:color w:val="auto"/>
          <w:highlight w:val="none"/>
        </w:rPr>
        <w:fldChar w:fldCharType="end"/>
      </w:r>
      <w:r>
        <w:rPr>
          <w:rFonts w:hint="eastAsia" w:ascii="宋体" w:hAnsi="宋体" w:eastAsia="宋体" w:cs="宋体"/>
          <w:color w:val="auto"/>
          <w:highlight w:val="none"/>
        </w:rPr>
        <w:fldChar w:fldCharType="end"/>
      </w:r>
    </w:p>
    <w:p w14:paraId="0F319B5C">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_Toc2336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第一节 政府采购合同协议书</w:t>
      </w:r>
      <w:r>
        <w:rPr>
          <w:color w:val="auto"/>
          <w:highlight w:val="none"/>
        </w:rPr>
        <w:tab/>
      </w:r>
      <w:r>
        <w:rPr>
          <w:color w:val="auto"/>
          <w:highlight w:val="none"/>
        </w:rPr>
        <w:fldChar w:fldCharType="begin"/>
      </w:r>
      <w:r>
        <w:rPr>
          <w:color w:val="auto"/>
          <w:highlight w:val="none"/>
        </w:rPr>
        <w:instrText xml:space="preserve"> PAGEREF _Toc2336 \h </w:instrText>
      </w:r>
      <w:r>
        <w:rPr>
          <w:color w:val="auto"/>
          <w:highlight w:val="none"/>
        </w:rPr>
        <w:fldChar w:fldCharType="separate"/>
      </w:r>
      <w:r>
        <w:rPr>
          <w:color w:val="auto"/>
          <w:highlight w:val="none"/>
        </w:rPr>
        <w:t>54</w:t>
      </w:r>
      <w:r>
        <w:rPr>
          <w:color w:val="auto"/>
          <w:highlight w:val="none"/>
        </w:rPr>
        <w:fldChar w:fldCharType="end"/>
      </w:r>
      <w:r>
        <w:rPr>
          <w:rFonts w:hint="eastAsia" w:ascii="宋体" w:hAnsi="宋体" w:eastAsia="宋体" w:cs="宋体"/>
          <w:color w:val="auto"/>
          <w:highlight w:val="none"/>
        </w:rPr>
        <w:fldChar w:fldCharType="end"/>
      </w:r>
    </w:p>
    <w:p w14:paraId="5EFFA59E">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_Toc13941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第二节 政府采购合同通用条款</w:t>
      </w:r>
      <w:r>
        <w:rPr>
          <w:color w:val="auto"/>
          <w:highlight w:val="none"/>
        </w:rPr>
        <w:tab/>
      </w:r>
      <w:r>
        <w:rPr>
          <w:color w:val="auto"/>
          <w:highlight w:val="none"/>
        </w:rPr>
        <w:fldChar w:fldCharType="begin"/>
      </w:r>
      <w:r>
        <w:rPr>
          <w:color w:val="auto"/>
          <w:highlight w:val="none"/>
        </w:rPr>
        <w:instrText xml:space="preserve"> PAGEREF _Toc13941 \h </w:instrText>
      </w:r>
      <w:r>
        <w:rPr>
          <w:color w:val="auto"/>
          <w:highlight w:val="none"/>
        </w:rPr>
        <w:fldChar w:fldCharType="separate"/>
      </w:r>
      <w:r>
        <w:rPr>
          <w:color w:val="auto"/>
          <w:highlight w:val="none"/>
        </w:rPr>
        <w:t>57</w:t>
      </w:r>
      <w:r>
        <w:rPr>
          <w:color w:val="auto"/>
          <w:highlight w:val="none"/>
        </w:rPr>
        <w:fldChar w:fldCharType="end"/>
      </w:r>
      <w:r>
        <w:rPr>
          <w:rFonts w:hint="eastAsia" w:ascii="宋体" w:hAnsi="宋体" w:eastAsia="宋体" w:cs="宋体"/>
          <w:color w:val="auto"/>
          <w:highlight w:val="none"/>
        </w:rPr>
        <w:fldChar w:fldCharType="end"/>
      </w:r>
    </w:p>
    <w:p w14:paraId="18355933">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_Toc1269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第三节 政府采购合同专用条款</w:t>
      </w:r>
      <w:r>
        <w:rPr>
          <w:color w:val="auto"/>
          <w:highlight w:val="none"/>
        </w:rPr>
        <w:tab/>
      </w:r>
      <w:r>
        <w:rPr>
          <w:color w:val="auto"/>
          <w:highlight w:val="none"/>
        </w:rPr>
        <w:fldChar w:fldCharType="begin"/>
      </w:r>
      <w:r>
        <w:rPr>
          <w:color w:val="auto"/>
          <w:highlight w:val="none"/>
        </w:rPr>
        <w:instrText xml:space="preserve"> PAGEREF _Toc1269 \h </w:instrText>
      </w:r>
      <w:r>
        <w:rPr>
          <w:color w:val="auto"/>
          <w:highlight w:val="none"/>
        </w:rPr>
        <w:fldChar w:fldCharType="separate"/>
      </w:r>
      <w:r>
        <w:rPr>
          <w:color w:val="auto"/>
          <w:highlight w:val="none"/>
        </w:rPr>
        <w:t>64</w:t>
      </w:r>
      <w:r>
        <w:rPr>
          <w:color w:val="auto"/>
          <w:highlight w:val="none"/>
        </w:rPr>
        <w:fldChar w:fldCharType="end"/>
      </w:r>
      <w:r>
        <w:rPr>
          <w:rFonts w:hint="eastAsia" w:ascii="宋体" w:hAnsi="宋体" w:eastAsia="宋体" w:cs="宋体"/>
          <w:color w:val="auto"/>
          <w:highlight w:val="none"/>
        </w:rPr>
        <w:fldChar w:fldCharType="end"/>
      </w:r>
    </w:p>
    <w:p w14:paraId="7F7E0DCE">
      <w:pPr>
        <w:pStyle w:val="29"/>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_Toc17642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32"/>
          <w:highlight w:val="none"/>
        </w:rPr>
        <w:t>第七章 投标文件的组成</w:t>
      </w:r>
      <w:r>
        <w:rPr>
          <w:color w:val="auto"/>
          <w:highlight w:val="none"/>
        </w:rPr>
        <w:tab/>
      </w:r>
      <w:r>
        <w:rPr>
          <w:color w:val="auto"/>
          <w:highlight w:val="none"/>
        </w:rPr>
        <w:fldChar w:fldCharType="begin"/>
      </w:r>
      <w:r>
        <w:rPr>
          <w:color w:val="auto"/>
          <w:highlight w:val="none"/>
        </w:rPr>
        <w:instrText xml:space="preserve"> PAGEREF _Toc17642 \h </w:instrText>
      </w:r>
      <w:r>
        <w:rPr>
          <w:color w:val="auto"/>
          <w:highlight w:val="none"/>
        </w:rPr>
        <w:fldChar w:fldCharType="separate"/>
      </w:r>
      <w:r>
        <w:rPr>
          <w:color w:val="auto"/>
          <w:highlight w:val="none"/>
        </w:rPr>
        <w:t>65</w:t>
      </w:r>
      <w:r>
        <w:rPr>
          <w:color w:val="auto"/>
          <w:highlight w:val="none"/>
        </w:rPr>
        <w:fldChar w:fldCharType="end"/>
      </w:r>
      <w:r>
        <w:rPr>
          <w:rFonts w:hint="eastAsia" w:ascii="宋体" w:hAnsi="宋体" w:eastAsia="宋体" w:cs="宋体"/>
          <w:color w:val="auto"/>
          <w:highlight w:val="none"/>
        </w:rPr>
        <w:fldChar w:fldCharType="end"/>
      </w:r>
    </w:p>
    <w:p w14:paraId="653B5118">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_Toc13793 </w:instrText>
      </w:r>
      <w:r>
        <w:rPr>
          <w:rFonts w:hint="eastAsia" w:ascii="宋体" w:hAnsi="宋体" w:eastAsia="宋体" w:cs="宋体"/>
          <w:color w:val="auto"/>
          <w:highlight w:val="none"/>
        </w:rPr>
        <w:fldChar w:fldCharType="separate"/>
      </w:r>
      <w:r>
        <w:rPr>
          <w:rFonts w:hint="eastAsia" w:ascii="宋体" w:hAnsi="宋体" w:eastAsia="宋体" w:cs="宋体"/>
          <w:color w:val="auto"/>
          <w:szCs w:val="44"/>
          <w:highlight w:val="none"/>
        </w:rPr>
        <w:t>第一部分 资格证明文件</w:t>
      </w:r>
      <w:r>
        <w:rPr>
          <w:color w:val="auto"/>
          <w:highlight w:val="none"/>
        </w:rPr>
        <w:tab/>
      </w:r>
      <w:r>
        <w:rPr>
          <w:color w:val="auto"/>
          <w:highlight w:val="none"/>
        </w:rPr>
        <w:fldChar w:fldCharType="begin"/>
      </w:r>
      <w:r>
        <w:rPr>
          <w:color w:val="auto"/>
          <w:highlight w:val="none"/>
        </w:rPr>
        <w:instrText xml:space="preserve"> PAGEREF _Toc13793 \h </w:instrText>
      </w:r>
      <w:r>
        <w:rPr>
          <w:color w:val="auto"/>
          <w:highlight w:val="none"/>
        </w:rPr>
        <w:fldChar w:fldCharType="separate"/>
      </w:r>
      <w:r>
        <w:rPr>
          <w:color w:val="auto"/>
          <w:highlight w:val="none"/>
        </w:rPr>
        <w:t>66</w:t>
      </w:r>
      <w:r>
        <w:rPr>
          <w:color w:val="auto"/>
          <w:highlight w:val="none"/>
        </w:rPr>
        <w:fldChar w:fldCharType="end"/>
      </w:r>
      <w:r>
        <w:rPr>
          <w:rFonts w:hint="eastAsia" w:ascii="宋体" w:hAnsi="宋体" w:eastAsia="宋体" w:cs="宋体"/>
          <w:color w:val="auto"/>
          <w:highlight w:val="none"/>
        </w:rPr>
        <w:fldChar w:fldCharType="end"/>
      </w:r>
    </w:p>
    <w:p w14:paraId="39E87C0D">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_Toc30439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一、开标一览表</w:t>
      </w:r>
      <w:r>
        <w:rPr>
          <w:color w:val="auto"/>
          <w:highlight w:val="none"/>
        </w:rPr>
        <w:tab/>
      </w:r>
      <w:r>
        <w:rPr>
          <w:color w:val="auto"/>
          <w:highlight w:val="none"/>
        </w:rPr>
        <w:fldChar w:fldCharType="begin"/>
      </w:r>
      <w:r>
        <w:rPr>
          <w:color w:val="auto"/>
          <w:highlight w:val="none"/>
        </w:rPr>
        <w:instrText xml:space="preserve"> PAGEREF _Toc30439 \h </w:instrText>
      </w:r>
      <w:r>
        <w:rPr>
          <w:color w:val="auto"/>
          <w:highlight w:val="none"/>
        </w:rPr>
        <w:fldChar w:fldCharType="separate"/>
      </w:r>
      <w:r>
        <w:rPr>
          <w:color w:val="auto"/>
          <w:highlight w:val="none"/>
        </w:rPr>
        <w:t>67</w:t>
      </w:r>
      <w:r>
        <w:rPr>
          <w:color w:val="auto"/>
          <w:highlight w:val="none"/>
        </w:rPr>
        <w:fldChar w:fldCharType="end"/>
      </w:r>
      <w:r>
        <w:rPr>
          <w:rFonts w:hint="eastAsia" w:ascii="宋体" w:hAnsi="宋体" w:eastAsia="宋体" w:cs="宋体"/>
          <w:color w:val="auto"/>
          <w:highlight w:val="none"/>
        </w:rPr>
        <w:fldChar w:fldCharType="end"/>
      </w:r>
    </w:p>
    <w:p w14:paraId="2BCC7E68">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_Toc17604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lang w:val="en-US" w:eastAsia="zh-CN"/>
        </w:rPr>
        <w:t>二</w:t>
      </w:r>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法定代表人</w:t>
      </w:r>
      <w:r>
        <w:rPr>
          <w:rFonts w:hint="eastAsia" w:ascii="宋体" w:hAnsi="宋体" w:cs="宋体"/>
          <w:color w:val="auto"/>
          <w:szCs w:val="28"/>
          <w:highlight w:val="none"/>
          <w:lang w:eastAsia="zh-CN"/>
        </w:rPr>
        <w:t>（单位负责人）</w:t>
      </w:r>
      <w:r>
        <w:rPr>
          <w:rFonts w:hint="eastAsia" w:ascii="宋体" w:hAnsi="宋体" w:eastAsia="宋体" w:cs="宋体"/>
          <w:color w:val="auto"/>
          <w:szCs w:val="28"/>
          <w:highlight w:val="none"/>
        </w:rPr>
        <w:t>身份证明</w:t>
      </w:r>
      <w:r>
        <w:rPr>
          <w:color w:val="auto"/>
          <w:highlight w:val="none"/>
        </w:rPr>
        <w:tab/>
      </w:r>
      <w:r>
        <w:rPr>
          <w:color w:val="auto"/>
          <w:highlight w:val="none"/>
        </w:rPr>
        <w:fldChar w:fldCharType="begin"/>
      </w:r>
      <w:r>
        <w:rPr>
          <w:color w:val="auto"/>
          <w:highlight w:val="none"/>
        </w:rPr>
        <w:instrText xml:space="preserve"> PAGEREF _Toc17604 \h </w:instrText>
      </w:r>
      <w:r>
        <w:rPr>
          <w:color w:val="auto"/>
          <w:highlight w:val="none"/>
        </w:rPr>
        <w:fldChar w:fldCharType="separate"/>
      </w:r>
      <w:r>
        <w:rPr>
          <w:color w:val="auto"/>
          <w:highlight w:val="none"/>
        </w:rPr>
        <w:t>68</w:t>
      </w:r>
      <w:r>
        <w:rPr>
          <w:color w:val="auto"/>
          <w:highlight w:val="none"/>
        </w:rPr>
        <w:fldChar w:fldCharType="end"/>
      </w:r>
      <w:r>
        <w:rPr>
          <w:rFonts w:hint="eastAsia" w:ascii="宋体" w:hAnsi="宋体" w:eastAsia="宋体" w:cs="宋体"/>
          <w:color w:val="auto"/>
          <w:highlight w:val="none"/>
        </w:rPr>
        <w:fldChar w:fldCharType="end"/>
      </w:r>
    </w:p>
    <w:p w14:paraId="2AB7D1FF">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_Toc595 </w:instrText>
      </w:r>
      <w:r>
        <w:rPr>
          <w:rFonts w:hint="eastAsia" w:ascii="宋体" w:hAnsi="宋体" w:eastAsia="宋体" w:cs="宋体"/>
          <w:color w:val="auto"/>
          <w:highlight w:val="none"/>
        </w:rPr>
        <w:fldChar w:fldCharType="separate"/>
      </w:r>
      <w:r>
        <w:rPr>
          <w:rFonts w:hint="eastAsia" w:ascii="宋体" w:hAnsi="宋体" w:cs="宋体"/>
          <w:color w:val="auto"/>
          <w:szCs w:val="28"/>
          <w:highlight w:val="none"/>
          <w:lang w:val="en-US" w:eastAsia="zh-CN"/>
        </w:rPr>
        <w:t>三</w:t>
      </w:r>
      <w:r>
        <w:rPr>
          <w:rFonts w:hint="eastAsia" w:ascii="宋体" w:hAnsi="宋体" w:eastAsia="宋体" w:cs="宋体"/>
          <w:color w:val="auto"/>
          <w:szCs w:val="28"/>
          <w:highlight w:val="none"/>
        </w:rPr>
        <w:t>、授权委托书</w:t>
      </w:r>
      <w:r>
        <w:rPr>
          <w:color w:val="auto"/>
          <w:highlight w:val="none"/>
        </w:rPr>
        <w:tab/>
      </w:r>
      <w:r>
        <w:rPr>
          <w:color w:val="auto"/>
          <w:highlight w:val="none"/>
        </w:rPr>
        <w:fldChar w:fldCharType="begin"/>
      </w:r>
      <w:r>
        <w:rPr>
          <w:color w:val="auto"/>
          <w:highlight w:val="none"/>
        </w:rPr>
        <w:instrText xml:space="preserve"> PAGEREF _Toc595 \h </w:instrText>
      </w:r>
      <w:r>
        <w:rPr>
          <w:color w:val="auto"/>
          <w:highlight w:val="none"/>
        </w:rPr>
        <w:fldChar w:fldCharType="separate"/>
      </w:r>
      <w:r>
        <w:rPr>
          <w:color w:val="auto"/>
          <w:highlight w:val="none"/>
        </w:rPr>
        <w:t>69</w:t>
      </w:r>
      <w:r>
        <w:rPr>
          <w:color w:val="auto"/>
          <w:highlight w:val="none"/>
        </w:rPr>
        <w:fldChar w:fldCharType="end"/>
      </w:r>
      <w:r>
        <w:rPr>
          <w:rFonts w:hint="eastAsia" w:ascii="宋体" w:hAnsi="宋体" w:eastAsia="宋体" w:cs="宋体"/>
          <w:color w:val="auto"/>
          <w:highlight w:val="none"/>
        </w:rPr>
        <w:fldChar w:fldCharType="end"/>
      </w:r>
    </w:p>
    <w:p w14:paraId="1A465EA8">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_Toc1633 </w:instrText>
      </w:r>
      <w:r>
        <w:rPr>
          <w:rFonts w:hint="eastAsia" w:ascii="宋体" w:hAnsi="宋体" w:eastAsia="宋体" w:cs="宋体"/>
          <w:color w:val="auto"/>
          <w:highlight w:val="none"/>
        </w:rPr>
        <w:fldChar w:fldCharType="separate"/>
      </w:r>
      <w:r>
        <w:rPr>
          <w:rFonts w:hint="eastAsia" w:ascii="宋体" w:hAnsi="宋体" w:cs="宋体"/>
          <w:color w:val="auto"/>
          <w:szCs w:val="28"/>
          <w:highlight w:val="none"/>
          <w:lang w:val="en-US" w:eastAsia="zh-CN"/>
        </w:rPr>
        <w:t>四</w:t>
      </w:r>
      <w:r>
        <w:rPr>
          <w:rFonts w:hint="eastAsia" w:ascii="宋体" w:hAnsi="宋体" w:eastAsia="宋体" w:cs="宋体"/>
          <w:color w:val="auto"/>
          <w:szCs w:val="28"/>
          <w:highlight w:val="none"/>
        </w:rPr>
        <w:t>、投标人提供的资格证明文件</w:t>
      </w:r>
      <w:r>
        <w:rPr>
          <w:color w:val="auto"/>
          <w:highlight w:val="none"/>
        </w:rPr>
        <w:tab/>
      </w:r>
      <w:r>
        <w:rPr>
          <w:color w:val="auto"/>
          <w:highlight w:val="none"/>
        </w:rPr>
        <w:fldChar w:fldCharType="begin"/>
      </w:r>
      <w:r>
        <w:rPr>
          <w:color w:val="auto"/>
          <w:highlight w:val="none"/>
        </w:rPr>
        <w:instrText xml:space="preserve"> PAGEREF _Toc1633 \h </w:instrText>
      </w:r>
      <w:r>
        <w:rPr>
          <w:color w:val="auto"/>
          <w:highlight w:val="none"/>
        </w:rPr>
        <w:fldChar w:fldCharType="separate"/>
      </w:r>
      <w:r>
        <w:rPr>
          <w:color w:val="auto"/>
          <w:highlight w:val="none"/>
        </w:rPr>
        <w:t>70</w:t>
      </w:r>
      <w:r>
        <w:rPr>
          <w:color w:val="auto"/>
          <w:highlight w:val="none"/>
        </w:rPr>
        <w:fldChar w:fldCharType="end"/>
      </w:r>
      <w:r>
        <w:rPr>
          <w:rFonts w:hint="eastAsia" w:ascii="宋体" w:hAnsi="宋体" w:eastAsia="宋体" w:cs="宋体"/>
          <w:color w:val="auto"/>
          <w:highlight w:val="none"/>
        </w:rPr>
        <w:fldChar w:fldCharType="end"/>
      </w:r>
    </w:p>
    <w:p w14:paraId="75E92573">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_Toc28022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 法人或者其他组织的营业执照等主体资格证明文件，自然人的身份证明</w:t>
      </w:r>
      <w:r>
        <w:rPr>
          <w:color w:val="auto"/>
          <w:highlight w:val="none"/>
        </w:rPr>
        <w:tab/>
      </w:r>
      <w:r>
        <w:rPr>
          <w:color w:val="auto"/>
          <w:highlight w:val="none"/>
        </w:rPr>
        <w:fldChar w:fldCharType="begin"/>
      </w:r>
      <w:r>
        <w:rPr>
          <w:color w:val="auto"/>
          <w:highlight w:val="none"/>
        </w:rPr>
        <w:instrText xml:space="preserve"> PAGEREF _Toc28022 \h </w:instrText>
      </w:r>
      <w:r>
        <w:rPr>
          <w:color w:val="auto"/>
          <w:highlight w:val="none"/>
        </w:rPr>
        <w:fldChar w:fldCharType="separate"/>
      </w:r>
      <w:r>
        <w:rPr>
          <w:color w:val="auto"/>
          <w:highlight w:val="none"/>
        </w:rPr>
        <w:t>71</w:t>
      </w:r>
      <w:r>
        <w:rPr>
          <w:color w:val="auto"/>
          <w:highlight w:val="none"/>
        </w:rPr>
        <w:fldChar w:fldCharType="end"/>
      </w:r>
      <w:r>
        <w:rPr>
          <w:rFonts w:hint="eastAsia" w:ascii="宋体" w:hAnsi="宋体" w:eastAsia="宋体" w:cs="宋体"/>
          <w:color w:val="auto"/>
          <w:highlight w:val="none"/>
        </w:rPr>
        <w:fldChar w:fldCharType="end"/>
      </w:r>
    </w:p>
    <w:p w14:paraId="2C21EE1D">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_Toc8752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投标人资格声明(格式)</w:t>
      </w:r>
      <w:r>
        <w:rPr>
          <w:color w:val="auto"/>
          <w:highlight w:val="none"/>
        </w:rPr>
        <w:tab/>
      </w:r>
      <w:r>
        <w:rPr>
          <w:color w:val="auto"/>
          <w:highlight w:val="none"/>
        </w:rPr>
        <w:fldChar w:fldCharType="begin"/>
      </w:r>
      <w:r>
        <w:rPr>
          <w:color w:val="auto"/>
          <w:highlight w:val="none"/>
        </w:rPr>
        <w:instrText xml:space="preserve"> PAGEREF _Toc8752 \h </w:instrText>
      </w:r>
      <w:r>
        <w:rPr>
          <w:color w:val="auto"/>
          <w:highlight w:val="none"/>
        </w:rPr>
        <w:fldChar w:fldCharType="separate"/>
      </w:r>
      <w:r>
        <w:rPr>
          <w:color w:val="auto"/>
          <w:highlight w:val="none"/>
        </w:rPr>
        <w:t>72</w:t>
      </w:r>
      <w:r>
        <w:rPr>
          <w:color w:val="auto"/>
          <w:highlight w:val="none"/>
        </w:rPr>
        <w:fldChar w:fldCharType="end"/>
      </w:r>
      <w:r>
        <w:rPr>
          <w:rFonts w:hint="eastAsia" w:ascii="宋体" w:hAnsi="宋体" w:eastAsia="宋体" w:cs="宋体"/>
          <w:color w:val="auto"/>
          <w:highlight w:val="none"/>
        </w:rPr>
        <w:fldChar w:fldCharType="end"/>
      </w:r>
    </w:p>
    <w:p w14:paraId="5DE1CDCF">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_Toc15112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2（2）</w:t>
      </w:r>
      <w:r>
        <w:rPr>
          <w:rFonts w:hint="eastAsia" w:ascii="宋体" w:hAnsi="宋体" w:eastAsia="宋体" w:cs="宋体"/>
          <w:color w:val="auto"/>
          <w:szCs w:val="21"/>
          <w:highlight w:val="none"/>
        </w:rPr>
        <w:t xml:space="preserve"> 湖南省政府采购</w:t>
      </w:r>
      <w:r>
        <w:rPr>
          <w:rFonts w:hint="eastAsia" w:ascii="宋体" w:hAnsi="宋体" w:eastAsia="宋体" w:cs="宋体"/>
          <w:color w:val="auto"/>
          <w:szCs w:val="21"/>
          <w:highlight w:val="none"/>
          <w:lang w:eastAsia="zh-CN"/>
        </w:rPr>
        <w:t>供应商资格承诺函</w:t>
      </w:r>
      <w:r>
        <w:rPr>
          <w:rFonts w:hint="eastAsia" w:ascii="宋体" w:hAnsi="宋体" w:eastAsia="宋体" w:cs="宋体"/>
          <w:color w:val="auto"/>
          <w:szCs w:val="21"/>
          <w:highlight w:val="none"/>
        </w:rPr>
        <w:t>(格式)</w:t>
      </w:r>
      <w:r>
        <w:rPr>
          <w:color w:val="auto"/>
          <w:highlight w:val="none"/>
        </w:rPr>
        <w:tab/>
      </w:r>
      <w:r>
        <w:rPr>
          <w:color w:val="auto"/>
          <w:highlight w:val="none"/>
        </w:rPr>
        <w:fldChar w:fldCharType="begin"/>
      </w:r>
      <w:r>
        <w:rPr>
          <w:color w:val="auto"/>
          <w:highlight w:val="none"/>
        </w:rPr>
        <w:instrText xml:space="preserve"> PAGEREF _Toc15112 \h </w:instrText>
      </w:r>
      <w:r>
        <w:rPr>
          <w:color w:val="auto"/>
          <w:highlight w:val="none"/>
        </w:rPr>
        <w:fldChar w:fldCharType="separate"/>
      </w:r>
      <w:r>
        <w:rPr>
          <w:color w:val="auto"/>
          <w:highlight w:val="none"/>
        </w:rPr>
        <w:t>74</w:t>
      </w:r>
      <w:r>
        <w:rPr>
          <w:color w:val="auto"/>
          <w:highlight w:val="none"/>
        </w:rPr>
        <w:fldChar w:fldCharType="end"/>
      </w:r>
      <w:r>
        <w:rPr>
          <w:rFonts w:hint="eastAsia" w:ascii="宋体" w:hAnsi="宋体" w:eastAsia="宋体" w:cs="宋体"/>
          <w:color w:val="auto"/>
          <w:highlight w:val="none"/>
        </w:rPr>
        <w:fldChar w:fldCharType="end"/>
      </w:r>
    </w:p>
    <w:p w14:paraId="77F9925C">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_Toc11419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-3 符合特定资格条件证明材料复印件或者情况说明</w:t>
      </w:r>
      <w:r>
        <w:rPr>
          <w:color w:val="auto"/>
          <w:highlight w:val="none"/>
        </w:rPr>
        <w:tab/>
      </w:r>
      <w:r>
        <w:rPr>
          <w:color w:val="auto"/>
          <w:highlight w:val="none"/>
        </w:rPr>
        <w:fldChar w:fldCharType="begin"/>
      </w:r>
      <w:r>
        <w:rPr>
          <w:color w:val="auto"/>
          <w:highlight w:val="none"/>
        </w:rPr>
        <w:instrText xml:space="preserve"> PAGEREF _Toc11419 \h </w:instrText>
      </w:r>
      <w:r>
        <w:rPr>
          <w:color w:val="auto"/>
          <w:highlight w:val="none"/>
        </w:rPr>
        <w:fldChar w:fldCharType="separate"/>
      </w:r>
      <w:r>
        <w:rPr>
          <w:color w:val="auto"/>
          <w:highlight w:val="none"/>
        </w:rPr>
        <w:t>76</w:t>
      </w:r>
      <w:r>
        <w:rPr>
          <w:color w:val="auto"/>
          <w:highlight w:val="none"/>
        </w:rPr>
        <w:fldChar w:fldCharType="end"/>
      </w:r>
      <w:r>
        <w:rPr>
          <w:rFonts w:hint="eastAsia" w:ascii="宋体" w:hAnsi="宋体" w:eastAsia="宋体" w:cs="宋体"/>
          <w:color w:val="auto"/>
          <w:highlight w:val="none"/>
        </w:rPr>
        <w:fldChar w:fldCharType="end"/>
      </w:r>
    </w:p>
    <w:p w14:paraId="0D0AF3BC">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_Toc16380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lang w:eastAsia="zh-CN"/>
        </w:rPr>
        <w:t>附件</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联合体协议书（格式）</w:t>
      </w:r>
      <w:r>
        <w:rPr>
          <w:color w:val="auto"/>
          <w:highlight w:val="none"/>
        </w:rPr>
        <w:tab/>
      </w:r>
      <w:r>
        <w:rPr>
          <w:color w:val="auto"/>
          <w:highlight w:val="none"/>
        </w:rPr>
        <w:fldChar w:fldCharType="begin"/>
      </w:r>
      <w:r>
        <w:rPr>
          <w:color w:val="auto"/>
          <w:highlight w:val="none"/>
        </w:rPr>
        <w:instrText xml:space="preserve"> PAGEREF _Toc16380 \h </w:instrText>
      </w:r>
      <w:r>
        <w:rPr>
          <w:color w:val="auto"/>
          <w:highlight w:val="none"/>
        </w:rPr>
        <w:fldChar w:fldCharType="separate"/>
      </w:r>
      <w:r>
        <w:rPr>
          <w:color w:val="auto"/>
          <w:highlight w:val="none"/>
        </w:rPr>
        <w:t>77</w:t>
      </w:r>
      <w:r>
        <w:rPr>
          <w:color w:val="auto"/>
          <w:highlight w:val="none"/>
        </w:rPr>
        <w:fldChar w:fldCharType="end"/>
      </w:r>
      <w:r>
        <w:rPr>
          <w:rFonts w:hint="eastAsia" w:ascii="宋体" w:hAnsi="宋体" w:eastAsia="宋体" w:cs="宋体"/>
          <w:color w:val="auto"/>
          <w:highlight w:val="none"/>
        </w:rPr>
        <w:fldChar w:fldCharType="end"/>
      </w:r>
    </w:p>
    <w:p w14:paraId="7FA14FB1">
      <w:pPr>
        <w:pStyle w:val="34"/>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_Toc14417 </w:instrText>
      </w:r>
      <w:r>
        <w:rPr>
          <w:rFonts w:hint="eastAsia" w:ascii="宋体" w:hAnsi="宋体" w:eastAsia="宋体" w:cs="宋体"/>
          <w:color w:val="auto"/>
          <w:highlight w:val="none"/>
        </w:rPr>
        <w:fldChar w:fldCharType="separate"/>
      </w:r>
      <w:r>
        <w:rPr>
          <w:rFonts w:hint="eastAsia" w:ascii="宋体" w:hAnsi="宋体" w:eastAsia="宋体" w:cs="宋体"/>
          <w:color w:val="auto"/>
          <w:szCs w:val="44"/>
          <w:highlight w:val="none"/>
        </w:rPr>
        <w:t xml:space="preserve">第二部分 </w:t>
      </w:r>
      <w:r>
        <w:rPr>
          <w:rFonts w:hint="eastAsia" w:ascii="宋体" w:hAnsi="宋体" w:eastAsia="宋体" w:cs="宋体"/>
          <w:color w:val="auto"/>
          <w:szCs w:val="44"/>
          <w:highlight w:val="none"/>
          <w:lang w:eastAsia="zh-CN"/>
        </w:rPr>
        <w:t>商务和技术文件</w:t>
      </w:r>
      <w:r>
        <w:rPr>
          <w:color w:val="auto"/>
          <w:highlight w:val="none"/>
        </w:rPr>
        <w:tab/>
      </w:r>
      <w:r>
        <w:rPr>
          <w:color w:val="auto"/>
          <w:highlight w:val="none"/>
        </w:rPr>
        <w:fldChar w:fldCharType="begin"/>
      </w:r>
      <w:r>
        <w:rPr>
          <w:color w:val="auto"/>
          <w:highlight w:val="none"/>
        </w:rPr>
        <w:instrText xml:space="preserve"> PAGEREF _Toc14417 \h </w:instrText>
      </w:r>
      <w:r>
        <w:rPr>
          <w:color w:val="auto"/>
          <w:highlight w:val="none"/>
        </w:rPr>
        <w:fldChar w:fldCharType="separate"/>
      </w:r>
      <w:r>
        <w:rPr>
          <w:color w:val="auto"/>
          <w:highlight w:val="none"/>
        </w:rPr>
        <w:t>79</w:t>
      </w:r>
      <w:r>
        <w:rPr>
          <w:color w:val="auto"/>
          <w:highlight w:val="none"/>
        </w:rPr>
        <w:fldChar w:fldCharType="end"/>
      </w:r>
      <w:r>
        <w:rPr>
          <w:rFonts w:hint="eastAsia" w:ascii="宋体" w:hAnsi="宋体" w:eastAsia="宋体" w:cs="宋体"/>
          <w:color w:val="auto"/>
          <w:highlight w:val="none"/>
        </w:rPr>
        <w:fldChar w:fldCharType="end"/>
      </w:r>
    </w:p>
    <w:p w14:paraId="3DFBD28E">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_Toc7082 </w:instrText>
      </w:r>
      <w:r>
        <w:rPr>
          <w:rFonts w:hint="eastAsia" w:ascii="宋体" w:hAnsi="宋体" w:eastAsia="宋体" w:cs="宋体"/>
          <w:color w:val="auto"/>
          <w:highlight w:val="none"/>
        </w:rPr>
        <w:fldChar w:fldCharType="separate"/>
      </w:r>
      <w:r>
        <w:rPr>
          <w:rFonts w:hint="eastAsia" w:ascii="宋体" w:hAnsi="宋体" w:cs="宋体"/>
          <w:color w:val="auto"/>
          <w:szCs w:val="28"/>
          <w:highlight w:val="none"/>
          <w:lang w:val="en-US" w:eastAsia="zh-CN"/>
        </w:rPr>
        <w:t>五</w:t>
      </w:r>
      <w:r>
        <w:rPr>
          <w:rFonts w:hint="eastAsia" w:ascii="宋体" w:hAnsi="宋体" w:eastAsia="宋体" w:cs="宋体"/>
          <w:color w:val="auto"/>
          <w:szCs w:val="28"/>
          <w:highlight w:val="none"/>
        </w:rPr>
        <w:t>、投标函</w:t>
      </w:r>
      <w:r>
        <w:rPr>
          <w:color w:val="auto"/>
          <w:highlight w:val="none"/>
        </w:rPr>
        <w:tab/>
      </w:r>
      <w:r>
        <w:rPr>
          <w:color w:val="auto"/>
          <w:highlight w:val="none"/>
        </w:rPr>
        <w:fldChar w:fldCharType="begin"/>
      </w:r>
      <w:r>
        <w:rPr>
          <w:color w:val="auto"/>
          <w:highlight w:val="none"/>
        </w:rPr>
        <w:instrText xml:space="preserve"> PAGEREF _Toc7082 \h </w:instrText>
      </w:r>
      <w:r>
        <w:rPr>
          <w:color w:val="auto"/>
          <w:highlight w:val="none"/>
        </w:rPr>
        <w:fldChar w:fldCharType="separate"/>
      </w:r>
      <w:r>
        <w:rPr>
          <w:color w:val="auto"/>
          <w:highlight w:val="none"/>
        </w:rPr>
        <w:t>80</w:t>
      </w:r>
      <w:r>
        <w:rPr>
          <w:color w:val="auto"/>
          <w:highlight w:val="none"/>
        </w:rPr>
        <w:fldChar w:fldCharType="end"/>
      </w:r>
      <w:r>
        <w:rPr>
          <w:rFonts w:hint="eastAsia" w:ascii="宋体" w:hAnsi="宋体" w:eastAsia="宋体" w:cs="宋体"/>
          <w:color w:val="auto"/>
          <w:highlight w:val="none"/>
        </w:rPr>
        <w:fldChar w:fldCharType="end"/>
      </w:r>
    </w:p>
    <w:p w14:paraId="3F7F6AFD">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_Toc30944 </w:instrText>
      </w:r>
      <w:r>
        <w:rPr>
          <w:rFonts w:hint="eastAsia" w:ascii="宋体" w:hAnsi="宋体" w:eastAsia="宋体" w:cs="宋体"/>
          <w:color w:val="auto"/>
          <w:highlight w:val="none"/>
        </w:rPr>
        <w:fldChar w:fldCharType="separate"/>
      </w:r>
      <w:r>
        <w:rPr>
          <w:rFonts w:hint="eastAsia" w:ascii="宋体" w:hAnsi="宋体" w:cs="宋体"/>
          <w:color w:val="auto"/>
          <w:szCs w:val="28"/>
          <w:highlight w:val="none"/>
          <w:lang w:val="en-US" w:eastAsia="zh-CN"/>
        </w:rPr>
        <w:t>六</w:t>
      </w:r>
      <w:r>
        <w:rPr>
          <w:rFonts w:hint="eastAsia" w:ascii="宋体" w:hAnsi="宋体" w:eastAsia="宋体" w:cs="宋体"/>
          <w:color w:val="auto"/>
          <w:szCs w:val="28"/>
          <w:highlight w:val="none"/>
        </w:rPr>
        <w:t>、分项报价</w:t>
      </w:r>
      <w:r>
        <w:rPr>
          <w:color w:val="auto"/>
          <w:highlight w:val="none"/>
        </w:rPr>
        <w:tab/>
      </w:r>
      <w:r>
        <w:rPr>
          <w:color w:val="auto"/>
          <w:highlight w:val="none"/>
        </w:rPr>
        <w:fldChar w:fldCharType="begin"/>
      </w:r>
      <w:r>
        <w:rPr>
          <w:color w:val="auto"/>
          <w:highlight w:val="none"/>
        </w:rPr>
        <w:instrText xml:space="preserve"> PAGEREF _Toc30944 \h </w:instrText>
      </w:r>
      <w:r>
        <w:rPr>
          <w:color w:val="auto"/>
          <w:highlight w:val="none"/>
        </w:rPr>
        <w:fldChar w:fldCharType="separate"/>
      </w:r>
      <w:r>
        <w:rPr>
          <w:color w:val="auto"/>
          <w:highlight w:val="none"/>
        </w:rPr>
        <w:t>82</w:t>
      </w:r>
      <w:r>
        <w:rPr>
          <w:color w:val="auto"/>
          <w:highlight w:val="none"/>
        </w:rPr>
        <w:fldChar w:fldCharType="end"/>
      </w:r>
      <w:r>
        <w:rPr>
          <w:rFonts w:hint="eastAsia" w:ascii="宋体" w:hAnsi="宋体" w:eastAsia="宋体" w:cs="宋体"/>
          <w:color w:val="auto"/>
          <w:highlight w:val="none"/>
        </w:rPr>
        <w:fldChar w:fldCharType="end"/>
      </w:r>
    </w:p>
    <w:p w14:paraId="3698AB47">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_Toc30600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pacing w:val="6"/>
          <w:kern w:val="0"/>
          <w:szCs w:val="21"/>
          <w:highlight w:val="none"/>
        </w:rPr>
        <w:t>附件</w:t>
      </w:r>
      <w:r>
        <w:rPr>
          <w:rFonts w:hint="eastAsia" w:ascii="宋体" w:hAnsi="宋体" w:eastAsia="宋体" w:cs="宋体"/>
          <w:bCs w:val="0"/>
          <w:color w:val="auto"/>
          <w:spacing w:val="6"/>
          <w:kern w:val="0"/>
          <w:szCs w:val="21"/>
          <w:highlight w:val="none"/>
          <w:lang w:val="en-US" w:eastAsia="zh-CN"/>
        </w:rPr>
        <w:t>6</w:t>
      </w:r>
      <w:r>
        <w:rPr>
          <w:rFonts w:hint="eastAsia" w:ascii="宋体" w:hAnsi="宋体" w:eastAsia="宋体" w:cs="宋体"/>
          <w:bCs w:val="0"/>
          <w:color w:val="auto"/>
          <w:spacing w:val="6"/>
          <w:kern w:val="0"/>
          <w:szCs w:val="21"/>
          <w:highlight w:val="none"/>
        </w:rPr>
        <w:t xml:space="preserve">-1 </w:t>
      </w:r>
      <w:r>
        <w:rPr>
          <w:rFonts w:hint="eastAsia" w:ascii="宋体" w:hAnsi="宋体" w:eastAsia="宋体" w:cs="宋体"/>
          <w:color w:val="auto"/>
          <w:spacing w:val="-2"/>
          <w:kern w:val="0"/>
          <w:szCs w:val="21"/>
          <w:highlight w:val="none"/>
        </w:rPr>
        <w:t>分</w:t>
      </w:r>
      <w:r>
        <w:rPr>
          <w:rFonts w:hint="eastAsia" w:ascii="宋体" w:hAnsi="宋体" w:eastAsia="宋体" w:cs="宋体"/>
          <w:color w:val="auto"/>
          <w:kern w:val="0"/>
          <w:szCs w:val="21"/>
          <w:highlight w:val="none"/>
        </w:rPr>
        <w:t>项</w:t>
      </w:r>
      <w:r>
        <w:rPr>
          <w:rFonts w:hint="eastAsia" w:ascii="宋体" w:hAnsi="宋体" w:eastAsia="宋体" w:cs="宋体"/>
          <w:color w:val="auto"/>
          <w:spacing w:val="-2"/>
          <w:kern w:val="0"/>
          <w:szCs w:val="21"/>
          <w:highlight w:val="none"/>
        </w:rPr>
        <w:t>报</w:t>
      </w:r>
      <w:r>
        <w:rPr>
          <w:rFonts w:hint="eastAsia" w:ascii="宋体" w:hAnsi="宋体" w:eastAsia="宋体" w:cs="宋体"/>
          <w:color w:val="auto"/>
          <w:kern w:val="0"/>
          <w:szCs w:val="21"/>
          <w:highlight w:val="none"/>
        </w:rPr>
        <w:t>价说明</w:t>
      </w:r>
      <w:r>
        <w:rPr>
          <w:color w:val="auto"/>
          <w:highlight w:val="none"/>
        </w:rPr>
        <w:tab/>
      </w:r>
      <w:r>
        <w:rPr>
          <w:color w:val="auto"/>
          <w:highlight w:val="none"/>
        </w:rPr>
        <w:fldChar w:fldCharType="begin"/>
      </w:r>
      <w:r>
        <w:rPr>
          <w:color w:val="auto"/>
          <w:highlight w:val="none"/>
        </w:rPr>
        <w:instrText xml:space="preserve"> PAGEREF _Toc30600 \h </w:instrText>
      </w:r>
      <w:r>
        <w:rPr>
          <w:color w:val="auto"/>
          <w:highlight w:val="none"/>
        </w:rPr>
        <w:fldChar w:fldCharType="separate"/>
      </w:r>
      <w:r>
        <w:rPr>
          <w:color w:val="auto"/>
          <w:highlight w:val="none"/>
        </w:rPr>
        <w:t>82</w:t>
      </w:r>
      <w:r>
        <w:rPr>
          <w:color w:val="auto"/>
          <w:highlight w:val="none"/>
        </w:rPr>
        <w:fldChar w:fldCharType="end"/>
      </w:r>
      <w:r>
        <w:rPr>
          <w:rFonts w:hint="eastAsia" w:ascii="宋体" w:hAnsi="宋体" w:eastAsia="宋体" w:cs="宋体"/>
          <w:color w:val="auto"/>
          <w:highlight w:val="none"/>
        </w:rPr>
        <w:fldChar w:fldCharType="end"/>
      </w:r>
    </w:p>
    <w:p w14:paraId="5A918A28">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_Toc2019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pacing w:val="6"/>
          <w:kern w:val="0"/>
          <w:szCs w:val="21"/>
          <w:highlight w:val="none"/>
        </w:rPr>
        <w:t>附件</w:t>
      </w:r>
      <w:r>
        <w:rPr>
          <w:rFonts w:hint="eastAsia" w:ascii="宋体" w:hAnsi="宋体" w:eastAsia="宋体" w:cs="宋体"/>
          <w:bCs w:val="0"/>
          <w:color w:val="auto"/>
          <w:spacing w:val="6"/>
          <w:kern w:val="0"/>
          <w:szCs w:val="21"/>
          <w:highlight w:val="none"/>
          <w:lang w:val="en-US" w:eastAsia="zh-CN"/>
        </w:rPr>
        <w:t>6</w:t>
      </w:r>
      <w:r>
        <w:rPr>
          <w:rFonts w:hint="eastAsia" w:ascii="宋体" w:hAnsi="宋体" w:eastAsia="宋体" w:cs="宋体"/>
          <w:bCs w:val="0"/>
          <w:color w:val="auto"/>
          <w:spacing w:val="6"/>
          <w:kern w:val="0"/>
          <w:szCs w:val="21"/>
          <w:highlight w:val="none"/>
        </w:rPr>
        <w:t xml:space="preserve">-2 </w:t>
      </w:r>
      <w:r>
        <w:rPr>
          <w:rFonts w:hint="eastAsia" w:ascii="宋体" w:hAnsi="宋体" w:eastAsia="宋体" w:cs="宋体"/>
          <w:color w:val="auto"/>
          <w:spacing w:val="-2"/>
          <w:kern w:val="0"/>
          <w:position w:val="-3"/>
          <w:szCs w:val="21"/>
          <w:highlight w:val="none"/>
        </w:rPr>
        <w:t>分</w:t>
      </w:r>
      <w:r>
        <w:rPr>
          <w:rFonts w:hint="eastAsia" w:ascii="宋体" w:hAnsi="宋体" w:eastAsia="宋体" w:cs="宋体"/>
          <w:color w:val="auto"/>
          <w:kern w:val="0"/>
          <w:position w:val="-3"/>
          <w:szCs w:val="21"/>
          <w:highlight w:val="none"/>
        </w:rPr>
        <w:t>项</w:t>
      </w:r>
      <w:r>
        <w:rPr>
          <w:rFonts w:hint="eastAsia" w:ascii="宋体" w:hAnsi="宋体" w:eastAsia="宋体" w:cs="宋体"/>
          <w:color w:val="auto"/>
          <w:spacing w:val="-2"/>
          <w:kern w:val="0"/>
          <w:position w:val="-3"/>
          <w:szCs w:val="21"/>
          <w:highlight w:val="none"/>
        </w:rPr>
        <w:t>报</w:t>
      </w:r>
      <w:r>
        <w:rPr>
          <w:rFonts w:hint="eastAsia" w:ascii="宋体" w:hAnsi="宋体" w:eastAsia="宋体" w:cs="宋体"/>
          <w:color w:val="auto"/>
          <w:kern w:val="0"/>
          <w:position w:val="-3"/>
          <w:szCs w:val="21"/>
          <w:highlight w:val="none"/>
        </w:rPr>
        <w:t>价明细表</w:t>
      </w:r>
      <w:r>
        <w:rPr>
          <w:rFonts w:hint="eastAsia" w:ascii="宋体" w:hAnsi="宋体" w:eastAsia="宋体" w:cs="宋体"/>
          <w:color w:val="auto"/>
          <w:spacing w:val="-2"/>
          <w:kern w:val="0"/>
          <w:position w:val="-3"/>
          <w:highlight w:val="none"/>
        </w:rPr>
        <w:t>分</w:t>
      </w:r>
      <w:r>
        <w:rPr>
          <w:rFonts w:hint="eastAsia" w:ascii="宋体" w:hAnsi="宋体" w:eastAsia="宋体" w:cs="宋体"/>
          <w:color w:val="auto"/>
          <w:kern w:val="0"/>
          <w:position w:val="-3"/>
          <w:highlight w:val="none"/>
        </w:rPr>
        <w:t>项</w:t>
      </w:r>
      <w:r>
        <w:rPr>
          <w:rFonts w:hint="eastAsia" w:ascii="宋体" w:hAnsi="宋体" w:eastAsia="宋体" w:cs="宋体"/>
          <w:color w:val="auto"/>
          <w:spacing w:val="-2"/>
          <w:kern w:val="0"/>
          <w:position w:val="-3"/>
          <w:highlight w:val="none"/>
        </w:rPr>
        <w:t>报</w:t>
      </w:r>
      <w:r>
        <w:rPr>
          <w:rFonts w:hint="eastAsia" w:ascii="宋体" w:hAnsi="宋体" w:eastAsia="宋体" w:cs="宋体"/>
          <w:color w:val="auto"/>
          <w:kern w:val="0"/>
          <w:position w:val="-3"/>
          <w:highlight w:val="none"/>
        </w:rPr>
        <w:t>价明细表</w:t>
      </w:r>
      <w:r>
        <w:rPr>
          <w:color w:val="auto"/>
          <w:highlight w:val="none"/>
        </w:rPr>
        <w:tab/>
      </w:r>
      <w:r>
        <w:rPr>
          <w:color w:val="auto"/>
          <w:highlight w:val="none"/>
        </w:rPr>
        <w:fldChar w:fldCharType="begin"/>
      </w:r>
      <w:r>
        <w:rPr>
          <w:color w:val="auto"/>
          <w:highlight w:val="none"/>
        </w:rPr>
        <w:instrText xml:space="preserve"> PAGEREF _Toc2019 \h </w:instrText>
      </w:r>
      <w:r>
        <w:rPr>
          <w:color w:val="auto"/>
          <w:highlight w:val="none"/>
        </w:rPr>
        <w:fldChar w:fldCharType="separate"/>
      </w:r>
      <w:r>
        <w:rPr>
          <w:color w:val="auto"/>
          <w:highlight w:val="none"/>
        </w:rPr>
        <w:t>82</w:t>
      </w:r>
      <w:r>
        <w:rPr>
          <w:color w:val="auto"/>
          <w:highlight w:val="none"/>
        </w:rPr>
        <w:fldChar w:fldCharType="end"/>
      </w:r>
      <w:r>
        <w:rPr>
          <w:rFonts w:hint="eastAsia" w:ascii="宋体" w:hAnsi="宋体" w:eastAsia="宋体" w:cs="宋体"/>
          <w:color w:val="auto"/>
          <w:highlight w:val="none"/>
        </w:rPr>
        <w:fldChar w:fldCharType="end"/>
      </w:r>
    </w:p>
    <w:p w14:paraId="72B5B6E2">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_Toc26002 </w:instrText>
      </w:r>
      <w:r>
        <w:rPr>
          <w:rFonts w:hint="eastAsia" w:ascii="宋体" w:hAnsi="宋体" w:eastAsia="宋体" w:cs="宋体"/>
          <w:color w:val="auto"/>
          <w:highlight w:val="none"/>
        </w:rPr>
        <w:fldChar w:fldCharType="separate"/>
      </w:r>
      <w:r>
        <w:rPr>
          <w:rFonts w:hint="eastAsia" w:ascii="宋体" w:hAnsi="宋体" w:cs="宋体"/>
          <w:color w:val="auto"/>
          <w:szCs w:val="28"/>
          <w:highlight w:val="none"/>
          <w:lang w:val="en-US" w:eastAsia="zh-CN"/>
        </w:rPr>
        <w:t>七</w:t>
      </w:r>
      <w:r>
        <w:rPr>
          <w:rFonts w:hint="eastAsia" w:ascii="宋体" w:hAnsi="宋体" w:eastAsia="宋体" w:cs="宋体"/>
          <w:color w:val="auto"/>
          <w:szCs w:val="28"/>
          <w:highlight w:val="none"/>
        </w:rPr>
        <w:t>、采购需求响应</w:t>
      </w:r>
      <w:r>
        <w:rPr>
          <w:color w:val="auto"/>
          <w:highlight w:val="none"/>
        </w:rPr>
        <w:tab/>
      </w:r>
      <w:r>
        <w:rPr>
          <w:color w:val="auto"/>
          <w:highlight w:val="none"/>
        </w:rPr>
        <w:fldChar w:fldCharType="begin"/>
      </w:r>
      <w:r>
        <w:rPr>
          <w:color w:val="auto"/>
          <w:highlight w:val="none"/>
        </w:rPr>
        <w:instrText xml:space="preserve"> PAGEREF _Toc26002 \h </w:instrText>
      </w:r>
      <w:r>
        <w:rPr>
          <w:color w:val="auto"/>
          <w:highlight w:val="none"/>
        </w:rPr>
        <w:fldChar w:fldCharType="separate"/>
      </w:r>
      <w:r>
        <w:rPr>
          <w:color w:val="auto"/>
          <w:highlight w:val="none"/>
        </w:rPr>
        <w:t>83</w:t>
      </w:r>
      <w:r>
        <w:rPr>
          <w:color w:val="auto"/>
          <w:highlight w:val="none"/>
        </w:rPr>
        <w:fldChar w:fldCharType="end"/>
      </w:r>
      <w:r>
        <w:rPr>
          <w:rFonts w:hint="eastAsia" w:ascii="宋体" w:hAnsi="宋体" w:eastAsia="宋体" w:cs="宋体"/>
          <w:color w:val="auto"/>
          <w:highlight w:val="none"/>
        </w:rPr>
        <w:fldChar w:fldCharType="end"/>
      </w:r>
    </w:p>
    <w:p w14:paraId="2995DB46">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_Toc10450 </w:instrText>
      </w:r>
      <w:r>
        <w:rPr>
          <w:rFonts w:hint="eastAsia" w:ascii="宋体" w:hAnsi="宋体" w:eastAsia="宋体" w:cs="宋体"/>
          <w:color w:val="auto"/>
          <w:highlight w:val="none"/>
        </w:rPr>
        <w:fldChar w:fldCharType="separate"/>
      </w:r>
      <w:r>
        <w:rPr>
          <w:rFonts w:hint="eastAsia" w:ascii="宋体" w:hAnsi="宋体" w:cs="宋体"/>
          <w:color w:val="auto"/>
          <w:szCs w:val="28"/>
          <w:highlight w:val="none"/>
          <w:lang w:val="en-US" w:eastAsia="zh-CN"/>
        </w:rPr>
        <w:t>八</w:t>
      </w:r>
      <w:r>
        <w:rPr>
          <w:rFonts w:hint="eastAsia" w:ascii="宋体" w:hAnsi="宋体" w:eastAsia="宋体" w:cs="宋体"/>
          <w:color w:val="auto"/>
          <w:szCs w:val="28"/>
          <w:highlight w:val="none"/>
        </w:rPr>
        <w:t>、合同条款偏离表</w:t>
      </w:r>
      <w:r>
        <w:rPr>
          <w:color w:val="auto"/>
          <w:highlight w:val="none"/>
        </w:rPr>
        <w:tab/>
      </w:r>
      <w:r>
        <w:rPr>
          <w:color w:val="auto"/>
          <w:highlight w:val="none"/>
        </w:rPr>
        <w:fldChar w:fldCharType="begin"/>
      </w:r>
      <w:r>
        <w:rPr>
          <w:color w:val="auto"/>
          <w:highlight w:val="none"/>
        </w:rPr>
        <w:instrText xml:space="preserve"> PAGEREF _Toc10450 \h </w:instrText>
      </w:r>
      <w:r>
        <w:rPr>
          <w:color w:val="auto"/>
          <w:highlight w:val="none"/>
        </w:rPr>
        <w:fldChar w:fldCharType="separate"/>
      </w:r>
      <w:r>
        <w:rPr>
          <w:color w:val="auto"/>
          <w:highlight w:val="none"/>
        </w:rPr>
        <w:t>84</w:t>
      </w:r>
      <w:r>
        <w:rPr>
          <w:color w:val="auto"/>
          <w:highlight w:val="none"/>
        </w:rPr>
        <w:fldChar w:fldCharType="end"/>
      </w:r>
      <w:r>
        <w:rPr>
          <w:rFonts w:hint="eastAsia" w:ascii="宋体" w:hAnsi="宋体" w:eastAsia="宋体" w:cs="宋体"/>
          <w:color w:val="auto"/>
          <w:highlight w:val="none"/>
        </w:rPr>
        <w:fldChar w:fldCharType="end"/>
      </w:r>
    </w:p>
    <w:p w14:paraId="121A298F">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_Toc12877 </w:instrText>
      </w:r>
      <w:r>
        <w:rPr>
          <w:rFonts w:hint="eastAsia" w:ascii="宋体" w:hAnsi="宋体" w:eastAsia="宋体" w:cs="宋体"/>
          <w:color w:val="auto"/>
          <w:highlight w:val="none"/>
        </w:rPr>
        <w:fldChar w:fldCharType="separate"/>
      </w:r>
      <w:r>
        <w:rPr>
          <w:rFonts w:hint="eastAsia" w:ascii="宋体" w:hAnsi="宋体" w:cs="宋体"/>
          <w:color w:val="auto"/>
          <w:szCs w:val="28"/>
          <w:highlight w:val="none"/>
          <w:lang w:val="en-US" w:eastAsia="zh-CN"/>
        </w:rPr>
        <w:t>九</w:t>
      </w:r>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采购需求偏离表</w:t>
      </w:r>
      <w:r>
        <w:rPr>
          <w:color w:val="auto"/>
          <w:highlight w:val="none"/>
        </w:rPr>
        <w:tab/>
      </w:r>
      <w:r>
        <w:rPr>
          <w:color w:val="auto"/>
          <w:highlight w:val="none"/>
        </w:rPr>
        <w:fldChar w:fldCharType="begin"/>
      </w:r>
      <w:r>
        <w:rPr>
          <w:color w:val="auto"/>
          <w:highlight w:val="none"/>
        </w:rPr>
        <w:instrText xml:space="preserve"> PAGEREF _Toc12877 \h </w:instrText>
      </w:r>
      <w:r>
        <w:rPr>
          <w:color w:val="auto"/>
          <w:highlight w:val="none"/>
        </w:rPr>
        <w:fldChar w:fldCharType="separate"/>
      </w:r>
      <w:r>
        <w:rPr>
          <w:color w:val="auto"/>
          <w:highlight w:val="none"/>
        </w:rPr>
        <w:t>85</w:t>
      </w:r>
      <w:r>
        <w:rPr>
          <w:color w:val="auto"/>
          <w:highlight w:val="none"/>
        </w:rPr>
        <w:fldChar w:fldCharType="end"/>
      </w:r>
      <w:r>
        <w:rPr>
          <w:rFonts w:hint="eastAsia" w:ascii="宋体" w:hAnsi="宋体" w:eastAsia="宋体" w:cs="宋体"/>
          <w:color w:val="auto"/>
          <w:highlight w:val="none"/>
        </w:rPr>
        <w:fldChar w:fldCharType="end"/>
      </w:r>
    </w:p>
    <w:p w14:paraId="7C3052D1">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_Toc23834 </w:instrText>
      </w:r>
      <w:r>
        <w:rPr>
          <w:rFonts w:hint="eastAsia" w:ascii="宋体" w:hAnsi="宋体" w:eastAsia="宋体" w:cs="宋体"/>
          <w:color w:val="auto"/>
          <w:highlight w:val="none"/>
        </w:rPr>
        <w:fldChar w:fldCharType="separate"/>
      </w:r>
      <w:r>
        <w:rPr>
          <w:rFonts w:hint="eastAsia" w:ascii="宋体" w:hAnsi="宋体" w:cs="宋体"/>
          <w:color w:val="auto"/>
          <w:szCs w:val="21"/>
          <w:highlight w:val="none"/>
          <w:lang w:val="en-US" w:eastAsia="zh-CN"/>
        </w:rPr>
        <w:t>十</w:t>
      </w:r>
      <w:r>
        <w:rPr>
          <w:rFonts w:hint="eastAsia" w:ascii="宋体" w:hAnsi="宋体" w:eastAsia="宋体" w:cs="宋体"/>
          <w:color w:val="auto"/>
          <w:szCs w:val="28"/>
          <w:highlight w:val="none"/>
        </w:rPr>
        <w:t>、享受政府采购政策优惠的证明资料</w:t>
      </w:r>
      <w:r>
        <w:rPr>
          <w:color w:val="auto"/>
          <w:highlight w:val="none"/>
        </w:rPr>
        <w:tab/>
      </w:r>
      <w:r>
        <w:rPr>
          <w:color w:val="auto"/>
          <w:highlight w:val="none"/>
        </w:rPr>
        <w:fldChar w:fldCharType="begin"/>
      </w:r>
      <w:r>
        <w:rPr>
          <w:color w:val="auto"/>
          <w:highlight w:val="none"/>
        </w:rPr>
        <w:instrText xml:space="preserve"> PAGEREF _Toc23834 \h </w:instrText>
      </w:r>
      <w:r>
        <w:rPr>
          <w:color w:val="auto"/>
          <w:highlight w:val="none"/>
        </w:rPr>
        <w:fldChar w:fldCharType="separate"/>
      </w:r>
      <w:r>
        <w:rPr>
          <w:color w:val="auto"/>
          <w:highlight w:val="none"/>
        </w:rPr>
        <w:t>86</w:t>
      </w:r>
      <w:r>
        <w:rPr>
          <w:color w:val="auto"/>
          <w:highlight w:val="none"/>
        </w:rPr>
        <w:fldChar w:fldCharType="end"/>
      </w:r>
      <w:r>
        <w:rPr>
          <w:rFonts w:hint="eastAsia" w:ascii="宋体" w:hAnsi="宋体" w:eastAsia="宋体" w:cs="宋体"/>
          <w:color w:val="auto"/>
          <w:highlight w:val="none"/>
        </w:rPr>
        <w:fldChar w:fldCharType="end"/>
      </w:r>
    </w:p>
    <w:p w14:paraId="0CB8CA08">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_Toc1065 </w:instrText>
      </w:r>
      <w:r>
        <w:rPr>
          <w:rFonts w:hint="eastAsia" w:ascii="宋体" w:hAnsi="宋体" w:eastAsia="宋体" w:cs="宋体"/>
          <w:color w:val="auto"/>
          <w:highlight w:val="none"/>
        </w:rPr>
        <w:fldChar w:fldCharType="separate"/>
      </w:r>
      <w:r>
        <w:rPr>
          <w:rFonts w:hint="eastAsia" w:ascii="黑体" w:hAnsi="华文中宋" w:eastAsia="黑体" w:cs="宋体"/>
          <w:color w:val="auto"/>
          <w:spacing w:val="6"/>
          <w:kern w:val="0"/>
          <w:szCs w:val="21"/>
          <w:highlight w:val="none"/>
        </w:rPr>
        <w:t>附件10-1中小企业声明函</w:t>
      </w:r>
      <w:r>
        <w:rPr>
          <w:color w:val="auto"/>
          <w:highlight w:val="none"/>
        </w:rPr>
        <w:tab/>
      </w:r>
      <w:r>
        <w:rPr>
          <w:color w:val="auto"/>
          <w:highlight w:val="none"/>
        </w:rPr>
        <w:fldChar w:fldCharType="begin"/>
      </w:r>
      <w:r>
        <w:rPr>
          <w:color w:val="auto"/>
          <w:highlight w:val="none"/>
        </w:rPr>
        <w:instrText xml:space="preserve"> PAGEREF _Toc1065 \h </w:instrText>
      </w:r>
      <w:r>
        <w:rPr>
          <w:color w:val="auto"/>
          <w:highlight w:val="none"/>
        </w:rPr>
        <w:fldChar w:fldCharType="separate"/>
      </w:r>
      <w:r>
        <w:rPr>
          <w:color w:val="auto"/>
          <w:highlight w:val="none"/>
        </w:rPr>
        <w:t>87</w:t>
      </w:r>
      <w:r>
        <w:rPr>
          <w:color w:val="auto"/>
          <w:highlight w:val="none"/>
        </w:rPr>
        <w:fldChar w:fldCharType="end"/>
      </w:r>
      <w:r>
        <w:rPr>
          <w:rFonts w:hint="eastAsia" w:ascii="宋体" w:hAnsi="宋体" w:eastAsia="宋体" w:cs="宋体"/>
          <w:color w:val="auto"/>
          <w:highlight w:val="none"/>
        </w:rPr>
        <w:fldChar w:fldCharType="end"/>
      </w:r>
    </w:p>
    <w:p w14:paraId="0A7EF823">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_Toc24837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pacing w:val="6"/>
          <w:kern w:val="0"/>
          <w:szCs w:val="21"/>
          <w:highlight w:val="none"/>
          <w:lang w:eastAsia="zh-CN"/>
        </w:rPr>
        <w:t>附件</w:t>
      </w:r>
      <w:r>
        <w:rPr>
          <w:rFonts w:hint="eastAsia" w:ascii="宋体" w:hAnsi="宋体" w:eastAsia="宋体" w:cs="宋体"/>
          <w:bCs w:val="0"/>
          <w:color w:val="auto"/>
          <w:spacing w:val="6"/>
          <w:kern w:val="0"/>
          <w:szCs w:val="21"/>
          <w:highlight w:val="none"/>
          <w:lang w:val="en-US" w:eastAsia="zh-CN"/>
        </w:rPr>
        <w:t>10</w:t>
      </w:r>
      <w:r>
        <w:rPr>
          <w:rFonts w:hint="eastAsia" w:ascii="宋体" w:hAnsi="宋体" w:eastAsia="宋体" w:cs="宋体"/>
          <w:bCs w:val="0"/>
          <w:color w:val="auto"/>
          <w:spacing w:val="6"/>
          <w:kern w:val="0"/>
          <w:szCs w:val="21"/>
          <w:highlight w:val="none"/>
        </w:rPr>
        <w:t xml:space="preserve">-2 </w:t>
      </w:r>
      <w:r>
        <w:rPr>
          <w:rFonts w:hint="eastAsia" w:ascii="宋体" w:hAnsi="宋体" w:eastAsia="宋体" w:cs="宋体"/>
          <w:color w:val="auto"/>
          <w:spacing w:val="6"/>
          <w:szCs w:val="21"/>
          <w:highlight w:val="none"/>
        </w:rPr>
        <w:t>残疾人福利性单位声明函</w:t>
      </w:r>
      <w:r>
        <w:rPr>
          <w:color w:val="auto"/>
          <w:highlight w:val="none"/>
        </w:rPr>
        <w:tab/>
      </w:r>
      <w:r>
        <w:rPr>
          <w:color w:val="auto"/>
          <w:highlight w:val="none"/>
        </w:rPr>
        <w:fldChar w:fldCharType="begin"/>
      </w:r>
      <w:r>
        <w:rPr>
          <w:color w:val="auto"/>
          <w:highlight w:val="none"/>
        </w:rPr>
        <w:instrText xml:space="preserve"> PAGEREF _Toc24837 \h </w:instrText>
      </w:r>
      <w:r>
        <w:rPr>
          <w:color w:val="auto"/>
          <w:highlight w:val="none"/>
        </w:rPr>
        <w:fldChar w:fldCharType="separate"/>
      </w:r>
      <w:r>
        <w:rPr>
          <w:color w:val="auto"/>
          <w:highlight w:val="none"/>
        </w:rPr>
        <w:t>88</w:t>
      </w:r>
      <w:r>
        <w:rPr>
          <w:color w:val="auto"/>
          <w:highlight w:val="none"/>
        </w:rPr>
        <w:fldChar w:fldCharType="end"/>
      </w:r>
      <w:r>
        <w:rPr>
          <w:rFonts w:hint="eastAsia" w:ascii="宋体" w:hAnsi="宋体" w:eastAsia="宋体" w:cs="宋体"/>
          <w:color w:val="auto"/>
          <w:highlight w:val="none"/>
        </w:rPr>
        <w:fldChar w:fldCharType="end"/>
      </w:r>
    </w:p>
    <w:p w14:paraId="031EE777">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_Toc15107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Cs w:val="21"/>
          <w:highlight w:val="none"/>
          <w:lang w:eastAsia="zh-CN"/>
        </w:rPr>
        <w:t>附件</w:t>
      </w:r>
      <w:r>
        <w:rPr>
          <w:rFonts w:hint="eastAsia" w:ascii="宋体" w:hAnsi="宋体" w:eastAsia="宋体" w:cs="宋体"/>
          <w:color w:val="auto"/>
          <w:kern w:val="0"/>
          <w:szCs w:val="21"/>
          <w:highlight w:val="none"/>
          <w:lang w:val="en-US" w:eastAsia="zh-CN"/>
        </w:rPr>
        <w:t>10</w:t>
      </w:r>
      <w:r>
        <w:rPr>
          <w:rFonts w:hint="eastAsia" w:ascii="宋体" w:hAnsi="宋体" w:eastAsia="宋体" w:cs="宋体"/>
          <w:color w:val="auto"/>
          <w:kern w:val="0"/>
          <w:szCs w:val="21"/>
          <w:highlight w:val="none"/>
        </w:rPr>
        <w:t xml:space="preserve">-3 </w:t>
      </w:r>
      <w:r>
        <w:rPr>
          <w:rFonts w:hint="eastAsia" w:ascii="宋体" w:hAnsi="宋体" w:eastAsia="宋体" w:cs="宋体"/>
          <w:color w:val="auto"/>
          <w:szCs w:val="21"/>
          <w:highlight w:val="none"/>
        </w:rPr>
        <w:t>监狱企业证明资料</w:t>
      </w:r>
      <w:r>
        <w:rPr>
          <w:color w:val="auto"/>
          <w:highlight w:val="none"/>
        </w:rPr>
        <w:tab/>
      </w:r>
      <w:r>
        <w:rPr>
          <w:color w:val="auto"/>
          <w:highlight w:val="none"/>
        </w:rPr>
        <w:fldChar w:fldCharType="begin"/>
      </w:r>
      <w:r>
        <w:rPr>
          <w:color w:val="auto"/>
          <w:highlight w:val="none"/>
        </w:rPr>
        <w:instrText xml:space="preserve"> PAGEREF _Toc15107 \h </w:instrText>
      </w:r>
      <w:r>
        <w:rPr>
          <w:color w:val="auto"/>
          <w:highlight w:val="none"/>
        </w:rPr>
        <w:fldChar w:fldCharType="separate"/>
      </w:r>
      <w:r>
        <w:rPr>
          <w:color w:val="auto"/>
          <w:highlight w:val="none"/>
        </w:rPr>
        <w:t>89</w:t>
      </w:r>
      <w:r>
        <w:rPr>
          <w:color w:val="auto"/>
          <w:highlight w:val="none"/>
        </w:rPr>
        <w:fldChar w:fldCharType="end"/>
      </w:r>
      <w:r>
        <w:rPr>
          <w:rFonts w:hint="eastAsia" w:ascii="宋体" w:hAnsi="宋体" w:eastAsia="宋体" w:cs="宋体"/>
          <w:color w:val="auto"/>
          <w:highlight w:val="none"/>
        </w:rPr>
        <w:fldChar w:fldCharType="end"/>
      </w:r>
    </w:p>
    <w:p w14:paraId="61E583DD">
      <w:pPr>
        <w:pStyle w:val="30"/>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_Toc26435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pacing w:val="6"/>
          <w:kern w:val="0"/>
          <w:szCs w:val="21"/>
          <w:highlight w:val="none"/>
          <w:lang w:eastAsia="zh-CN"/>
        </w:rPr>
        <w:t>附件</w:t>
      </w:r>
      <w:r>
        <w:rPr>
          <w:rFonts w:hint="eastAsia" w:ascii="宋体" w:hAnsi="宋体" w:eastAsia="宋体" w:cs="宋体"/>
          <w:bCs w:val="0"/>
          <w:color w:val="auto"/>
          <w:spacing w:val="6"/>
          <w:kern w:val="0"/>
          <w:szCs w:val="21"/>
          <w:highlight w:val="none"/>
          <w:lang w:val="en-US" w:eastAsia="zh-CN"/>
        </w:rPr>
        <w:t>10</w:t>
      </w:r>
      <w:r>
        <w:rPr>
          <w:rFonts w:hint="eastAsia" w:ascii="宋体" w:hAnsi="宋体" w:eastAsia="宋体" w:cs="宋体"/>
          <w:bCs w:val="0"/>
          <w:color w:val="auto"/>
          <w:spacing w:val="6"/>
          <w:kern w:val="0"/>
          <w:szCs w:val="21"/>
          <w:highlight w:val="none"/>
        </w:rPr>
        <w:t xml:space="preserve">-4 </w:t>
      </w:r>
      <w:r>
        <w:rPr>
          <w:rFonts w:hint="eastAsia" w:ascii="宋体" w:hAnsi="宋体" w:eastAsia="宋体" w:cs="宋体"/>
          <w:color w:val="auto"/>
          <w:szCs w:val="21"/>
          <w:highlight w:val="none"/>
        </w:rPr>
        <w:t>强制采购或者优先采购产品</w:t>
      </w:r>
      <w:r>
        <w:rPr>
          <w:rFonts w:hint="eastAsia" w:ascii="宋体" w:hAnsi="宋体" w:eastAsia="宋体" w:cs="宋体"/>
          <w:bCs w:val="0"/>
          <w:color w:val="auto"/>
          <w:szCs w:val="21"/>
          <w:highlight w:val="none"/>
        </w:rPr>
        <w:t>的</w:t>
      </w:r>
      <w:r>
        <w:rPr>
          <w:rFonts w:hint="eastAsia" w:ascii="宋体" w:hAnsi="宋体" w:eastAsia="宋体" w:cs="宋体"/>
          <w:color w:val="auto"/>
          <w:szCs w:val="21"/>
          <w:highlight w:val="none"/>
        </w:rPr>
        <w:t>证明材料</w:t>
      </w:r>
      <w:r>
        <w:rPr>
          <w:color w:val="auto"/>
          <w:highlight w:val="none"/>
        </w:rPr>
        <w:tab/>
      </w:r>
      <w:r>
        <w:rPr>
          <w:color w:val="auto"/>
          <w:highlight w:val="none"/>
        </w:rPr>
        <w:fldChar w:fldCharType="begin"/>
      </w:r>
      <w:r>
        <w:rPr>
          <w:color w:val="auto"/>
          <w:highlight w:val="none"/>
        </w:rPr>
        <w:instrText xml:space="preserve"> PAGEREF _Toc26435 \h </w:instrText>
      </w:r>
      <w:r>
        <w:rPr>
          <w:color w:val="auto"/>
          <w:highlight w:val="none"/>
        </w:rPr>
        <w:fldChar w:fldCharType="separate"/>
      </w:r>
      <w:r>
        <w:rPr>
          <w:color w:val="auto"/>
          <w:highlight w:val="none"/>
        </w:rPr>
        <w:t>89</w:t>
      </w:r>
      <w:r>
        <w:rPr>
          <w:color w:val="auto"/>
          <w:highlight w:val="none"/>
        </w:rPr>
        <w:fldChar w:fldCharType="end"/>
      </w:r>
      <w:r>
        <w:rPr>
          <w:rFonts w:hint="eastAsia" w:ascii="宋体" w:hAnsi="宋体" w:eastAsia="宋体" w:cs="宋体"/>
          <w:color w:val="auto"/>
          <w:highlight w:val="none"/>
        </w:rPr>
        <w:fldChar w:fldCharType="end"/>
      </w:r>
    </w:p>
    <w:p w14:paraId="6FA34850">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_Toc20487 </w:instrText>
      </w:r>
      <w:r>
        <w:rPr>
          <w:rFonts w:hint="eastAsia" w:ascii="宋体" w:hAnsi="宋体" w:eastAsia="宋体" w:cs="宋体"/>
          <w:color w:val="auto"/>
          <w:highlight w:val="none"/>
        </w:rPr>
        <w:fldChar w:fldCharType="separate"/>
      </w:r>
      <w:r>
        <w:rPr>
          <w:rFonts w:hint="eastAsia" w:ascii="宋体" w:hAnsi="宋体" w:cs="宋体"/>
          <w:color w:val="auto"/>
          <w:szCs w:val="28"/>
          <w:highlight w:val="none"/>
          <w:lang w:val="en-US" w:eastAsia="zh-CN"/>
        </w:rPr>
        <w:t>十一</w:t>
      </w:r>
      <w:r>
        <w:rPr>
          <w:rFonts w:hint="eastAsia" w:ascii="宋体" w:hAnsi="宋体" w:eastAsia="宋体" w:cs="宋体"/>
          <w:color w:val="auto"/>
          <w:szCs w:val="28"/>
          <w:highlight w:val="none"/>
        </w:rPr>
        <w:t>、</w:t>
      </w:r>
      <w:r>
        <w:rPr>
          <w:rFonts w:hint="eastAsia" w:ascii="宋体" w:hAnsi="宋体" w:eastAsia="宋体" w:cs="宋体"/>
          <w:color w:val="auto"/>
          <w:szCs w:val="28"/>
          <w:highlight w:val="none"/>
          <w:lang w:eastAsia="zh-CN"/>
        </w:rPr>
        <w:t>投标服务（含配套货物）符合招标文件规定的证明文件</w:t>
      </w:r>
      <w:r>
        <w:rPr>
          <w:color w:val="auto"/>
          <w:highlight w:val="none"/>
        </w:rPr>
        <w:tab/>
      </w:r>
      <w:r>
        <w:rPr>
          <w:color w:val="auto"/>
          <w:highlight w:val="none"/>
        </w:rPr>
        <w:fldChar w:fldCharType="begin"/>
      </w:r>
      <w:r>
        <w:rPr>
          <w:color w:val="auto"/>
          <w:highlight w:val="none"/>
        </w:rPr>
        <w:instrText xml:space="preserve"> PAGEREF _Toc20487 \h </w:instrText>
      </w:r>
      <w:r>
        <w:rPr>
          <w:color w:val="auto"/>
          <w:highlight w:val="none"/>
        </w:rPr>
        <w:fldChar w:fldCharType="separate"/>
      </w:r>
      <w:r>
        <w:rPr>
          <w:color w:val="auto"/>
          <w:highlight w:val="none"/>
        </w:rPr>
        <w:t>91</w:t>
      </w:r>
      <w:r>
        <w:rPr>
          <w:color w:val="auto"/>
          <w:highlight w:val="none"/>
        </w:rPr>
        <w:fldChar w:fldCharType="end"/>
      </w:r>
      <w:r>
        <w:rPr>
          <w:rFonts w:hint="eastAsia" w:ascii="宋体" w:hAnsi="宋体" w:eastAsia="宋体" w:cs="宋体"/>
          <w:color w:val="auto"/>
          <w:highlight w:val="none"/>
        </w:rPr>
        <w:fldChar w:fldCharType="end"/>
      </w:r>
    </w:p>
    <w:p w14:paraId="71E400CF">
      <w:pPr>
        <w:pStyle w:val="22"/>
        <w:tabs>
          <w:tab w:val="right" w:leader="dot" w:pos="8844"/>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_Toc14495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8"/>
          <w:highlight w:val="none"/>
        </w:rPr>
        <w:t>十</w:t>
      </w:r>
      <w:r>
        <w:rPr>
          <w:rFonts w:hint="eastAsia" w:ascii="宋体" w:hAnsi="宋体" w:cs="宋体"/>
          <w:color w:val="auto"/>
          <w:szCs w:val="28"/>
          <w:highlight w:val="none"/>
          <w:lang w:val="en-US" w:eastAsia="zh-CN"/>
        </w:rPr>
        <w:t>二</w:t>
      </w:r>
      <w:r>
        <w:rPr>
          <w:rFonts w:hint="eastAsia" w:ascii="宋体" w:hAnsi="宋体" w:eastAsia="宋体" w:cs="宋体"/>
          <w:color w:val="auto"/>
          <w:szCs w:val="28"/>
          <w:highlight w:val="none"/>
        </w:rPr>
        <w:t>、投标人认为需提供的其他资料</w:t>
      </w:r>
      <w:r>
        <w:rPr>
          <w:color w:val="auto"/>
          <w:highlight w:val="none"/>
        </w:rPr>
        <w:tab/>
      </w:r>
      <w:r>
        <w:rPr>
          <w:color w:val="auto"/>
          <w:highlight w:val="none"/>
        </w:rPr>
        <w:fldChar w:fldCharType="begin"/>
      </w:r>
      <w:r>
        <w:rPr>
          <w:color w:val="auto"/>
          <w:highlight w:val="none"/>
        </w:rPr>
        <w:instrText xml:space="preserve"> PAGEREF _Toc14495 \h </w:instrText>
      </w:r>
      <w:r>
        <w:rPr>
          <w:color w:val="auto"/>
          <w:highlight w:val="none"/>
        </w:rPr>
        <w:fldChar w:fldCharType="separate"/>
      </w:r>
      <w:r>
        <w:rPr>
          <w:color w:val="auto"/>
          <w:highlight w:val="none"/>
        </w:rPr>
        <w:t>91</w:t>
      </w:r>
      <w:r>
        <w:rPr>
          <w:color w:val="auto"/>
          <w:highlight w:val="none"/>
        </w:rPr>
        <w:fldChar w:fldCharType="end"/>
      </w:r>
      <w:r>
        <w:rPr>
          <w:rFonts w:hint="eastAsia" w:ascii="宋体" w:hAnsi="宋体" w:eastAsia="宋体" w:cs="宋体"/>
          <w:color w:val="auto"/>
          <w:highlight w:val="none"/>
        </w:rPr>
        <w:fldChar w:fldCharType="end"/>
      </w:r>
    </w:p>
    <w:p w14:paraId="4515A174">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 </w:t>
      </w:r>
    </w:p>
    <w:p w14:paraId="5088ADAA">
      <w:pPr>
        <w:adjustRightInd w:val="0"/>
        <w:snapToGrid w:val="0"/>
        <w:spacing w:line="240" w:lineRule="atLeast"/>
        <w:ind w:firstLine="840" w:firstLineChars="400"/>
        <w:rPr>
          <w:rFonts w:hint="eastAsia" w:ascii="宋体" w:hAnsi="宋体" w:eastAsia="宋体" w:cs="宋体"/>
          <w:color w:val="auto"/>
          <w:szCs w:val="21"/>
          <w:highlight w:val="none"/>
        </w:rPr>
      </w:pPr>
    </w:p>
    <w:p w14:paraId="6CB59C70">
      <w:pPr>
        <w:pStyle w:val="2"/>
        <w:rPr>
          <w:rFonts w:hint="eastAsia" w:ascii="宋体" w:hAnsi="宋体" w:eastAsia="宋体" w:cs="宋体"/>
          <w:color w:val="auto"/>
          <w:highlight w:val="none"/>
        </w:rPr>
        <w:sectPr>
          <w:headerReference r:id="rId6" w:type="first"/>
          <w:headerReference r:id="rId4" w:type="default"/>
          <w:footerReference r:id="rId7" w:type="default"/>
          <w:headerReference r:id="rId5" w:type="even"/>
          <w:pgSz w:w="11906" w:h="16838"/>
          <w:pgMar w:top="1474" w:right="1474" w:bottom="1474" w:left="1588" w:header="851" w:footer="992" w:gutter="0"/>
          <w:pgNumType w:fmt="decimal" w:start="1"/>
          <w:cols w:space="720" w:num="1"/>
          <w:docGrid w:type="lines" w:linePitch="312" w:charSpace="0"/>
        </w:sectPr>
      </w:pPr>
    </w:p>
    <w:p w14:paraId="38D5E4B2">
      <w:pPr>
        <w:spacing w:line="360" w:lineRule="auto"/>
        <w:jc w:val="center"/>
        <w:rPr>
          <w:rFonts w:hint="eastAsia" w:ascii="宋体" w:hAnsi="宋体" w:eastAsia="宋体" w:cs="宋体"/>
          <w:color w:val="auto"/>
          <w:sz w:val="44"/>
          <w:szCs w:val="44"/>
          <w:highlight w:val="none"/>
        </w:rPr>
      </w:pPr>
      <w:bookmarkStart w:id="0" w:name="_Toc29913893"/>
      <w:r>
        <w:rPr>
          <w:rFonts w:hint="eastAsia" w:ascii="宋体" w:hAnsi="宋体" w:eastAsia="宋体" w:cs="宋体"/>
          <w:color w:val="auto"/>
          <w:sz w:val="44"/>
          <w:szCs w:val="44"/>
          <w:highlight w:val="none"/>
        </w:rPr>
        <w:t>电子招投标相关规定</w:t>
      </w:r>
    </w:p>
    <w:p w14:paraId="0EAEBA2A">
      <w:pPr>
        <w:numPr>
          <w:ilvl w:val="0"/>
          <w:numId w:val="1"/>
        </w:numPr>
        <w:adjustRightInd w:val="0"/>
        <w:snapToGrid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本项目采用电子招投标方式，招标文件的下载、</w:t>
      </w:r>
      <w:r>
        <w:rPr>
          <w:rFonts w:hint="eastAsia" w:ascii="宋体" w:hAnsi="宋体" w:eastAsia="宋体" w:cs="宋体"/>
          <w:color w:val="auto"/>
          <w:sz w:val="24"/>
          <w:szCs w:val="24"/>
          <w:highlight w:val="none"/>
          <w:lang w:eastAsia="zh-CN"/>
        </w:rPr>
        <w:t>投标文件的</w:t>
      </w:r>
      <w:r>
        <w:rPr>
          <w:rFonts w:hint="eastAsia" w:ascii="宋体" w:hAnsi="宋体" w:eastAsia="宋体" w:cs="宋体"/>
          <w:color w:val="auto"/>
          <w:sz w:val="24"/>
          <w:szCs w:val="24"/>
          <w:highlight w:val="none"/>
        </w:rPr>
        <w:t>上传、</w:t>
      </w:r>
      <w:r>
        <w:rPr>
          <w:rFonts w:hint="eastAsia" w:ascii="宋体" w:hAnsi="宋体" w:eastAsia="宋体" w:cs="宋体"/>
          <w:color w:val="auto"/>
          <w:sz w:val="24"/>
          <w:szCs w:val="24"/>
          <w:highlight w:val="none"/>
          <w:lang w:eastAsia="zh-CN"/>
        </w:rPr>
        <w:t>投标文件的</w:t>
      </w:r>
      <w:r>
        <w:rPr>
          <w:rFonts w:hint="eastAsia" w:ascii="宋体" w:hAnsi="宋体" w:eastAsia="宋体" w:cs="宋体"/>
          <w:color w:val="auto"/>
          <w:sz w:val="24"/>
          <w:szCs w:val="24"/>
          <w:highlight w:val="none"/>
        </w:rPr>
        <w:t>解密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开评标均通过互联网操作，电子招标文件免费提供。</w:t>
      </w:r>
    </w:p>
    <w:p w14:paraId="2E8EABAB">
      <w:pPr>
        <w:widowControl/>
        <w:numPr>
          <w:ilvl w:val="0"/>
          <w:numId w:val="1"/>
        </w:numPr>
        <w:tabs>
          <w:tab w:val="left" w:pos="3500"/>
        </w:tabs>
        <w:autoSpaceDE w:val="0"/>
        <w:autoSpaceDN w:val="0"/>
        <w:adjustRightInd w:val="0"/>
        <w:snapToGrid w:val="0"/>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本项目招标信息在湖南省政府采购网(www.ccgp-hunan.gov.cn)和</w:t>
      </w:r>
      <w:r>
        <w:rPr>
          <w:rFonts w:hint="eastAsia" w:ascii="宋体" w:hAnsi="宋体" w:eastAsia="宋体" w:cs="宋体"/>
          <w:color w:val="auto"/>
          <w:sz w:val="24"/>
          <w:szCs w:val="24"/>
          <w:highlight w:val="none"/>
        </w:rPr>
        <w:t>郴州市公共资源交易中心(http://czggzy.czs.gov.cn/)上同时</w:t>
      </w:r>
      <w:r>
        <w:rPr>
          <w:rFonts w:hint="eastAsia" w:ascii="宋体" w:hAnsi="宋体" w:eastAsia="宋体" w:cs="宋体"/>
          <w:color w:val="auto"/>
          <w:kern w:val="0"/>
          <w:sz w:val="24"/>
          <w:szCs w:val="24"/>
          <w:highlight w:val="none"/>
        </w:rPr>
        <w:t>发布。</w:t>
      </w:r>
      <w:r>
        <w:rPr>
          <w:rFonts w:hint="eastAsia" w:ascii="宋体" w:hAnsi="宋体" w:eastAsia="宋体" w:cs="宋体"/>
          <w:color w:val="auto"/>
          <w:sz w:val="24"/>
          <w:szCs w:val="24"/>
          <w:highlight w:val="none"/>
        </w:rPr>
        <w:t>投标人应仔细阅读本招标文件第二章《投标须知》，并在“郴州市公共资源交易中心(http://czggzy.czs.gov.cn/) 办事指南--政府采购”进行学习，投标人使用电子投标遇到问题时，请及时向</w:t>
      </w:r>
      <w:r>
        <w:rPr>
          <w:rFonts w:hint="eastAsia" w:ascii="宋体" w:hAnsi="宋体" w:eastAsia="宋体" w:cs="宋体"/>
          <w:color w:val="auto"/>
          <w:sz w:val="24"/>
          <w:szCs w:val="24"/>
          <w:highlight w:val="none"/>
          <w:lang w:eastAsia="zh-CN"/>
        </w:rPr>
        <w:t>新点</w:t>
      </w:r>
      <w:r>
        <w:rPr>
          <w:rFonts w:hint="eastAsia" w:ascii="宋体" w:hAnsi="宋体" w:eastAsia="宋体" w:cs="宋体"/>
          <w:color w:val="auto"/>
          <w:sz w:val="24"/>
          <w:szCs w:val="24"/>
          <w:highlight w:val="none"/>
        </w:rPr>
        <w:t>软件公司咨询，联系方式：客服电话0735-2369157，4009980000。</w:t>
      </w:r>
    </w:p>
    <w:p w14:paraId="0F3BA88D">
      <w:pPr>
        <w:adjustRightInd w:val="0"/>
        <w:snapToGrid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三、郴州市公共资源交易中心网上办事系统需使用数字证书登陆进行操作。投标人应按相关需要办理以下数字证书:（1）投标单位数字证书(含电子印章)。（2）</w:t>
      </w:r>
      <w:r>
        <w:rPr>
          <w:rFonts w:hint="eastAsia" w:ascii="宋体" w:hAnsi="宋体" w:eastAsia="宋体" w:cs="宋体"/>
          <w:color w:val="auto"/>
          <w:sz w:val="24"/>
          <w:szCs w:val="24"/>
          <w:highlight w:val="none"/>
          <w:lang w:eastAsia="zh-CN"/>
        </w:rPr>
        <w:t>法定代表人</w:t>
      </w:r>
      <w:r>
        <w:rPr>
          <w:rFonts w:hint="eastAsia" w:ascii="宋体" w:hAnsi="宋体" w:eastAsia="宋体" w:cs="宋体"/>
          <w:color w:val="auto"/>
          <w:sz w:val="24"/>
          <w:szCs w:val="24"/>
          <w:highlight w:val="none"/>
        </w:rPr>
        <w:t>数字证书（授权投标的还需办理授权代表数字证书）。数字证书(含电子印章)具体办理流程详见郴州市公共资源交易中心网站。</w:t>
      </w:r>
    </w:p>
    <w:p w14:paraId="3651F711">
      <w:pPr>
        <w:adjustRightInd w:val="0"/>
        <w:snapToGrid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四、本项目采用“不见面开标”模式，是指将传统的开标场所移到互联网，采购人在不见面开标大厅组织线上开标，投标人通过互联网远程参加开标，并共同完成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解密、唱标、异议和答复、开标确认、交流互动等开标活动。</w:t>
      </w:r>
    </w:p>
    <w:p w14:paraId="3E0A086F">
      <w:pPr>
        <w:adjustRightInd w:val="0"/>
        <w:snapToGrid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五、网上开标系统登录地址为：郴州市公共资源交易中心网上办事系统的“网上开标”模块（</w:t>
      </w:r>
      <w:r>
        <w:rPr>
          <w:rFonts w:hint="eastAsia" w:ascii="宋体" w:hAnsi="宋体" w:eastAsia="宋体" w:cs="宋体"/>
          <w:color w:val="auto"/>
          <w:sz w:val="24"/>
          <w:szCs w:val="24"/>
          <w:highlight w:val="none"/>
          <w:lang w:eastAsia="zh-CN"/>
        </w:rPr>
        <w:t>http://www.czggzyzx.cn/BidOpening</w:t>
      </w:r>
      <w:r>
        <w:rPr>
          <w:rFonts w:hint="eastAsia" w:ascii="宋体" w:hAnsi="宋体" w:eastAsia="宋体" w:cs="宋体"/>
          <w:color w:val="auto"/>
          <w:sz w:val="24"/>
          <w:szCs w:val="24"/>
          <w:highlight w:val="none"/>
        </w:rPr>
        <w:t>）。</w:t>
      </w:r>
    </w:p>
    <w:p w14:paraId="30952D44">
      <w:pPr>
        <w:adjustRightInd w:val="0"/>
        <w:snapToGrid w:val="0"/>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六、投标人应在投标截止时间之前使用数字证书(CA)，自备具有上网卡和音视频功能的电脑自行登录网上不见面开标大厅（郴州市公共资源交易中心网上办事系统的“网上开标”模块（</w:t>
      </w:r>
      <w:r>
        <w:rPr>
          <w:rFonts w:hint="eastAsia" w:ascii="宋体" w:hAnsi="宋体" w:eastAsia="宋体" w:cs="宋体"/>
          <w:color w:val="auto"/>
          <w:sz w:val="24"/>
          <w:szCs w:val="24"/>
          <w:highlight w:val="none"/>
          <w:lang w:eastAsia="zh-CN"/>
        </w:rPr>
        <w:t>http://www.czggzyzx.cn/BidOpening</w:t>
      </w:r>
      <w:r>
        <w:rPr>
          <w:rFonts w:hint="eastAsia" w:ascii="宋体" w:hAnsi="宋体" w:eastAsia="宋体" w:cs="宋体"/>
          <w:color w:val="auto"/>
          <w:sz w:val="24"/>
          <w:szCs w:val="24"/>
          <w:highlight w:val="none"/>
        </w:rPr>
        <w:t>），在线等待开标，并在开标期间保持通讯畅通。开标期间，投标人在开标大厅与采购人进行相关操作、音视频及文字交互，各电脑终端上的所有操作、音视频及文字交互均被视为各交易主体的行为。未按时加入开标会议区并完成CA或账号密码登录操作的或未能在开标会议区内全程参与交互的，视为放弃交互和放弃对开评标全过程提出疑问的权利，投标人将无法看到解密指令、开标、唱标等实时情况，投标人自行承担由此导致的一切后果。</w:t>
      </w:r>
    </w:p>
    <w:p w14:paraId="3F00E823">
      <w:pPr>
        <w:spacing w:line="360" w:lineRule="auto"/>
        <w:ind w:firstLine="480" w:firstLineChars="200"/>
        <w:outlineLvl w:val="9"/>
        <w:rPr>
          <w:rFonts w:hint="eastAsia" w:ascii="宋体" w:hAnsi="宋体" w:eastAsia="宋体" w:cs="宋体"/>
          <w:color w:val="auto"/>
          <w:sz w:val="24"/>
          <w:szCs w:val="24"/>
          <w:highlight w:val="none"/>
        </w:rPr>
        <w:sectPr>
          <w:headerReference r:id="rId8" w:type="default"/>
          <w:footerReference r:id="rId9" w:type="default"/>
          <w:pgSz w:w="11906" w:h="16838"/>
          <w:pgMar w:top="1474" w:right="1474" w:bottom="1474" w:left="1588" w:header="851" w:footer="992" w:gutter="0"/>
          <w:pgNumType w:fmt="decimal"/>
          <w:cols w:space="720" w:num="1"/>
          <w:docGrid w:type="lines" w:linePitch="312" w:charSpace="0"/>
        </w:sectPr>
      </w:pPr>
      <w:r>
        <w:rPr>
          <w:rFonts w:hint="eastAsia" w:ascii="宋体" w:hAnsi="宋体" w:eastAsia="宋体" w:cs="宋体"/>
          <w:color w:val="auto"/>
          <w:sz w:val="24"/>
          <w:szCs w:val="24"/>
          <w:highlight w:val="none"/>
        </w:rPr>
        <w:t>七、开评标全过程中，投标人参与远程交互的</w:t>
      </w:r>
      <w:r>
        <w:rPr>
          <w:rFonts w:hint="eastAsia" w:ascii="宋体" w:hAnsi="宋体" w:eastAsia="宋体" w:cs="宋体"/>
          <w:color w:val="auto"/>
          <w:sz w:val="24"/>
          <w:szCs w:val="24"/>
          <w:highlight w:val="none"/>
          <w:lang w:eastAsia="zh-CN"/>
        </w:rPr>
        <w:t>授权代表人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法定代表人</w:t>
      </w:r>
      <w:r>
        <w:rPr>
          <w:rFonts w:hint="eastAsia" w:ascii="宋体" w:hAnsi="宋体" w:eastAsia="宋体" w:cs="宋体"/>
          <w:color w:val="auto"/>
          <w:sz w:val="24"/>
          <w:szCs w:val="24"/>
          <w:highlight w:val="none"/>
        </w:rPr>
        <w:t>应始终为同一个人，中途不得更换，在废标、澄清、提疑、传送文件等特殊情况下需要交互时，投标人一端参与交互的人员将均被视为是投标人的</w:t>
      </w:r>
      <w:r>
        <w:rPr>
          <w:rFonts w:hint="eastAsia" w:ascii="宋体" w:hAnsi="宋体" w:eastAsia="宋体" w:cs="宋体"/>
          <w:color w:val="auto"/>
          <w:sz w:val="24"/>
          <w:szCs w:val="24"/>
          <w:highlight w:val="none"/>
          <w:lang w:eastAsia="zh-CN"/>
        </w:rPr>
        <w:t>授权代表人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法定代表人</w:t>
      </w:r>
      <w:r>
        <w:rPr>
          <w:rFonts w:hint="eastAsia" w:ascii="宋体" w:hAnsi="宋体" w:eastAsia="宋体" w:cs="宋体"/>
          <w:color w:val="auto"/>
          <w:sz w:val="24"/>
          <w:szCs w:val="24"/>
          <w:highlight w:val="none"/>
        </w:rPr>
        <w:t>，投标人不得以不承认交互人员的资格或身份等为借口抵赖推脱，投标人自行承担随意更换人员所导致的一切后果。</w:t>
      </w:r>
    </w:p>
    <w:p w14:paraId="671801C3">
      <w:pPr>
        <w:pStyle w:val="2"/>
        <w:ind w:left="1215"/>
        <w:jc w:val="center"/>
        <w:rPr>
          <w:rFonts w:hint="eastAsia" w:ascii="宋体" w:hAnsi="宋体" w:eastAsia="宋体" w:cs="宋体"/>
          <w:color w:val="auto"/>
          <w:highlight w:val="none"/>
        </w:rPr>
      </w:pPr>
      <w:bookmarkStart w:id="1" w:name="_Toc21937"/>
      <w:bookmarkStart w:id="2" w:name="_Toc24023"/>
      <w:r>
        <w:rPr>
          <w:rFonts w:hint="eastAsia" w:ascii="宋体" w:hAnsi="宋体" w:eastAsia="宋体" w:cs="宋体"/>
          <w:color w:val="auto"/>
          <w:sz w:val="32"/>
          <w:szCs w:val="32"/>
          <w:highlight w:val="none"/>
        </w:rPr>
        <w:t>第一章 投标邀请</w:t>
      </w:r>
      <w:bookmarkEnd w:id="0"/>
      <w:bookmarkEnd w:id="1"/>
      <w:bookmarkEnd w:id="2"/>
    </w:p>
    <w:p w14:paraId="3C4A4724">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eastAsia="zh-CN"/>
        </w:rPr>
        <w:t>湖南省南岭山地—湘江上游中央财政国土绿化示范项目郴州市九县（市）作业设计技术服务</w:t>
      </w:r>
      <w:r>
        <w:rPr>
          <w:rFonts w:hint="eastAsia" w:ascii="宋体" w:hAnsi="宋体" w:eastAsia="宋体" w:cs="宋体"/>
          <w:b/>
          <w:bCs/>
          <w:color w:val="auto"/>
          <w:sz w:val="24"/>
          <w:szCs w:val="24"/>
          <w:highlight w:val="none"/>
        </w:rPr>
        <w:t>项目招标公告</w:t>
      </w:r>
    </w:p>
    <w:p w14:paraId="6D767B26">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eastAsia="zh-CN"/>
        </w:rPr>
        <w:t>郴州市林业局</w:t>
      </w:r>
      <w:r>
        <w:rPr>
          <w:rFonts w:hint="eastAsia" w:ascii="宋体" w:hAnsi="宋体" w:eastAsia="宋体" w:cs="宋体"/>
          <w:color w:val="auto"/>
          <w:sz w:val="21"/>
          <w:szCs w:val="21"/>
          <w:highlight w:val="none"/>
        </w:rPr>
        <w:t>（采购人名称）的</w:t>
      </w:r>
      <w:r>
        <w:rPr>
          <w:rFonts w:hint="eastAsia" w:ascii="宋体" w:hAnsi="宋体" w:cs="宋体"/>
          <w:color w:val="auto"/>
          <w:sz w:val="21"/>
          <w:szCs w:val="21"/>
          <w:highlight w:val="none"/>
          <w:u w:val="single"/>
          <w:lang w:eastAsia="zh-CN"/>
        </w:rPr>
        <w:t>湖南省南岭山地—湘江上游中央财政国土绿化示范项目郴州市九县（市）作业设计技术服务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采购项目名称</w:t>
      </w:r>
      <w:r>
        <w:rPr>
          <w:rFonts w:hint="eastAsia" w:ascii="宋体" w:hAnsi="宋体" w:eastAsia="宋体" w:cs="宋体"/>
          <w:color w:val="auto"/>
          <w:sz w:val="21"/>
          <w:szCs w:val="21"/>
          <w:highlight w:val="none"/>
        </w:rPr>
        <w:t>)进行公开招标采购，现邀请合格投标人参加投标。</w:t>
      </w:r>
    </w:p>
    <w:p w14:paraId="47F42EE2">
      <w:pPr>
        <w:pStyle w:val="3"/>
        <w:bidi w:val="0"/>
        <w:rPr>
          <w:rFonts w:hint="eastAsia" w:ascii="宋体" w:hAnsi="宋体" w:eastAsia="宋体" w:cs="宋体"/>
          <w:color w:val="auto"/>
          <w:sz w:val="21"/>
          <w:szCs w:val="21"/>
          <w:highlight w:val="none"/>
          <w:lang w:eastAsia="zh-CN"/>
        </w:rPr>
      </w:pPr>
      <w:bookmarkStart w:id="3" w:name="_Toc17179"/>
      <w:bookmarkStart w:id="4" w:name="_Toc27725"/>
      <w:bookmarkStart w:id="5" w:name="_Toc12787"/>
      <w:r>
        <w:rPr>
          <w:rFonts w:hint="eastAsia" w:ascii="宋体" w:hAnsi="宋体" w:eastAsia="宋体" w:cs="宋体"/>
          <w:color w:val="auto"/>
          <w:sz w:val="21"/>
          <w:szCs w:val="21"/>
          <w:highlight w:val="none"/>
        </w:rPr>
        <w:t>一、采购项目</w:t>
      </w:r>
      <w:r>
        <w:rPr>
          <w:rFonts w:hint="eastAsia" w:ascii="宋体" w:hAnsi="宋体" w:eastAsia="宋体" w:cs="宋体"/>
          <w:color w:val="auto"/>
          <w:sz w:val="21"/>
          <w:szCs w:val="21"/>
          <w:highlight w:val="none"/>
          <w:lang w:val="en-US" w:eastAsia="zh-CN"/>
        </w:rPr>
        <w:t>基本信息</w:t>
      </w:r>
      <w:bookmarkEnd w:id="3"/>
      <w:bookmarkEnd w:id="4"/>
      <w:bookmarkEnd w:id="5"/>
    </w:p>
    <w:p w14:paraId="1C420931">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采购项目名称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eastAsia="zh-CN"/>
        </w:rPr>
        <w:t>湖南省南岭山地—湘江上游中央财政国土绿化示范项目郴州市九县（市）作业设计技术服务</w:t>
      </w:r>
    </w:p>
    <w:p w14:paraId="12EEC8BF">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cs="宋体"/>
          <w:color w:val="auto"/>
          <w:sz w:val="21"/>
          <w:szCs w:val="21"/>
          <w:highlight w:val="none"/>
          <w:u w:val="single"/>
          <w:lang w:val="en-US" w:eastAsia="zh-CN"/>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政府采购计划编号</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val="en-US" w:eastAsia="zh-CN"/>
        </w:rPr>
        <w:t>郴财采计[2025]0037号</w:t>
      </w:r>
    </w:p>
    <w:p w14:paraId="587B1C8C">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委托代理编号：</w:t>
      </w:r>
      <w:r>
        <w:rPr>
          <w:rFonts w:hint="eastAsia" w:ascii="宋体" w:hAnsi="宋体" w:cs="宋体"/>
          <w:color w:val="auto"/>
          <w:sz w:val="21"/>
          <w:szCs w:val="21"/>
          <w:highlight w:val="none"/>
          <w:u w:val="single"/>
          <w:lang w:val="en-US" w:eastAsia="zh-CN"/>
        </w:rPr>
        <w:t>ZKGSF(ZB)-20250368</w:t>
      </w:r>
    </w:p>
    <w:p w14:paraId="0F727CBC">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、采购项目预算：</w:t>
      </w:r>
      <w:r>
        <w:rPr>
          <w:rFonts w:hint="eastAsia" w:ascii="宋体" w:hAnsi="宋体" w:eastAsia="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11169000.00</w:t>
      </w:r>
      <w:r>
        <w:rPr>
          <w:rFonts w:hint="eastAsia" w:ascii="宋体" w:hAnsi="宋体" w:eastAsia="宋体" w:cs="宋体"/>
          <w:color w:val="auto"/>
          <w:sz w:val="21"/>
          <w:szCs w:val="21"/>
          <w:highlight w:val="none"/>
          <w:u w:val="single"/>
          <w:lang w:val="en-US" w:eastAsia="zh-CN"/>
        </w:rPr>
        <w:t>元</w:t>
      </w:r>
    </w:p>
    <w:p w14:paraId="67C2E9E8">
      <w:pPr>
        <w:keepNext w:val="0"/>
        <w:keepLines w:val="0"/>
        <w:pageBreakBefore w:val="0"/>
        <w:kinsoku/>
        <w:overflowPunct/>
        <w:bidi w:val="0"/>
        <w:adjustRightInd w:val="0"/>
        <w:snapToGrid w:val="0"/>
        <w:spacing w:line="500" w:lineRule="exact"/>
        <w:ind w:firstLine="630" w:firstLineChars="3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支持预付款，预付比例：_</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_</w:t>
      </w:r>
    </w:p>
    <w:p w14:paraId="4EE8D5C2">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、本项目对应的中小企业划分标准所属行业：</w:t>
      </w:r>
      <w:r>
        <w:rPr>
          <w:rFonts w:hint="eastAsia" w:ascii="宋体" w:hAnsi="宋体" w:eastAsia="宋体" w:cs="宋体"/>
          <w:color w:val="auto"/>
          <w:sz w:val="21"/>
          <w:szCs w:val="21"/>
          <w:highlight w:val="none"/>
          <w:u w:val="single"/>
          <w:lang w:eastAsia="zh-CN"/>
        </w:rPr>
        <w:t>其他未列明行业</w:t>
      </w:r>
      <w:r>
        <w:rPr>
          <w:rFonts w:hint="eastAsia" w:ascii="宋体" w:hAnsi="宋体" w:eastAsia="宋体" w:cs="宋体"/>
          <w:color w:val="auto"/>
          <w:sz w:val="21"/>
          <w:szCs w:val="21"/>
          <w:highlight w:val="none"/>
        </w:rPr>
        <w:t xml:space="preserve"> </w:t>
      </w:r>
    </w:p>
    <w:p w14:paraId="4E9E7F41">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、评标方法：</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综合评分法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最低评标价法</w:t>
      </w:r>
    </w:p>
    <w:p w14:paraId="0D64DAB2">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、合同定价方式：</w:t>
      </w:r>
      <w:r>
        <w:rPr>
          <w:rFonts w:hint="eastAsia" w:ascii="宋体" w:hAnsi="宋体" w:eastAsia="宋体" w:cs="宋体"/>
          <w:color w:val="auto"/>
          <w:sz w:val="21"/>
          <w:szCs w:val="21"/>
          <w:highlight w:val="none"/>
        </w:rPr>
        <w:sym w:font="Wingdings" w:char="00FE"/>
      </w:r>
      <w:r>
        <w:rPr>
          <w:rFonts w:hint="eastAsia" w:ascii="宋体" w:hAnsi="宋体" w:eastAsia="宋体" w:cs="宋体"/>
          <w:color w:val="auto"/>
          <w:sz w:val="21"/>
          <w:szCs w:val="21"/>
          <w:highlight w:val="none"/>
        </w:rPr>
        <w:t xml:space="preserve">固定总价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固定单价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 xml:space="preserve">成本补偿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绩效激励</w:t>
      </w:r>
    </w:p>
    <w:p w14:paraId="6781FDF0">
      <w:pPr>
        <w:keepNext w:val="0"/>
        <w:keepLines w:val="0"/>
        <w:pageBreakBefore w:val="0"/>
        <w:kinsoku/>
        <w:overflowPunct/>
        <w:bidi w:val="0"/>
        <w:adjustRightInd w:val="0"/>
        <w:snapToGrid w:val="0"/>
        <w:spacing w:line="500" w:lineRule="exact"/>
        <w:ind w:firstLine="420" w:firstLineChars="200"/>
        <w:textAlignment w:val="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、合同履行期限：</w:t>
      </w:r>
      <w:r>
        <w:rPr>
          <w:rFonts w:hint="eastAsia" w:ascii="宋体" w:hAnsi="宋体" w:cs="宋体"/>
          <w:color w:val="auto"/>
          <w:sz w:val="21"/>
          <w:szCs w:val="21"/>
          <w:highlight w:val="none"/>
          <w:u w:val="single"/>
          <w:lang w:val="en-US" w:eastAsia="zh-CN"/>
        </w:rPr>
        <w:t>详见采购需求。</w:t>
      </w:r>
    </w:p>
    <w:p w14:paraId="7D4E745C">
      <w:pPr>
        <w:keepNext w:val="0"/>
        <w:keepLines w:val="0"/>
        <w:pageBreakBefore w:val="0"/>
        <w:kinsoku/>
        <w:overflowPunct/>
        <w:bidi w:val="0"/>
        <w:adjustRightInd w:val="0"/>
        <w:snapToGrid w:val="0"/>
        <w:spacing w:line="500" w:lineRule="exact"/>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lang w:val="en-US" w:eastAsia="zh-CN"/>
        </w:rPr>
        <w:t>、根据《关于进一步优化政府采购领域营商环境的通知》郴财采资〔2024〕6号文件精神，</w:t>
      </w:r>
      <w:r>
        <w:rPr>
          <w:rFonts w:hint="eastAsia" w:ascii="宋体" w:hAnsi="宋体" w:eastAsia="宋体" w:cs="宋体"/>
          <w:b/>
          <w:bCs/>
          <w:color w:val="auto"/>
          <w:sz w:val="21"/>
          <w:szCs w:val="21"/>
          <w:highlight w:val="none"/>
        </w:rPr>
        <w:t>本项目</w:t>
      </w:r>
      <w:r>
        <w:rPr>
          <w:rFonts w:hint="eastAsia" w:ascii="宋体" w:hAnsi="宋体" w:eastAsia="宋体" w:cs="宋体"/>
          <w:b/>
          <w:bCs/>
          <w:color w:val="auto"/>
          <w:sz w:val="21"/>
          <w:szCs w:val="21"/>
          <w:highlight w:val="none"/>
          <w:lang w:eastAsia="zh-CN"/>
        </w:rPr>
        <w:t>取消投标保证金及履约保证金。</w:t>
      </w:r>
    </w:p>
    <w:p w14:paraId="0A55448B">
      <w:pPr>
        <w:pStyle w:val="3"/>
        <w:bidi w:val="0"/>
        <w:rPr>
          <w:rFonts w:hint="eastAsia" w:ascii="宋体" w:hAnsi="宋体" w:eastAsia="宋体" w:cs="宋体"/>
          <w:color w:val="auto"/>
          <w:sz w:val="21"/>
          <w:szCs w:val="21"/>
          <w:highlight w:val="none"/>
        </w:rPr>
      </w:pPr>
      <w:bookmarkStart w:id="6" w:name="_Toc130"/>
      <w:bookmarkStart w:id="7" w:name="_Toc309"/>
      <w:bookmarkStart w:id="8" w:name="_Toc11805"/>
      <w:r>
        <w:rPr>
          <w:rFonts w:hint="eastAsia" w:ascii="宋体" w:hAnsi="宋体" w:eastAsia="宋体" w:cs="宋体"/>
          <w:color w:val="auto"/>
          <w:sz w:val="21"/>
          <w:szCs w:val="21"/>
          <w:highlight w:val="none"/>
        </w:rPr>
        <w:t>二、采购人的采购需求（按包）</w:t>
      </w:r>
      <w:bookmarkEnd w:id="6"/>
      <w:bookmarkEnd w:id="7"/>
      <w:bookmarkEnd w:id="8"/>
    </w:p>
    <w:tbl>
      <w:tblPr>
        <w:tblStyle w:val="44"/>
        <w:tblW w:w="10004" w:type="dxa"/>
        <w:tblInd w:w="-444"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76"/>
        <w:gridCol w:w="498"/>
        <w:gridCol w:w="2415"/>
        <w:gridCol w:w="3387"/>
        <w:gridCol w:w="573"/>
        <w:gridCol w:w="1431"/>
        <w:gridCol w:w="1324"/>
      </w:tblGrid>
      <w:tr w14:paraId="03F134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5" w:hRule="atLeast"/>
        </w:trPr>
        <w:tc>
          <w:tcPr>
            <w:tcW w:w="376" w:type="dxa"/>
            <w:noWrap w:val="0"/>
            <w:vAlign w:val="center"/>
          </w:tcPr>
          <w:p w14:paraId="7ED7F1BF">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包号</w:t>
            </w:r>
          </w:p>
        </w:tc>
        <w:tc>
          <w:tcPr>
            <w:tcW w:w="498" w:type="dxa"/>
            <w:noWrap w:val="0"/>
            <w:vAlign w:val="center"/>
          </w:tcPr>
          <w:p w14:paraId="4EB65913">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包名称</w:t>
            </w:r>
          </w:p>
        </w:tc>
        <w:tc>
          <w:tcPr>
            <w:tcW w:w="2415" w:type="dxa"/>
            <w:noWrap w:val="0"/>
            <w:vAlign w:val="center"/>
          </w:tcPr>
          <w:p w14:paraId="6870D6B2">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标的名称</w:t>
            </w:r>
          </w:p>
        </w:tc>
        <w:tc>
          <w:tcPr>
            <w:tcW w:w="3387" w:type="dxa"/>
            <w:tcBorders>
              <w:left w:val="single" w:color="auto" w:sz="4" w:space="0"/>
            </w:tcBorders>
            <w:noWrap w:val="0"/>
            <w:vAlign w:val="center"/>
          </w:tcPr>
          <w:p w14:paraId="44D7AD35">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简要技术要求</w:t>
            </w:r>
          </w:p>
        </w:tc>
        <w:tc>
          <w:tcPr>
            <w:tcW w:w="573" w:type="dxa"/>
            <w:tcBorders>
              <w:left w:val="single" w:color="auto" w:sz="4" w:space="0"/>
            </w:tcBorders>
            <w:noWrap w:val="0"/>
            <w:vAlign w:val="center"/>
          </w:tcPr>
          <w:p w14:paraId="593D5DE8">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1431" w:type="dxa"/>
            <w:noWrap w:val="0"/>
            <w:vAlign w:val="center"/>
          </w:tcPr>
          <w:p w14:paraId="07516673">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标的预算</w:t>
            </w:r>
          </w:p>
        </w:tc>
        <w:tc>
          <w:tcPr>
            <w:tcW w:w="1324" w:type="dxa"/>
            <w:noWrap w:val="0"/>
            <w:vAlign w:val="center"/>
          </w:tcPr>
          <w:p w14:paraId="25700BDC">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最高限价</w:t>
            </w:r>
          </w:p>
        </w:tc>
      </w:tr>
      <w:tr w14:paraId="60689E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376" w:type="dxa"/>
            <w:noWrap w:val="0"/>
            <w:vAlign w:val="center"/>
          </w:tcPr>
          <w:p w14:paraId="69B517B3">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w:t>
            </w:r>
          </w:p>
        </w:tc>
        <w:tc>
          <w:tcPr>
            <w:tcW w:w="498" w:type="dxa"/>
            <w:noWrap w:val="0"/>
            <w:vAlign w:val="center"/>
          </w:tcPr>
          <w:p w14:paraId="5C499FC5">
            <w:pPr>
              <w:keepNext w:val="0"/>
              <w:keepLines w:val="0"/>
              <w:pageBreakBefore w:val="0"/>
              <w:widowControl/>
              <w:kinsoku/>
              <w:overflowPunct/>
              <w:bidi w:val="0"/>
              <w:adjustRightInd w:val="0"/>
              <w:snapToGrid w:val="0"/>
              <w:spacing w:line="240"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cs="宋体"/>
                <w:color w:val="auto"/>
                <w:sz w:val="21"/>
                <w:szCs w:val="21"/>
                <w:highlight w:val="none"/>
                <w:u w:val="none"/>
                <w:lang w:val="en-US" w:eastAsia="zh-CN"/>
              </w:rPr>
              <w:t>包1</w:t>
            </w:r>
          </w:p>
        </w:tc>
        <w:tc>
          <w:tcPr>
            <w:tcW w:w="2415" w:type="dxa"/>
            <w:noWrap w:val="0"/>
            <w:vAlign w:val="center"/>
          </w:tcPr>
          <w:p w14:paraId="56268549">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u w:val="none"/>
                <w:lang w:eastAsia="zh-CN"/>
              </w:rPr>
            </w:pPr>
            <w:r>
              <w:rPr>
                <w:rFonts w:hint="eastAsia" w:ascii="宋体" w:hAnsi="宋体" w:cs="宋体"/>
                <w:color w:val="auto"/>
                <w:sz w:val="21"/>
                <w:szCs w:val="21"/>
                <w:highlight w:val="none"/>
                <w:u w:val="none"/>
                <w:lang w:eastAsia="zh-CN"/>
              </w:rPr>
              <w:t>湖南省南岭山地—湘江上游中央财政国土绿化示范项目资兴市作业设计技术服务</w:t>
            </w:r>
          </w:p>
        </w:tc>
        <w:tc>
          <w:tcPr>
            <w:tcW w:w="3387" w:type="dxa"/>
            <w:tcBorders>
              <w:left w:val="single" w:color="auto" w:sz="4" w:space="0"/>
            </w:tcBorders>
            <w:noWrap w:val="0"/>
            <w:vAlign w:val="top"/>
          </w:tcPr>
          <w:p w14:paraId="7FDB1415">
            <w:pPr>
              <w:keepNext w:val="0"/>
              <w:keepLines w:val="0"/>
              <w:pageBreakBefore w:val="0"/>
              <w:widowControl/>
              <w:kinsoku/>
              <w:overflowPunct/>
              <w:bidi w:val="0"/>
              <w:adjustRightInd w:val="0"/>
              <w:snapToGrid w:val="0"/>
              <w:spacing w:line="240" w:lineRule="auto"/>
              <w:jc w:val="both"/>
              <w:textAlignment w:val="auto"/>
              <w:rPr>
                <w:rFonts w:hint="default" w:ascii="宋体" w:hAnsi="宋体" w:eastAsia="宋体" w:cs="宋体"/>
                <w:color w:val="auto"/>
                <w:kern w:val="0"/>
                <w:sz w:val="21"/>
                <w:szCs w:val="21"/>
                <w:highlight w:val="none"/>
                <w:lang w:val="en-US"/>
              </w:rPr>
            </w:pPr>
            <w:r>
              <w:rPr>
                <w:rFonts w:hint="eastAsia" w:ascii="宋体" w:hAnsi="宋体" w:cs="宋体"/>
                <w:color w:val="auto"/>
                <w:sz w:val="21"/>
                <w:szCs w:val="21"/>
                <w:highlight w:val="none"/>
                <w:u w:val="none"/>
                <w:lang w:eastAsia="zh-CN"/>
              </w:rPr>
              <w:t>湖南省南岭山地—湘江上游中央财政国土绿化示范项目资兴市作业设计技术服务</w:t>
            </w:r>
            <w:r>
              <w:rPr>
                <w:rFonts w:hint="eastAsia" w:ascii="宋体" w:hAnsi="宋体" w:cs="宋体"/>
                <w:snapToGrid w:val="0"/>
                <w:color w:val="auto"/>
                <w:spacing w:val="8"/>
                <w:kern w:val="0"/>
                <w:sz w:val="20"/>
                <w:szCs w:val="20"/>
                <w:highlight w:val="none"/>
                <w:lang w:val="en-US" w:eastAsia="zh-CN" w:bidi="ar-SA"/>
              </w:rPr>
              <w:t>（具体详见采购需求）</w:t>
            </w:r>
          </w:p>
        </w:tc>
        <w:tc>
          <w:tcPr>
            <w:tcW w:w="573" w:type="dxa"/>
            <w:tcBorders>
              <w:left w:val="single" w:color="auto" w:sz="4" w:space="0"/>
            </w:tcBorders>
            <w:noWrap w:val="0"/>
            <w:vAlign w:val="center"/>
          </w:tcPr>
          <w:p w14:paraId="71FCF64C">
            <w:pPr>
              <w:keepNext w:val="0"/>
              <w:keepLines w:val="0"/>
              <w:pageBreakBefore w:val="0"/>
              <w:widowControl/>
              <w:kinsoku/>
              <w:overflowPunct/>
              <w:bidi w:val="0"/>
              <w:adjustRightInd w:val="0"/>
              <w:snapToGrid w:val="0"/>
              <w:spacing w:line="240"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en-US" w:eastAsia="zh-CN"/>
              </w:rPr>
              <w:t>项</w:t>
            </w:r>
          </w:p>
        </w:tc>
        <w:tc>
          <w:tcPr>
            <w:tcW w:w="1431" w:type="dxa"/>
            <w:noWrap w:val="0"/>
            <w:vAlign w:val="center"/>
          </w:tcPr>
          <w:p w14:paraId="5E583C6E">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u w:val="none"/>
              </w:rPr>
            </w:pP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val="en-US" w:eastAsia="zh-CN"/>
              </w:rPr>
              <w:t>3398900.00</w:t>
            </w:r>
            <w:r>
              <w:rPr>
                <w:rFonts w:hint="eastAsia" w:ascii="宋体" w:hAnsi="宋体" w:eastAsia="宋体" w:cs="宋体"/>
                <w:color w:val="auto"/>
                <w:sz w:val="21"/>
                <w:szCs w:val="21"/>
                <w:highlight w:val="none"/>
                <w:u w:val="none"/>
                <w:lang w:val="en-US" w:eastAsia="zh-CN"/>
              </w:rPr>
              <w:t>元</w:t>
            </w:r>
          </w:p>
        </w:tc>
        <w:tc>
          <w:tcPr>
            <w:tcW w:w="1324" w:type="dxa"/>
            <w:noWrap w:val="0"/>
            <w:vAlign w:val="center"/>
          </w:tcPr>
          <w:p w14:paraId="6F7D5114">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val="en-US" w:eastAsia="zh-CN"/>
              </w:rPr>
              <w:t>3398900.00</w:t>
            </w:r>
            <w:r>
              <w:rPr>
                <w:rFonts w:hint="eastAsia" w:ascii="宋体" w:hAnsi="宋体" w:eastAsia="宋体" w:cs="宋体"/>
                <w:color w:val="auto"/>
                <w:sz w:val="21"/>
                <w:szCs w:val="21"/>
                <w:highlight w:val="none"/>
                <w:u w:val="none"/>
                <w:lang w:val="en-US" w:eastAsia="zh-CN"/>
              </w:rPr>
              <w:t>元</w:t>
            </w:r>
          </w:p>
        </w:tc>
      </w:tr>
      <w:tr w14:paraId="2C5722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376" w:type="dxa"/>
            <w:noWrap w:val="0"/>
            <w:vAlign w:val="center"/>
          </w:tcPr>
          <w:p w14:paraId="3013A77A">
            <w:pPr>
              <w:keepNext w:val="0"/>
              <w:keepLines w:val="0"/>
              <w:pageBreakBefore w:val="0"/>
              <w:widowControl/>
              <w:kinsoku/>
              <w:overflowPunct/>
              <w:bidi w:val="0"/>
              <w:adjustRightInd w:val="0"/>
              <w:snapToGrid w:val="0"/>
              <w:spacing w:line="240" w:lineRule="auto"/>
              <w:jc w:val="center"/>
              <w:textAlignment w:val="auto"/>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p>
        </w:tc>
        <w:tc>
          <w:tcPr>
            <w:tcW w:w="498" w:type="dxa"/>
            <w:noWrap w:val="0"/>
            <w:vAlign w:val="center"/>
          </w:tcPr>
          <w:p w14:paraId="08557E6D">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sz w:val="21"/>
                <w:szCs w:val="21"/>
                <w:highlight w:val="none"/>
                <w:u w:val="none"/>
                <w:lang w:val="en-US" w:eastAsia="zh-CN"/>
              </w:rPr>
              <w:t>包2</w:t>
            </w:r>
          </w:p>
        </w:tc>
        <w:tc>
          <w:tcPr>
            <w:tcW w:w="2415" w:type="dxa"/>
            <w:noWrap w:val="0"/>
            <w:vAlign w:val="center"/>
          </w:tcPr>
          <w:p w14:paraId="043A21C8">
            <w:pPr>
              <w:keepNext w:val="0"/>
              <w:keepLines w:val="0"/>
              <w:pageBreakBefore w:val="0"/>
              <w:widowControl/>
              <w:kinsoku/>
              <w:overflowPunct/>
              <w:bidi w:val="0"/>
              <w:adjustRightInd w:val="0"/>
              <w:snapToGrid w:val="0"/>
              <w:spacing w:line="240" w:lineRule="auto"/>
              <w:jc w:val="center"/>
              <w:textAlignment w:val="auto"/>
              <w:rPr>
                <w:rFonts w:hint="eastAsia" w:ascii="宋体" w:hAnsi="宋体" w:cs="宋体"/>
                <w:color w:val="auto"/>
                <w:sz w:val="21"/>
                <w:szCs w:val="21"/>
                <w:highlight w:val="none"/>
                <w:u w:val="none"/>
                <w:lang w:eastAsia="zh-CN"/>
              </w:rPr>
            </w:pPr>
            <w:r>
              <w:rPr>
                <w:rFonts w:hint="eastAsia" w:ascii="宋体" w:hAnsi="宋体" w:cs="宋体"/>
                <w:color w:val="auto"/>
                <w:sz w:val="21"/>
                <w:szCs w:val="21"/>
                <w:highlight w:val="none"/>
                <w:u w:val="none"/>
                <w:lang w:eastAsia="zh-CN"/>
              </w:rPr>
              <w:t>湖南省南岭山地—湘江上游中央财政国土绿化示范项目永兴县、安仁县作业设计技术服务</w:t>
            </w:r>
          </w:p>
        </w:tc>
        <w:tc>
          <w:tcPr>
            <w:tcW w:w="3387" w:type="dxa"/>
            <w:tcBorders>
              <w:left w:val="single" w:color="auto" w:sz="4" w:space="0"/>
            </w:tcBorders>
            <w:noWrap w:val="0"/>
            <w:vAlign w:val="top"/>
          </w:tcPr>
          <w:p w14:paraId="638D0905">
            <w:pPr>
              <w:keepNext w:val="0"/>
              <w:keepLines w:val="0"/>
              <w:pageBreakBefore w:val="0"/>
              <w:widowControl/>
              <w:kinsoku/>
              <w:overflowPunct/>
              <w:bidi w:val="0"/>
              <w:adjustRightInd w:val="0"/>
              <w:snapToGrid w:val="0"/>
              <w:spacing w:line="240" w:lineRule="auto"/>
              <w:jc w:val="both"/>
              <w:textAlignment w:val="auto"/>
              <w:rPr>
                <w:rFonts w:hint="eastAsia" w:ascii="宋体" w:hAnsi="宋体" w:eastAsia="宋体" w:cs="宋体"/>
                <w:snapToGrid w:val="0"/>
                <w:color w:val="auto"/>
                <w:spacing w:val="8"/>
                <w:kern w:val="0"/>
                <w:sz w:val="20"/>
                <w:szCs w:val="20"/>
                <w:highlight w:val="none"/>
                <w:lang w:val="en-US" w:eastAsia="zh-CN" w:bidi="ar-SA"/>
              </w:rPr>
            </w:pPr>
            <w:r>
              <w:rPr>
                <w:rFonts w:hint="eastAsia" w:ascii="宋体" w:hAnsi="宋体" w:cs="宋体"/>
                <w:color w:val="auto"/>
                <w:sz w:val="21"/>
                <w:szCs w:val="21"/>
                <w:highlight w:val="none"/>
                <w:u w:val="none"/>
                <w:lang w:eastAsia="zh-CN"/>
              </w:rPr>
              <w:t>湖南省南岭山地—湘江上游中央财政国土绿化示范项目永兴县、安仁县作业设计技术服务</w:t>
            </w:r>
            <w:r>
              <w:rPr>
                <w:rFonts w:hint="eastAsia" w:ascii="宋体" w:hAnsi="宋体" w:cs="宋体"/>
                <w:snapToGrid w:val="0"/>
                <w:color w:val="auto"/>
                <w:spacing w:val="8"/>
                <w:kern w:val="0"/>
                <w:sz w:val="20"/>
                <w:szCs w:val="20"/>
                <w:highlight w:val="none"/>
                <w:lang w:val="en-US" w:eastAsia="zh-CN" w:bidi="ar-SA"/>
              </w:rPr>
              <w:t>（具体详见采购需求）</w:t>
            </w:r>
          </w:p>
        </w:tc>
        <w:tc>
          <w:tcPr>
            <w:tcW w:w="573" w:type="dxa"/>
            <w:tcBorders>
              <w:left w:val="single" w:color="auto" w:sz="4" w:space="0"/>
            </w:tcBorders>
            <w:noWrap w:val="0"/>
            <w:vAlign w:val="center"/>
          </w:tcPr>
          <w:p w14:paraId="1A581C90">
            <w:pPr>
              <w:keepNext w:val="0"/>
              <w:keepLines w:val="0"/>
              <w:pageBreakBefore w:val="0"/>
              <w:widowControl/>
              <w:kinsoku/>
              <w:overflowPunct/>
              <w:bidi w:val="0"/>
              <w:adjustRightInd w:val="0"/>
              <w:snapToGrid w:val="0"/>
              <w:spacing w:line="240"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en-US" w:eastAsia="zh-CN"/>
              </w:rPr>
              <w:t>项</w:t>
            </w:r>
          </w:p>
        </w:tc>
        <w:tc>
          <w:tcPr>
            <w:tcW w:w="1431" w:type="dxa"/>
            <w:noWrap w:val="0"/>
            <w:vAlign w:val="center"/>
          </w:tcPr>
          <w:p w14:paraId="03086AF1">
            <w:pPr>
              <w:keepNext w:val="0"/>
              <w:keepLines w:val="0"/>
              <w:pageBreakBefore w:val="0"/>
              <w:widowControl/>
              <w:kinsoku/>
              <w:overflowPunct/>
              <w:bidi w:val="0"/>
              <w:adjustRightInd w:val="0"/>
              <w:snapToGrid w:val="0"/>
              <w:spacing w:line="240" w:lineRule="auto"/>
              <w:jc w:val="center"/>
              <w:textAlignment w:val="auto"/>
              <w:rPr>
                <w:rFonts w:hint="default"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eastAsia="zh-CN"/>
              </w:rPr>
              <w:t>2746400</w:t>
            </w:r>
            <w:r>
              <w:rPr>
                <w:rFonts w:hint="eastAsia" w:ascii="宋体" w:hAnsi="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lang w:val="en-US" w:eastAsia="zh-CN"/>
              </w:rPr>
              <w:t>元</w:t>
            </w:r>
          </w:p>
        </w:tc>
        <w:tc>
          <w:tcPr>
            <w:tcW w:w="1324" w:type="dxa"/>
            <w:noWrap w:val="0"/>
            <w:vAlign w:val="center"/>
          </w:tcPr>
          <w:p w14:paraId="4D365598">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eastAsia="zh-CN"/>
              </w:rPr>
              <w:t>2746400</w:t>
            </w:r>
            <w:r>
              <w:rPr>
                <w:rFonts w:hint="eastAsia" w:ascii="宋体" w:hAnsi="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lang w:val="en-US" w:eastAsia="zh-CN"/>
              </w:rPr>
              <w:t>元</w:t>
            </w:r>
          </w:p>
        </w:tc>
      </w:tr>
      <w:tr w14:paraId="2B4ACB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376" w:type="dxa"/>
            <w:noWrap w:val="0"/>
            <w:vAlign w:val="center"/>
          </w:tcPr>
          <w:p w14:paraId="21444BF5">
            <w:pPr>
              <w:keepNext w:val="0"/>
              <w:keepLines w:val="0"/>
              <w:pageBreakBefore w:val="0"/>
              <w:widowControl/>
              <w:kinsoku/>
              <w:overflowPunct/>
              <w:bidi w:val="0"/>
              <w:adjustRightInd w:val="0"/>
              <w:snapToGrid w:val="0"/>
              <w:spacing w:line="240" w:lineRule="auto"/>
              <w:jc w:val="center"/>
              <w:textAlignment w:val="auto"/>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w:t>
            </w:r>
          </w:p>
        </w:tc>
        <w:tc>
          <w:tcPr>
            <w:tcW w:w="498" w:type="dxa"/>
            <w:noWrap w:val="0"/>
            <w:vAlign w:val="center"/>
          </w:tcPr>
          <w:p w14:paraId="0F8E5D5F">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sz w:val="21"/>
                <w:szCs w:val="21"/>
                <w:highlight w:val="none"/>
                <w:u w:val="none"/>
                <w:lang w:val="en-US" w:eastAsia="zh-CN"/>
              </w:rPr>
              <w:t>包3</w:t>
            </w:r>
          </w:p>
        </w:tc>
        <w:tc>
          <w:tcPr>
            <w:tcW w:w="2415" w:type="dxa"/>
            <w:noWrap w:val="0"/>
            <w:vAlign w:val="center"/>
          </w:tcPr>
          <w:p w14:paraId="6CE00BCD">
            <w:pPr>
              <w:keepNext w:val="0"/>
              <w:keepLines w:val="0"/>
              <w:pageBreakBefore w:val="0"/>
              <w:widowControl/>
              <w:kinsoku/>
              <w:overflowPunct/>
              <w:bidi w:val="0"/>
              <w:adjustRightInd w:val="0"/>
              <w:snapToGrid w:val="0"/>
              <w:spacing w:line="240" w:lineRule="auto"/>
              <w:jc w:val="center"/>
              <w:textAlignment w:val="auto"/>
              <w:rPr>
                <w:rFonts w:hint="eastAsia" w:ascii="宋体" w:hAnsi="宋体" w:cs="宋体"/>
                <w:color w:val="auto"/>
                <w:sz w:val="21"/>
                <w:szCs w:val="21"/>
                <w:highlight w:val="none"/>
                <w:u w:val="none"/>
                <w:lang w:eastAsia="zh-CN"/>
              </w:rPr>
            </w:pPr>
            <w:r>
              <w:rPr>
                <w:rFonts w:hint="eastAsia" w:ascii="宋体" w:hAnsi="宋体" w:cs="宋体"/>
                <w:color w:val="auto"/>
                <w:sz w:val="21"/>
                <w:szCs w:val="21"/>
                <w:highlight w:val="none"/>
                <w:u w:val="none"/>
                <w:lang w:eastAsia="zh-CN"/>
              </w:rPr>
              <w:t>湖南省南岭山地—湘江上游中央财政国土绿化示范项目桂阳县、宜章县、嘉禾县作业设计技术服务</w:t>
            </w:r>
          </w:p>
        </w:tc>
        <w:tc>
          <w:tcPr>
            <w:tcW w:w="3387" w:type="dxa"/>
            <w:tcBorders>
              <w:left w:val="single" w:color="auto" w:sz="4" w:space="0"/>
            </w:tcBorders>
            <w:noWrap w:val="0"/>
            <w:vAlign w:val="top"/>
          </w:tcPr>
          <w:p w14:paraId="0744A67F">
            <w:pPr>
              <w:keepNext w:val="0"/>
              <w:keepLines w:val="0"/>
              <w:pageBreakBefore w:val="0"/>
              <w:widowControl/>
              <w:kinsoku/>
              <w:overflowPunct/>
              <w:bidi w:val="0"/>
              <w:adjustRightInd w:val="0"/>
              <w:snapToGrid w:val="0"/>
              <w:spacing w:line="240" w:lineRule="auto"/>
              <w:jc w:val="both"/>
              <w:textAlignment w:val="auto"/>
              <w:rPr>
                <w:rFonts w:hint="eastAsia" w:ascii="宋体" w:hAnsi="宋体" w:eastAsia="宋体" w:cs="宋体"/>
                <w:snapToGrid w:val="0"/>
                <w:color w:val="auto"/>
                <w:spacing w:val="8"/>
                <w:kern w:val="0"/>
                <w:sz w:val="20"/>
                <w:szCs w:val="20"/>
                <w:highlight w:val="none"/>
                <w:lang w:val="en-US" w:eastAsia="zh-CN" w:bidi="ar-SA"/>
              </w:rPr>
            </w:pPr>
            <w:r>
              <w:rPr>
                <w:rFonts w:hint="eastAsia" w:ascii="宋体" w:hAnsi="宋体" w:cs="宋体"/>
                <w:color w:val="auto"/>
                <w:sz w:val="21"/>
                <w:szCs w:val="21"/>
                <w:highlight w:val="none"/>
                <w:u w:val="none"/>
                <w:lang w:eastAsia="zh-CN"/>
              </w:rPr>
              <w:t>南省南岭山地—湘江上游中央财政国土绿化示范项目桂阳县、宜章县、嘉禾县作业设计技术服务</w:t>
            </w:r>
            <w:r>
              <w:rPr>
                <w:rFonts w:hint="eastAsia" w:ascii="宋体" w:hAnsi="宋体" w:cs="宋体"/>
                <w:snapToGrid w:val="0"/>
                <w:color w:val="auto"/>
                <w:spacing w:val="8"/>
                <w:kern w:val="0"/>
                <w:sz w:val="20"/>
                <w:szCs w:val="20"/>
                <w:highlight w:val="none"/>
                <w:lang w:val="en-US" w:eastAsia="zh-CN" w:bidi="ar-SA"/>
              </w:rPr>
              <w:t>（具体详见采购需求）</w:t>
            </w:r>
          </w:p>
        </w:tc>
        <w:tc>
          <w:tcPr>
            <w:tcW w:w="573" w:type="dxa"/>
            <w:tcBorders>
              <w:left w:val="single" w:color="auto" w:sz="4" w:space="0"/>
            </w:tcBorders>
            <w:noWrap w:val="0"/>
            <w:vAlign w:val="center"/>
          </w:tcPr>
          <w:p w14:paraId="7E3AB37E">
            <w:pPr>
              <w:keepNext w:val="0"/>
              <w:keepLines w:val="0"/>
              <w:pageBreakBefore w:val="0"/>
              <w:widowControl/>
              <w:kinsoku/>
              <w:overflowPunct/>
              <w:bidi w:val="0"/>
              <w:adjustRightInd w:val="0"/>
              <w:snapToGrid w:val="0"/>
              <w:spacing w:line="240"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en-US" w:eastAsia="zh-CN"/>
              </w:rPr>
              <w:t>项</w:t>
            </w:r>
          </w:p>
        </w:tc>
        <w:tc>
          <w:tcPr>
            <w:tcW w:w="1431" w:type="dxa"/>
            <w:noWrap w:val="0"/>
            <w:vAlign w:val="center"/>
          </w:tcPr>
          <w:p w14:paraId="249DB846">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eastAsia="zh-CN"/>
              </w:rPr>
              <w:t>2432500</w:t>
            </w:r>
            <w:r>
              <w:rPr>
                <w:rFonts w:hint="eastAsia" w:ascii="宋体" w:hAnsi="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lang w:val="en-US" w:eastAsia="zh-CN"/>
              </w:rPr>
              <w:t>元</w:t>
            </w:r>
          </w:p>
        </w:tc>
        <w:tc>
          <w:tcPr>
            <w:tcW w:w="1324" w:type="dxa"/>
            <w:noWrap w:val="0"/>
            <w:vAlign w:val="center"/>
          </w:tcPr>
          <w:p w14:paraId="191D91AE">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eastAsia="zh-CN"/>
              </w:rPr>
              <w:t>2432500</w:t>
            </w:r>
            <w:r>
              <w:rPr>
                <w:rFonts w:hint="eastAsia" w:ascii="宋体" w:hAnsi="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lang w:val="en-US" w:eastAsia="zh-CN"/>
              </w:rPr>
              <w:t>元</w:t>
            </w:r>
          </w:p>
        </w:tc>
      </w:tr>
      <w:tr w14:paraId="4BF07B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7" w:hRule="atLeast"/>
        </w:trPr>
        <w:tc>
          <w:tcPr>
            <w:tcW w:w="376" w:type="dxa"/>
            <w:noWrap w:val="0"/>
            <w:vAlign w:val="center"/>
          </w:tcPr>
          <w:p w14:paraId="225B7671">
            <w:pPr>
              <w:keepNext w:val="0"/>
              <w:keepLines w:val="0"/>
              <w:pageBreakBefore w:val="0"/>
              <w:widowControl/>
              <w:kinsoku/>
              <w:overflowPunct/>
              <w:bidi w:val="0"/>
              <w:adjustRightInd w:val="0"/>
              <w:snapToGrid w:val="0"/>
              <w:spacing w:line="240" w:lineRule="auto"/>
              <w:jc w:val="center"/>
              <w:textAlignment w:val="auto"/>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4</w:t>
            </w:r>
          </w:p>
        </w:tc>
        <w:tc>
          <w:tcPr>
            <w:tcW w:w="498" w:type="dxa"/>
            <w:noWrap w:val="0"/>
            <w:vAlign w:val="center"/>
          </w:tcPr>
          <w:p w14:paraId="70E29C07">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sz w:val="21"/>
                <w:szCs w:val="21"/>
                <w:highlight w:val="none"/>
                <w:u w:val="none"/>
                <w:lang w:val="en-US" w:eastAsia="zh-CN"/>
              </w:rPr>
              <w:t>包4</w:t>
            </w:r>
          </w:p>
        </w:tc>
        <w:tc>
          <w:tcPr>
            <w:tcW w:w="2415" w:type="dxa"/>
            <w:noWrap w:val="0"/>
            <w:vAlign w:val="center"/>
          </w:tcPr>
          <w:p w14:paraId="736A450B">
            <w:pPr>
              <w:keepNext w:val="0"/>
              <w:keepLines w:val="0"/>
              <w:pageBreakBefore w:val="0"/>
              <w:widowControl/>
              <w:kinsoku/>
              <w:overflowPunct/>
              <w:bidi w:val="0"/>
              <w:adjustRightInd w:val="0"/>
              <w:snapToGrid w:val="0"/>
              <w:spacing w:line="240" w:lineRule="auto"/>
              <w:jc w:val="center"/>
              <w:textAlignment w:val="auto"/>
              <w:rPr>
                <w:rFonts w:hint="eastAsia" w:ascii="宋体" w:hAnsi="宋体" w:cs="宋体"/>
                <w:color w:val="auto"/>
                <w:sz w:val="21"/>
                <w:szCs w:val="21"/>
                <w:highlight w:val="none"/>
                <w:u w:val="none"/>
                <w:lang w:eastAsia="zh-CN"/>
              </w:rPr>
            </w:pPr>
            <w:r>
              <w:rPr>
                <w:rFonts w:hint="eastAsia" w:ascii="宋体" w:hAnsi="宋体" w:cs="宋体"/>
                <w:color w:val="auto"/>
                <w:sz w:val="21"/>
                <w:szCs w:val="21"/>
                <w:highlight w:val="none"/>
                <w:u w:val="none"/>
                <w:lang w:eastAsia="zh-CN"/>
              </w:rPr>
              <w:t>湖南省南岭山地—湘江上游中央财政国土绿化示范项目临武县、汝城县、桂东县作业设计技术服务</w:t>
            </w:r>
          </w:p>
        </w:tc>
        <w:tc>
          <w:tcPr>
            <w:tcW w:w="3387" w:type="dxa"/>
            <w:tcBorders>
              <w:left w:val="single" w:color="auto" w:sz="4" w:space="0"/>
            </w:tcBorders>
            <w:noWrap w:val="0"/>
            <w:vAlign w:val="top"/>
          </w:tcPr>
          <w:p w14:paraId="5BA32CE1">
            <w:pPr>
              <w:keepNext w:val="0"/>
              <w:keepLines w:val="0"/>
              <w:pageBreakBefore w:val="0"/>
              <w:widowControl/>
              <w:kinsoku/>
              <w:overflowPunct/>
              <w:bidi w:val="0"/>
              <w:adjustRightInd w:val="0"/>
              <w:snapToGrid w:val="0"/>
              <w:spacing w:line="240" w:lineRule="auto"/>
              <w:jc w:val="both"/>
              <w:textAlignment w:val="auto"/>
              <w:rPr>
                <w:rFonts w:hint="eastAsia" w:ascii="宋体" w:hAnsi="宋体" w:eastAsia="宋体" w:cs="宋体"/>
                <w:snapToGrid w:val="0"/>
                <w:color w:val="auto"/>
                <w:spacing w:val="8"/>
                <w:kern w:val="0"/>
                <w:sz w:val="20"/>
                <w:szCs w:val="20"/>
                <w:highlight w:val="none"/>
                <w:lang w:val="en-US" w:eastAsia="zh-CN" w:bidi="ar-SA"/>
              </w:rPr>
            </w:pPr>
            <w:r>
              <w:rPr>
                <w:rFonts w:hint="eastAsia" w:ascii="宋体" w:hAnsi="宋体" w:cs="宋体"/>
                <w:color w:val="auto"/>
                <w:sz w:val="21"/>
                <w:szCs w:val="21"/>
                <w:highlight w:val="none"/>
                <w:u w:val="none"/>
                <w:lang w:eastAsia="zh-CN"/>
              </w:rPr>
              <w:t>湖南省南岭山地—湘江上游中央财政国土绿化示范项目临武县、汝城县、桂东县作业设计技术服务</w:t>
            </w:r>
            <w:r>
              <w:rPr>
                <w:rFonts w:hint="eastAsia" w:ascii="宋体" w:hAnsi="宋体" w:cs="宋体"/>
                <w:snapToGrid w:val="0"/>
                <w:color w:val="auto"/>
                <w:spacing w:val="8"/>
                <w:kern w:val="0"/>
                <w:sz w:val="20"/>
                <w:szCs w:val="20"/>
                <w:highlight w:val="none"/>
                <w:lang w:val="en-US" w:eastAsia="zh-CN" w:bidi="ar-SA"/>
              </w:rPr>
              <w:t>（具体详见采购需求）</w:t>
            </w:r>
          </w:p>
        </w:tc>
        <w:tc>
          <w:tcPr>
            <w:tcW w:w="573" w:type="dxa"/>
            <w:tcBorders>
              <w:left w:val="single" w:color="auto" w:sz="4" w:space="0"/>
            </w:tcBorders>
            <w:noWrap w:val="0"/>
            <w:vAlign w:val="center"/>
          </w:tcPr>
          <w:p w14:paraId="478C1213">
            <w:pPr>
              <w:keepNext w:val="0"/>
              <w:keepLines w:val="0"/>
              <w:pageBreakBefore w:val="0"/>
              <w:widowControl/>
              <w:kinsoku/>
              <w:overflowPunct/>
              <w:bidi w:val="0"/>
              <w:adjustRightInd w:val="0"/>
              <w:snapToGrid w:val="0"/>
              <w:spacing w:line="240" w:lineRule="auto"/>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en-US" w:eastAsia="zh-CN"/>
              </w:rPr>
              <w:t>项</w:t>
            </w:r>
          </w:p>
        </w:tc>
        <w:tc>
          <w:tcPr>
            <w:tcW w:w="1431" w:type="dxa"/>
            <w:noWrap w:val="0"/>
            <w:vAlign w:val="center"/>
          </w:tcPr>
          <w:p w14:paraId="1FAC9488">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eastAsia="zh-CN"/>
              </w:rPr>
              <w:t>2591200</w:t>
            </w:r>
            <w:r>
              <w:rPr>
                <w:rFonts w:hint="eastAsia" w:ascii="宋体" w:hAnsi="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lang w:val="en-US" w:eastAsia="zh-CN"/>
              </w:rPr>
              <w:t>元</w:t>
            </w:r>
          </w:p>
        </w:tc>
        <w:tc>
          <w:tcPr>
            <w:tcW w:w="1324" w:type="dxa"/>
            <w:noWrap w:val="0"/>
            <w:vAlign w:val="center"/>
          </w:tcPr>
          <w:p w14:paraId="6D881390">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eastAsia="zh-CN"/>
              </w:rPr>
              <w:t>2591200</w:t>
            </w:r>
            <w:r>
              <w:rPr>
                <w:rFonts w:hint="eastAsia" w:ascii="宋体" w:hAnsi="宋体" w:cs="宋体"/>
                <w:color w:val="auto"/>
                <w:sz w:val="21"/>
                <w:szCs w:val="21"/>
                <w:highlight w:val="none"/>
                <w:u w:val="none"/>
                <w:lang w:val="en-US" w:eastAsia="zh-CN"/>
              </w:rPr>
              <w:t>.00</w:t>
            </w:r>
            <w:r>
              <w:rPr>
                <w:rFonts w:hint="eastAsia" w:ascii="宋体" w:hAnsi="宋体" w:eastAsia="宋体" w:cs="宋体"/>
                <w:color w:val="auto"/>
                <w:sz w:val="21"/>
                <w:szCs w:val="21"/>
                <w:highlight w:val="none"/>
                <w:u w:val="none"/>
                <w:lang w:val="en-US" w:eastAsia="zh-CN"/>
              </w:rPr>
              <w:t>元</w:t>
            </w:r>
          </w:p>
        </w:tc>
      </w:tr>
      <w:tr w14:paraId="7A76F6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57" w:hRule="atLeast"/>
        </w:trPr>
        <w:tc>
          <w:tcPr>
            <w:tcW w:w="10004" w:type="dxa"/>
            <w:gridSpan w:val="7"/>
            <w:noWrap w:val="0"/>
            <w:vAlign w:val="center"/>
          </w:tcPr>
          <w:p w14:paraId="329C7C27">
            <w:pPr>
              <w:keepNext w:val="0"/>
              <w:keepLines w:val="0"/>
              <w:pageBreakBefore w:val="0"/>
              <w:widowControl/>
              <w:kinsoku/>
              <w:overflowPunct/>
              <w:bidi w:val="0"/>
              <w:adjustRightInd w:val="0"/>
              <w:snapToGrid w:val="0"/>
              <w:spacing w:line="240" w:lineRule="auto"/>
              <w:jc w:val="center"/>
              <w:textAlignment w:val="auto"/>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eastAsia="zh-CN"/>
              </w:rPr>
              <w:t>采购</w:t>
            </w:r>
            <w:r>
              <w:rPr>
                <w:rFonts w:hint="eastAsia" w:ascii="宋体" w:hAnsi="宋体" w:eastAsia="宋体" w:cs="宋体"/>
                <w:color w:val="auto"/>
                <w:kern w:val="0"/>
                <w:sz w:val="21"/>
                <w:szCs w:val="21"/>
                <w:highlight w:val="none"/>
              </w:rPr>
              <w:t>代理服务收费最高限价</w:t>
            </w:r>
            <w:r>
              <w:rPr>
                <w:rFonts w:hint="eastAsia" w:ascii="宋体" w:hAnsi="宋体" w:eastAsia="宋体" w:cs="宋体"/>
                <w:color w:val="auto"/>
                <w:kern w:val="0"/>
                <w:sz w:val="21"/>
                <w:szCs w:val="21"/>
                <w:highlight w:val="none"/>
                <w:lang w:eastAsia="zh-CN"/>
              </w:rPr>
              <w:t>（人民币元）</w:t>
            </w:r>
            <w:r>
              <w:rPr>
                <w:rFonts w:hint="eastAsia" w:ascii="宋体" w:hAnsi="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 xml:space="preserve"> 72400</w:t>
            </w:r>
            <w:r>
              <w:rPr>
                <w:rFonts w:hint="eastAsia" w:ascii="宋体" w:hAnsi="宋体" w:eastAsia="宋体" w:cs="宋体"/>
                <w:color w:val="auto"/>
                <w:kern w:val="0"/>
                <w:sz w:val="21"/>
                <w:szCs w:val="21"/>
                <w:highlight w:val="none"/>
                <w:lang w:val="en-US" w:eastAsia="zh-CN"/>
              </w:rPr>
              <w:t>.00元</w:t>
            </w:r>
          </w:p>
        </w:tc>
      </w:tr>
    </w:tbl>
    <w:p w14:paraId="5DE6278C">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r>
        <w:rPr>
          <w:rFonts w:hint="eastAsia" w:ascii="宋体" w:hAnsi="宋体"/>
          <w:color w:val="auto"/>
          <w:kern w:val="0"/>
          <w:highlight w:val="none"/>
          <w:u w:val="dottedHeavy"/>
          <w:lang w:val="en-US" w:eastAsia="zh-CN"/>
        </w:rPr>
        <w:t>本项目共划分为4个包，投标人可以对上述包中的其中1个包或多个包投标，分别制作投标文件并按相应包号上传投标文件。为保证服务质量和服务进度，本项目按包号顺序依次评审，凡已被推荐为某个包的第一中标候选人的，该中标候选人不再参与后续包的第一中标候选人的推荐，如中标单位放弃中标资格或无法履约的，按相关规定上报相关部门处理。</w:t>
      </w:r>
    </w:p>
    <w:p w14:paraId="77C7DE55">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节能产品实行强制采购的，需提供国家认证机构出具的、处于有效期内的节能产品证书。</w:t>
      </w:r>
    </w:p>
    <w:p w14:paraId="555BA51F">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同意购买进口产品的，不限制满足采购需求的国内产品参与投标。</w:t>
      </w:r>
    </w:p>
    <w:p w14:paraId="704D7949">
      <w:pPr>
        <w:pStyle w:val="3"/>
        <w:bidi w:val="0"/>
        <w:rPr>
          <w:rFonts w:hint="eastAsia" w:ascii="宋体" w:hAnsi="宋体" w:eastAsia="宋体" w:cs="宋体"/>
          <w:color w:val="auto"/>
          <w:sz w:val="21"/>
          <w:szCs w:val="21"/>
          <w:highlight w:val="none"/>
        </w:rPr>
      </w:pPr>
      <w:bookmarkStart w:id="9" w:name="_Toc28959"/>
      <w:bookmarkStart w:id="10" w:name="_Toc1830"/>
      <w:bookmarkStart w:id="11" w:name="_Toc4710"/>
      <w:r>
        <w:rPr>
          <w:rFonts w:hint="eastAsia" w:ascii="宋体" w:hAnsi="宋体" w:eastAsia="宋体" w:cs="宋体"/>
          <w:color w:val="auto"/>
          <w:sz w:val="21"/>
          <w:szCs w:val="21"/>
          <w:highlight w:val="none"/>
        </w:rPr>
        <w:t>三、采购项目需落实的政府采购政策：</w:t>
      </w:r>
      <w:bookmarkEnd w:id="9"/>
      <w:bookmarkEnd w:id="10"/>
      <w:bookmarkEnd w:id="11"/>
    </w:p>
    <w:p w14:paraId="24D4477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优先采购：</w:t>
      </w:r>
      <w:r>
        <w:rPr>
          <w:rFonts w:hint="eastAsia" w:ascii="宋体" w:hAnsi="宋体" w:eastAsia="宋体" w:cs="宋体"/>
          <w:color w:val="auto"/>
          <w:szCs w:val="21"/>
          <w:highlight w:val="none"/>
        </w:rPr>
        <w:t>节能产品、</w:t>
      </w:r>
      <w:r>
        <w:rPr>
          <w:rFonts w:hint="eastAsia" w:ascii="宋体" w:hAnsi="宋体" w:eastAsia="宋体" w:cs="宋体"/>
          <w:color w:val="auto"/>
          <w:szCs w:val="21"/>
          <w:highlight w:val="none"/>
          <w:lang w:val="en-US" w:eastAsia="zh-CN"/>
        </w:rPr>
        <w:t>环境标志产品</w:t>
      </w:r>
      <w:r>
        <w:rPr>
          <w:rFonts w:hint="eastAsia" w:ascii="宋体" w:hAnsi="宋体" w:eastAsia="宋体" w:cs="宋体"/>
          <w:color w:val="auto"/>
          <w:szCs w:val="21"/>
          <w:highlight w:val="none"/>
        </w:rPr>
        <w:t>享受加分或价格折扣。</w:t>
      </w:r>
    </w:p>
    <w:p w14:paraId="5A7D294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支持中小企业：中小企业享受预留采购份额或价格折扣。</w:t>
      </w:r>
    </w:p>
    <w:p w14:paraId="2CA103AA">
      <w:pPr>
        <w:pStyle w:val="3"/>
        <w:bidi w:val="0"/>
        <w:rPr>
          <w:rFonts w:hint="eastAsia" w:ascii="宋体" w:hAnsi="宋体" w:eastAsia="宋体" w:cs="宋体"/>
          <w:color w:val="auto"/>
          <w:sz w:val="21"/>
          <w:szCs w:val="21"/>
          <w:highlight w:val="none"/>
        </w:rPr>
      </w:pPr>
      <w:bookmarkStart w:id="12" w:name="_Toc11302"/>
      <w:bookmarkStart w:id="13" w:name="_Toc1793"/>
      <w:bookmarkStart w:id="14" w:name="_Toc20425"/>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、投标人的资格要求：</w:t>
      </w:r>
      <w:bookmarkEnd w:id="12"/>
      <w:bookmarkEnd w:id="13"/>
      <w:bookmarkEnd w:id="14"/>
    </w:p>
    <w:p w14:paraId="5F660B6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1、投标人的基本资格条件：投标人必须是在中华人民共和国境内注册登记的法人、其他组织或者自然人，且应当符合《政府采购法》第二十二条第一款的规定。</w:t>
      </w:r>
    </w:p>
    <w:p w14:paraId="6421D94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7F7F1FD7">
      <w:pPr>
        <w:adjustRightInd w:val="0"/>
        <w:snapToGrid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专门面向</w:t>
      </w:r>
      <w:r>
        <w:rPr>
          <w:rFonts w:hint="eastAsia" w:ascii="宋体" w:hAnsi="宋体" w:eastAsia="宋体" w:cs="宋体"/>
          <w:bCs/>
          <w:color w:val="auto"/>
          <w:sz w:val="21"/>
          <w:szCs w:val="21"/>
          <w:highlight w:val="none"/>
          <w:lang w:eastAsia="zh-CN"/>
        </w:rPr>
        <w:t>：</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中</w:t>
      </w:r>
      <w:r>
        <w:rPr>
          <w:rFonts w:hint="eastAsia" w:ascii="宋体" w:hAnsi="宋体" w:eastAsia="宋体" w:cs="宋体"/>
          <w:iCs/>
          <w:color w:val="auto"/>
          <w:sz w:val="21"/>
          <w:szCs w:val="21"/>
          <w:highlight w:val="none"/>
          <w:lang w:val="en-US" w:eastAsia="zh-CN"/>
        </w:rPr>
        <w:t>小</w:t>
      </w:r>
      <w:r>
        <w:rPr>
          <w:rFonts w:hint="eastAsia" w:ascii="宋体" w:hAnsi="宋体" w:eastAsia="宋体" w:cs="宋体"/>
          <w:iCs/>
          <w:color w:val="auto"/>
          <w:sz w:val="21"/>
          <w:szCs w:val="21"/>
          <w:highlight w:val="none"/>
        </w:rPr>
        <w:t xml:space="preserve">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小微企业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监狱企业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福利性单位。</w:t>
      </w:r>
    </w:p>
    <w:p w14:paraId="6F26F078">
      <w:pPr>
        <w:adjustRightInd w:val="0"/>
        <w:snapToGrid w:val="0"/>
        <w:spacing w:line="360" w:lineRule="auto"/>
        <w:ind w:firstLine="630" w:firstLineChars="300"/>
        <w:rPr>
          <w:rFonts w:hint="eastAsia" w:ascii="宋体" w:hAnsi="宋体" w:eastAsia="宋体" w:cs="宋体"/>
          <w:bCs/>
          <w:color w:val="auto"/>
          <w:sz w:val="21"/>
          <w:szCs w:val="21"/>
          <w:highlight w:val="none"/>
        </w:rPr>
      </w:pP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强制</w:t>
      </w:r>
      <w:r>
        <w:rPr>
          <w:rFonts w:hint="eastAsia" w:ascii="宋体" w:hAnsi="宋体" w:eastAsia="宋体" w:cs="宋体"/>
          <w:bCs/>
          <w:color w:val="auto"/>
          <w:sz w:val="21"/>
          <w:szCs w:val="21"/>
          <w:highlight w:val="none"/>
        </w:rPr>
        <w:t>分包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大型企业应将采购份额</w:t>
      </w:r>
      <w:r>
        <w:rPr>
          <w:rFonts w:hint="eastAsia" w:ascii="宋体" w:hAnsi="宋体" w:eastAsia="宋体" w:cs="宋体"/>
          <w:bCs/>
          <w:color w:val="auto"/>
          <w:sz w:val="21"/>
          <w:szCs w:val="21"/>
          <w:highlight w:val="none"/>
          <w:lang w:val="en-US" w:eastAsia="zh-CN"/>
        </w:rPr>
        <w:t>的</w:t>
      </w:r>
      <w:r>
        <w:rPr>
          <w:rFonts w:hint="eastAsia" w:ascii="宋体" w:hAnsi="宋体" w:eastAsia="宋体" w:cs="宋体"/>
          <w:bCs/>
          <w:color w:val="auto"/>
          <w:sz w:val="21"/>
          <w:szCs w:val="21"/>
          <w:highlight w:val="none"/>
          <w:u w:val="single"/>
          <w:lang w:val="en-US" w:eastAsia="zh-CN"/>
        </w:rPr>
        <w:t xml:space="preserve">  / </w:t>
      </w:r>
      <w:r>
        <w:rPr>
          <w:rFonts w:hint="eastAsia" w:ascii="宋体" w:hAnsi="宋体" w:eastAsia="宋体" w:cs="宋体"/>
          <w:bCs/>
          <w:color w:val="auto"/>
          <w:sz w:val="21"/>
          <w:szCs w:val="21"/>
          <w:highlight w:val="none"/>
        </w:rPr>
        <w:t>%分包给中小企业。</w:t>
      </w:r>
    </w:p>
    <w:p w14:paraId="65708DBA">
      <w:pPr>
        <w:numPr>
          <w:ilvl w:val="0"/>
          <w:numId w:val="2"/>
        </w:num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采购项目的特定资格条件：</w:t>
      </w:r>
    </w:p>
    <w:p w14:paraId="40689629">
      <w:pPr>
        <w:adjustRightInd w:val="0"/>
        <w:snapToGrid w:val="0"/>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包1：供应商须具有林业调查规划设计乙级及以上资质，且该资质在有效期内。</w:t>
      </w:r>
    </w:p>
    <w:p w14:paraId="46B50BFC">
      <w:pPr>
        <w:adjustRightInd w:val="0"/>
        <w:snapToGrid w:val="0"/>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包2：供应商须具有林业调查规划设计乙级及以上资质，且该资质在有效期内。</w:t>
      </w:r>
    </w:p>
    <w:p w14:paraId="3E1957DA">
      <w:pPr>
        <w:adjustRightInd w:val="0"/>
        <w:snapToGrid w:val="0"/>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包3：供应商须具有林业调查规划设计乙级及以上资质，且该资质在有效期内。</w:t>
      </w:r>
    </w:p>
    <w:p w14:paraId="1DCA1F90">
      <w:pPr>
        <w:adjustRightInd w:val="0"/>
        <w:snapToGrid w:val="0"/>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包4：供应商须具有林业调查规划设计乙级及以上资质，且该资质在有效期内。</w:t>
      </w:r>
    </w:p>
    <w:p w14:paraId="137A7F6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4、单位负责人为同一人或者存在直接控股、管理关系的不同投标人，不得参加同一合同项下的政府采购活动。</w:t>
      </w:r>
    </w:p>
    <w:p w14:paraId="210675D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5、为本采购项目提供整体设计、规范编制或者项目管理、监理、检测等服务的，不得再参加此项目的其他采购活动。</w:t>
      </w:r>
    </w:p>
    <w:p w14:paraId="7FEFDEA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kern w:val="0"/>
          <w:sz w:val="21"/>
          <w:szCs w:val="21"/>
          <w:highlight w:val="none"/>
          <w:lang w:val="en-US" w:eastAsia="zh-CN" w:bidi="ar"/>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14:paraId="0B6862D9">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7、联合体投标。本次招标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不接受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(接受或不接受)联合体投标。接受联合体投标的，联合体应当具备下列条件：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6241451">
      <w:pPr>
        <w:pStyle w:val="3"/>
        <w:bidi w:val="0"/>
        <w:rPr>
          <w:rFonts w:hint="eastAsia" w:ascii="宋体" w:hAnsi="宋体" w:eastAsia="宋体" w:cs="宋体"/>
          <w:color w:val="auto"/>
          <w:sz w:val="21"/>
          <w:szCs w:val="21"/>
          <w:highlight w:val="none"/>
        </w:rPr>
      </w:pPr>
      <w:bookmarkStart w:id="15" w:name="_Toc2647"/>
      <w:bookmarkStart w:id="16" w:name="_Toc22634"/>
      <w:bookmarkStart w:id="17" w:name="_Toc19023"/>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、获取电子招标文件的时间、期限、方式</w:t>
      </w:r>
      <w:bookmarkEnd w:id="15"/>
      <w:bookmarkEnd w:id="16"/>
      <w:bookmarkEnd w:id="17"/>
    </w:p>
    <w:p w14:paraId="4E59C5E3">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凡符合投标资格要求并有意参加投标者，可在公告发布之日起至提交投标文件截止之日通过郴州市公共资源交易中心(http://czggzy.czs.gov.cn/)免费获取电子招标文件。</w:t>
      </w:r>
    </w:p>
    <w:p w14:paraId="7415A971">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开招标文件及修改、澄清文件获取方式:投标人应在本项目获取招标文件截止时间前登录郴州市公共资源交易中心(http://czggzy.czs.gov.cn/)中进入"政府采购交易系统进行“用户登录”“我要投标”“下载文件”操作，逾期将不能获取文件。修改、澄清后的招标文件请投标人自行在以上网站下载或查阅,恕不另行通知，如有遗漏投标人自行承担全部责任。</w:t>
      </w:r>
    </w:p>
    <w:p w14:paraId="7038E964">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通过网络下载，其招标文件与备案的书面招标文件具有同等法律效力。投标人应及时关注网上相关招标信息，如有遗漏（包括但不限于文件未下载或下载不完整）招标人概不负责，所造成的投标失败或损失由投标人自行负责。</w:t>
      </w:r>
    </w:p>
    <w:p w14:paraId="22C2D2A5">
      <w:pPr>
        <w:pStyle w:val="3"/>
        <w:bidi w:val="0"/>
        <w:rPr>
          <w:rFonts w:hint="eastAsia" w:ascii="宋体" w:hAnsi="宋体" w:eastAsia="宋体" w:cs="宋体"/>
          <w:color w:val="auto"/>
          <w:sz w:val="21"/>
          <w:szCs w:val="21"/>
          <w:highlight w:val="none"/>
        </w:rPr>
      </w:pPr>
      <w:bookmarkStart w:id="18" w:name="_Toc24714"/>
      <w:bookmarkStart w:id="19" w:name="_Toc7985"/>
      <w:bookmarkStart w:id="20" w:name="_Toc11832"/>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、投标截止时间、开标时间、开标地点</w:t>
      </w:r>
      <w:bookmarkEnd w:id="18"/>
      <w:bookmarkEnd w:id="19"/>
      <w:bookmarkEnd w:id="20"/>
    </w:p>
    <w:p w14:paraId="40B2FF13">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1、提交投标文件的截止时间：</w:t>
      </w:r>
      <w:r>
        <w:rPr>
          <w:rFonts w:hint="eastAsia" w:ascii="宋体" w:hAnsi="宋体" w:eastAsia="宋体" w:cs="宋体"/>
          <w:color w:val="auto"/>
          <w:sz w:val="21"/>
          <w:szCs w:val="21"/>
          <w:highlight w:val="none"/>
          <w:u w:val="single"/>
          <w:lang w:val="en-US" w:eastAsia="zh-CN"/>
        </w:rPr>
        <w:t>202</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u w:val="single"/>
          <w:lang w:val="en-US" w:eastAsia="zh-CN"/>
        </w:rPr>
        <w:t>4</w:t>
      </w:r>
      <w:r>
        <w:rPr>
          <w:rFonts w:hint="eastAsia" w:ascii="宋体" w:hAnsi="宋体" w:cs="宋体"/>
          <w:color w:val="auto"/>
          <w:sz w:val="21"/>
          <w:szCs w:val="21"/>
          <w:highlight w:val="none"/>
          <w:u w:val="none"/>
          <w:lang w:val="en-US" w:eastAsia="zh-CN"/>
        </w:rPr>
        <w:t>月</w:t>
      </w:r>
      <w:r>
        <w:rPr>
          <w:rFonts w:hint="eastAsia" w:ascii="宋体" w:hAnsi="宋体" w:cs="宋体"/>
          <w:color w:val="auto"/>
          <w:sz w:val="21"/>
          <w:szCs w:val="21"/>
          <w:highlight w:val="none"/>
          <w:u w:val="single"/>
          <w:lang w:val="en-US" w:eastAsia="zh-CN"/>
        </w:rPr>
        <w:t>7</w:t>
      </w:r>
      <w:r>
        <w:rPr>
          <w:rFonts w:hint="eastAsia" w:ascii="宋体" w:hAnsi="宋体" w:cs="宋体"/>
          <w:color w:val="auto"/>
          <w:sz w:val="21"/>
          <w:szCs w:val="21"/>
          <w:highlight w:val="none"/>
          <w:u w:val="none"/>
          <w:lang w:val="en-US" w:eastAsia="zh-CN"/>
        </w:rPr>
        <w:t>日</w:t>
      </w:r>
      <w:r>
        <w:rPr>
          <w:rFonts w:hint="eastAsia" w:ascii="宋体" w:hAnsi="宋体" w:eastAsia="宋体" w:cs="宋体"/>
          <w:color w:val="auto"/>
          <w:sz w:val="21"/>
          <w:szCs w:val="21"/>
          <w:highlight w:val="none"/>
          <w:u w:val="single"/>
          <w:lang w:val="en-US" w:eastAsia="zh-CN"/>
        </w:rPr>
        <w:t>9</w:t>
      </w:r>
      <w:r>
        <w:rPr>
          <w:rFonts w:hint="eastAsia" w:ascii="宋体" w:hAnsi="宋体" w:eastAsia="宋体" w:cs="宋体"/>
          <w:color w:val="auto"/>
          <w:sz w:val="21"/>
          <w:szCs w:val="21"/>
          <w:highlight w:val="none"/>
          <w:u w:val="none"/>
        </w:rPr>
        <w:t>时</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分（北京时间），超过截止时间的投标将被拒绝。</w:t>
      </w:r>
    </w:p>
    <w:p w14:paraId="47042908">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、开标时间：</w:t>
      </w:r>
      <w:r>
        <w:rPr>
          <w:rFonts w:hint="eastAsia" w:ascii="宋体" w:hAnsi="宋体" w:eastAsia="宋体" w:cs="宋体"/>
          <w:color w:val="auto"/>
          <w:sz w:val="21"/>
          <w:szCs w:val="21"/>
          <w:highlight w:val="none"/>
          <w:u w:val="single"/>
          <w:lang w:val="en-US" w:eastAsia="zh-CN"/>
        </w:rPr>
        <w:t>202</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u w:val="single"/>
          <w:lang w:val="en-US" w:eastAsia="zh-CN"/>
        </w:rPr>
        <w:t>4</w:t>
      </w:r>
      <w:r>
        <w:rPr>
          <w:rFonts w:hint="eastAsia" w:ascii="宋体" w:hAnsi="宋体" w:cs="宋体"/>
          <w:color w:val="auto"/>
          <w:sz w:val="21"/>
          <w:szCs w:val="21"/>
          <w:highlight w:val="none"/>
          <w:u w:val="none"/>
          <w:lang w:val="en-US" w:eastAsia="zh-CN"/>
        </w:rPr>
        <w:t>月</w:t>
      </w:r>
      <w:r>
        <w:rPr>
          <w:rFonts w:hint="eastAsia" w:ascii="宋体" w:hAnsi="宋体" w:cs="宋体"/>
          <w:color w:val="auto"/>
          <w:sz w:val="21"/>
          <w:szCs w:val="21"/>
          <w:highlight w:val="none"/>
          <w:u w:val="single"/>
          <w:lang w:val="en-US" w:eastAsia="zh-CN"/>
        </w:rPr>
        <w:t>7</w:t>
      </w:r>
      <w:r>
        <w:rPr>
          <w:rFonts w:hint="eastAsia" w:ascii="宋体" w:hAnsi="宋体" w:cs="宋体"/>
          <w:color w:val="auto"/>
          <w:sz w:val="21"/>
          <w:szCs w:val="21"/>
          <w:highlight w:val="none"/>
          <w:u w:val="none"/>
          <w:lang w:val="en-US" w:eastAsia="zh-CN"/>
        </w:rPr>
        <w:t>日</w:t>
      </w:r>
      <w:r>
        <w:rPr>
          <w:rFonts w:hint="eastAsia" w:ascii="宋体" w:hAnsi="宋体" w:eastAsia="宋体" w:cs="宋体"/>
          <w:color w:val="auto"/>
          <w:sz w:val="21"/>
          <w:szCs w:val="21"/>
          <w:highlight w:val="none"/>
          <w:u w:val="single"/>
          <w:lang w:val="en-US" w:eastAsia="zh-CN"/>
        </w:rPr>
        <w:t>9</w:t>
      </w:r>
      <w:r>
        <w:rPr>
          <w:rFonts w:hint="eastAsia" w:ascii="宋体" w:hAnsi="宋体" w:eastAsia="宋体" w:cs="宋体"/>
          <w:color w:val="auto"/>
          <w:sz w:val="21"/>
          <w:szCs w:val="21"/>
          <w:highlight w:val="none"/>
          <w:u w:val="none"/>
        </w:rPr>
        <w:t>时</w:t>
      </w:r>
      <w:r>
        <w:rPr>
          <w:rFonts w:hint="eastAsia" w:ascii="宋体" w:hAnsi="宋体" w:eastAsia="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分（北京时间）</w:t>
      </w:r>
      <w:r>
        <w:rPr>
          <w:rFonts w:hint="eastAsia" w:ascii="宋体" w:hAnsi="宋体" w:cs="宋体"/>
          <w:color w:val="auto"/>
          <w:sz w:val="21"/>
          <w:szCs w:val="21"/>
          <w:highlight w:val="none"/>
          <w:lang w:eastAsia="zh-CN"/>
        </w:rPr>
        <w:t>。</w:t>
      </w:r>
    </w:p>
    <w:p w14:paraId="62C5998B">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、开标地点：</w:t>
      </w:r>
      <w:r>
        <w:rPr>
          <w:rFonts w:hint="eastAsia" w:ascii="宋体" w:hAnsi="宋体" w:eastAsia="宋体" w:cs="宋体"/>
          <w:color w:val="auto"/>
          <w:sz w:val="21"/>
          <w:szCs w:val="21"/>
          <w:highlight w:val="none"/>
          <w:u w:val="single"/>
        </w:rPr>
        <w:t>郴州市市民服务中心4楼市公共资源交易中心第</w:t>
      </w:r>
      <w:r>
        <w:rPr>
          <w:rFonts w:hint="eastAsia" w:ascii="宋体" w:hAnsi="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开标室</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p>
    <w:p w14:paraId="6124A001">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4、电子标项目实行网上投标及解密，具体操作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投标人在“郴州市公共资源交易中心”登录“政府采购交易系统”（</w:t>
      </w:r>
      <w:r>
        <w:rPr>
          <w:rFonts w:hint="eastAsia" w:ascii="宋体" w:hAnsi="宋体" w:eastAsia="宋体" w:cs="宋体"/>
          <w:color w:val="auto"/>
          <w:sz w:val="21"/>
          <w:szCs w:val="21"/>
          <w:highlight w:val="none"/>
          <w:lang w:eastAsia="zh-CN"/>
        </w:rPr>
        <w:t>http://www.czggzyzx.cn/TPBidder</w:t>
      </w:r>
      <w:r>
        <w:rPr>
          <w:rFonts w:hint="eastAsia" w:ascii="宋体" w:hAnsi="宋体" w:eastAsia="宋体" w:cs="宋体"/>
          <w:color w:val="auto"/>
          <w:sz w:val="21"/>
          <w:szCs w:val="21"/>
          <w:highlight w:val="none"/>
        </w:rPr>
        <w:t>），上传电子投标文件，登录“不见面开标大厅”（</w:t>
      </w:r>
      <w:r>
        <w:rPr>
          <w:rFonts w:hint="eastAsia" w:ascii="宋体" w:hAnsi="宋体" w:eastAsia="宋体" w:cs="宋体"/>
          <w:color w:val="auto"/>
          <w:sz w:val="21"/>
          <w:szCs w:val="21"/>
          <w:highlight w:val="none"/>
          <w:lang w:eastAsia="zh-CN"/>
        </w:rPr>
        <w:t>http://www.czggzyzx.cn/BidOpening</w:t>
      </w:r>
      <w:r>
        <w:rPr>
          <w:rFonts w:hint="eastAsia" w:ascii="宋体" w:hAnsi="宋体" w:eastAsia="宋体" w:cs="宋体"/>
          <w:color w:val="auto"/>
          <w:sz w:val="21"/>
          <w:szCs w:val="21"/>
          <w:highlight w:val="none"/>
        </w:rPr>
        <w:t>）在规定时间自行远程解密参加网上开标活动。建议投标人上传电子投标文件容量为200MB以内。</w:t>
      </w:r>
    </w:p>
    <w:p w14:paraId="25E16EE6">
      <w:pPr>
        <w:keepNext w:val="0"/>
        <w:keepLines w:val="0"/>
        <w:pageBreakBefore w:val="0"/>
        <w:kinsoku/>
        <w:wordWrap w:val="0"/>
        <w:overflowPunct/>
        <w:topLine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、电子投标文件解密时限：30分钟</w:t>
      </w:r>
      <w:r>
        <w:rPr>
          <w:rFonts w:hint="eastAsia" w:ascii="宋体" w:hAnsi="宋体" w:eastAsia="宋体" w:cs="宋体"/>
          <w:color w:val="auto"/>
          <w:sz w:val="21"/>
          <w:szCs w:val="21"/>
          <w:highlight w:val="none"/>
          <w:lang w:eastAsia="zh-CN"/>
        </w:rPr>
        <w:t>。</w:t>
      </w:r>
    </w:p>
    <w:p w14:paraId="5EAA8444">
      <w:pPr>
        <w:pStyle w:val="3"/>
        <w:bidi w:val="0"/>
        <w:rPr>
          <w:rFonts w:hint="eastAsia" w:ascii="宋体" w:hAnsi="宋体" w:eastAsia="宋体" w:cs="宋体"/>
          <w:color w:val="auto"/>
          <w:sz w:val="21"/>
          <w:szCs w:val="21"/>
          <w:highlight w:val="none"/>
        </w:rPr>
      </w:pPr>
      <w:bookmarkStart w:id="21" w:name="_Toc17186"/>
      <w:bookmarkStart w:id="22" w:name="_Toc32071"/>
      <w:bookmarkStart w:id="23" w:name="_Toc1255"/>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、招标文件公告期限：</w:t>
      </w:r>
      <w:bookmarkEnd w:id="21"/>
      <w:bookmarkEnd w:id="22"/>
      <w:bookmarkEnd w:id="23"/>
    </w:p>
    <w:p w14:paraId="329910AD">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1、招标文件公告期限：</w:t>
      </w:r>
      <w:r>
        <w:rPr>
          <w:rFonts w:hint="eastAsia" w:ascii="宋体" w:hAnsi="宋体" w:cs="宋体"/>
          <w:color w:val="auto"/>
          <w:sz w:val="21"/>
          <w:szCs w:val="21"/>
          <w:highlight w:val="none"/>
          <w:u w:val="single"/>
          <w:lang w:val="en-US" w:eastAsia="zh-CN"/>
        </w:rPr>
        <w:t>2025</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17</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u w:val="single"/>
          <w:lang w:val="en-US" w:eastAsia="zh-CN"/>
        </w:rPr>
        <w:t>9</w:t>
      </w:r>
      <w:r>
        <w:rPr>
          <w:rFonts w:hint="eastAsia" w:ascii="宋体" w:hAnsi="宋体" w:eastAsia="宋体" w:cs="宋体"/>
          <w:color w:val="auto"/>
          <w:sz w:val="21"/>
          <w:szCs w:val="21"/>
          <w:highlight w:val="none"/>
          <w:u w:val="single"/>
        </w:rPr>
        <w:t>时</w:t>
      </w:r>
      <w:r>
        <w:rPr>
          <w:rFonts w:hint="eastAsia" w:ascii="宋体" w:hAnsi="宋体" w:eastAsia="宋体" w:cs="宋体"/>
          <w:color w:val="auto"/>
          <w:sz w:val="21"/>
          <w:szCs w:val="21"/>
          <w:highlight w:val="none"/>
          <w:u w:val="single"/>
          <w:lang w:val="en-US" w:eastAsia="zh-CN"/>
        </w:rPr>
        <w:t>00</w:t>
      </w:r>
      <w:r>
        <w:rPr>
          <w:rFonts w:hint="eastAsia" w:ascii="宋体" w:hAnsi="宋体" w:eastAsia="宋体" w:cs="宋体"/>
          <w:color w:val="auto"/>
          <w:sz w:val="21"/>
          <w:szCs w:val="21"/>
          <w:highlight w:val="none"/>
          <w:u w:val="single"/>
        </w:rPr>
        <w:t>分至</w:t>
      </w:r>
      <w:r>
        <w:rPr>
          <w:rFonts w:hint="eastAsia" w:ascii="宋体" w:hAnsi="宋体" w:cs="宋体"/>
          <w:color w:val="auto"/>
          <w:sz w:val="21"/>
          <w:szCs w:val="21"/>
          <w:highlight w:val="none"/>
          <w:u w:val="single"/>
          <w:lang w:val="en-US" w:eastAsia="zh-CN"/>
        </w:rPr>
        <w:t>2025</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21</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u w:val="single"/>
        </w:rPr>
        <w:t>时</w:t>
      </w:r>
      <w:r>
        <w:rPr>
          <w:rFonts w:hint="eastAsia" w:ascii="宋体" w:hAnsi="宋体" w:cs="宋体"/>
          <w:color w:val="auto"/>
          <w:sz w:val="21"/>
          <w:szCs w:val="21"/>
          <w:highlight w:val="none"/>
          <w:u w:val="single"/>
          <w:lang w:val="en-US" w:eastAsia="zh-CN"/>
        </w:rPr>
        <w:t>0</w:t>
      </w:r>
      <w:r>
        <w:rPr>
          <w:rFonts w:hint="eastAsia" w:ascii="宋体" w:hAnsi="宋体" w:eastAsia="宋体" w:cs="宋体"/>
          <w:color w:val="auto"/>
          <w:sz w:val="21"/>
          <w:szCs w:val="21"/>
          <w:highlight w:val="none"/>
          <w:u w:val="single"/>
          <w:lang w:val="en-US" w:eastAsia="zh-CN"/>
        </w:rPr>
        <w:t>0</w:t>
      </w:r>
      <w:r>
        <w:rPr>
          <w:rFonts w:hint="eastAsia" w:ascii="宋体" w:hAnsi="宋体" w:eastAsia="宋体" w:cs="宋体"/>
          <w:color w:val="auto"/>
          <w:sz w:val="21"/>
          <w:szCs w:val="21"/>
          <w:highlight w:val="none"/>
          <w:u w:val="single"/>
        </w:rPr>
        <w:t>分</w:t>
      </w:r>
      <w:r>
        <w:rPr>
          <w:rFonts w:hint="eastAsia" w:ascii="宋体" w:hAnsi="宋体" w:eastAsia="宋体" w:cs="宋体"/>
          <w:color w:val="auto"/>
          <w:sz w:val="21"/>
          <w:szCs w:val="21"/>
          <w:highlight w:val="none"/>
        </w:rPr>
        <w:t>止（5个工作日）。</w:t>
      </w:r>
    </w:p>
    <w:p w14:paraId="6865AD65">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bookmarkStart w:id="24" w:name="_Toc1323"/>
      <w:bookmarkStart w:id="25" w:name="_Toc17175"/>
      <w:r>
        <w:rPr>
          <w:rFonts w:hint="eastAsia" w:ascii="宋体" w:hAnsi="宋体" w:eastAsia="宋体" w:cs="宋体"/>
          <w:color w:val="auto"/>
          <w:sz w:val="21"/>
          <w:szCs w:val="21"/>
          <w:highlight w:val="none"/>
        </w:rPr>
        <w:t>2、本招标公告在中国湖南政府采购网（www.ccgp-hunan.gov.cn）、郴州市公共资源交易中心(http://czggzy.czs.gov.cn/)发布。在其他媒体发布的招标公告，公告内容以本招标公告指定媒体发布的公告为准；公告期限自本招标公告指定媒体最先发布公告之日起算。</w:t>
      </w:r>
    </w:p>
    <w:p w14:paraId="58373BB0">
      <w:pPr>
        <w:pStyle w:val="3"/>
        <w:bidi w:val="0"/>
        <w:rPr>
          <w:rFonts w:hint="eastAsia" w:ascii="宋体" w:hAnsi="宋体" w:eastAsia="宋体" w:cs="宋体"/>
          <w:color w:val="auto"/>
          <w:sz w:val="21"/>
          <w:szCs w:val="21"/>
          <w:highlight w:val="none"/>
        </w:rPr>
      </w:pPr>
      <w:bookmarkStart w:id="26" w:name="_Toc24950"/>
      <w:r>
        <w:rPr>
          <w:rFonts w:hint="eastAsia" w:ascii="宋体" w:hAnsi="宋体" w:eastAsia="宋体" w:cs="宋体"/>
          <w:b/>
          <w:color w:val="auto"/>
          <w:sz w:val="21"/>
          <w:szCs w:val="21"/>
          <w:highlight w:val="none"/>
          <w:lang w:val="en-US" w:eastAsia="zh-CN"/>
        </w:rPr>
        <w:t>八</w:t>
      </w:r>
      <w:r>
        <w:rPr>
          <w:rFonts w:hint="eastAsia" w:ascii="宋体" w:hAnsi="宋体" w:eastAsia="宋体" w:cs="宋体"/>
          <w:b/>
          <w:color w:val="auto"/>
          <w:sz w:val="21"/>
          <w:szCs w:val="21"/>
          <w:highlight w:val="none"/>
        </w:rPr>
        <w:t>、疑问及质疑</w:t>
      </w:r>
      <w:r>
        <w:rPr>
          <w:rFonts w:hint="eastAsia" w:ascii="宋体" w:hAnsi="宋体" w:eastAsia="宋体" w:cs="宋体"/>
          <w:color w:val="auto"/>
          <w:sz w:val="21"/>
          <w:szCs w:val="21"/>
          <w:highlight w:val="none"/>
        </w:rPr>
        <w:t>：</w:t>
      </w:r>
      <w:bookmarkEnd w:id="24"/>
      <w:bookmarkEnd w:id="25"/>
      <w:bookmarkEnd w:id="26"/>
    </w:p>
    <w:p w14:paraId="73B992C2">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1、投标人对政府采购活动事项如有疑问的，可以向采购人、采购代理机构提出询问。采购人、采购代理机构将在3个工作日内作出答复。</w:t>
      </w:r>
    </w:p>
    <w:p w14:paraId="744F7A73">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2、潜在投标人认为招标文件或招标公告使自己的合法权益受到损害的，可以在获取招标文件之日或招标公告期限届满之日</w:t>
      </w:r>
      <w:r>
        <w:rPr>
          <w:rFonts w:hint="eastAsia" w:ascii="宋体" w:hAnsi="宋体" w:eastAsia="宋体" w:cs="宋体"/>
          <w:b/>
          <w:color w:val="auto"/>
          <w:sz w:val="21"/>
          <w:szCs w:val="21"/>
          <w:highlight w:val="none"/>
        </w:rPr>
        <w:t>（公告期限届满后获取</w:t>
      </w:r>
      <w:r>
        <w:rPr>
          <w:rFonts w:hint="eastAsia" w:ascii="宋体" w:hAnsi="宋体" w:eastAsia="宋体" w:cs="宋体"/>
          <w:b/>
          <w:color w:val="auto"/>
          <w:sz w:val="21"/>
          <w:szCs w:val="21"/>
          <w:highlight w:val="none"/>
          <w:lang w:eastAsia="zh-CN"/>
        </w:rPr>
        <w:t>招标文件</w:t>
      </w:r>
      <w:r>
        <w:rPr>
          <w:rFonts w:hint="eastAsia" w:ascii="宋体" w:hAnsi="宋体" w:eastAsia="宋体" w:cs="宋体"/>
          <w:b/>
          <w:color w:val="auto"/>
          <w:sz w:val="21"/>
          <w:szCs w:val="21"/>
          <w:highlight w:val="none"/>
        </w:rPr>
        <w:t>的，以公告期限届满之日为准）</w:t>
      </w:r>
      <w:r>
        <w:rPr>
          <w:rFonts w:hint="eastAsia" w:ascii="宋体" w:hAnsi="宋体" w:eastAsia="宋体" w:cs="宋体"/>
          <w:color w:val="auto"/>
          <w:sz w:val="21"/>
          <w:szCs w:val="21"/>
          <w:highlight w:val="none"/>
        </w:rPr>
        <w:t>起7个工作日内，按《湖南省财政厅关于印发＜政府采购质疑答复和投诉处理操作规程＞的通知》(湘财购〔2019〕20号)规定，</w:t>
      </w:r>
      <w:r>
        <w:rPr>
          <w:rFonts w:hint="eastAsia" w:ascii="宋体" w:hAnsi="宋体" w:eastAsia="宋体" w:cs="宋体"/>
          <w:color w:val="auto"/>
          <w:sz w:val="21"/>
          <w:szCs w:val="21"/>
          <w:highlight w:val="none"/>
          <w:lang w:eastAsia="zh-CN"/>
        </w:rPr>
        <w:t>在法定质疑期内</w:t>
      </w:r>
      <w:r>
        <w:rPr>
          <w:rFonts w:hint="eastAsia" w:ascii="宋体" w:hAnsi="宋体" w:eastAsia="宋体" w:cs="宋体"/>
          <w:color w:val="auto"/>
          <w:sz w:val="21"/>
          <w:szCs w:val="21"/>
          <w:highlight w:val="none"/>
        </w:rPr>
        <w:t>以纸质书面形式</w:t>
      </w:r>
      <w:r>
        <w:rPr>
          <w:rFonts w:hint="eastAsia" w:ascii="宋体" w:hAnsi="宋体" w:eastAsia="宋体" w:cs="宋体"/>
          <w:color w:val="auto"/>
          <w:sz w:val="21"/>
          <w:szCs w:val="21"/>
          <w:highlight w:val="none"/>
          <w:lang w:eastAsia="zh-CN"/>
        </w:rPr>
        <w:t>一次性</w:t>
      </w:r>
      <w:r>
        <w:rPr>
          <w:rFonts w:hint="eastAsia" w:ascii="宋体" w:hAnsi="宋体" w:eastAsia="宋体" w:cs="宋体"/>
          <w:color w:val="auto"/>
          <w:sz w:val="21"/>
          <w:szCs w:val="21"/>
          <w:highlight w:val="none"/>
        </w:rPr>
        <w:t>向采购人、采购代理机构提出</w:t>
      </w:r>
      <w:r>
        <w:rPr>
          <w:rFonts w:hint="eastAsia" w:ascii="宋体" w:hAnsi="宋体" w:eastAsia="宋体" w:cs="宋体"/>
          <w:color w:val="auto"/>
          <w:sz w:val="21"/>
          <w:szCs w:val="21"/>
          <w:highlight w:val="none"/>
          <w:lang w:eastAsia="zh-CN"/>
        </w:rPr>
        <w:t>针对同一采购程序环节的</w:t>
      </w:r>
      <w:r>
        <w:rPr>
          <w:rFonts w:hint="eastAsia" w:ascii="宋体" w:hAnsi="宋体" w:eastAsia="宋体" w:cs="宋体"/>
          <w:color w:val="auto"/>
          <w:sz w:val="21"/>
          <w:szCs w:val="21"/>
          <w:highlight w:val="none"/>
        </w:rPr>
        <w:t>质疑。</w:t>
      </w:r>
    </w:p>
    <w:p w14:paraId="43824DAE">
      <w:pPr>
        <w:pStyle w:val="3"/>
        <w:bidi w:val="0"/>
        <w:rPr>
          <w:rFonts w:hint="eastAsia" w:ascii="宋体" w:hAnsi="宋体" w:eastAsia="宋体" w:cs="宋体"/>
          <w:color w:val="auto"/>
          <w:sz w:val="21"/>
          <w:szCs w:val="21"/>
          <w:highlight w:val="none"/>
        </w:rPr>
      </w:pPr>
      <w:bookmarkStart w:id="27" w:name="_Toc26172"/>
      <w:bookmarkStart w:id="28" w:name="_Toc13458"/>
      <w:bookmarkStart w:id="29" w:name="_Toc14464"/>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、对本次招标提出询问，请按以下方式联系</w:t>
      </w:r>
      <w:bookmarkEnd w:id="27"/>
      <w:bookmarkEnd w:id="28"/>
      <w:bookmarkEnd w:id="29"/>
    </w:p>
    <w:p w14:paraId="134D32ED">
      <w:pPr>
        <w:keepNext w:val="0"/>
        <w:keepLines w:val="0"/>
        <w:pageBreakBefore w:val="0"/>
        <w:kinsoku/>
        <w:overflowPunct/>
        <w:bidi w:val="0"/>
        <w:adjustRightInd w:val="0"/>
        <w:snapToGrid w:val="0"/>
        <w:spacing w:line="500" w:lineRule="exact"/>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采购人信息</w:t>
      </w:r>
    </w:p>
    <w:p w14:paraId="05D7B894">
      <w:pPr>
        <w:keepNext w:val="0"/>
        <w:keepLines w:val="0"/>
        <w:pageBreakBefore w:val="0"/>
        <w:kinsoku/>
        <w:overflowPunct/>
        <w:bidi w:val="0"/>
        <w:adjustRightInd w:val="0"/>
        <w:snapToGrid w:val="0"/>
        <w:spacing w:line="500" w:lineRule="exact"/>
        <w:ind w:firstLine="411" w:firstLineChars="196"/>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名  称：</w:t>
      </w:r>
      <w:r>
        <w:rPr>
          <w:rFonts w:hint="eastAsia" w:ascii="宋体" w:hAnsi="宋体" w:cs="宋体"/>
          <w:color w:val="auto"/>
          <w:sz w:val="21"/>
          <w:szCs w:val="21"/>
          <w:highlight w:val="none"/>
          <w:u w:val="none"/>
          <w:lang w:eastAsia="zh-CN"/>
        </w:rPr>
        <w:t>郴州市林业局</w:t>
      </w:r>
    </w:p>
    <w:p w14:paraId="5B718E4E">
      <w:pPr>
        <w:keepNext w:val="0"/>
        <w:keepLines w:val="0"/>
        <w:pageBreakBefore w:val="0"/>
        <w:kinsoku/>
        <w:overflowPunct/>
        <w:bidi w:val="0"/>
        <w:adjustRightInd w:val="0"/>
        <w:snapToGrid w:val="0"/>
        <w:spacing w:line="500" w:lineRule="exact"/>
        <w:ind w:firstLine="411" w:firstLineChars="196"/>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（2）地  址：</w:t>
      </w:r>
      <w:r>
        <w:rPr>
          <w:rFonts w:hint="eastAsia" w:ascii="宋体" w:hAnsi="宋体" w:cs="宋体"/>
          <w:color w:val="auto"/>
          <w:sz w:val="21"/>
          <w:szCs w:val="21"/>
          <w:highlight w:val="none"/>
          <w:lang w:eastAsia="zh-CN"/>
        </w:rPr>
        <w:t>湖南省郴州市苏仙区青年大道312号</w:t>
      </w:r>
    </w:p>
    <w:p w14:paraId="29A5EFBE">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bCs/>
          <w:color w:val="auto"/>
          <w:sz w:val="21"/>
          <w:szCs w:val="21"/>
          <w:highlight w:val="none"/>
        </w:rPr>
        <w:t>联系人：</w:t>
      </w:r>
      <w:r>
        <w:rPr>
          <w:rFonts w:hint="eastAsia" w:ascii="宋体" w:hAnsi="宋体" w:cs="宋体"/>
          <w:bCs/>
          <w:color w:val="auto"/>
          <w:sz w:val="21"/>
          <w:szCs w:val="21"/>
          <w:highlight w:val="none"/>
          <w:lang w:eastAsia="zh-CN"/>
        </w:rPr>
        <w:t>徐先生</w:t>
      </w:r>
    </w:p>
    <w:p w14:paraId="4FC37B4B">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w:t>
      </w:r>
      <w:r>
        <w:rPr>
          <w:rFonts w:hint="eastAsia" w:ascii="宋体" w:hAnsi="宋体" w:eastAsia="宋体" w:cs="宋体"/>
          <w:bCs/>
          <w:color w:val="auto"/>
          <w:sz w:val="21"/>
          <w:szCs w:val="21"/>
          <w:highlight w:val="none"/>
        </w:rPr>
        <w:t>电  话：</w:t>
      </w:r>
      <w:r>
        <w:rPr>
          <w:rFonts w:hint="eastAsia" w:ascii="宋体" w:hAnsi="宋体" w:cs="宋体"/>
          <w:bCs/>
          <w:color w:val="auto"/>
          <w:sz w:val="21"/>
          <w:szCs w:val="21"/>
          <w:highlight w:val="none"/>
          <w:lang w:eastAsia="zh-CN"/>
        </w:rPr>
        <w:t>0735-2295320</w:t>
      </w:r>
    </w:p>
    <w:p w14:paraId="42CAC890">
      <w:pPr>
        <w:keepNext w:val="0"/>
        <w:keepLines w:val="0"/>
        <w:pageBreakBefore w:val="0"/>
        <w:kinsoku/>
        <w:overflowPunct/>
        <w:bidi w:val="0"/>
        <w:adjustRightInd w:val="0"/>
        <w:snapToGrid w:val="0"/>
        <w:spacing w:line="500" w:lineRule="exact"/>
        <w:ind w:firstLine="411" w:firstLineChars="196"/>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采购代理机构信息</w:t>
      </w:r>
    </w:p>
    <w:p w14:paraId="11F5D9B5">
      <w:pPr>
        <w:keepNext w:val="0"/>
        <w:keepLines w:val="0"/>
        <w:pageBreakBefore w:val="0"/>
        <w:kinsoku/>
        <w:overflowPunct/>
        <w:bidi w:val="0"/>
        <w:adjustRightInd w:val="0"/>
        <w:snapToGrid w:val="0"/>
        <w:spacing w:line="500" w:lineRule="exact"/>
        <w:ind w:firstLine="411" w:firstLineChars="196"/>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名  称：</w:t>
      </w:r>
      <w:r>
        <w:rPr>
          <w:rFonts w:hint="eastAsia" w:ascii="宋体" w:hAnsi="宋体" w:cs="宋体"/>
          <w:bCs/>
          <w:color w:val="auto"/>
          <w:sz w:val="21"/>
          <w:szCs w:val="21"/>
          <w:highlight w:val="none"/>
          <w:lang w:eastAsia="zh-CN"/>
        </w:rPr>
        <w:t>中科高盛咨询集团有限公司</w:t>
      </w:r>
    </w:p>
    <w:p w14:paraId="6A596309">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（2）地  址：</w:t>
      </w:r>
      <w:r>
        <w:rPr>
          <w:rFonts w:hint="eastAsia" w:ascii="宋体" w:hAnsi="宋体" w:cs="宋体"/>
          <w:color w:val="auto"/>
          <w:sz w:val="21"/>
          <w:szCs w:val="21"/>
          <w:highlight w:val="none"/>
          <w:lang w:eastAsia="zh-CN"/>
        </w:rPr>
        <w:t>郴州市苏仙区青年大道芳头小区2栋2单元401-1号房</w:t>
      </w:r>
    </w:p>
    <w:p w14:paraId="4569D349">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（3）联系人：</w:t>
      </w:r>
      <w:r>
        <w:rPr>
          <w:rFonts w:hint="eastAsia" w:ascii="宋体" w:hAnsi="宋体" w:cs="宋体"/>
          <w:color w:val="auto"/>
          <w:sz w:val="21"/>
          <w:szCs w:val="21"/>
          <w:highlight w:val="none"/>
          <w:lang w:eastAsia="zh-CN"/>
        </w:rPr>
        <w:t>杨佩、黄波、黄丹</w:t>
      </w:r>
    </w:p>
    <w:p w14:paraId="5E59903B">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（4）电  话：</w:t>
      </w:r>
      <w:r>
        <w:rPr>
          <w:rFonts w:hint="eastAsia" w:ascii="宋体" w:hAnsi="宋体" w:cs="宋体"/>
          <w:color w:val="auto"/>
          <w:sz w:val="21"/>
          <w:szCs w:val="21"/>
          <w:highlight w:val="none"/>
          <w:lang w:val="en-US" w:eastAsia="zh-CN"/>
        </w:rPr>
        <w:t>0735-2335561、17267732568</w:t>
      </w:r>
    </w:p>
    <w:p w14:paraId="7A1A0195">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3、电子交易平台服务机构信息</w:t>
      </w:r>
    </w:p>
    <w:p w14:paraId="2C7E8311">
      <w:pPr>
        <w:keepNext w:val="0"/>
        <w:keepLines w:val="0"/>
        <w:pageBreakBefore w:val="0"/>
        <w:kinsoku/>
        <w:overflowPunct/>
        <w:bidi w:val="0"/>
        <w:adjustRightInd w:val="0"/>
        <w:snapToGrid w:val="0"/>
        <w:spacing w:line="500" w:lineRule="exact"/>
        <w:ind w:firstLine="411" w:firstLineChars="196"/>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名  称：</w:t>
      </w:r>
      <w:r>
        <w:rPr>
          <w:rFonts w:hint="eastAsia" w:ascii="宋体" w:hAnsi="宋体" w:eastAsia="宋体" w:cs="宋体"/>
          <w:bCs/>
          <w:color w:val="auto"/>
          <w:sz w:val="21"/>
          <w:szCs w:val="21"/>
          <w:highlight w:val="none"/>
          <w:lang w:val="en-US" w:eastAsia="zh-CN"/>
        </w:rPr>
        <w:t>郴州市公共资源交易中心</w:t>
      </w:r>
    </w:p>
    <w:p w14:paraId="2336F7F5">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  址：</w:t>
      </w:r>
      <w:r>
        <w:rPr>
          <w:rFonts w:hint="eastAsia" w:ascii="宋体" w:hAnsi="宋体" w:eastAsia="宋体" w:cs="宋体"/>
          <w:color w:val="auto"/>
          <w:sz w:val="21"/>
          <w:szCs w:val="21"/>
          <w:highlight w:val="none"/>
          <w:u w:val="none"/>
        </w:rPr>
        <w:t>郴州市市民服务中心4楼市公共资源交易中心</w:t>
      </w:r>
    </w:p>
    <w:p w14:paraId="01A0F42F">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（3）联系人：</w:t>
      </w:r>
      <w:r>
        <w:rPr>
          <w:rFonts w:hint="eastAsia" w:ascii="宋体" w:hAnsi="宋体" w:eastAsia="宋体" w:cs="宋体"/>
          <w:color w:val="auto"/>
          <w:sz w:val="21"/>
          <w:szCs w:val="21"/>
          <w:highlight w:val="none"/>
          <w:lang w:val="en-US" w:eastAsia="zh-CN"/>
        </w:rPr>
        <w:t>政府采购科</w:t>
      </w:r>
    </w:p>
    <w:p w14:paraId="3270E8F3">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  话：</w:t>
      </w:r>
      <w:r>
        <w:rPr>
          <w:rFonts w:hint="eastAsia" w:ascii="宋体" w:hAnsi="宋体" w:eastAsia="宋体" w:cs="宋体"/>
          <w:color w:val="auto"/>
          <w:sz w:val="21"/>
          <w:szCs w:val="21"/>
          <w:highlight w:val="none"/>
          <w:lang w:val="en-US" w:eastAsia="zh-CN"/>
        </w:rPr>
        <w:t>0735-2299020</w:t>
      </w:r>
    </w:p>
    <w:p w14:paraId="7542DBC6">
      <w:pPr>
        <w:pStyle w:val="3"/>
        <w:bidi w:val="0"/>
        <w:rPr>
          <w:rFonts w:hint="eastAsia" w:ascii="宋体" w:hAnsi="宋体" w:eastAsia="宋体" w:cs="宋体"/>
          <w:color w:val="auto"/>
          <w:sz w:val="21"/>
          <w:szCs w:val="21"/>
          <w:highlight w:val="none"/>
        </w:rPr>
      </w:pPr>
      <w:bookmarkStart w:id="30" w:name="_Toc27597"/>
      <w:bookmarkStart w:id="31" w:name="_Toc27917"/>
      <w:bookmarkStart w:id="32" w:name="_Toc13920"/>
      <w:r>
        <w:rPr>
          <w:rFonts w:hint="eastAsia" w:ascii="宋体" w:hAnsi="宋体" w:eastAsia="宋体" w:cs="宋体"/>
          <w:color w:val="auto"/>
          <w:sz w:val="21"/>
          <w:szCs w:val="21"/>
          <w:highlight w:val="none"/>
          <w:lang w:val="en-US" w:eastAsia="zh-CN"/>
        </w:rPr>
        <w:t>十</w:t>
      </w:r>
      <w:r>
        <w:rPr>
          <w:rFonts w:hint="eastAsia" w:ascii="宋体" w:hAnsi="宋体" w:eastAsia="宋体" w:cs="宋体"/>
          <w:color w:val="auto"/>
          <w:sz w:val="21"/>
          <w:szCs w:val="21"/>
          <w:highlight w:val="none"/>
        </w:rPr>
        <w:t>、其它补充事宜</w:t>
      </w:r>
      <w:bookmarkEnd w:id="30"/>
      <w:bookmarkEnd w:id="31"/>
      <w:bookmarkEnd w:id="32"/>
    </w:p>
    <w:p w14:paraId="25EEE13B">
      <w:pPr>
        <w:keepNext w:val="0"/>
        <w:keepLines w:val="0"/>
        <w:pageBreakBefore w:val="0"/>
        <w:kinsoku/>
        <w:overflowPunct/>
        <w:bidi w:val="0"/>
        <w:adjustRightInd w:val="0"/>
        <w:snapToGrid w:val="0"/>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1、本公告选项：</w:t>
      </w:r>
      <w:r>
        <w:rPr>
          <w:rFonts w:hint="eastAsia" w:ascii="宋体" w:hAnsi="宋体" w:eastAsia="宋体" w:cs="宋体"/>
          <w:color w:val="auto"/>
          <w:sz w:val="21"/>
          <w:szCs w:val="21"/>
          <w:highlight w:val="none"/>
          <w:lang w:val="en-US" w:eastAsia="zh-CN"/>
        </w:rPr>
        <w:sym w:font="Wingdings 2" w:char="0052"/>
      </w:r>
      <w:r>
        <w:rPr>
          <w:rFonts w:hint="eastAsia" w:ascii="宋体" w:hAnsi="宋体" w:eastAsia="宋体" w:cs="宋体"/>
          <w:color w:val="auto"/>
          <w:sz w:val="21"/>
          <w:szCs w:val="21"/>
          <w:highlight w:val="none"/>
          <w:lang w:val="en-US" w:eastAsia="zh-CN"/>
        </w:rPr>
        <w:t xml:space="preserve">表示选择  </w:t>
      </w:r>
      <w:r>
        <w:rPr>
          <w:rFonts w:hint="eastAsia" w:ascii="宋体" w:hAnsi="宋体" w:eastAsia="宋体" w:cs="宋体"/>
          <w:color w:val="auto"/>
          <w:sz w:val="21"/>
          <w:szCs w:val="21"/>
          <w:highlight w:val="none"/>
          <w:lang w:val="en-US" w:eastAsia="zh-CN"/>
        </w:rPr>
        <w:sym w:font="Wingdings 2" w:char="00A3"/>
      </w:r>
      <w:r>
        <w:rPr>
          <w:rFonts w:hint="eastAsia" w:ascii="宋体" w:hAnsi="宋体" w:eastAsia="宋体" w:cs="宋体"/>
          <w:color w:val="auto"/>
          <w:sz w:val="21"/>
          <w:szCs w:val="21"/>
          <w:highlight w:val="none"/>
          <w:lang w:val="en-US" w:eastAsia="zh-CN"/>
        </w:rPr>
        <w:t>表示不选择。</w:t>
      </w:r>
    </w:p>
    <w:p w14:paraId="5BABEB2E">
      <w:pPr>
        <w:keepNext w:val="0"/>
        <w:keepLines w:val="0"/>
        <w:pageBreakBefore w:val="0"/>
        <w:kinsoku/>
        <w:overflowPunct/>
        <w:bidi w:val="0"/>
        <w:adjustRightInd w:val="0"/>
        <w:snapToGrid w:val="0"/>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2、投标人参与政府采购活动，无需向采购人、采购代理机构、交易平台缴纳任何费用。</w:t>
      </w:r>
    </w:p>
    <w:p w14:paraId="31B5E8BF">
      <w:pPr>
        <w:keepNext w:val="0"/>
        <w:keepLines w:val="0"/>
        <w:pageBreakBefore w:val="0"/>
        <w:kinsoku/>
        <w:overflowPunct/>
        <w:bidi w:val="0"/>
        <w:adjustRightInd w:val="0"/>
        <w:snapToGrid w:val="0"/>
        <w:spacing w:line="50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采购代理服务费</w:t>
      </w:r>
      <w:r>
        <w:rPr>
          <w:rFonts w:hint="eastAsia" w:ascii="宋体" w:hAnsi="宋体" w:eastAsia="宋体" w:cs="宋体"/>
          <w:color w:val="auto"/>
          <w:sz w:val="21"/>
          <w:szCs w:val="21"/>
          <w:highlight w:val="none"/>
        </w:rPr>
        <w:t>和专家评审费</w:t>
      </w:r>
      <w:r>
        <w:rPr>
          <w:rFonts w:hint="eastAsia" w:ascii="宋体" w:hAnsi="宋体" w:cs="宋体"/>
          <w:color w:val="auto"/>
          <w:sz w:val="21"/>
          <w:szCs w:val="21"/>
          <w:highlight w:val="none"/>
          <w:lang w:eastAsia="zh-CN"/>
        </w:rPr>
        <w:t>均</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u w:val="single"/>
        </w:rPr>
        <w:t>采购人</w:t>
      </w:r>
      <w:r>
        <w:rPr>
          <w:rFonts w:hint="eastAsia" w:ascii="宋体" w:hAnsi="宋体" w:eastAsia="宋体" w:cs="宋体"/>
          <w:color w:val="auto"/>
          <w:sz w:val="21"/>
          <w:szCs w:val="21"/>
          <w:highlight w:val="none"/>
        </w:rPr>
        <w:t>支付。</w:t>
      </w:r>
    </w:p>
    <w:p w14:paraId="4EF957DA">
      <w:pPr>
        <w:keepNext w:val="0"/>
        <w:keepLines w:val="0"/>
        <w:pageBreakBefore w:val="0"/>
        <w:kinsoku/>
        <w:overflowPunct/>
        <w:bidi w:val="0"/>
        <w:adjustRightInd w:val="0"/>
        <w:snapToGrid w:val="0"/>
        <w:spacing w:line="500" w:lineRule="exact"/>
        <w:ind w:firstLine="42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、请投标人在郴州市公共资源交易中心“下载中心”中及时下载安装最新版本“投标文件制作软件（湖南公共资源版）”、“湖南CA驱动”。参与投标的投标人需使用电子标书编制软件制作投标文件。</w:t>
      </w:r>
      <w:r>
        <w:rPr>
          <w:rFonts w:hint="eastAsia" w:ascii="宋体" w:hAnsi="宋体" w:eastAsia="宋体" w:cs="宋体"/>
          <w:color w:val="auto"/>
          <w:sz w:val="21"/>
          <w:szCs w:val="21"/>
          <w:highlight w:val="none"/>
          <w:lang w:val="en-US" w:eastAsia="zh-CN"/>
        </w:rPr>
        <w:t>操作手册下载地址：</w:t>
      </w:r>
      <w:r>
        <w:rPr>
          <w:rFonts w:hint="eastAsia" w:ascii="宋体" w:hAnsi="宋体" w:eastAsia="宋体" w:cs="宋体"/>
          <w:color w:val="auto"/>
          <w:sz w:val="21"/>
          <w:szCs w:val="21"/>
          <w:highlight w:val="none"/>
          <w:u w:val="single"/>
          <w:lang w:val="en-US" w:eastAsia="zh-CN"/>
        </w:rPr>
        <w:t>http://czggzy.czs.gov.cn/18375/18376/index.htm郴州市公共资源交易中心交易系统操作手册.zip</w:t>
      </w:r>
    </w:p>
    <w:p w14:paraId="13E1ED0B">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因电子招投标需要，投标人应及时办理CA数字证书（含电子签章）。移动CA数字证书（含电子签章）办理咨询电话：4009980000、0731-82817876，介质CA数字证书（含电子签章）办理地址：郴州市公共资源交易中心</w:t>
      </w:r>
      <w:r>
        <w:rPr>
          <w:rFonts w:hint="eastAsia" w:ascii="宋体" w:hAnsi="宋体" w:eastAsia="宋体" w:cs="宋体"/>
          <w:color w:val="auto"/>
          <w:sz w:val="21"/>
          <w:szCs w:val="21"/>
          <w:highlight w:val="none"/>
          <w:lang w:eastAsia="zh-CN"/>
        </w:rPr>
        <w:t>4楼</w:t>
      </w:r>
      <w:r>
        <w:rPr>
          <w:rFonts w:hint="eastAsia" w:ascii="宋体" w:hAnsi="宋体" w:eastAsia="宋体" w:cs="宋体"/>
          <w:color w:val="auto"/>
          <w:sz w:val="21"/>
          <w:szCs w:val="21"/>
          <w:highlight w:val="none"/>
        </w:rPr>
        <w:t>大厅，咨询电话：4006682666、18175580110。</w:t>
      </w:r>
    </w:p>
    <w:p w14:paraId="3016747F">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eastAsia="zh-CN"/>
        </w:rPr>
        <w:t>于投标人</w:t>
      </w:r>
      <w:r>
        <w:rPr>
          <w:rFonts w:hint="eastAsia" w:ascii="宋体" w:hAnsi="宋体" w:eastAsia="宋体" w:cs="宋体"/>
          <w:color w:val="auto"/>
          <w:sz w:val="21"/>
          <w:szCs w:val="21"/>
          <w:highlight w:val="none"/>
        </w:rPr>
        <w:t>对网上招投标操作不熟悉或自身电脑、个人网络等原因导致不能在投标截止时间之前完成投标文件上传的，相应责任由投标人自行承担。</w:t>
      </w:r>
      <w:r>
        <w:rPr>
          <w:rFonts w:hint="eastAsia" w:ascii="宋体" w:hAnsi="宋体" w:eastAsia="宋体" w:cs="宋体"/>
          <w:color w:val="auto"/>
          <w:sz w:val="21"/>
          <w:szCs w:val="21"/>
          <w:highlight w:val="none"/>
          <w:lang w:val="en-US" w:eastAsia="zh-CN"/>
        </w:rPr>
        <w:t>建议各投标人在工作时间段上传投标文件，选择IE11浏览器进行文件解密，在操作系统过程中有疑问或困难请及时进行咨询。</w:t>
      </w:r>
    </w:p>
    <w:p w14:paraId="17B4FB93">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、如果开标时出现网络故障、技术故障等情形而影响招投标活动，</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将</w:t>
      </w:r>
      <w:r>
        <w:rPr>
          <w:rFonts w:hint="eastAsia" w:ascii="宋体" w:hAnsi="宋体" w:eastAsia="宋体" w:cs="宋体"/>
          <w:b/>
          <w:color w:val="auto"/>
          <w:sz w:val="21"/>
          <w:szCs w:val="21"/>
          <w:highlight w:val="none"/>
        </w:rPr>
        <w:t>采取项目延期、延长投标文件解密时间</w:t>
      </w:r>
      <w:r>
        <w:rPr>
          <w:rFonts w:hint="eastAsia" w:ascii="宋体" w:hAnsi="宋体" w:eastAsia="宋体" w:cs="宋体"/>
          <w:color w:val="auto"/>
          <w:sz w:val="21"/>
          <w:szCs w:val="21"/>
          <w:highlight w:val="none"/>
        </w:rPr>
        <w:t>等相应措施，以保障招投标活动的公开、公平和公正，投标人不得对此持有异议。</w:t>
      </w:r>
    </w:p>
    <w:p w14:paraId="50B50E50">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、交易平台技术支持联系方式</w:t>
      </w:r>
    </w:p>
    <w:p w14:paraId="0C8D7E45">
      <w:pPr>
        <w:keepNext w:val="0"/>
        <w:keepLines w:val="0"/>
        <w:pageBreakBefore w:val="0"/>
        <w:kinsoku/>
        <w:overflowPunct/>
        <w:bidi w:val="0"/>
        <w:adjustRightInd w:val="0"/>
        <w:snapToGrid w:val="0"/>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联系电话：4009980000</w:t>
      </w:r>
    </w:p>
    <w:p w14:paraId="2E93A4F1">
      <w:pPr>
        <w:pStyle w:val="58"/>
        <w:rPr>
          <w:rFonts w:hint="eastAsia" w:ascii="宋体" w:hAnsi="宋体" w:eastAsia="宋体" w:cs="宋体"/>
          <w:color w:val="auto"/>
          <w:sz w:val="21"/>
          <w:szCs w:val="21"/>
          <w:highlight w:val="none"/>
        </w:rPr>
      </w:pPr>
    </w:p>
    <w:p w14:paraId="6197792B">
      <w:pPr>
        <w:pStyle w:val="58"/>
        <w:rPr>
          <w:rFonts w:hint="eastAsia" w:ascii="宋体" w:hAnsi="宋体" w:eastAsia="宋体" w:cs="宋体"/>
          <w:color w:val="auto"/>
          <w:sz w:val="21"/>
          <w:szCs w:val="21"/>
          <w:highlight w:val="none"/>
        </w:rPr>
      </w:pPr>
    </w:p>
    <w:p w14:paraId="6AA65FA1">
      <w:pPr>
        <w:pStyle w:val="5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 </w:t>
      </w:r>
    </w:p>
    <w:p w14:paraId="1386E034">
      <w:pPr>
        <w:keepNext w:val="0"/>
        <w:keepLines w:val="0"/>
        <w:pageBreakBefore w:val="0"/>
        <w:kinsoku/>
        <w:overflowPunct/>
        <w:bidi w:val="0"/>
        <w:adjustRightInd w:val="0"/>
        <w:snapToGrid w:val="0"/>
        <w:spacing w:line="500" w:lineRule="exact"/>
        <w:ind w:firstLine="480" w:firstLineChars="200"/>
        <w:textAlignment w:val="auto"/>
        <w:rPr>
          <w:rFonts w:hint="eastAsia" w:ascii="宋体" w:hAnsi="宋体" w:eastAsia="宋体" w:cs="宋体"/>
          <w:color w:val="auto"/>
          <w:sz w:val="24"/>
          <w:highlight w:val="none"/>
        </w:rPr>
      </w:pPr>
    </w:p>
    <w:p w14:paraId="35C623D6">
      <w:pPr>
        <w:rPr>
          <w:rFonts w:hint="eastAsia" w:ascii="宋体" w:hAnsi="宋体" w:eastAsia="宋体" w:cs="宋体"/>
          <w:color w:val="auto"/>
          <w:highlight w:val="none"/>
        </w:rPr>
      </w:pPr>
    </w:p>
    <w:p w14:paraId="2D080D69">
      <w:pPr>
        <w:widowControl/>
        <w:shd w:val="clear" w:color="auto" w:fill="FFFFFF"/>
        <w:rPr>
          <w:rFonts w:hint="eastAsia" w:ascii="宋体" w:hAnsi="宋体" w:eastAsia="宋体" w:cs="宋体"/>
          <w:color w:val="auto"/>
          <w:sz w:val="24"/>
          <w:highlight w:val="none"/>
        </w:rPr>
      </w:pPr>
    </w:p>
    <w:p w14:paraId="35326C1C">
      <w:pPr>
        <w:rPr>
          <w:rFonts w:hint="eastAsia" w:ascii="宋体" w:hAnsi="宋体" w:eastAsia="宋体" w:cs="宋体"/>
          <w:color w:val="auto"/>
          <w:highlight w:val="none"/>
        </w:rPr>
      </w:pPr>
    </w:p>
    <w:p w14:paraId="58C1FC6E">
      <w:pPr>
        <w:adjustRightInd w:val="0"/>
        <w:snapToGrid w:val="0"/>
        <w:spacing w:line="360" w:lineRule="auto"/>
        <w:ind w:firstLine="420" w:firstLineChars="200"/>
        <w:jc w:val="left"/>
        <w:rPr>
          <w:rFonts w:hint="eastAsia" w:ascii="宋体" w:hAnsi="宋体" w:eastAsia="宋体" w:cs="宋体"/>
          <w:color w:val="auto"/>
          <w:szCs w:val="21"/>
          <w:highlight w:val="none"/>
        </w:rPr>
      </w:pPr>
    </w:p>
    <w:p w14:paraId="0C5D4378">
      <w:pPr>
        <w:pStyle w:val="23"/>
        <w:adjustRightInd w:val="0"/>
        <w:snapToGri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54AAD768">
      <w:pPr>
        <w:pStyle w:val="23"/>
        <w:adjustRightInd w:val="0"/>
        <w:snapToGrid w:val="0"/>
        <w:spacing w:line="360" w:lineRule="auto"/>
        <w:jc w:val="center"/>
        <w:outlineLvl w:val="0"/>
        <w:rPr>
          <w:rFonts w:hint="eastAsia" w:ascii="宋体" w:hAnsi="宋体" w:eastAsia="宋体" w:cs="宋体"/>
          <w:b/>
          <w:color w:val="auto"/>
          <w:spacing w:val="100"/>
          <w:sz w:val="32"/>
          <w:szCs w:val="32"/>
          <w:highlight w:val="none"/>
        </w:rPr>
      </w:pPr>
      <w:bookmarkStart w:id="33" w:name="_Toc29913894"/>
      <w:bookmarkStart w:id="34" w:name="_Toc7958"/>
      <w:bookmarkStart w:id="35" w:name="_Toc11119"/>
      <w:r>
        <w:rPr>
          <w:rFonts w:hint="eastAsia" w:ascii="宋体" w:hAnsi="宋体" w:eastAsia="宋体" w:cs="宋体"/>
          <w:b/>
          <w:color w:val="auto"/>
          <w:sz w:val="32"/>
          <w:szCs w:val="32"/>
          <w:highlight w:val="none"/>
        </w:rPr>
        <w:t>第二章 投标须知</w:t>
      </w:r>
      <w:bookmarkEnd w:id="33"/>
      <w:bookmarkEnd w:id="34"/>
      <w:bookmarkEnd w:id="35"/>
    </w:p>
    <w:p w14:paraId="2184798E">
      <w:pPr>
        <w:pStyle w:val="3"/>
        <w:bidi w:val="0"/>
        <w:jc w:val="center"/>
        <w:rPr>
          <w:rFonts w:hint="eastAsia" w:ascii="宋体" w:hAnsi="宋体" w:eastAsia="宋体" w:cs="宋体"/>
          <w:color w:val="auto"/>
          <w:highlight w:val="none"/>
        </w:rPr>
      </w:pPr>
      <w:bookmarkStart w:id="36" w:name="_Toc20671"/>
      <w:bookmarkStart w:id="37" w:name="_Toc29942"/>
      <w:bookmarkStart w:id="38" w:name="_Toc31325"/>
      <w:bookmarkStart w:id="39" w:name="_Toc29913895"/>
      <w:bookmarkStart w:id="40" w:name="_Toc30523"/>
      <w:r>
        <w:rPr>
          <w:rFonts w:hint="eastAsia" w:ascii="宋体" w:hAnsi="宋体" w:eastAsia="宋体" w:cs="宋体"/>
          <w:color w:val="auto"/>
          <w:highlight w:val="none"/>
        </w:rPr>
        <w:t>第一节 投标须知前附表</w:t>
      </w:r>
      <w:bookmarkEnd w:id="36"/>
      <w:bookmarkEnd w:id="37"/>
      <w:bookmarkEnd w:id="38"/>
      <w:bookmarkEnd w:id="39"/>
      <w:bookmarkEnd w:id="40"/>
    </w:p>
    <w:tbl>
      <w:tblPr>
        <w:tblStyle w:val="44"/>
        <w:tblW w:w="8931"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4"/>
        <w:gridCol w:w="2669"/>
        <w:gridCol w:w="19"/>
        <w:gridCol w:w="4659"/>
      </w:tblGrid>
      <w:tr w14:paraId="0BB07E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560" w:type="dxa"/>
            <w:vAlign w:val="center"/>
          </w:tcPr>
          <w:p w14:paraId="164A5EA1">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2693" w:type="dxa"/>
            <w:gridSpan w:val="2"/>
            <w:vAlign w:val="center"/>
          </w:tcPr>
          <w:p w14:paraId="1220B12F">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4678" w:type="dxa"/>
            <w:gridSpan w:val="2"/>
            <w:vAlign w:val="center"/>
          </w:tcPr>
          <w:p w14:paraId="230EA13F">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编列内容规定</w:t>
            </w:r>
          </w:p>
        </w:tc>
      </w:tr>
      <w:tr w14:paraId="4C69A6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5"/>
            <w:vAlign w:val="center"/>
          </w:tcPr>
          <w:p w14:paraId="6242003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一、说明</w:t>
            </w:r>
          </w:p>
        </w:tc>
      </w:tr>
      <w:tr w14:paraId="2B8125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8A3FC28">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第1.1款</w:t>
            </w:r>
          </w:p>
        </w:tc>
        <w:tc>
          <w:tcPr>
            <w:tcW w:w="2693" w:type="dxa"/>
            <w:gridSpan w:val="2"/>
            <w:vAlign w:val="center"/>
          </w:tcPr>
          <w:p w14:paraId="6D42798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w:t>
            </w:r>
          </w:p>
        </w:tc>
        <w:tc>
          <w:tcPr>
            <w:tcW w:w="4678" w:type="dxa"/>
            <w:gridSpan w:val="2"/>
            <w:vAlign w:val="center"/>
          </w:tcPr>
          <w:p w14:paraId="4187C11B">
            <w:pPr>
              <w:adjustRightInd w:val="0"/>
              <w:snapToGrid w:val="0"/>
              <w:spacing w:line="42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湖南省南岭山地—湘江上游中央财政国土绿化示范项目郴州市九县（市）作业设计技术服务</w:t>
            </w:r>
            <w:r>
              <w:rPr>
                <w:rFonts w:hint="eastAsia" w:ascii="宋体" w:hAnsi="宋体" w:eastAsia="宋体" w:cs="宋体"/>
                <w:color w:val="auto"/>
                <w:sz w:val="21"/>
                <w:szCs w:val="21"/>
                <w:highlight w:val="none"/>
                <w:u w:val="single"/>
              </w:rPr>
              <w:t xml:space="preserve"> </w:t>
            </w:r>
          </w:p>
        </w:tc>
      </w:tr>
      <w:tr w14:paraId="5BFD29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48FF6D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第1.2款</w:t>
            </w:r>
          </w:p>
        </w:tc>
        <w:tc>
          <w:tcPr>
            <w:tcW w:w="2693" w:type="dxa"/>
            <w:gridSpan w:val="2"/>
            <w:vAlign w:val="center"/>
          </w:tcPr>
          <w:p w14:paraId="1B17662C">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专门面向中小企业采购</w:t>
            </w:r>
          </w:p>
        </w:tc>
        <w:tc>
          <w:tcPr>
            <w:tcW w:w="4678" w:type="dxa"/>
            <w:gridSpan w:val="2"/>
            <w:vAlign w:val="center"/>
          </w:tcPr>
          <w:p w14:paraId="6D201E23">
            <w:pPr>
              <w:adjustRightInd w:val="0"/>
              <w:snapToGrid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是</w:t>
            </w:r>
          </w:p>
          <w:p w14:paraId="722AD00B">
            <w:pPr>
              <w:adjustRightInd w:val="0"/>
              <w:snapToGrid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否</w:t>
            </w:r>
          </w:p>
        </w:tc>
      </w:tr>
      <w:tr w14:paraId="4B6FDE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EB5D981">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第2.1</w:t>
            </w:r>
            <w:r>
              <w:rPr>
                <w:rFonts w:hint="eastAsia" w:ascii="宋体" w:hAnsi="宋体" w:eastAsia="宋体" w:cs="宋体"/>
                <w:color w:val="auto"/>
                <w:kern w:val="0"/>
                <w:szCs w:val="21"/>
                <w:highlight w:val="none"/>
                <w:lang w:val="zh-CN"/>
              </w:rPr>
              <w:t>款</w:t>
            </w:r>
          </w:p>
        </w:tc>
        <w:tc>
          <w:tcPr>
            <w:tcW w:w="2693" w:type="dxa"/>
            <w:gridSpan w:val="2"/>
          </w:tcPr>
          <w:p w14:paraId="69CBA2DE">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采购项目联系人姓名和电话</w:t>
            </w:r>
          </w:p>
        </w:tc>
        <w:tc>
          <w:tcPr>
            <w:tcW w:w="4678" w:type="dxa"/>
            <w:gridSpan w:val="2"/>
            <w:vAlign w:val="center"/>
          </w:tcPr>
          <w:p w14:paraId="67D87DC6">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70C437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4EC501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第2.2</w:t>
            </w:r>
            <w:r>
              <w:rPr>
                <w:rFonts w:hint="eastAsia" w:ascii="宋体" w:hAnsi="宋体" w:eastAsia="宋体" w:cs="宋体"/>
                <w:color w:val="auto"/>
                <w:kern w:val="0"/>
                <w:szCs w:val="21"/>
                <w:highlight w:val="none"/>
                <w:lang w:val="zh-CN"/>
              </w:rPr>
              <w:t>款</w:t>
            </w:r>
          </w:p>
        </w:tc>
        <w:tc>
          <w:tcPr>
            <w:tcW w:w="2693" w:type="dxa"/>
            <w:gridSpan w:val="2"/>
            <w:vAlign w:val="center"/>
          </w:tcPr>
          <w:p w14:paraId="62023D75">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采购人名称、地址、电话、联系人</w:t>
            </w:r>
          </w:p>
        </w:tc>
        <w:tc>
          <w:tcPr>
            <w:tcW w:w="4678" w:type="dxa"/>
            <w:gridSpan w:val="2"/>
            <w:vAlign w:val="center"/>
          </w:tcPr>
          <w:p w14:paraId="777C9C13">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28BA7F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7A84F7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第2.3</w:t>
            </w:r>
            <w:r>
              <w:rPr>
                <w:rFonts w:hint="eastAsia" w:ascii="宋体" w:hAnsi="宋体" w:eastAsia="宋体" w:cs="宋体"/>
                <w:color w:val="auto"/>
                <w:kern w:val="0"/>
                <w:szCs w:val="21"/>
                <w:highlight w:val="none"/>
                <w:lang w:val="zh-CN"/>
              </w:rPr>
              <w:t>款</w:t>
            </w:r>
          </w:p>
        </w:tc>
        <w:tc>
          <w:tcPr>
            <w:tcW w:w="2693" w:type="dxa"/>
            <w:gridSpan w:val="2"/>
            <w:vAlign w:val="center"/>
          </w:tcPr>
          <w:p w14:paraId="68F61DAC">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采购代理机构名称、地址、电话、联系人</w:t>
            </w:r>
          </w:p>
        </w:tc>
        <w:tc>
          <w:tcPr>
            <w:tcW w:w="4678" w:type="dxa"/>
            <w:gridSpan w:val="2"/>
            <w:vAlign w:val="center"/>
          </w:tcPr>
          <w:p w14:paraId="487DD667">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2FB9D0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1924601">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第2.5</w:t>
            </w:r>
            <w:r>
              <w:rPr>
                <w:rFonts w:hint="eastAsia" w:ascii="宋体" w:hAnsi="宋体" w:eastAsia="宋体" w:cs="宋体"/>
                <w:color w:val="auto"/>
                <w:kern w:val="0"/>
                <w:szCs w:val="21"/>
                <w:highlight w:val="none"/>
                <w:lang w:val="zh-CN"/>
              </w:rPr>
              <w:t>款</w:t>
            </w:r>
          </w:p>
        </w:tc>
        <w:tc>
          <w:tcPr>
            <w:tcW w:w="2693" w:type="dxa"/>
            <w:gridSpan w:val="2"/>
            <w:vAlign w:val="center"/>
          </w:tcPr>
          <w:p w14:paraId="0BAB551D">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采购进口产品</w:t>
            </w:r>
          </w:p>
        </w:tc>
        <w:tc>
          <w:tcPr>
            <w:tcW w:w="4678" w:type="dxa"/>
            <w:gridSpan w:val="2"/>
            <w:vAlign w:val="center"/>
          </w:tcPr>
          <w:p w14:paraId="0091696E">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□接受    本项目已经财政部门审核同意购买进口产品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w:t>
            </w:r>
          </w:p>
          <w:p w14:paraId="45B0F725">
            <w:pPr>
              <w:adjustRightInd w:val="0"/>
              <w:snapToGrid w:val="0"/>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拒绝   本项目拒绝进口产品参加投标</w:t>
            </w:r>
            <w:r>
              <w:rPr>
                <w:rFonts w:hint="eastAsia" w:ascii="宋体" w:hAnsi="宋体" w:eastAsia="宋体" w:cs="宋体"/>
                <w:color w:val="auto"/>
                <w:szCs w:val="21"/>
                <w:highlight w:val="none"/>
                <w:lang w:eastAsia="zh-CN"/>
              </w:rPr>
              <w:t>。</w:t>
            </w:r>
          </w:p>
        </w:tc>
      </w:tr>
      <w:tr w14:paraId="1C9428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0EF5EE8">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第3.1</w:t>
            </w:r>
            <w:r>
              <w:rPr>
                <w:rFonts w:hint="eastAsia" w:ascii="宋体" w:hAnsi="宋体" w:eastAsia="宋体" w:cs="宋体"/>
                <w:color w:val="auto"/>
                <w:kern w:val="0"/>
                <w:szCs w:val="21"/>
                <w:highlight w:val="none"/>
                <w:lang w:val="zh-CN"/>
              </w:rPr>
              <w:t>款</w:t>
            </w:r>
          </w:p>
        </w:tc>
        <w:tc>
          <w:tcPr>
            <w:tcW w:w="2693" w:type="dxa"/>
            <w:gridSpan w:val="2"/>
            <w:vAlign w:val="center"/>
          </w:tcPr>
          <w:p w14:paraId="599B8C09">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投标人资格条件</w:t>
            </w:r>
          </w:p>
        </w:tc>
        <w:tc>
          <w:tcPr>
            <w:tcW w:w="4678" w:type="dxa"/>
            <w:gridSpan w:val="2"/>
            <w:vAlign w:val="center"/>
          </w:tcPr>
          <w:p w14:paraId="172F2EB0">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171400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D8375B7">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第3.2</w:t>
            </w:r>
            <w:r>
              <w:rPr>
                <w:rFonts w:hint="eastAsia" w:ascii="宋体" w:hAnsi="宋体" w:eastAsia="宋体" w:cs="宋体"/>
                <w:color w:val="auto"/>
                <w:kern w:val="0"/>
                <w:szCs w:val="21"/>
                <w:highlight w:val="none"/>
                <w:lang w:val="zh-CN"/>
              </w:rPr>
              <w:t>款</w:t>
            </w:r>
          </w:p>
        </w:tc>
        <w:tc>
          <w:tcPr>
            <w:tcW w:w="2693" w:type="dxa"/>
            <w:gridSpan w:val="2"/>
            <w:vAlign w:val="center"/>
          </w:tcPr>
          <w:p w14:paraId="11D56D42">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接受联合体形式投标</w:t>
            </w:r>
          </w:p>
        </w:tc>
        <w:tc>
          <w:tcPr>
            <w:tcW w:w="4678" w:type="dxa"/>
            <w:gridSpan w:val="2"/>
            <w:vAlign w:val="center"/>
          </w:tcPr>
          <w:p w14:paraId="5D81E12D">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□接受</w:t>
            </w:r>
          </w:p>
          <w:p w14:paraId="430701FA">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不接受</w:t>
            </w:r>
          </w:p>
        </w:tc>
      </w:tr>
      <w:tr w14:paraId="1A4ECD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55E4EDD">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第5.1</w:t>
            </w:r>
            <w:r>
              <w:rPr>
                <w:rFonts w:hint="eastAsia" w:ascii="宋体" w:hAnsi="宋体" w:eastAsia="宋体" w:cs="宋体"/>
                <w:color w:val="auto"/>
                <w:kern w:val="0"/>
                <w:szCs w:val="21"/>
                <w:highlight w:val="none"/>
                <w:lang w:val="zh-CN"/>
              </w:rPr>
              <w:t>款</w:t>
            </w:r>
          </w:p>
        </w:tc>
        <w:tc>
          <w:tcPr>
            <w:tcW w:w="2693" w:type="dxa"/>
            <w:gridSpan w:val="2"/>
            <w:vAlign w:val="center"/>
          </w:tcPr>
          <w:p w14:paraId="586F64EE">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招标文件提供期限</w:t>
            </w:r>
          </w:p>
        </w:tc>
        <w:tc>
          <w:tcPr>
            <w:tcW w:w="4678" w:type="dxa"/>
            <w:gridSpan w:val="2"/>
            <w:vAlign w:val="center"/>
          </w:tcPr>
          <w:p w14:paraId="37122636">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详见第一章【投标邀请】</w:t>
            </w:r>
          </w:p>
        </w:tc>
      </w:tr>
      <w:tr w14:paraId="6774D6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E8A772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第5.2</w:t>
            </w:r>
            <w:r>
              <w:rPr>
                <w:rFonts w:hint="eastAsia" w:ascii="宋体" w:hAnsi="宋体" w:eastAsia="宋体" w:cs="宋体"/>
                <w:color w:val="auto"/>
                <w:kern w:val="0"/>
                <w:szCs w:val="21"/>
                <w:highlight w:val="none"/>
                <w:lang w:val="zh-CN"/>
              </w:rPr>
              <w:t>款</w:t>
            </w:r>
          </w:p>
        </w:tc>
        <w:tc>
          <w:tcPr>
            <w:tcW w:w="2693" w:type="dxa"/>
            <w:gridSpan w:val="2"/>
            <w:vAlign w:val="center"/>
          </w:tcPr>
          <w:p w14:paraId="46E64A68">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组织现场考察或者召开答疑会</w:t>
            </w:r>
          </w:p>
        </w:tc>
        <w:tc>
          <w:tcPr>
            <w:tcW w:w="4678" w:type="dxa"/>
            <w:gridSpan w:val="2"/>
            <w:vAlign w:val="center"/>
          </w:tcPr>
          <w:p w14:paraId="6A785DC6">
            <w:pPr>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不组织</w:t>
            </w:r>
            <w:r>
              <w:rPr>
                <w:rFonts w:hint="eastAsia" w:ascii="宋体" w:hAnsi="宋体" w:eastAsia="宋体" w:cs="宋体"/>
                <w:color w:val="auto"/>
                <w:szCs w:val="21"/>
                <w:highlight w:val="none"/>
                <w:lang w:eastAsia="zh-CN"/>
              </w:rPr>
              <w:t>。</w:t>
            </w:r>
          </w:p>
          <w:p w14:paraId="6C925E91">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组织</w:t>
            </w:r>
          </w:p>
          <w:p w14:paraId="735B40FC">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         </w:t>
            </w:r>
          </w:p>
          <w:p w14:paraId="2B1849E0">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地点：         </w:t>
            </w:r>
          </w:p>
          <w:p w14:paraId="6907BA89">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联系人：</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p>
          <w:p w14:paraId="1B07AEB0">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联系方式：</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p>
          <w:p w14:paraId="0D259DC9">
            <w:pPr>
              <w:adjustRightInd w:val="0"/>
              <w:snapToGrid w:val="0"/>
              <w:spacing w:line="360" w:lineRule="auto"/>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rPr>
              <w:t>说明事项：</w:t>
            </w:r>
            <w:r>
              <w:rPr>
                <w:rFonts w:hint="eastAsia" w:ascii="宋体" w:hAnsi="宋体" w:eastAsia="宋体" w:cs="宋体"/>
                <w:color w:val="auto"/>
                <w:szCs w:val="21"/>
                <w:highlight w:val="none"/>
                <w:u w:val="single"/>
                <w:lang w:val="en-US" w:eastAsia="zh-CN"/>
              </w:rPr>
              <w:t>/</w:t>
            </w:r>
          </w:p>
        </w:tc>
      </w:tr>
      <w:tr w14:paraId="6C7BEB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5"/>
            <w:vAlign w:val="center"/>
          </w:tcPr>
          <w:p w14:paraId="3DECC1E6">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二、招标文件</w:t>
            </w:r>
          </w:p>
        </w:tc>
      </w:tr>
      <w:tr w14:paraId="4D8E2D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6581A60">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第7.4</w:t>
            </w:r>
            <w:r>
              <w:rPr>
                <w:rFonts w:hint="eastAsia" w:ascii="宋体" w:hAnsi="宋体" w:eastAsia="宋体" w:cs="宋体"/>
                <w:color w:val="auto"/>
                <w:kern w:val="0"/>
                <w:szCs w:val="21"/>
                <w:highlight w:val="none"/>
                <w:lang w:val="zh-CN"/>
              </w:rPr>
              <w:t>款</w:t>
            </w:r>
          </w:p>
        </w:tc>
        <w:tc>
          <w:tcPr>
            <w:tcW w:w="2693" w:type="dxa"/>
            <w:gridSpan w:val="2"/>
            <w:vAlign w:val="center"/>
          </w:tcPr>
          <w:p w14:paraId="549BEABD">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非实质性偏离的范围和幅度</w:t>
            </w:r>
          </w:p>
        </w:tc>
        <w:tc>
          <w:tcPr>
            <w:tcW w:w="4678" w:type="dxa"/>
            <w:gridSpan w:val="2"/>
            <w:vAlign w:val="center"/>
          </w:tcPr>
          <w:p w14:paraId="1B559D4C">
            <w:pPr>
              <w:adjustRightInd w:val="0"/>
              <w:snapToGrid w:val="0"/>
              <w:spacing w:line="360" w:lineRule="auto"/>
              <w:ind w:left="105" w:hanging="105" w:hangingChars="50"/>
              <w:jc w:val="left"/>
              <w:rPr>
                <w:rFonts w:hint="eastAsia" w:ascii="宋体" w:hAnsi="宋体" w:eastAsia="宋体" w:cs="宋体"/>
                <w:color w:val="auto"/>
                <w:szCs w:val="21"/>
                <w:highlight w:val="none"/>
                <w:u w:val="single"/>
              </w:rPr>
            </w:pPr>
            <w:r>
              <w:rPr>
                <w:rFonts w:hint="eastAsia" w:ascii="宋体" w:hAnsi="宋体" w:cs="宋体"/>
                <w:b/>
                <w:bCs/>
                <w:color w:val="auto"/>
                <w:szCs w:val="21"/>
                <w:highlight w:val="none"/>
                <w:lang w:val="en-US" w:eastAsia="zh-CN"/>
              </w:rPr>
              <w:t>包1至包4：</w:t>
            </w:r>
            <w:r>
              <w:rPr>
                <w:rFonts w:hint="eastAsia" w:ascii="宋体" w:hAnsi="宋体" w:eastAsia="宋体" w:cs="宋体"/>
                <w:b/>
                <w:bCs/>
                <w:color w:val="auto"/>
                <w:szCs w:val="21"/>
                <w:highlight w:val="none"/>
              </w:rPr>
              <w:t>招标文件第五章【采购需求】中条款偏离项数之和≥</w:t>
            </w:r>
            <w:r>
              <w:rPr>
                <w:rFonts w:hint="eastAsia" w:ascii="宋体" w:hAnsi="宋体" w:eastAsia="宋体" w:cs="宋体"/>
                <w:b/>
                <w:bCs/>
                <w:color w:val="auto"/>
                <w:szCs w:val="21"/>
                <w:highlight w:val="none"/>
                <w:u w:val="single"/>
              </w:rPr>
              <w:t xml:space="preserve">  </w:t>
            </w:r>
            <w:r>
              <w:rPr>
                <w:rFonts w:hint="eastAsia" w:ascii="宋体" w:hAnsi="宋体" w:cs="宋体"/>
                <w:b/>
                <w:bCs/>
                <w:color w:val="auto"/>
                <w:szCs w:val="21"/>
                <w:highlight w:val="none"/>
                <w:u w:val="single"/>
                <w:lang w:val="en-US" w:eastAsia="zh-CN"/>
              </w:rPr>
              <w:t>1</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项将导致无效投标。</w:t>
            </w:r>
          </w:p>
        </w:tc>
      </w:tr>
      <w:tr w14:paraId="5BEF20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4389C7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第9.1</w:t>
            </w:r>
            <w:r>
              <w:rPr>
                <w:rFonts w:hint="eastAsia" w:ascii="宋体" w:hAnsi="宋体" w:eastAsia="宋体" w:cs="宋体"/>
                <w:color w:val="auto"/>
                <w:kern w:val="0"/>
                <w:szCs w:val="21"/>
                <w:highlight w:val="none"/>
                <w:lang w:val="zh-CN"/>
              </w:rPr>
              <w:t>款</w:t>
            </w:r>
          </w:p>
        </w:tc>
        <w:tc>
          <w:tcPr>
            <w:tcW w:w="2693" w:type="dxa"/>
            <w:gridSpan w:val="2"/>
            <w:vAlign w:val="center"/>
          </w:tcPr>
          <w:p w14:paraId="157EF19A">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招标公告指定媒体</w:t>
            </w:r>
          </w:p>
        </w:tc>
        <w:tc>
          <w:tcPr>
            <w:tcW w:w="4678" w:type="dxa"/>
            <w:gridSpan w:val="2"/>
            <w:vAlign w:val="center"/>
          </w:tcPr>
          <w:p w14:paraId="1A49FC35">
            <w:pPr>
              <w:adjustRightInd w:val="0"/>
              <w:snapToGrid w:val="0"/>
              <w:spacing w:line="360" w:lineRule="auto"/>
              <w:ind w:left="105" w:hanging="105" w:hangingChars="5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u w:val="single"/>
              </w:rPr>
              <w:t>湖南省政府采购网(www.ccgp-hunan.gov.cn)和</w:t>
            </w:r>
            <w:r>
              <w:rPr>
                <w:rFonts w:hint="eastAsia" w:ascii="宋体" w:hAnsi="宋体" w:eastAsia="宋体" w:cs="宋体"/>
                <w:color w:val="auto"/>
                <w:sz w:val="21"/>
                <w:szCs w:val="21"/>
                <w:highlight w:val="none"/>
                <w:u w:val="single"/>
              </w:rPr>
              <w:t>郴州市公共资源交易中心(</w:t>
            </w:r>
            <w:r>
              <w:rPr>
                <w:rFonts w:hint="eastAsia" w:ascii="宋体" w:hAnsi="宋体" w:cs="宋体"/>
                <w:color w:val="auto"/>
                <w:sz w:val="21"/>
                <w:szCs w:val="21"/>
                <w:highlight w:val="none"/>
                <w:u w:val="single"/>
                <w:lang w:eastAsia="zh-CN"/>
              </w:rPr>
              <w:t>http://61.187.195.137:8000/TPBidder</w:t>
            </w:r>
            <w:r>
              <w:rPr>
                <w:rFonts w:hint="eastAsia" w:ascii="宋体" w:hAnsi="宋体" w:cs="宋体"/>
                <w:color w:val="auto"/>
                <w:sz w:val="21"/>
                <w:szCs w:val="21"/>
                <w:highlight w:val="none"/>
                <w:u w:val="single"/>
                <w:lang w:val="en-US" w:eastAsia="zh-CN"/>
              </w:rPr>
              <w:t>)</w:t>
            </w:r>
          </w:p>
        </w:tc>
      </w:tr>
      <w:tr w14:paraId="5C1179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5"/>
            <w:vAlign w:val="center"/>
          </w:tcPr>
          <w:p w14:paraId="147EEEC4">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三、投标文件</w:t>
            </w:r>
          </w:p>
        </w:tc>
      </w:tr>
      <w:tr w14:paraId="52DDEF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FE609F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第13.2</w:t>
            </w:r>
            <w:r>
              <w:rPr>
                <w:rFonts w:hint="eastAsia" w:ascii="宋体" w:hAnsi="宋体" w:eastAsia="宋体" w:cs="宋体"/>
                <w:color w:val="auto"/>
                <w:kern w:val="0"/>
                <w:szCs w:val="21"/>
                <w:highlight w:val="none"/>
                <w:lang w:val="zh-CN"/>
              </w:rPr>
              <w:t>款</w:t>
            </w:r>
          </w:p>
        </w:tc>
        <w:tc>
          <w:tcPr>
            <w:tcW w:w="2693" w:type="dxa"/>
            <w:gridSpan w:val="2"/>
            <w:vAlign w:val="center"/>
          </w:tcPr>
          <w:p w14:paraId="445BDAC9">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采购预算、最高限价</w:t>
            </w:r>
          </w:p>
        </w:tc>
        <w:tc>
          <w:tcPr>
            <w:tcW w:w="4678" w:type="dxa"/>
            <w:gridSpan w:val="2"/>
            <w:vAlign w:val="center"/>
          </w:tcPr>
          <w:p w14:paraId="371243CD">
            <w:pPr>
              <w:adjustRightInd w:val="0"/>
              <w:snapToGrid w:val="0"/>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详见第一章【投标邀请】</w:t>
            </w:r>
          </w:p>
        </w:tc>
      </w:tr>
      <w:tr w14:paraId="5024E1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35030C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第13.8款</w:t>
            </w:r>
          </w:p>
        </w:tc>
        <w:tc>
          <w:tcPr>
            <w:tcW w:w="2693" w:type="dxa"/>
            <w:gridSpan w:val="2"/>
            <w:vAlign w:val="center"/>
          </w:tcPr>
          <w:p w14:paraId="4DCBFE3E">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投标报价的其他要求</w:t>
            </w:r>
          </w:p>
        </w:tc>
        <w:tc>
          <w:tcPr>
            <w:tcW w:w="4678" w:type="dxa"/>
            <w:gridSpan w:val="2"/>
            <w:vAlign w:val="center"/>
          </w:tcPr>
          <w:p w14:paraId="03607C1E">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投标报价不得超过采购项目预算或最高限价（如有），</w:t>
            </w:r>
            <w:r>
              <w:rPr>
                <w:rFonts w:hint="eastAsia" w:ascii="宋体" w:hAnsi="宋体" w:eastAsia="宋体" w:cs="宋体"/>
                <w:color w:val="auto"/>
                <w:kern w:val="0"/>
                <w:szCs w:val="21"/>
                <w:highlight w:val="none"/>
              </w:rPr>
              <w:t>分项报价也不得超过采购项目的分项预算（如有）。</w:t>
            </w:r>
          </w:p>
        </w:tc>
      </w:tr>
      <w:tr w14:paraId="56623F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2B3EDD9">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第14.1款</w:t>
            </w:r>
          </w:p>
        </w:tc>
        <w:tc>
          <w:tcPr>
            <w:tcW w:w="2693" w:type="dxa"/>
            <w:gridSpan w:val="2"/>
            <w:vAlign w:val="center"/>
          </w:tcPr>
          <w:p w14:paraId="18AA841E">
            <w:pPr>
              <w:adjustRightInd w:val="0"/>
              <w:snapToGrid w:val="0"/>
              <w:spacing w:line="24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投标人应提供资格审查资料</w:t>
            </w:r>
          </w:p>
        </w:tc>
        <w:tc>
          <w:tcPr>
            <w:tcW w:w="4678" w:type="dxa"/>
            <w:gridSpan w:val="2"/>
            <w:vAlign w:val="center"/>
          </w:tcPr>
          <w:p w14:paraId="5D53A34B">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第三章附表</w:t>
            </w:r>
            <w:r>
              <w:rPr>
                <w:rFonts w:hint="eastAsia" w:ascii="宋体" w:hAnsi="宋体" w:eastAsia="宋体" w:cs="宋体"/>
                <w:color w:val="auto"/>
                <w:szCs w:val="21"/>
                <w:highlight w:val="none"/>
                <w:lang w:val="en-US" w:eastAsia="zh-CN"/>
              </w:rPr>
              <w:t>1资格审查表</w:t>
            </w:r>
          </w:p>
        </w:tc>
      </w:tr>
      <w:tr w14:paraId="2E5B52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0727E05">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第14.1(3)项</w:t>
            </w:r>
          </w:p>
        </w:tc>
        <w:tc>
          <w:tcPr>
            <w:tcW w:w="2693" w:type="dxa"/>
            <w:gridSpan w:val="2"/>
            <w:vAlign w:val="center"/>
          </w:tcPr>
          <w:p w14:paraId="085493ED">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特定资格条件应提供的资格审查资料</w:t>
            </w:r>
          </w:p>
        </w:tc>
        <w:tc>
          <w:tcPr>
            <w:tcW w:w="4678" w:type="dxa"/>
            <w:gridSpan w:val="2"/>
            <w:vAlign w:val="center"/>
          </w:tcPr>
          <w:p w14:paraId="7114F600">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第三章附表</w:t>
            </w:r>
            <w:r>
              <w:rPr>
                <w:rFonts w:hint="eastAsia" w:ascii="宋体" w:hAnsi="宋体" w:eastAsia="宋体" w:cs="宋体"/>
                <w:color w:val="auto"/>
                <w:szCs w:val="21"/>
                <w:highlight w:val="none"/>
                <w:lang w:val="en-US" w:eastAsia="zh-CN"/>
              </w:rPr>
              <w:t>1资格审查表</w:t>
            </w:r>
          </w:p>
        </w:tc>
      </w:tr>
      <w:tr w14:paraId="25DE41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33" w:hRule="atLeast"/>
        </w:trPr>
        <w:tc>
          <w:tcPr>
            <w:tcW w:w="1560" w:type="dxa"/>
            <w:vAlign w:val="center"/>
          </w:tcPr>
          <w:p w14:paraId="68E4BBF0">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第15.3款</w:t>
            </w:r>
          </w:p>
        </w:tc>
        <w:tc>
          <w:tcPr>
            <w:tcW w:w="2693" w:type="dxa"/>
            <w:gridSpan w:val="2"/>
            <w:vAlign w:val="center"/>
          </w:tcPr>
          <w:p w14:paraId="17FFB07F">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样品提供的规定</w:t>
            </w:r>
          </w:p>
        </w:tc>
        <w:tc>
          <w:tcPr>
            <w:tcW w:w="4678" w:type="dxa"/>
            <w:gridSpan w:val="2"/>
            <w:vAlign w:val="center"/>
          </w:tcPr>
          <w:p w14:paraId="35B8D6B8">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不要求提供</w:t>
            </w:r>
          </w:p>
          <w:p w14:paraId="36E43BE1">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要求提供，提交的时间：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7E1A046">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1、样品制作的标准和要求、是否需要随样品提交相关检测报告、样品的评审方法以及评审标准详见第三章及第四章。</w:t>
            </w:r>
          </w:p>
          <w:p w14:paraId="7499E7F8">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2、中标人提供的样品保管、封存规定：</w:t>
            </w:r>
          </w:p>
          <w:p w14:paraId="5CC94A07">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__</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____</w:t>
            </w:r>
          </w:p>
        </w:tc>
      </w:tr>
      <w:tr w14:paraId="5A3B61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A9E422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第16.1</w:t>
            </w:r>
            <w:r>
              <w:rPr>
                <w:rFonts w:hint="eastAsia" w:ascii="宋体" w:hAnsi="宋体" w:eastAsia="宋体" w:cs="宋体"/>
                <w:color w:val="auto"/>
                <w:kern w:val="0"/>
                <w:szCs w:val="21"/>
                <w:highlight w:val="none"/>
                <w:lang w:val="zh-CN"/>
              </w:rPr>
              <w:t>款</w:t>
            </w:r>
          </w:p>
        </w:tc>
        <w:tc>
          <w:tcPr>
            <w:tcW w:w="2693" w:type="dxa"/>
            <w:gridSpan w:val="2"/>
            <w:vAlign w:val="center"/>
          </w:tcPr>
          <w:p w14:paraId="464FBB5C">
            <w:pPr>
              <w:adjustRightInd w:val="0"/>
              <w:snapToGrid w:val="0"/>
              <w:spacing w:line="24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投标有效期</w:t>
            </w:r>
          </w:p>
        </w:tc>
        <w:tc>
          <w:tcPr>
            <w:tcW w:w="4678" w:type="dxa"/>
            <w:gridSpan w:val="2"/>
            <w:vAlign w:val="center"/>
          </w:tcPr>
          <w:p w14:paraId="01F87692">
            <w:pPr>
              <w:adjustRightInd w:val="0"/>
              <w:snapToGrid w:val="0"/>
              <w:spacing w:line="24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90 </w:t>
            </w:r>
            <w:r>
              <w:rPr>
                <w:rFonts w:hint="eastAsia" w:ascii="宋体" w:hAnsi="宋体" w:eastAsia="宋体" w:cs="宋体"/>
                <w:bCs/>
                <w:color w:val="auto"/>
                <w:szCs w:val="21"/>
                <w:highlight w:val="none"/>
              </w:rPr>
              <w:t>日（日历日）</w:t>
            </w:r>
            <w:r>
              <w:rPr>
                <w:rFonts w:hint="eastAsia" w:ascii="宋体" w:hAnsi="宋体" w:eastAsia="宋体" w:cs="宋体"/>
                <w:color w:val="auto"/>
                <w:highlight w:val="none"/>
              </w:rPr>
              <w:t>从</w:t>
            </w:r>
            <w:r>
              <w:rPr>
                <w:rFonts w:hint="eastAsia" w:ascii="宋体" w:hAnsi="宋体" w:eastAsia="宋体" w:cs="宋体"/>
                <w:color w:val="auto"/>
                <w:kern w:val="0"/>
                <w:szCs w:val="21"/>
                <w:highlight w:val="none"/>
              </w:rPr>
              <w:t>提交</w:t>
            </w:r>
            <w:r>
              <w:rPr>
                <w:rFonts w:hint="eastAsia" w:ascii="宋体" w:hAnsi="宋体" w:eastAsia="宋体" w:cs="宋体"/>
                <w:color w:val="auto"/>
                <w:kern w:val="0"/>
                <w:szCs w:val="21"/>
                <w:highlight w:val="none"/>
                <w:lang w:eastAsia="zh-CN"/>
              </w:rPr>
              <w:t>投标</w:t>
            </w:r>
            <w:r>
              <w:rPr>
                <w:rFonts w:hint="eastAsia" w:ascii="宋体" w:hAnsi="宋体" w:eastAsia="宋体" w:cs="宋体"/>
                <w:color w:val="auto"/>
                <w:kern w:val="0"/>
                <w:szCs w:val="21"/>
                <w:highlight w:val="none"/>
              </w:rPr>
              <w:t>文件截止时间</w:t>
            </w:r>
            <w:r>
              <w:rPr>
                <w:rFonts w:hint="eastAsia" w:ascii="宋体" w:hAnsi="宋体" w:eastAsia="宋体" w:cs="宋体"/>
                <w:color w:val="auto"/>
                <w:highlight w:val="none"/>
              </w:rPr>
              <w:t>之日起计算</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如投标有效期不足的，在评标时将视为无效投标。</w:t>
            </w:r>
          </w:p>
        </w:tc>
      </w:tr>
      <w:tr w14:paraId="757CCE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C5B018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款</w:t>
            </w:r>
          </w:p>
        </w:tc>
        <w:tc>
          <w:tcPr>
            <w:tcW w:w="2693" w:type="dxa"/>
            <w:gridSpan w:val="2"/>
            <w:vAlign w:val="center"/>
          </w:tcPr>
          <w:p w14:paraId="5467894C">
            <w:pPr>
              <w:adjustRightInd w:val="0"/>
              <w:snapToGrid w:val="0"/>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分包</w:t>
            </w:r>
          </w:p>
        </w:tc>
        <w:tc>
          <w:tcPr>
            <w:tcW w:w="4678" w:type="dxa"/>
            <w:gridSpan w:val="2"/>
            <w:vAlign w:val="center"/>
          </w:tcPr>
          <w:p w14:paraId="25E90391">
            <w:pPr>
              <w:adjustRightInd w:val="0"/>
              <w:snapToGrid w:val="0"/>
              <w:spacing w:line="24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分包要求: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不接受</w:t>
            </w:r>
            <w:r>
              <w:rPr>
                <w:rFonts w:hint="eastAsia" w:ascii="宋体" w:hAnsi="宋体" w:eastAsia="宋体" w:cs="宋体"/>
                <w:bCs/>
                <w:color w:val="auto"/>
                <w:szCs w:val="21"/>
                <w:highlight w:val="none"/>
                <w:u w:val="single"/>
              </w:rPr>
              <w:t xml:space="preserve">  </w:t>
            </w:r>
          </w:p>
        </w:tc>
      </w:tr>
      <w:tr w14:paraId="342847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5"/>
            <w:vAlign w:val="center"/>
          </w:tcPr>
          <w:p w14:paraId="51E7FDD8">
            <w:pPr>
              <w:adjustRightInd w:val="0"/>
              <w:snapToGrid w:val="0"/>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四、投标</w:t>
            </w:r>
          </w:p>
        </w:tc>
      </w:tr>
      <w:tr w14:paraId="1F3AA8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1D1FD25">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kern w:val="0"/>
                <w:szCs w:val="21"/>
                <w:highlight w:val="none"/>
                <w:lang w:val="zh-CN"/>
              </w:rPr>
              <w:t>款</w:t>
            </w:r>
          </w:p>
        </w:tc>
        <w:tc>
          <w:tcPr>
            <w:tcW w:w="2693" w:type="dxa"/>
            <w:gridSpan w:val="2"/>
            <w:vAlign w:val="center"/>
          </w:tcPr>
          <w:p w14:paraId="3F488E10">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投标截止时间（开标时间）</w:t>
            </w:r>
          </w:p>
        </w:tc>
        <w:tc>
          <w:tcPr>
            <w:tcW w:w="4678" w:type="dxa"/>
            <w:gridSpan w:val="2"/>
            <w:vAlign w:val="center"/>
          </w:tcPr>
          <w:p w14:paraId="742ECF6B">
            <w:pPr>
              <w:adjustRightInd w:val="0"/>
              <w:snapToGrid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详见第一章【投标邀请】</w:t>
            </w:r>
          </w:p>
        </w:tc>
      </w:tr>
      <w:tr w14:paraId="2A04B7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5"/>
            <w:vAlign w:val="center"/>
          </w:tcPr>
          <w:p w14:paraId="159E9133">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五、开标、资格审查和评标</w:t>
            </w:r>
          </w:p>
        </w:tc>
      </w:tr>
      <w:tr w14:paraId="6306B4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37D193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款</w:t>
            </w:r>
          </w:p>
        </w:tc>
        <w:tc>
          <w:tcPr>
            <w:tcW w:w="2693" w:type="dxa"/>
            <w:gridSpan w:val="2"/>
            <w:vAlign w:val="center"/>
          </w:tcPr>
          <w:p w14:paraId="4E327519">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解密电子投标文件时限及方式</w:t>
            </w:r>
          </w:p>
        </w:tc>
        <w:tc>
          <w:tcPr>
            <w:tcW w:w="4678" w:type="dxa"/>
            <w:gridSpan w:val="2"/>
            <w:vAlign w:val="center"/>
          </w:tcPr>
          <w:p w14:paraId="1034DF48">
            <w:pPr>
              <w:adjustRightInd w:val="0"/>
              <w:snapToGrid w:val="0"/>
              <w:spacing w:before="156" w:beforeLines="50" w:line="24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投标人使用加密投标文件的CA数字证书在投标截止时间起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30</w:t>
            </w:r>
            <w:r>
              <w:rPr>
                <w:rFonts w:hint="eastAsia" w:ascii="宋体" w:hAnsi="宋体" w:eastAsia="宋体" w:cs="宋体"/>
                <w:color w:val="auto"/>
                <w:szCs w:val="21"/>
                <w:highlight w:val="none"/>
              </w:rPr>
              <w:t>分钟内完成投标文件的解密，投标文件在解密时限内未解密或解密失败，视为撤销其投标文件，开标继续进行。（如因交易平台出现系统故障，导致解密无法完成的，由采购人或采购代理机构酌情延长解密时间）</w:t>
            </w:r>
          </w:p>
        </w:tc>
      </w:tr>
      <w:tr w14:paraId="248C46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5"/>
            <w:vAlign w:val="center"/>
          </w:tcPr>
          <w:p w14:paraId="386046C8">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六、中标信息公布</w:t>
            </w:r>
          </w:p>
        </w:tc>
      </w:tr>
      <w:tr w14:paraId="78DDB1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72BF3C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lang w:val="zh-CN"/>
              </w:rPr>
              <w:t>款</w:t>
            </w:r>
          </w:p>
        </w:tc>
        <w:tc>
          <w:tcPr>
            <w:tcW w:w="2693" w:type="dxa"/>
            <w:gridSpan w:val="2"/>
            <w:vAlign w:val="center"/>
          </w:tcPr>
          <w:p w14:paraId="1B9FB80F">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中标候选人并列的确定中标人的方式</w:t>
            </w:r>
          </w:p>
        </w:tc>
        <w:tc>
          <w:tcPr>
            <w:tcW w:w="4678" w:type="dxa"/>
            <w:gridSpan w:val="2"/>
            <w:vAlign w:val="center"/>
          </w:tcPr>
          <w:p w14:paraId="74ECF185">
            <w:pPr>
              <w:adjustRightInd w:val="0"/>
              <w:snapToGrid w:val="0"/>
              <w:spacing w:line="240" w:lineRule="auto"/>
              <w:ind w:firstLine="210" w:firstLineChars="1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评标结果按评审后得分由高到低顺序排列。投标人评标总得分相同的，依次按照投标报价得分、技术部分得分由高至低顺序排序。总得分相同且投标报价得分相同且技术部分得分相同的由采购人随机抽取确定排序。投标文件满足招标文件全部实质性要求</w:t>
            </w:r>
            <w:r>
              <w:rPr>
                <w:rFonts w:hint="eastAsia" w:ascii="宋体" w:hAnsi="宋体" w:eastAsia="宋体" w:cs="宋体"/>
                <w:bCs/>
                <w:color w:val="auto"/>
                <w:szCs w:val="21"/>
                <w:highlight w:val="none"/>
              </w:rPr>
              <w:t>，且按照评审因素的量化指标评审得分最高的投标人为排名第一的中标候选人</w:t>
            </w:r>
            <w:r>
              <w:rPr>
                <w:rFonts w:hint="eastAsia" w:ascii="宋体" w:hAnsi="宋体" w:eastAsia="宋体" w:cs="宋体"/>
                <w:color w:val="auto"/>
                <w:kern w:val="0"/>
                <w:szCs w:val="21"/>
                <w:highlight w:val="none"/>
              </w:rPr>
              <w:t>。</w:t>
            </w:r>
          </w:p>
        </w:tc>
      </w:tr>
      <w:tr w14:paraId="5D267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2DD4CB4">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.3</w:t>
            </w:r>
            <w:r>
              <w:rPr>
                <w:rFonts w:hint="eastAsia" w:ascii="宋体" w:hAnsi="宋体" w:eastAsia="宋体" w:cs="宋体"/>
                <w:color w:val="auto"/>
                <w:kern w:val="0"/>
                <w:szCs w:val="21"/>
                <w:highlight w:val="none"/>
                <w:lang w:val="zh-CN"/>
              </w:rPr>
              <w:t>款</w:t>
            </w:r>
          </w:p>
        </w:tc>
        <w:tc>
          <w:tcPr>
            <w:tcW w:w="2693" w:type="dxa"/>
            <w:gridSpan w:val="2"/>
            <w:vAlign w:val="center"/>
          </w:tcPr>
          <w:p w14:paraId="55F71149">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接收质疑函的联系部门、联系电话和通讯地址</w:t>
            </w:r>
          </w:p>
        </w:tc>
        <w:tc>
          <w:tcPr>
            <w:tcW w:w="4678" w:type="dxa"/>
            <w:gridSpan w:val="2"/>
            <w:vAlign w:val="center"/>
          </w:tcPr>
          <w:p w14:paraId="68FFE621">
            <w:pPr>
              <w:adjustRightInd w:val="0"/>
              <w:snapToGrid w:val="0"/>
              <w:spacing w:line="42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详见第一章【投标邀请】</w:t>
            </w:r>
          </w:p>
        </w:tc>
      </w:tr>
      <w:tr w14:paraId="25F951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5"/>
            <w:vAlign w:val="center"/>
          </w:tcPr>
          <w:p w14:paraId="6D4B78D8">
            <w:pPr>
              <w:adjustRightInd w:val="0"/>
              <w:snapToGrid w:val="0"/>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七、签订合同</w:t>
            </w:r>
          </w:p>
        </w:tc>
      </w:tr>
      <w:tr w14:paraId="27A11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84" w:type="dxa"/>
            <w:gridSpan w:val="2"/>
            <w:tcBorders>
              <w:right w:val="single" w:color="auto" w:sz="4" w:space="0"/>
            </w:tcBorders>
            <w:vAlign w:val="center"/>
          </w:tcPr>
          <w:p w14:paraId="4E8416F9">
            <w:pPr>
              <w:adjustRightInd w:val="0"/>
              <w:snapToGrid w:val="0"/>
              <w:spacing w:line="42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28.1款</w:t>
            </w:r>
          </w:p>
        </w:tc>
        <w:tc>
          <w:tcPr>
            <w:tcW w:w="2688" w:type="dxa"/>
            <w:gridSpan w:val="2"/>
            <w:tcBorders>
              <w:left w:val="single" w:color="auto" w:sz="4" w:space="0"/>
              <w:right w:val="single" w:color="auto" w:sz="4" w:space="0"/>
            </w:tcBorders>
            <w:vAlign w:val="center"/>
          </w:tcPr>
          <w:p w14:paraId="69A5757F">
            <w:pPr>
              <w:adjustRightInd w:val="0"/>
              <w:snapToGrid w:val="0"/>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合同签订、公示、备案</w:t>
            </w:r>
          </w:p>
        </w:tc>
        <w:tc>
          <w:tcPr>
            <w:tcW w:w="4659" w:type="dxa"/>
            <w:tcBorders>
              <w:left w:val="single" w:color="auto" w:sz="4" w:space="0"/>
            </w:tcBorders>
            <w:vAlign w:val="center"/>
          </w:tcPr>
          <w:p w14:paraId="1F40D7F3">
            <w:pPr>
              <w:adjustRightInd w:val="0"/>
              <w:snapToGrid w:val="0"/>
              <w:spacing w:line="24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eastAsia="zh-CN"/>
              </w:rPr>
              <w:t>根据郴州市财政局郴财采资</w:t>
            </w:r>
            <w:r>
              <w:rPr>
                <w:rFonts w:hint="eastAsia" w:ascii="宋体" w:hAnsi="宋体" w:eastAsia="宋体" w:cs="宋体"/>
                <w:color w:val="auto"/>
                <w:highlight w:val="none"/>
                <w:lang w:val="en-US" w:eastAsia="zh-CN"/>
              </w:rPr>
              <w:t>[2024]6号文件，</w:t>
            </w:r>
            <w:r>
              <w:rPr>
                <w:rFonts w:hint="eastAsia" w:ascii="宋体" w:hAnsi="宋体" w:eastAsia="宋体" w:cs="宋体"/>
                <w:color w:val="auto"/>
                <w:highlight w:val="none"/>
                <w:lang w:eastAsia="zh-CN"/>
              </w:rPr>
              <w:t>鼓励采购单位在中标通知书发出</w:t>
            </w:r>
            <w:r>
              <w:rPr>
                <w:rFonts w:hint="eastAsia" w:ascii="宋体" w:hAnsi="宋体" w:eastAsia="宋体" w:cs="宋体"/>
                <w:color w:val="auto"/>
                <w:highlight w:val="none"/>
                <w:lang w:val="en-US" w:eastAsia="zh-CN"/>
              </w:rPr>
              <w:t>20日内，根据招标文件确定的事项签订政府采购合同。对于未在规定时间内签订合同，且无法说明合法理由的采购单位、采购代理机构，依法进行处理并予以通报。采购单位应当在合同签订后1个工作日内将政府采购合同在湖南省政府采购网公示、5个工作日完成备案，合同中涉及国家秘密、商业秘密的内容除外</w:t>
            </w:r>
            <w:r>
              <w:rPr>
                <w:rFonts w:hint="eastAsia" w:ascii="宋体" w:hAnsi="宋体" w:eastAsia="宋体" w:cs="宋体"/>
                <w:color w:val="auto"/>
                <w:highlight w:val="none"/>
              </w:rPr>
              <w:t>。</w:t>
            </w:r>
          </w:p>
        </w:tc>
      </w:tr>
      <w:tr w14:paraId="56B63B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5"/>
            <w:vAlign w:val="center"/>
          </w:tcPr>
          <w:p w14:paraId="397B634C">
            <w:pPr>
              <w:adjustRightInd w:val="0"/>
              <w:snapToGrid w:val="0"/>
              <w:spacing w:line="42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八、政府采购政策</w:t>
            </w:r>
          </w:p>
        </w:tc>
      </w:tr>
      <w:tr w14:paraId="4FACC4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restart"/>
            <w:vAlign w:val="center"/>
          </w:tcPr>
          <w:p w14:paraId="06EA2A50">
            <w:pPr>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第</w:t>
            </w:r>
            <w:r>
              <w:rPr>
                <w:rFonts w:hint="eastAsia" w:ascii="宋体" w:hAnsi="宋体" w:eastAsia="宋体" w:cs="宋体"/>
                <w:color w:val="auto"/>
                <w:szCs w:val="21"/>
                <w:highlight w:val="none"/>
                <w:lang w:val="en-US" w:eastAsia="zh-CN"/>
              </w:rPr>
              <w:t>30.6款</w:t>
            </w:r>
          </w:p>
        </w:tc>
        <w:tc>
          <w:tcPr>
            <w:tcW w:w="2693" w:type="dxa"/>
            <w:gridSpan w:val="2"/>
            <w:vMerge w:val="restart"/>
            <w:vAlign w:val="center"/>
          </w:tcPr>
          <w:p w14:paraId="3969E132">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支持中小企业</w:t>
            </w:r>
          </w:p>
        </w:tc>
        <w:tc>
          <w:tcPr>
            <w:tcW w:w="4678" w:type="dxa"/>
            <w:gridSpan w:val="2"/>
            <w:vAlign w:val="center"/>
          </w:tcPr>
          <w:p w14:paraId="1EEFB042">
            <w:pPr>
              <w:spacing w:line="24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本项目所属行业</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（十六）其他未列明行业</w:t>
            </w:r>
          </w:p>
          <w:p w14:paraId="180B89E0">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(注：从以下选项中选择填写</w:t>
            </w:r>
            <w:r>
              <w:rPr>
                <w:rFonts w:hint="eastAsia" w:ascii="宋体" w:hAnsi="宋体" w:eastAsia="宋体" w:cs="宋体"/>
                <w:color w:val="auto"/>
                <w:sz w:val="21"/>
                <w:szCs w:val="21"/>
                <w:highlight w:val="none"/>
                <w:lang w:eastAsia="zh-CN"/>
              </w:rPr>
              <w:t>）</w:t>
            </w:r>
          </w:p>
          <w:p w14:paraId="534F59DD">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（一）农、林、牧、渔业</w:t>
            </w:r>
          </w:p>
          <w:p w14:paraId="4645D914">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（二）工业</w:t>
            </w:r>
          </w:p>
          <w:p w14:paraId="3F553062">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（三）建筑业</w:t>
            </w:r>
          </w:p>
          <w:p w14:paraId="03EF36C5">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（四）批发业</w:t>
            </w:r>
          </w:p>
          <w:p w14:paraId="63942730">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（五）零售业</w:t>
            </w:r>
          </w:p>
          <w:p w14:paraId="38A10666">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（六）交通运输业</w:t>
            </w:r>
          </w:p>
          <w:p w14:paraId="44DEB5EA">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（七）仓储业</w:t>
            </w:r>
          </w:p>
          <w:p w14:paraId="6A90AA79">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（八）邮政业</w:t>
            </w:r>
          </w:p>
          <w:p w14:paraId="13AF665F">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（九）住宿业</w:t>
            </w:r>
          </w:p>
          <w:p w14:paraId="3D386039">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（十）餐饮业</w:t>
            </w:r>
          </w:p>
          <w:p w14:paraId="74E6F191">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（十一）信息传输业</w:t>
            </w:r>
          </w:p>
          <w:p w14:paraId="37511FEF">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（十二）软件和信息技术服务业</w:t>
            </w:r>
          </w:p>
          <w:p w14:paraId="25F05AF9">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（十三）房地产开发经营</w:t>
            </w:r>
          </w:p>
          <w:p w14:paraId="03F8885B">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（十四）物业管理</w:t>
            </w:r>
          </w:p>
          <w:p w14:paraId="14EEC02B">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（十五）租赁和商务服务业</w:t>
            </w:r>
          </w:p>
          <w:p w14:paraId="26C0A00D">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（十六）其他未列明行业</w:t>
            </w:r>
          </w:p>
        </w:tc>
      </w:tr>
      <w:tr w14:paraId="707D72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vAlign w:val="center"/>
          </w:tcPr>
          <w:p w14:paraId="0788FD28">
            <w:pPr>
              <w:adjustRightInd w:val="0"/>
              <w:snapToGrid w:val="0"/>
              <w:spacing w:line="360" w:lineRule="auto"/>
              <w:jc w:val="center"/>
              <w:rPr>
                <w:rFonts w:hint="eastAsia" w:ascii="宋体" w:hAnsi="宋体" w:eastAsia="宋体" w:cs="宋体"/>
                <w:color w:val="auto"/>
                <w:szCs w:val="21"/>
                <w:highlight w:val="none"/>
              </w:rPr>
            </w:pPr>
          </w:p>
        </w:tc>
        <w:tc>
          <w:tcPr>
            <w:tcW w:w="2693" w:type="dxa"/>
            <w:gridSpan w:val="2"/>
            <w:vMerge w:val="continue"/>
            <w:vAlign w:val="center"/>
          </w:tcPr>
          <w:p w14:paraId="2DD3EC28">
            <w:pPr>
              <w:adjustRightInd w:val="0"/>
              <w:snapToGrid w:val="0"/>
              <w:spacing w:line="360" w:lineRule="auto"/>
              <w:jc w:val="left"/>
              <w:rPr>
                <w:rFonts w:hint="eastAsia" w:ascii="宋体" w:hAnsi="宋体" w:eastAsia="宋体" w:cs="宋体"/>
                <w:color w:val="auto"/>
                <w:szCs w:val="21"/>
                <w:highlight w:val="none"/>
                <w:lang w:val="en-US" w:eastAsia="zh-CN"/>
              </w:rPr>
            </w:pPr>
          </w:p>
        </w:tc>
        <w:tc>
          <w:tcPr>
            <w:tcW w:w="4678" w:type="dxa"/>
            <w:gridSpan w:val="2"/>
            <w:vAlign w:val="center"/>
          </w:tcPr>
          <w:p w14:paraId="78851D4F">
            <w:pPr>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本项目专门面向中小企业采购</w:t>
            </w:r>
            <w:r>
              <w:rPr>
                <w:rFonts w:hint="eastAsia" w:ascii="宋体" w:hAnsi="宋体" w:cs="宋体"/>
                <w:color w:val="auto"/>
                <w:sz w:val="21"/>
                <w:szCs w:val="21"/>
                <w:highlight w:val="none"/>
                <w:lang w:eastAsia="zh-CN"/>
              </w:rPr>
              <w:t>：</w:t>
            </w:r>
            <w:r>
              <w:rPr>
                <w:rFonts w:hint="eastAsia" w:ascii="宋体" w:hAnsi="宋体" w:eastAsia="宋体" w:cs="宋体"/>
                <w:b w:val="0"/>
                <w:color w:val="auto"/>
                <w:sz w:val="21"/>
                <w:szCs w:val="21"/>
                <w:highlight w:val="none"/>
                <w:lang w:val="en-US" w:eastAsia="zh-CN"/>
              </w:rPr>
              <w:t>本项目专门面向中小微企业采购，</w:t>
            </w:r>
            <w:r>
              <w:rPr>
                <w:rFonts w:hint="eastAsia" w:ascii="宋体" w:hAnsi="宋体" w:cs="宋体"/>
                <w:b w:val="0"/>
                <w:color w:val="auto"/>
                <w:sz w:val="21"/>
                <w:szCs w:val="21"/>
                <w:highlight w:val="none"/>
                <w:lang w:val="en-US" w:eastAsia="zh-CN"/>
              </w:rPr>
              <w:t>投标人</w:t>
            </w:r>
            <w:r>
              <w:rPr>
                <w:rFonts w:hint="eastAsia" w:ascii="宋体" w:hAnsi="宋体" w:eastAsia="宋体" w:cs="宋体"/>
                <w:b w:val="0"/>
                <w:color w:val="auto"/>
                <w:sz w:val="21"/>
                <w:szCs w:val="21"/>
                <w:highlight w:val="none"/>
                <w:lang w:val="en-US" w:eastAsia="zh-CN"/>
              </w:rPr>
              <w:t>必须提供“湖南省政府采购供应商资格承诺函（格式）”，且企业规模必须为中型企业或小型企业或微型企业，不得是大型企业。</w:t>
            </w:r>
            <w:r>
              <w:rPr>
                <w:rFonts w:hint="eastAsia" w:ascii="宋体" w:hAnsi="宋体" w:cs="宋体"/>
                <w:b w:val="0"/>
                <w:color w:val="auto"/>
                <w:sz w:val="21"/>
                <w:szCs w:val="21"/>
                <w:highlight w:val="none"/>
                <w:lang w:val="en-US" w:eastAsia="zh-CN"/>
              </w:rPr>
              <w:t>投标人</w:t>
            </w:r>
            <w:r>
              <w:rPr>
                <w:rFonts w:hint="eastAsia" w:ascii="宋体" w:hAnsi="宋体" w:eastAsia="宋体" w:cs="宋体"/>
                <w:b w:val="0"/>
                <w:color w:val="auto"/>
                <w:sz w:val="21"/>
                <w:szCs w:val="21"/>
                <w:highlight w:val="none"/>
                <w:lang w:val="en-US" w:eastAsia="zh-CN"/>
              </w:rPr>
              <w:t>无需提供财务状况、缴纳税收和社会保障资金等资格证明材料。</w:t>
            </w:r>
          </w:p>
          <w:p w14:paraId="68ED356B">
            <w:pPr>
              <w:keepNext w:val="0"/>
              <w:keepLines w:val="0"/>
              <w:widowControl/>
              <w:suppressLineNumbers w:val="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（按湘财购</w:t>
            </w:r>
            <w:r>
              <w:rPr>
                <w:rFonts w:hint="eastAsia" w:ascii="宋体" w:hAnsi="宋体" w:eastAsia="宋体" w:cs="宋体"/>
                <w:color w:val="auto"/>
                <w:sz w:val="21"/>
                <w:szCs w:val="21"/>
                <w:highlight w:val="none"/>
                <w:lang w:val="en-US" w:eastAsia="zh-CN"/>
              </w:rPr>
              <w:t>[2022]17号文件规定，</w:t>
            </w:r>
            <w:r>
              <w:rPr>
                <w:rFonts w:hint="eastAsia" w:ascii="宋体" w:hAnsi="宋体" w:eastAsia="宋体" w:cs="宋体"/>
                <w:color w:val="auto"/>
                <w:kern w:val="0"/>
                <w:sz w:val="21"/>
                <w:szCs w:val="21"/>
                <w:highlight w:val="none"/>
                <w:lang w:val="en-US" w:eastAsia="zh-CN" w:bidi="ar"/>
              </w:rPr>
              <w:t>预算200万元以下的货物、服务项目和400万元以下的工程项目适宜由中小企业提供的，应面向中小企业采购</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tc>
      </w:tr>
      <w:tr w14:paraId="0C0801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vAlign w:val="center"/>
          </w:tcPr>
          <w:p w14:paraId="2205656D">
            <w:pPr>
              <w:adjustRightInd w:val="0"/>
              <w:snapToGrid w:val="0"/>
              <w:spacing w:line="360" w:lineRule="auto"/>
              <w:jc w:val="center"/>
              <w:rPr>
                <w:rFonts w:hint="eastAsia" w:ascii="宋体" w:hAnsi="宋体" w:eastAsia="宋体" w:cs="宋体"/>
                <w:color w:val="auto"/>
                <w:szCs w:val="21"/>
                <w:highlight w:val="none"/>
              </w:rPr>
            </w:pPr>
          </w:p>
        </w:tc>
        <w:tc>
          <w:tcPr>
            <w:tcW w:w="2693" w:type="dxa"/>
            <w:gridSpan w:val="2"/>
            <w:vMerge w:val="continue"/>
            <w:vAlign w:val="center"/>
          </w:tcPr>
          <w:p w14:paraId="432BEC35">
            <w:pPr>
              <w:adjustRightInd w:val="0"/>
              <w:snapToGrid w:val="0"/>
              <w:spacing w:line="360" w:lineRule="auto"/>
              <w:jc w:val="left"/>
              <w:rPr>
                <w:rFonts w:hint="eastAsia" w:ascii="宋体" w:hAnsi="宋体" w:eastAsia="宋体" w:cs="宋体"/>
                <w:color w:val="auto"/>
                <w:szCs w:val="21"/>
                <w:highlight w:val="none"/>
                <w:lang w:val="en-US" w:eastAsia="zh-CN"/>
              </w:rPr>
            </w:pPr>
          </w:p>
        </w:tc>
        <w:tc>
          <w:tcPr>
            <w:tcW w:w="4678" w:type="dxa"/>
            <w:gridSpan w:val="2"/>
            <w:vAlign w:val="center"/>
          </w:tcPr>
          <w:p w14:paraId="476243B0">
            <w:pPr>
              <w:spacing w:line="240" w:lineRule="auto"/>
              <w:rPr>
                <w:rFonts w:hint="eastAsia" w:ascii="宋体" w:hAnsi="宋体" w:eastAsia="宋体" w:cs="宋体"/>
                <w:color w:val="auto"/>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本项目</w:t>
            </w:r>
            <w:r>
              <w:rPr>
                <w:rFonts w:hint="eastAsia" w:ascii="宋体" w:hAnsi="宋体" w:eastAsia="宋体" w:cs="宋体"/>
                <w:color w:val="auto"/>
                <w:sz w:val="21"/>
                <w:szCs w:val="21"/>
                <w:highlight w:val="none"/>
              </w:rPr>
              <w:t>非专门面向中小企业采购</w:t>
            </w:r>
          </w:p>
        </w:tc>
      </w:tr>
      <w:tr w14:paraId="323086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5"/>
            <w:vAlign w:val="center"/>
          </w:tcPr>
          <w:p w14:paraId="5861475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八</w:t>
            </w:r>
            <w:r>
              <w:rPr>
                <w:rFonts w:hint="eastAsia" w:ascii="宋体" w:hAnsi="宋体" w:eastAsia="宋体" w:cs="宋体"/>
                <w:b/>
                <w:color w:val="auto"/>
                <w:szCs w:val="21"/>
                <w:highlight w:val="none"/>
              </w:rPr>
              <w:t>、其他规定</w:t>
            </w:r>
          </w:p>
        </w:tc>
      </w:tr>
      <w:tr w14:paraId="13974E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91BC6F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款</w:t>
            </w:r>
          </w:p>
        </w:tc>
        <w:tc>
          <w:tcPr>
            <w:tcW w:w="2693" w:type="dxa"/>
            <w:gridSpan w:val="2"/>
            <w:vAlign w:val="center"/>
          </w:tcPr>
          <w:p w14:paraId="48DAE284">
            <w:pPr>
              <w:adjustRightInd w:val="0"/>
              <w:snapToGrid w:val="0"/>
              <w:spacing w:line="360"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采购代理服务费</w:t>
            </w:r>
          </w:p>
        </w:tc>
        <w:tc>
          <w:tcPr>
            <w:tcW w:w="4678" w:type="dxa"/>
            <w:gridSpan w:val="2"/>
            <w:vAlign w:val="center"/>
          </w:tcPr>
          <w:p w14:paraId="55227C8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□集中采购机构不收代理服务费。</w:t>
            </w:r>
          </w:p>
          <w:p w14:paraId="5AA748C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☑采购代理服务费由采购人支付</w:t>
            </w:r>
            <w:r>
              <w:rPr>
                <w:rFonts w:hint="eastAsia" w:ascii="宋体" w:hAnsi="宋体" w:eastAsia="宋体" w:cs="宋体"/>
                <w:color w:val="auto"/>
                <w:szCs w:val="21"/>
                <w:highlight w:val="none"/>
              </w:rPr>
              <w:t>。</w:t>
            </w:r>
          </w:p>
        </w:tc>
      </w:tr>
      <w:tr w14:paraId="009E91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BEF59D2">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款</w:t>
            </w:r>
          </w:p>
        </w:tc>
        <w:tc>
          <w:tcPr>
            <w:tcW w:w="2693" w:type="dxa"/>
            <w:gridSpan w:val="2"/>
            <w:vAlign w:val="center"/>
          </w:tcPr>
          <w:p w14:paraId="70CE36FE">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其他规定</w:t>
            </w:r>
          </w:p>
        </w:tc>
        <w:tc>
          <w:tcPr>
            <w:tcW w:w="4678" w:type="dxa"/>
            <w:gridSpan w:val="2"/>
            <w:vAlign w:val="center"/>
          </w:tcPr>
          <w:p w14:paraId="04DA9E62">
            <w:pPr>
              <w:spacing w:line="360" w:lineRule="exact"/>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投标人应在投标截止时间之前完成电子投标文件上传。若因投标人对网上招投标操作不熟悉或自身电脑、个人网络等原因导致不能在投标截止时间之前完成投标文件上传的，所造成的投标失败或损失由投标人自行承担。建议各投标人在工作时间段内上传投标文件，在操作系统过程中有疑问或困难请及时进行咨询。</w:t>
            </w:r>
          </w:p>
          <w:p w14:paraId="0A533C2B">
            <w:pPr>
              <w:spacing w:line="360" w:lineRule="exact"/>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投标人使用加密投标文件的CA数字证书在规定时间内完成投标文件解密。因投标人自身原因未在规定时间内完成解密或解密失败的，视为撤销投标文件，其责任由投标人自行承担，开标继续进行。若开标时出现网络故障、交易系统技术故障等情形，导致解密无法完成而影响采购活动开展的，采购人有权采取非加密文件上传、纸质标书评审方式或将项目延期、延长投标文件解密时间等相应措施，以保障采购活动的公开、公平和公正，投标人不得对此持有异议。</w:t>
            </w:r>
          </w:p>
          <w:p w14:paraId="675FF7AA">
            <w:pPr>
              <w:numPr>
                <w:ilvl w:val="0"/>
                <w:numId w:val="0"/>
              </w:numPr>
              <w:spacing w:line="24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（3）对列入失信被执行人、重大税收违法案件当 </w:t>
            </w:r>
          </w:p>
          <w:p w14:paraId="72D16BA6">
            <w:pPr>
              <w:numPr>
                <w:ilvl w:val="0"/>
                <w:numId w:val="0"/>
              </w:numPr>
              <w:spacing w:line="24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事人名单、政府采购严重违法失信行为记录名单 </w:t>
            </w:r>
          </w:p>
          <w:p w14:paraId="35139CA2">
            <w:pPr>
              <w:numPr>
                <w:ilvl w:val="0"/>
                <w:numId w:val="0"/>
              </w:numPr>
              <w:spacing w:line="24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的供应商，应当拒绝其参与政府采购活动。两个 </w:t>
            </w:r>
          </w:p>
          <w:p w14:paraId="549549CF">
            <w:pPr>
              <w:numPr>
                <w:ilvl w:val="0"/>
                <w:numId w:val="0"/>
              </w:numPr>
              <w:spacing w:line="24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以上的自然人、法人或者其他组织组成一个联合 </w:t>
            </w:r>
          </w:p>
          <w:p w14:paraId="133C7AF9">
            <w:pPr>
              <w:numPr>
                <w:ilvl w:val="0"/>
                <w:numId w:val="0"/>
              </w:numPr>
              <w:spacing w:line="24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体，以一个供应商的身份共同参加政府采购活动 </w:t>
            </w:r>
          </w:p>
          <w:p w14:paraId="30611807">
            <w:pPr>
              <w:numPr>
                <w:ilvl w:val="0"/>
                <w:numId w:val="0"/>
              </w:numPr>
              <w:spacing w:line="24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的，应当对所有联合体成员进行信用记录查询， </w:t>
            </w:r>
          </w:p>
          <w:p w14:paraId="68DFA688">
            <w:pPr>
              <w:numPr>
                <w:ilvl w:val="0"/>
                <w:numId w:val="0"/>
              </w:numPr>
              <w:spacing w:line="24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联合体成员存在不良信用记录的，视同联合体存 </w:t>
            </w:r>
          </w:p>
          <w:p w14:paraId="5B17DFAE">
            <w:pPr>
              <w:numPr>
                <w:ilvl w:val="0"/>
                <w:numId w:val="0"/>
              </w:numPr>
              <w:spacing w:line="24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在不良信用记录。 </w:t>
            </w:r>
          </w:p>
          <w:p w14:paraId="6CA98166">
            <w:pPr>
              <w:numPr>
                <w:ilvl w:val="0"/>
                <w:numId w:val="3"/>
              </w:numPr>
              <w:adjustRightInd w:val="0"/>
              <w:snapToGrid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中标人应在发放中标通知书前准备 1 式 4 份投标文件纸质版并外封面加盖单位公章交由采购代理机构用于存档。</w:t>
            </w:r>
          </w:p>
          <w:p w14:paraId="470C09BF">
            <w:pPr>
              <w:spacing w:line="360" w:lineRule="exact"/>
              <w:rPr>
                <w:rFonts w:hint="eastAsia"/>
                <w:color w:val="auto"/>
                <w:highlight w:val="none"/>
              </w:rPr>
            </w:pPr>
            <w:r>
              <w:rPr>
                <w:rFonts w:hint="eastAsia"/>
                <w:color w:val="auto"/>
                <w:highlight w:val="none"/>
                <w:lang w:eastAsia="zh-CN"/>
              </w:rPr>
              <w:t>（</w:t>
            </w:r>
            <w:r>
              <w:rPr>
                <w:rFonts w:hint="eastAsia"/>
                <w:color w:val="auto"/>
                <w:highlight w:val="none"/>
                <w:lang w:val="en-US" w:eastAsia="zh-CN"/>
              </w:rPr>
              <w:t>5</w:t>
            </w:r>
            <w:r>
              <w:rPr>
                <w:rFonts w:hint="eastAsia"/>
                <w:color w:val="auto"/>
                <w:highlight w:val="none"/>
                <w:lang w:eastAsia="zh-CN"/>
              </w:rPr>
              <w:t>）</w:t>
            </w:r>
            <w:r>
              <w:rPr>
                <w:rFonts w:hint="eastAsia"/>
                <w:color w:val="auto"/>
                <w:highlight w:val="none"/>
              </w:rPr>
              <w:t>免责声明</w:t>
            </w:r>
            <w:r>
              <w:rPr>
                <w:rFonts w:hint="eastAsia"/>
                <w:color w:val="auto"/>
                <w:highlight w:val="none"/>
                <w:lang w:eastAsia="zh-CN"/>
              </w:rPr>
              <w:t>：</w:t>
            </w:r>
            <w:r>
              <w:rPr>
                <w:rFonts w:hint="eastAsia"/>
                <w:color w:val="auto"/>
                <w:highlight w:val="none"/>
              </w:rPr>
              <w:t xml:space="preserve"> </w:t>
            </w:r>
          </w:p>
          <w:p w14:paraId="79EF791C">
            <w:pPr>
              <w:spacing w:line="360" w:lineRule="exact"/>
              <w:rPr>
                <w:rFonts w:hint="eastAsia"/>
                <w:color w:val="auto"/>
                <w:highlight w:val="none"/>
              </w:rPr>
            </w:pPr>
            <w:r>
              <w:rPr>
                <w:rFonts w:hint="eastAsia"/>
                <w:color w:val="auto"/>
                <w:highlight w:val="none"/>
                <w:lang w:val="en-US" w:eastAsia="zh-CN"/>
              </w:rPr>
              <w:t>5</w:t>
            </w:r>
            <w:r>
              <w:rPr>
                <w:rFonts w:hint="eastAsia"/>
                <w:color w:val="auto"/>
                <w:highlight w:val="none"/>
              </w:rPr>
              <w:t xml:space="preserve">.1 投标人自行承担投标过程中产生的费用。无论因何种因素导致招标项目延期开标、废标（流标）、投标人未中标、项目终止招标的，采购人与采购代理机构均不承担投标人的投标费用。 </w:t>
            </w:r>
          </w:p>
          <w:p w14:paraId="1F854AA7">
            <w:pPr>
              <w:spacing w:line="360" w:lineRule="exact"/>
              <w:rPr>
                <w:rFonts w:hint="eastAsia"/>
                <w:color w:val="auto"/>
                <w:highlight w:val="none"/>
              </w:rPr>
            </w:pPr>
            <w:r>
              <w:rPr>
                <w:rFonts w:hint="eastAsia"/>
                <w:color w:val="auto"/>
                <w:highlight w:val="none"/>
                <w:lang w:val="en-US" w:eastAsia="zh-CN"/>
              </w:rPr>
              <w:t>5</w:t>
            </w:r>
            <w:r>
              <w:rPr>
                <w:rFonts w:hint="eastAsia"/>
                <w:color w:val="auto"/>
                <w:highlight w:val="none"/>
              </w:rPr>
              <w:t>.2 投标人在投标、合同履行过程中必须做好安全保障工作，不因项目实施而危及自身及第三方人员、财产安全。若发生任何安全事故，由中标人自行承担一切责任并赔偿损失。</w:t>
            </w:r>
          </w:p>
          <w:p w14:paraId="2982B8B5">
            <w:pPr>
              <w:spacing w:line="360" w:lineRule="exact"/>
              <w:rPr>
                <w:rFonts w:hint="eastAsia"/>
                <w:color w:val="auto"/>
                <w:highlight w:val="none"/>
              </w:rPr>
            </w:pP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6</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bidi="ar"/>
              </w:rPr>
              <w:t>投标人参与政府采购应提供真实有效的证明材料，应当诚信守法、公平竞争。如有以提供虚假材料（包括但不限于虚假技术参数响应、虚假制造商产品彩页、虚假业绩、虚假证书等）、隐瞒失信信息等谋取中标的行为，一经发</w:t>
            </w:r>
            <w:r>
              <w:rPr>
                <w:rFonts w:hint="eastAsia"/>
                <w:color w:val="auto"/>
                <w:highlight w:val="none"/>
              </w:rPr>
              <w:t>现，将报行政监管部门严肃查处。</w:t>
            </w:r>
          </w:p>
          <w:p w14:paraId="139CDB88">
            <w:pPr>
              <w:pStyle w:val="13"/>
              <w:rPr>
                <w:rFonts w:hint="default" w:eastAsia="黑体"/>
                <w:color w:val="auto"/>
                <w:highlight w:val="none"/>
                <w:lang w:val="en-US" w:eastAsia="zh-CN"/>
              </w:rPr>
            </w:pPr>
            <w:r>
              <w:rPr>
                <w:rFonts w:hint="eastAsia"/>
                <w:color w:val="auto"/>
                <w:highlight w:val="none"/>
                <w:lang w:val="en-US" w:eastAsia="zh-CN"/>
              </w:rPr>
              <w:t>（7）</w:t>
            </w:r>
            <w:r>
              <w:rPr>
                <w:rFonts w:hint="eastAsia" w:ascii="宋体" w:hAnsi="宋体" w:eastAsia="宋体" w:cs="宋体"/>
                <w:color w:val="auto"/>
                <w:szCs w:val="21"/>
                <w:highlight w:val="none"/>
              </w:rPr>
              <w:t>投标人认为招标文件、采购过程和中标结果使自己的权益受到损害的，可以在知道或者应知其权益受到损害之日起7个工作日内，按照《湖南省财政厅关于印发＜政府采购质疑答复和投诉处理操作规程＞的通知》(</w:t>
            </w:r>
            <w:r>
              <w:rPr>
                <w:rFonts w:hint="eastAsia"/>
                <w:color w:val="auto"/>
                <w:highlight w:val="none"/>
                <w:lang w:val="en-US" w:eastAsia="zh-CN"/>
              </w:rPr>
              <w:t>湘财购〔2024〕67 号</w:t>
            </w:r>
            <w:r>
              <w:rPr>
                <w:rFonts w:hint="eastAsia" w:ascii="宋体" w:hAnsi="宋体" w:eastAsia="宋体" w:cs="宋体"/>
                <w:color w:val="auto"/>
                <w:szCs w:val="21"/>
                <w:highlight w:val="none"/>
              </w:rPr>
              <w:t>)规定，</w:t>
            </w:r>
            <w:r>
              <w:rPr>
                <w:rFonts w:hint="eastAsia" w:ascii="宋体" w:hAnsi="宋体" w:eastAsia="宋体" w:cs="宋体"/>
                <w:color w:val="auto"/>
                <w:szCs w:val="21"/>
                <w:highlight w:val="none"/>
                <w:lang w:eastAsia="zh-CN"/>
              </w:rPr>
              <w:t>在法定质疑期内以纸质书面形式一次性向采购人、采购代理机构提出针对同一采购程序环节的质疑。</w:t>
            </w:r>
            <w:r>
              <w:rPr>
                <w:rFonts w:hint="eastAsia" w:ascii="宋体" w:hAnsi="宋体" w:eastAsia="宋体" w:cs="宋体"/>
                <w:color w:val="auto"/>
                <w:szCs w:val="21"/>
                <w:highlight w:val="none"/>
                <w:lang w:val="en-US" w:eastAsia="zh-CN"/>
              </w:rPr>
              <w:t>招标文件不一致的以此条款为准。</w:t>
            </w:r>
          </w:p>
        </w:tc>
      </w:tr>
    </w:tbl>
    <w:p w14:paraId="3EA43153">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3F2C0C36">
      <w:pPr>
        <w:pStyle w:val="3"/>
        <w:adjustRightInd w:val="0"/>
        <w:snapToGrid w:val="0"/>
        <w:spacing w:before="156" w:beforeLines="50"/>
        <w:jc w:val="center"/>
        <w:rPr>
          <w:rFonts w:hint="eastAsia" w:ascii="宋体" w:hAnsi="宋体" w:eastAsia="宋体" w:cs="宋体"/>
          <w:color w:val="auto"/>
          <w:sz w:val="28"/>
          <w:szCs w:val="28"/>
          <w:highlight w:val="none"/>
        </w:rPr>
      </w:pPr>
      <w:bookmarkStart w:id="41" w:name="_Toc29913896"/>
      <w:bookmarkStart w:id="42" w:name="_Toc30999"/>
      <w:bookmarkStart w:id="43" w:name="_Toc12727"/>
      <w:bookmarkStart w:id="44" w:name="_Toc11081"/>
      <w:bookmarkStart w:id="45" w:name="_Toc13076"/>
      <w:r>
        <w:rPr>
          <w:rFonts w:hint="eastAsia" w:ascii="宋体" w:hAnsi="宋体" w:eastAsia="宋体" w:cs="宋体"/>
          <w:color w:val="auto"/>
          <w:sz w:val="28"/>
          <w:szCs w:val="28"/>
          <w:highlight w:val="none"/>
        </w:rPr>
        <w:t>第二节 投标须知</w:t>
      </w:r>
      <w:bookmarkEnd w:id="41"/>
      <w:bookmarkEnd w:id="42"/>
      <w:bookmarkEnd w:id="43"/>
      <w:bookmarkEnd w:id="44"/>
      <w:bookmarkEnd w:id="45"/>
    </w:p>
    <w:p w14:paraId="13723A7A">
      <w:pPr>
        <w:pStyle w:val="4"/>
        <w:adjustRightInd w:val="0"/>
        <w:snapToGrid w:val="0"/>
        <w:spacing w:before="156" w:beforeLines="50" w:after="0" w:line="360" w:lineRule="auto"/>
        <w:jc w:val="center"/>
        <w:rPr>
          <w:rFonts w:hint="eastAsia" w:ascii="宋体" w:hAnsi="宋体" w:eastAsia="宋体" w:cs="宋体"/>
          <w:b w:val="0"/>
          <w:color w:val="auto"/>
          <w:sz w:val="28"/>
          <w:szCs w:val="28"/>
          <w:highlight w:val="none"/>
        </w:rPr>
      </w:pPr>
      <w:bookmarkStart w:id="46" w:name="_Toc20792"/>
      <w:bookmarkStart w:id="47" w:name="_Toc1332"/>
      <w:bookmarkStart w:id="48" w:name="_Toc29913897"/>
      <w:bookmarkStart w:id="49" w:name="_Toc13834"/>
      <w:bookmarkStart w:id="50" w:name="_Toc27519"/>
      <w:r>
        <w:rPr>
          <w:rFonts w:hint="eastAsia" w:ascii="宋体" w:hAnsi="宋体" w:eastAsia="宋体" w:cs="宋体"/>
          <w:color w:val="auto"/>
          <w:sz w:val="28"/>
          <w:szCs w:val="28"/>
          <w:highlight w:val="none"/>
        </w:rPr>
        <w:t>一、总则</w:t>
      </w:r>
      <w:bookmarkEnd w:id="46"/>
      <w:bookmarkEnd w:id="47"/>
      <w:bookmarkEnd w:id="48"/>
      <w:bookmarkEnd w:id="49"/>
      <w:bookmarkEnd w:id="50"/>
    </w:p>
    <w:p w14:paraId="6CB82D97">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 适用范围</w:t>
      </w:r>
    </w:p>
    <w:p w14:paraId="05E9877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1.1本招标文件仅适用于本章第一节“投标须知前附表”（以下简称</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）中所叙述的采购项目。</w:t>
      </w:r>
    </w:p>
    <w:p w14:paraId="077FCF4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规定采购项目专门面向中小企业采购的，如投标人为非中小企业，其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59898F9B">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 定义</w:t>
      </w:r>
    </w:p>
    <w:p w14:paraId="72B1BD9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2.1采购项目联系人姓名和电话见</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w:t>
      </w:r>
    </w:p>
    <w:p w14:paraId="3889040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2.2采购人名称、地址、电话、联系人见</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w:t>
      </w:r>
    </w:p>
    <w:p w14:paraId="3B7BF9D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2.3采购代理机构名称、地址、电话、联系人见</w:t>
      </w:r>
      <w:r>
        <w:rPr>
          <w:rFonts w:hint="eastAsia" w:ascii="宋体" w:hAnsi="宋体" w:eastAsia="宋体" w:cs="宋体"/>
          <w:b/>
          <w:color w:val="auto"/>
          <w:szCs w:val="21"/>
          <w:highlight w:val="none"/>
        </w:rPr>
        <w:t>【投标须知前附表】。</w:t>
      </w:r>
    </w:p>
    <w:p w14:paraId="3DA67C38">
      <w:pPr>
        <w:adjustRightInd w:val="0"/>
        <w:snapToGrid w:val="0"/>
        <w:spacing w:before="156" w:beforeLines="50"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2.4投标人系指响应招标、参加投标竞争的法人、其他组织或自然人。</w:t>
      </w:r>
    </w:p>
    <w:p w14:paraId="30A2FA52">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2.5</w:t>
      </w:r>
      <w:r>
        <w:rPr>
          <w:rFonts w:hint="eastAsia" w:ascii="宋体" w:hAnsi="宋体" w:eastAsia="宋体" w:cs="宋体"/>
          <w:color w:val="auto"/>
          <w:kern w:val="0"/>
          <w:szCs w:val="21"/>
          <w:highlight w:val="none"/>
        </w:rPr>
        <w:t>进口产品是指符合《政府采购进口产品管理办法》（财库〔2007〕119号）和《关于政府采购进口产品管理有关问题的通知》（财办库〔2008〕248号）文件规定的产品。除</w:t>
      </w:r>
      <w:r>
        <w:rPr>
          <w:rFonts w:hint="eastAsia" w:ascii="宋体" w:hAnsi="宋体" w:eastAsia="宋体" w:cs="宋体"/>
          <w:b/>
          <w:color w:val="auto"/>
          <w:szCs w:val="21"/>
          <w:highlight w:val="none"/>
        </w:rPr>
        <w:t>【投标须知前附表】</w:t>
      </w:r>
      <w:r>
        <w:rPr>
          <w:rFonts w:hint="eastAsia" w:ascii="宋体" w:hAnsi="宋体" w:eastAsia="宋体" w:cs="宋体"/>
          <w:color w:val="auto"/>
          <w:kern w:val="0"/>
          <w:szCs w:val="21"/>
          <w:highlight w:val="none"/>
        </w:rPr>
        <w:t>另有规定外，采购项目</w:t>
      </w:r>
      <w:r>
        <w:rPr>
          <w:rFonts w:hint="eastAsia" w:ascii="宋体" w:hAnsi="宋体" w:eastAsia="宋体" w:cs="宋体"/>
          <w:b/>
          <w:color w:val="auto"/>
          <w:kern w:val="0"/>
          <w:szCs w:val="21"/>
          <w:highlight w:val="none"/>
        </w:rPr>
        <w:t>拒绝进口产品参加投标</w:t>
      </w:r>
      <w:r>
        <w:rPr>
          <w:rFonts w:hint="eastAsia" w:ascii="宋体" w:hAnsi="宋体" w:eastAsia="宋体" w:cs="宋体"/>
          <w:color w:val="auto"/>
          <w:kern w:val="0"/>
          <w:szCs w:val="21"/>
          <w:highlight w:val="none"/>
        </w:rPr>
        <w:t>。本款规定同意购买进口产品的，不限制满足招标文件要求的国内产品参与投标竞争。</w:t>
      </w:r>
    </w:p>
    <w:p w14:paraId="7EF18E20">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2.6电子招标投标：是指电子招标投标参与各方（采购人、采购代理机构、</w:t>
      </w:r>
      <w:r>
        <w:rPr>
          <w:rFonts w:hint="eastAsia" w:ascii="宋体" w:hAnsi="宋体" w:eastAsia="宋体" w:cs="宋体"/>
          <w:color w:val="auto"/>
          <w:kern w:val="0"/>
          <w:szCs w:val="21"/>
          <w:highlight w:val="none"/>
          <w:lang w:eastAsia="zh-CN"/>
        </w:rPr>
        <w:t>投标人</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评标专家</w:t>
      </w:r>
      <w:r>
        <w:rPr>
          <w:rFonts w:hint="eastAsia" w:ascii="宋体" w:hAnsi="宋体" w:eastAsia="宋体" w:cs="宋体"/>
          <w:color w:val="auto"/>
          <w:kern w:val="0"/>
          <w:szCs w:val="21"/>
          <w:highlight w:val="none"/>
        </w:rPr>
        <w:t>）按照相关法律法规的规定，应用网络信息技术，使用CA数字证书（含电子签章、签名）在电子招标投标交易平台(以下简称交易平台)，进行的招标投标活动。</w:t>
      </w:r>
    </w:p>
    <w:p w14:paraId="55B560DA">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 投标人的资格要求</w:t>
      </w:r>
    </w:p>
    <w:p w14:paraId="34587EF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3.1投标人应当符合</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规定的投标人资格条件。</w:t>
      </w:r>
    </w:p>
    <w:p w14:paraId="6FF8C18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规定接受联合体形式投标的，投标人除应符合本章第3.1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 xml:space="preserve">规定外，还应遵守以下规定： </w:t>
      </w:r>
    </w:p>
    <w:p w14:paraId="2D6E45A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（l）联合体中有同类资质的供应商按照联合体分工承担相同工作的，应当按照资质等级较低的供应商确定资质等级。</w:t>
      </w:r>
    </w:p>
    <w:p w14:paraId="2486DFE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（2）联合体各方应按招标文件提供的格式签订联合体协议书，明确联合体牵头人和各方的权利义务、合同工作量比例；</w:t>
      </w:r>
    </w:p>
    <w:p w14:paraId="6C654415">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rPr>
        <w:t>（3）联合体各方签订联合体协议书后，</w:t>
      </w:r>
      <w:r>
        <w:rPr>
          <w:rFonts w:hint="eastAsia" w:ascii="宋体" w:hAnsi="宋体" w:eastAsia="宋体" w:cs="宋体"/>
          <w:color w:val="auto"/>
          <w:kern w:val="0"/>
          <w:szCs w:val="21"/>
          <w:highlight w:val="none"/>
          <w:lang w:val="zh-CN"/>
        </w:rPr>
        <w:t>不得再单独参加或者与其他投标人组成新的联合体参加同一合同项下的采购活动。</w:t>
      </w:r>
    </w:p>
    <w:p w14:paraId="122589C4">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投标费用 </w:t>
      </w:r>
    </w:p>
    <w:p w14:paraId="28137C0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4.1投标人应自行承担所有参与投标的相关费用，不论投标的结果如何，采购人、采购代理机构均无义务和责任承担这些费用。</w:t>
      </w:r>
    </w:p>
    <w:p w14:paraId="098D9DE7">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5．组织现场考察或者召开答疑会</w:t>
      </w:r>
    </w:p>
    <w:p w14:paraId="5D30117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highlight w:val="none"/>
        </w:rPr>
        <w:t>5.1采购人、采购代理机构可以在</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规定的招标文件提供期限截止后，组织已获取招标文件的潜在投标人现场考察或者召开开标前答疑会。</w:t>
      </w:r>
    </w:p>
    <w:p w14:paraId="63C9319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5.2获取招标文件的潜在投标人应按</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规定参加现场考察或者答疑会；如不参加，其风险由其自行承担。</w:t>
      </w:r>
    </w:p>
    <w:p w14:paraId="285084A3">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5.3潜在投标人现场考察或者参加答疑会的费用由自己承担，现场考察期间所发生的人身伤害及财产损失由自己负责。</w:t>
      </w:r>
    </w:p>
    <w:p w14:paraId="7937B9E5">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5.4采购人、采购代理机构不对投标人据此而做出的推论、理解和结论负责。投标人一旦中标，不得以任何借口，提出额外补偿，或延长合同期限的要求。</w:t>
      </w:r>
    </w:p>
    <w:p w14:paraId="2EA2F17A">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51" w:name="_Toc13566"/>
      <w:bookmarkStart w:id="52" w:name="_Toc29352"/>
      <w:bookmarkStart w:id="53" w:name="_Toc5118"/>
      <w:bookmarkStart w:id="54" w:name="_Toc6469"/>
      <w:bookmarkStart w:id="55" w:name="_Toc29913898"/>
      <w:r>
        <w:rPr>
          <w:rFonts w:hint="eastAsia" w:ascii="宋体" w:hAnsi="宋体" w:eastAsia="宋体" w:cs="宋体"/>
          <w:color w:val="auto"/>
          <w:sz w:val="28"/>
          <w:szCs w:val="28"/>
          <w:highlight w:val="none"/>
        </w:rPr>
        <w:t>二、招标文件</w:t>
      </w:r>
      <w:bookmarkEnd w:id="51"/>
      <w:bookmarkEnd w:id="52"/>
      <w:bookmarkEnd w:id="53"/>
      <w:bookmarkEnd w:id="54"/>
      <w:bookmarkEnd w:id="55"/>
    </w:p>
    <w:p w14:paraId="11BAEE93">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 招标文件的构成</w:t>
      </w:r>
    </w:p>
    <w:p w14:paraId="3845AD2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招标文件共七章，各章内容如下：</w:t>
      </w:r>
    </w:p>
    <w:p w14:paraId="19F0A54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投标邀请</w:t>
      </w:r>
    </w:p>
    <w:p w14:paraId="4DCC502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投标须知</w:t>
      </w:r>
    </w:p>
    <w:p w14:paraId="2D0465F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资格审查</w:t>
      </w:r>
    </w:p>
    <w:p w14:paraId="2CAE538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评标方法及标准</w:t>
      </w:r>
    </w:p>
    <w:p w14:paraId="17A489B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采购需求</w:t>
      </w:r>
    </w:p>
    <w:p w14:paraId="5A37A53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政府采购合同</w:t>
      </w:r>
    </w:p>
    <w:p w14:paraId="0A68186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第七章 投标文件的组成</w:t>
      </w:r>
    </w:p>
    <w:p w14:paraId="7B4ACA55">
      <w:pPr>
        <w:adjustRightInd w:val="0"/>
        <w:snapToGrid w:val="0"/>
        <w:spacing w:before="156" w:beforeLines="50"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6.2采购人、采购代理机构在提交投标文件截止时间前对招标文件所作的澄清或者修改，构成招标文件的组成部分。</w:t>
      </w:r>
    </w:p>
    <w:p w14:paraId="7EE67CAC">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7．偏离与实质性响应</w:t>
      </w:r>
    </w:p>
    <w:p w14:paraId="5D2331A7">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7.1投标人应当按照招标文件的要求编制投标文件。投标文件应当对招标文件提出的要求和条件作出明确响应。</w:t>
      </w:r>
    </w:p>
    <w:p w14:paraId="361A52E0">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7.2偏离是指投标文件不响应或者不满足招标文件提出的要求和条件，分为实质性偏离和非实质性偏离。</w:t>
      </w:r>
    </w:p>
    <w:p w14:paraId="6C2FB744">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7.3除法律、法规和招标文件规定的其他投标无效情形外，招标文件中用“★”符号标明的条款为实质性要求和条件，对其中任何一条的偏离，为实质性偏离，</w:t>
      </w:r>
      <w:r>
        <w:rPr>
          <w:rFonts w:hint="eastAsia" w:ascii="宋体" w:hAnsi="宋体" w:eastAsia="宋体" w:cs="宋体"/>
          <w:b/>
          <w:color w:val="auto"/>
          <w:highlight w:val="none"/>
        </w:rPr>
        <w:t>其投标无效</w:t>
      </w:r>
      <w:r>
        <w:rPr>
          <w:rFonts w:hint="eastAsia" w:ascii="宋体" w:hAnsi="宋体" w:eastAsia="宋体" w:cs="宋体"/>
          <w:color w:val="auto"/>
          <w:highlight w:val="none"/>
        </w:rPr>
        <w:t>。</w:t>
      </w:r>
    </w:p>
    <w:p w14:paraId="520E55FF">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7.4投标</w:t>
      </w:r>
      <w:r>
        <w:rPr>
          <w:rFonts w:hint="eastAsia" w:ascii="宋体" w:hAnsi="宋体" w:eastAsia="宋体" w:cs="宋体"/>
          <w:color w:val="auto"/>
          <w:szCs w:val="21"/>
          <w:highlight w:val="none"/>
        </w:rPr>
        <w:t>文件偏离招标文件的非实质性要求和条件，为非实质性偏离。非实质性偏离的范围和幅度应当符合</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的规定，</w:t>
      </w:r>
      <w:r>
        <w:rPr>
          <w:rFonts w:hint="eastAsia" w:ascii="宋体" w:hAnsi="宋体" w:eastAsia="宋体" w:cs="宋体"/>
          <w:b/>
          <w:color w:val="auto"/>
          <w:szCs w:val="21"/>
          <w:highlight w:val="none"/>
        </w:rPr>
        <w:t>否</w:t>
      </w:r>
      <w:r>
        <w:rPr>
          <w:rFonts w:hint="eastAsia" w:ascii="宋体" w:hAnsi="宋体" w:eastAsia="宋体" w:cs="宋体"/>
          <w:b/>
          <w:color w:val="auto"/>
          <w:highlight w:val="none"/>
        </w:rPr>
        <w:t>则投标无效</w:t>
      </w:r>
      <w:r>
        <w:rPr>
          <w:rFonts w:hint="eastAsia" w:ascii="宋体" w:hAnsi="宋体" w:eastAsia="宋体" w:cs="宋体"/>
          <w:color w:val="auto"/>
          <w:highlight w:val="none"/>
        </w:rPr>
        <w:t>。</w:t>
      </w:r>
    </w:p>
    <w:p w14:paraId="0E71E29F">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8. 询问</w:t>
      </w:r>
    </w:p>
    <w:p w14:paraId="5C10CA5A">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8.1潜在投标人应仔细阅读和检查招标文件的全部内容。如有疑问，可以向采购人或者采购代理机构提出询问。</w:t>
      </w:r>
    </w:p>
    <w:p w14:paraId="4A5F00BE">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 招标文件的澄清或者修改</w:t>
      </w:r>
    </w:p>
    <w:p w14:paraId="6701BCB6">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9.1采购人、采购代理机构对已发出的招标文件进行必要澄清或者修改的，将在</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w:t>
      </w:r>
      <w:r>
        <w:rPr>
          <w:rFonts w:hint="eastAsia" w:ascii="宋体" w:hAnsi="宋体" w:eastAsia="宋体" w:cs="宋体"/>
          <w:color w:val="auto"/>
          <w:highlight w:val="none"/>
        </w:rPr>
        <w:t>招标公告指定媒体上发布澄清或者修改公告。</w:t>
      </w:r>
    </w:p>
    <w:p w14:paraId="6130A10D">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rPr>
        <w:t>9.2澄清或者修改</w:t>
      </w:r>
      <w:r>
        <w:rPr>
          <w:rFonts w:hint="eastAsia" w:ascii="宋体" w:hAnsi="宋体" w:eastAsia="宋体" w:cs="宋体"/>
          <w:color w:val="auto"/>
          <w:highlight w:val="none"/>
        </w:rPr>
        <w:t>的</w:t>
      </w:r>
      <w:r>
        <w:rPr>
          <w:rFonts w:hint="eastAsia" w:ascii="宋体" w:hAnsi="宋体" w:eastAsia="宋体" w:cs="宋体"/>
          <w:color w:val="auto"/>
          <w:kern w:val="0"/>
          <w:szCs w:val="21"/>
          <w:highlight w:val="none"/>
        </w:rPr>
        <w:t>内容可能影响投标文件编制的，采购人、采购代理机构</w:t>
      </w:r>
      <w:r>
        <w:rPr>
          <w:rFonts w:hint="eastAsia" w:ascii="宋体" w:hAnsi="宋体" w:eastAsia="宋体" w:cs="宋体"/>
          <w:color w:val="auto"/>
          <w:highlight w:val="none"/>
        </w:rPr>
        <w:t>将</w:t>
      </w:r>
      <w:r>
        <w:rPr>
          <w:rFonts w:hint="eastAsia" w:ascii="宋体" w:hAnsi="宋体" w:eastAsia="宋体" w:cs="宋体"/>
          <w:color w:val="auto"/>
          <w:kern w:val="0"/>
          <w:szCs w:val="21"/>
          <w:highlight w:val="none"/>
        </w:rPr>
        <w:t>在提交投标文件截止时间15日前，</w:t>
      </w:r>
      <w:r>
        <w:rPr>
          <w:rFonts w:hint="eastAsia" w:ascii="宋体" w:hAnsi="宋体" w:eastAsia="宋体" w:cs="宋体"/>
          <w:color w:val="auto"/>
          <w:highlight w:val="none"/>
        </w:rPr>
        <w:t>以数据电文形式通知所有获取招标文件的潜在投标人；不足15日的，将相应延长提交投标文件的截止时间。</w:t>
      </w:r>
    </w:p>
    <w:p w14:paraId="5BF78B07">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9.3招标文件的提供期限届满后，获取招标文件的潜在投标人不足3家的，可以顺延提供期限，并在指定媒体上发布修改公告。</w:t>
      </w:r>
    </w:p>
    <w:p w14:paraId="561E7456">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9.4 通过交易平台下载招标文件的，请获取招标文件的潜在投标人及时关注</w:t>
      </w:r>
      <w:r>
        <w:rPr>
          <w:rFonts w:hint="eastAsia" w:ascii="宋体" w:hAnsi="宋体" w:eastAsia="宋体" w:cs="宋体"/>
          <w:color w:val="auto"/>
          <w:szCs w:val="21"/>
          <w:highlight w:val="none"/>
        </w:rPr>
        <w:t>招标公告指定媒体</w:t>
      </w:r>
      <w:r>
        <w:rPr>
          <w:rFonts w:hint="eastAsia" w:ascii="宋体" w:hAnsi="宋体" w:eastAsia="宋体" w:cs="宋体"/>
          <w:color w:val="auto"/>
          <w:highlight w:val="none"/>
        </w:rPr>
        <w:t>发布的澄清或者修改公告。</w:t>
      </w:r>
    </w:p>
    <w:p w14:paraId="163E97D8">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56" w:name="_Toc2061"/>
      <w:bookmarkStart w:id="57" w:name="_Toc32523"/>
      <w:bookmarkStart w:id="58" w:name="_Toc29913899"/>
      <w:bookmarkStart w:id="59" w:name="_Toc16010"/>
      <w:bookmarkStart w:id="60" w:name="_Toc30957"/>
      <w:r>
        <w:rPr>
          <w:rFonts w:hint="eastAsia" w:ascii="宋体" w:hAnsi="宋体" w:eastAsia="宋体" w:cs="宋体"/>
          <w:color w:val="auto"/>
          <w:sz w:val="28"/>
          <w:szCs w:val="28"/>
          <w:highlight w:val="none"/>
        </w:rPr>
        <w:t>三、投标文件</w:t>
      </w:r>
      <w:bookmarkEnd w:id="56"/>
      <w:bookmarkEnd w:id="57"/>
      <w:bookmarkEnd w:id="58"/>
      <w:bookmarkEnd w:id="59"/>
      <w:bookmarkEnd w:id="60"/>
    </w:p>
    <w:p w14:paraId="30B5F489">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 投标语言</w:t>
      </w:r>
    </w:p>
    <w:p w14:paraId="448DA31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10.1除专用术语外，投标人提交的投标文件及投标人与采购人、采购代理机构就有关投标的所有来往函电均使用中文。投标人可以提交其它语言的资料，但应附有中文注释，有差异时以中文为准。</w:t>
      </w:r>
    </w:p>
    <w:p w14:paraId="0CEC43F5">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11. </w:t>
      </w:r>
      <w:r>
        <w:rPr>
          <w:rFonts w:hint="eastAsia" w:ascii="宋体" w:hAnsi="宋体" w:eastAsia="宋体" w:cs="宋体"/>
          <w:b/>
          <w:color w:val="auto"/>
          <w:sz w:val="24"/>
          <w:highlight w:val="none"/>
        </w:rPr>
        <w:t>计量单位</w:t>
      </w:r>
    </w:p>
    <w:p w14:paraId="1E0699D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11.1所有计量均采用中华人民共和国法定计量单位。</w:t>
      </w:r>
    </w:p>
    <w:p w14:paraId="645DEDCB">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12. </w:t>
      </w:r>
      <w:r>
        <w:rPr>
          <w:rFonts w:hint="eastAsia" w:ascii="宋体" w:hAnsi="宋体" w:eastAsia="宋体" w:cs="宋体"/>
          <w:b/>
          <w:bCs/>
          <w:color w:val="auto"/>
          <w:sz w:val="24"/>
          <w:highlight w:val="none"/>
        </w:rPr>
        <w:t>投标文件的组成</w:t>
      </w:r>
    </w:p>
    <w:p w14:paraId="793DBCE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12.1投标文件由如下内容组成：</w:t>
      </w:r>
    </w:p>
    <w:p w14:paraId="2516B567">
      <w:pPr>
        <w:adjustRightInd w:val="0"/>
        <w:snapToGrid w:val="0"/>
        <w:spacing w:before="156" w:beforeLines="50"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第一部分 资格证明文件</w:t>
      </w:r>
    </w:p>
    <w:p w14:paraId="1A41133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一、开标一览表</w:t>
      </w:r>
    </w:p>
    <w:p w14:paraId="0E2AECC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zCs w:val="21"/>
          <w:highlight w:val="none"/>
        </w:rPr>
        <w:t>身份证明或授权委托书</w:t>
      </w:r>
    </w:p>
    <w:p w14:paraId="5143DAA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、投标人提供的资格证明文件</w:t>
      </w:r>
    </w:p>
    <w:p w14:paraId="19A9B7A5">
      <w:pPr>
        <w:adjustRightInd w:val="0"/>
        <w:snapToGrid w:val="0"/>
        <w:spacing w:before="156" w:beforeLines="50" w:line="360" w:lineRule="auto"/>
        <w:jc w:val="lef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第二部分 </w:t>
      </w:r>
      <w:r>
        <w:rPr>
          <w:rFonts w:hint="eastAsia" w:ascii="宋体" w:hAnsi="宋体" w:eastAsia="宋体" w:cs="宋体"/>
          <w:b/>
          <w:color w:val="auto"/>
          <w:szCs w:val="21"/>
          <w:highlight w:val="none"/>
          <w:lang w:eastAsia="zh-CN"/>
        </w:rPr>
        <w:t>商务和技术文件</w:t>
      </w:r>
    </w:p>
    <w:p w14:paraId="2EB755D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、投标函</w:t>
      </w:r>
    </w:p>
    <w:p w14:paraId="5E1FAF2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rPr>
        <w:t>、分项报价</w:t>
      </w:r>
    </w:p>
    <w:p w14:paraId="6216F42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六</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采购需求响应</w:t>
      </w:r>
    </w:p>
    <w:p w14:paraId="6035742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七</w:t>
      </w:r>
      <w:r>
        <w:rPr>
          <w:rFonts w:hint="eastAsia" w:ascii="宋体" w:hAnsi="宋体" w:eastAsia="宋体" w:cs="宋体"/>
          <w:color w:val="auto"/>
          <w:szCs w:val="21"/>
          <w:highlight w:val="none"/>
        </w:rPr>
        <w:t>、合同条款偏离表</w:t>
      </w:r>
    </w:p>
    <w:p w14:paraId="1F09EE0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八</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采购需求偏离表</w:t>
      </w:r>
    </w:p>
    <w:p w14:paraId="6CB72D7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九</w:t>
      </w:r>
      <w:r>
        <w:rPr>
          <w:rFonts w:hint="eastAsia" w:ascii="宋体" w:hAnsi="宋体" w:eastAsia="宋体" w:cs="宋体"/>
          <w:color w:val="auto"/>
          <w:szCs w:val="21"/>
          <w:highlight w:val="none"/>
        </w:rPr>
        <w:t>、享受政府采购政策优惠的证明资料和清单表</w:t>
      </w:r>
    </w:p>
    <w:p w14:paraId="5038716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eastAsia="zh-CN"/>
        </w:rPr>
        <w:t>投标服务（含配套货物）符合招标文件规定的证明文件</w:t>
      </w:r>
    </w:p>
    <w:p w14:paraId="342A84A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rPr>
        <w:t>、投标人认为需提供的其他资料</w:t>
      </w:r>
    </w:p>
    <w:p w14:paraId="6E81517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根据《政府采购法》第四十二条的规定，投标人无论中标与否，其投标文件不予退还。</w:t>
      </w:r>
    </w:p>
    <w:p w14:paraId="202CBE60">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 投标报价</w:t>
      </w:r>
    </w:p>
    <w:p w14:paraId="67367A6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48FEB05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13.2投标人的投标报价不得超过采购预算，也不得超过最高限价(如果设定)，否则其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。采购项目预算、最高限价见</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w:t>
      </w:r>
    </w:p>
    <w:p w14:paraId="51D787E8">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 xml:space="preserve"> 投标人应在分项报价明细表中对每项内容给予详细分项</w:t>
      </w:r>
      <w:r>
        <w:rPr>
          <w:rFonts w:hint="eastAsia" w:ascii="宋体" w:hAnsi="宋体" w:eastAsia="宋体" w:cs="宋体"/>
          <w:color w:val="auto"/>
          <w:highlight w:val="none"/>
        </w:rPr>
        <w:t>报价。</w:t>
      </w:r>
    </w:p>
    <w:p w14:paraId="27460118">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投标人对采购项目内容只允许有一个投标报价，否则其</w:t>
      </w:r>
      <w:r>
        <w:rPr>
          <w:rFonts w:hint="eastAsia" w:ascii="宋体" w:hAnsi="宋体" w:eastAsia="宋体" w:cs="宋体"/>
          <w:b/>
          <w:color w:val="auto"/>
          <w:highlight w:val="none"/>
        </w:rPr>
        <w:t>投标无效</w:t>
      </w:r>
      <w:r>
        <w:rPr>
          <w:rFonts w:hint="eastAsia" w:ascii="宋体" w:hAnsi="宋体" w:eastAsia="宋体" w:cs="宋体"/>
          <w:color w:val="auto"/>
          <w:highlight w:val="none"/>
        </w:rPr>
        <w:t>。</w:t>
      </w:r>
    </w:p>
    <w:p w14:paraId="118CEF01">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采购人不接受投标人给予的赠品、回扣或者与采购无关的其他商品、服务。如有赠与行为，其</w:t>
      </w:r>
      <w:r>
        <w:rPr>
          <w:rFonts w:hint="eastAsia" w:ascii="宋体" w:hAnsi="宋体" w:eastAsia="宋体" w:cs="宋体"/>
          <w:b/>
          <w:color w:val="auto"/>
          <w:highlight w:val="none"/>
        </w:rPr>
        <w:t>投标无效</w:t>
      </w:r>
      <w:r>
        <w:rPr>
          <w:rFonts w:hint="eastAsia" w:ascii="宋体" w:hAnsi="宋体" w:eastAsia="宋体" w:cs="宋体"/>
          <w:color w:val="auto"/>
          <w:highlight w:val="none"/>
        </w:rPr>
        <w:t>。</w:t>
      </w:r>
    </w:p>
    <w:p w14:paraId="343219E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highlight w:val="none"/>
        </w:rPr>
        <w:t>投标文件中标明的价格在合同执行过程中是固定不变的，不得以任何理由予以变更。任何包含价格调整要求和条件的投标，其</w:t>
      </w:r>
      <w:r>
        <w:rPr>
          <w:rFonts w:hint="eastAsia" w:ascii="宋体" w:hAnsi="宋体" w:eastAsia="宋体" w:cs="宋体"/>
          <w:b/>
          <w:color w:val="auto"/>
          <w:highlight w:val="none"/>
        </w:rPr>
        <w:t>投标无效</w:t>
      </w:r>
      <w:r>
        <w:rPr>
          <w:rFonts w:hint="eastAsia" w:ascii="宋体" w:hAnsi="宋体" w:eastAsia="宋体" w:cs="宋体"/>
          <w:color w:val="auto"/>
          <w:highlight w:val="none"/>
        </w:rPr>
        <w:t>。</w:t>
      </w:r>
    </w:p>
    <w:p w14:paraId="242147E3">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投标人在投标截止时间前修改“开标一览表”中的投标报价的，应同时修改投标文件“分项报价明细表”“享受政府采购政策优惠的证明资料”以及“联合体协议书”（如果影响）等相关内容。</w:t>
      </w:r>
    </w:p>
    <w:p w14:paraId="18312B4F">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投标报价的其他要求见</w:t>
      </w:r>
      <w:r>
        <w:rPr>
          <w:rFonts w:hint="eastAsia" w:ascii="宋体" w:hAnsi="宋体" w:eastAsia="宋体" w:cs="宋体"/>
          <w:b/>
          <w:color w:val="auto"/>
          <w:szCs w:val="21"/>
          <w:highlight w:val="none"/>
        </w:rPr>
        <w:t>【投标须知前附表】</w:t>
      </w:r>
      <w:r>
        <w:rPr>
          <w:rFonts w:hint="eastAsia" w:ascii="宋体" w:hAnsi="宋体" w:eastAsia="宋体" w:cs="宋体"/>
          <w:color w:val="auto"/>
          <w:highlight w:val="none"/>
        </w:rPr>
        <w:t xml:space="preserve">。 </w:t>
      </w:r>
    </w:p>
    <w:p w14:paraId="37978190">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14. </w:t>
      </w:r>
      <w:r>
        <w:rPr>
          <w:rFonts w:hint="eastAsia" w:ascii="宋体" w:hAnsi="宋体" w:eastAsia="宋体" w:cs="宋体"/>
          <w:b/>
          <w:bCs/>
          <w:color w:val="auto"/>
          <w:sz w:val="24"/>
          <w:highlight w:val="none"/>
        </w:rPr>
        <w:t>投标人的资格证明文件</w:t>
      </w:r>
    </w:p>
    <w:p w14:paraId="339817C4">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w:t>
      </w:r>
      <w:r>
        <w:rPr>
          <w:rFonts w:hint="eastAsia" w:ascii="宋体" w:hAnsi="宋体" w:eastAsia="宋体" w:cs="宋体"/>
          <w:color w:val="auto"/>
          <w:szCs w:val="21"/>
          <w:highlight w:val="none"/>
        </w:rPr>
        <w:t>除</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另有规</w:t>
      </w:r>
      <w:r>
        <w:rPr>
          <w:rFonts w:hint="eastAsia" w:ascii="宋体" w:hAnsi="宋体" w:eastAsia="宋体" w:cs="宋体"/>
          <w:color w:val="auto"/>
          <w:highlight w:val="none"/>
        </w:rPr>
        <w:t>定外，投标人应按下列规定提供资格证明文件。</w:t>
      </w:r>
    </w:p>
    <w:p w14:paraId="2093B355">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
          <w:color w:val="auto"/>
          <w:highlight w:val="none"/>
        </w:rPr>
        <w:t>法人或者其他组织的营业执照等主体资格证明文件，自然人的身份证明</w:t>
      </w:r>
      <w:r>
        <w:rPr>
          <w:rFonts w:hint="eastAsia" w:ascii="宋体" w:hAnsi="宋体" w:eastAsia="宋体" w:cs="宋体"/>
          <w:color w:val="auto"/>
          <w:highlight w:val="none"/>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5367E965">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
          <w:color w:val="auto"/>
          <w:highlight w:val="none"/>
        </w:rPr>
        <w:t>投标人资格声明(格式)</w:t>
      </w:r>
    </w:p>
    <w:p w14:paraId="28C495B0">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highlight w:val="none"/>
        </w:rPr>
        <w:t>（3）</w:t>
      </w:r>
      <w:r>
        <w:rPr>
          <w:rFonts w:hint="eastAsia" w:ascii="宋体" w:hAnsi="宋体" w:eastAsia="宋体" w:cs="宋体"/>
          <w:b/>
          <w:color w:val="auto"/>
          <w:highlight w:val="none"/>
        </w:rPr>
        <w:t>符合特定资格条件证明材料复印件或者情况说明原件</w:t>
      </w:r>
      <w:r>
        <w:rPr>
          <w:rFonts w:hint="eastAsia" w:ascii="宋体" w:hAnsi="宋体" w:eastAsia="宋体" w:cs="宋体"/>
          <w:color w:val="auto"/>
          <w:highlight w:val="none"/>
        </w:rPr>
        <w:t>。</w:t>
      </w:r>
      <w:r>
        <w:rPr>
          <w:rFonts w:hint="eastAsia" w:ascii="宋体" w:hAnsi="宋体" w:eastAsia="宋体" w:cs="宋体"/>
          <w:color w:val="auto"/>
          <w:szCs w:val="21"/>
          <w:highlight w:val="none"/>
        </w:rPr>
        <w:t>具体要求见</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w:t>
      </w:r>
    </w:p>
    <w:p w14:paraId="420305E5">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14.2投标人以联合体形式投标的，除应提交联合协议(格式)外，参加联合体的各方均应提交上款资格证明材料。</w:t>
      </w:r>
    </w:p>
    <w:p w14:paraId="28C02520">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14.3投标人的资格证明文件均应为有效文件并加盖投标人电子章，并按招标文件规定签署。</w:t>
      </w:r>
    </w:p>
    <w:p w14:paraId="64014C90">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 投标服务（含配套货物）符合招标文件规定的证明文件</w:t>
      </w:r>
    </w:p>
    <w:p w14:paraId="7249CEE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15.1投标人应当提交其拟供的合同项下服务（含配套货物）符合招标文件规定的证明文件,该证明文件作为投标文件的一部分。</w:t>
      </w:r>
    </w:p>
    <w:p w14:paraId="2BA4BA9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15.2上述证明文件可以是文字资料、图表、数据、证书等资料，包括但不限于：</w:t>
      </w:r>
    </w:p>
    <w:p w14:paraId="5E8006E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（1）服务（含配套货物）主要技术指标和性能的详细说明。对有具体参数要求的指标，投标人应提供具体参数值；</w:t>
      </w:r>
    </w:p>
    <w:p w14:paraId="58E13DB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（2）配套货物的品牌型号、制造商及原产地等说明；</w:t>
      </w:r>
    </w:p>
    <w:p w14:paraId="7EBD19C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（3）招标文件第五章“采购需求”要求的其它</w:t>
      </w:r>
      <w:r>
        <w:rPr>
          <w:rFonts w:hint="eastAsia" w:ascii="宋体" w:hAnsi="宋体" w:eastAsia="宋体" w:cs="宋体"/>
          <w:color w:val="auto"/>
          <w:szCs w:val="21"/>
          <w:highlight w:val="none"/>
          <w:lang w:eastAsia="zh-CN"/>
        </w:rPr>
        <w:t>资料</w:t>
      </w:r>
      <w:r>
        <w:rPr>
          <w:rFonts w:hint="eastAsia" w:ascii="宋体" w:hAnsi="宋体" w:eastAsia="宋体" w:cs="宋体"/>
          <w:color w:val="auto"/>
          <w:szCs w:val="21"/>
          <w:highlight w:val="none"/>
        </w:rPr>
        <w:t>。</w:t>
      </w:r>
    </w:p>
    <w:p w14:paraId="4D41347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15.3样品提供的规定：详见投标须知前附表。</w:t>
      </w:r>
    </w:p>
    <w:p w14:paraId="3136632C">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16. 投标有效期</w:t>
      </w:r>
    </w:p>
    <w:p w14:paraId="41D3365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16.1投标有效期从提交投标文件的截止之日起算。投标文件中承诺的投标有效期应当不少于</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中载明的投标有效期。投标有效期不满足要求的，其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3AF7A67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16.2投标有效期内投标人撤销投标文件的，投标人应承担招标文件和法律规定的责任。</w:t>
      </w:r>
    </w:p>
    <w:p w14:paraId="36615326">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7</w:t>
      </w:r>
      <w:r>
        <w:rPr>
          <w:rFonts w:hint="eastAsia" w:ascii="宋体" w:hAnsi="宋体" w:eastAsia="宋体" w:cs="宋体"/>
          <w:b/>
          <w:color w:val="auto"/>
          <w:sz w:val="24"/>
          <w:highlight w:val="none"/>
        </w:rPr>
        <w:t>.分包</w:t>
      </w:r>
    </w:p>
    <w:p w14:paraId="243D1EB2">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.1投标人拟在中标后将中</w:t>
      </w:r>
      <w:r>
        <w:rPr>
          <w:rFonts w:hint="eastAsia" w:ascii="宋体" w:hAnsi="宋体" w:eastAsia="宋体" w:cs="宋体"/>
          <w:color w:val="auto"/>
          <w:szCs w:val="21"/>
          <w:highlight w:val="none"/>
        </w:rPr>
        <w:t>标项目的非主体、非关键性工作进行分包的，应符合</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规定的分包内容、分包金</w:t>
      </w:r>
      <w:r>
        <w:rPr>
          <w:rFonts w:hint="eastAsia" w:ascii="宋体" w:hAnsi="宋体" w:eastAsia="宋体" w:cs="宋体"/>
          <w:color w:val="auto"/>
          <w:highlight w:val="none"/>
        </w:rPr>
        <w:t>额和资质要求等限制性条件，并在投标文件中载明分包承担主体，且分包承担主体不得再次分包。</w:t>
      </w:r>
    </w:p>
    <w:p w14:paraId="5E04EB00">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.2中标人应当就分包项目向采购人负责，分包承担主体就分包项目承担连带责任。</w:t>
      </w:r>
    </w:p>
    <w:p w14:paraId="2DD72CB4">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3不符合招标文件中有关分包规定的，其</w:t>
      </w:r>
      <w:r>
        <w:rPr>
          <w:rFonts w:hint="eastAsia" w:ascii="宋体" w:hAnsi="宋体" w:eastAsia="宋体" w:cs="宋体"/>
          <w:b/>
          <w:color w:val="auto"/>
          <w:highlight w:val="none"/>
        </w:rPr>
        <w:t>投标无效</w:t>
      </w:r>
      <w:r>
        <w:rPr>
          <w:rFonts w:hint="eastAsia" w:ascii="宋体" w:hAnsi="宋体" w:eastAsia="宋体" w:cs="宋体"/>
          <w:color w:val="auto"/>
          <w:highlight w:val="none"/>
        </w:rPr>
        <w:t>。</w:t>
      </w:r>
    </w:p>
    <w:p w14:paraId="282F6D0D">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 电子</w:t>
      </w:r>
      <w:r>
        <w:rPr>
          <w:rFonts w:hint="eastAsia" w:ascii="宋体" w:hAnsi="宋体" w:eastAsia="宋体" w:cs="宋体"/>
          <w:b/>
          <w:bCs/>
          <w:color w:val="auto"/>
          <w:sz w:val="24"/>
          <w:highlight w:val="none"/>
          <w:lang w:eastAsia="zh-CN"/>
        </w:rPr>
        <w:t>投标</w:t>
      </w:r>
      <w:r>
        <w:rPr>
          <w:rFonts w:hint="eastAsia" w:ascii="宋体" w:hAnsi="宋体" w:eastAsia="宋体" w:cs="宋体"/>
          <w:b/>
          <w:bCs/>
          <w:color w:val="auto"/>
          <w:sz w:val="24"/>
          <w:highlight w:val="none"/>
        </w:rPr>
        <w:t>文件的制作和签署</w:t>
      </w:r>
    </w:p>
    <w:p w14:paraId="0D69BBF4">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.1投标人确认投标后，应当在</w:t>
      </w:r>
      <w:r>
        <w:rPr>
          <w:rFonts w:hint="eastAsia" w:ascii="宋体" w:hAnsi="宋体" w:eastAsia="宋体" w:cs="宋体"/>
          <w:color w:val="auto"/>
          <w:szCs w:val="21"/>
          <w:highlight w:val="none"/>
          <w:lang w:eastAsia="zh-CN"/>
        </w:rPr>
        <w:t>郴州市</w:t>
      </w:r>
      <w:r>
        <w:rPr>
          <w:rFonts w:hint="eastAsia" w:ascii="宋体" w:hAnsi="宋体" w:eastAsia="宋体" w:cs="宋体"/>
          <w:color w:val="auto"/>
          <w:szCs w:val="21"/>
          <w:highlight w:val="none"/>
        </w:rPr>
        <w:t>公共资源交易政府采购电子化平台上认可的“投标文件制作工具软件下载”制作投标文件（ 含澄清、说明文件）并进行固化、加密；</w:t>
      </w:r>
      <w:r>
        <w:rPr>
          <w:rFonts w:hint="eastAsia" w:ascii="宋体" w:hAnsi="宋体" w:eastAsia="宋体" w:cs="宋体"/>
          <w:bCs/>
          <w:color w:val="auto"/>
          <w:szCs w:val="21"/>
          <w:highlight w:val="none"/>
        </w:rPr>
        <w:t>否则将可能影响电子投标文件的上传而导致投标无效。</w:t>
      </w:r>
    </w:p>
    <w:p w14:paraId="750FCF29">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2投标人应按照电子招标文件格式及投标工具编制资格证明文件，不得将其编制上传到商务和技术文件中。否则，由于编制上传位置失误导致无法进行资格审查，由此所产生的后果和责任由投标人自行承担。</w:t>
      </w:r>
    </w:p>
    <w:p w14:paraId="7FB39A41">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投标人应按照电子招标文件格式及投标工具编制商务、技术及综合评分表相关资料。必须按招标文件目录和节点对应位置上传或填写相应资料，否则，由于编制上传位置失误，系统将判断投标人未提交此项资料，由此造成的后果和责任由投标人自行承担。</w:t>
      </w:r>
    </w:p>
    <w:p w14:paraId="089920A0">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4投标人应注意压缩电子文件，上传的有关扫描件的尺寸和清晰度应该能够在电脑上被阅读、识别和判断。若投标人未按要求提供证明材料或提供的是部分证明材料或提供不清晰的扫描件复印件，无法阅读、识别和判断的，由此可能导致的不予计分、废标等后果由投标人自行承担。</w:t>
      </w:r>
    </w:p>
    <w:p w14:paraId="47354EA8">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.5投标人应在电子投标文件指定签章处采用</w:t>
      </w:r>
      <w:r>
        <w:rPr>
          <w:rFonts w:hint="eastAsia" w:ascii="宋体" w:hAnsi="宋体" w:eastAsia="宋体" w:cs="宋体"/>
          <w:color w:val="auto"/>
          <w:szCs w:val="21"/>
          <w:highlight w:val="none"/>
          <w:lang w:eastAsia="zh-CN"/>
        </w:rPr>
        <w:t>郴州市</w:t>
      </w:r>
      <w:r>
        <w:rPr>
          <w:rFonts w:hint="eastAsia" w:ascii="宋体" w:hAnsi="宋体" w:eastAsia="宋体" w:cs="宋体"/>
          <w:color w:val="auto"/>
          <w:szCs w:val="21"/>
          <w:highlight w:val="none"/>
        </w:rPr>
        <w:t>公共资源交易中心交易平台认可的CA数字证书（含电子印章）进行签章。</w:t>
      </w:r>
    </w:p>
    <w:p w14:paraId="4CBE002F">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 xml:space="preserve">.6 </w:t>
      </w:r>
      <w:r>
        <w:rPr>
          <w:rFonts w:hint="eastAsia" w:ascii="宋体" w:hAnsi="宋体" w:eastAsia="宋体" w:cs="宋体"/>
          <w:color w:val="auto"/>
          <w:szCs w:val="21"/>
          <w:highlight w:val="none"/>
          <w:lang w:eastAsia="zh-CN"/>
        </w:rPr>
        <w:t>电子投标文件</w:t>
      </w:r>
      <w:r>
        <w:rPr>
          <w:rFonts w:hint="eastAsia" w:ascii="宋体" w:hAnsi="宋体" w:eastAsia="宋体" w:cs="宋体"/>
          <w:color w:val="auto"/>
          <w:szCs w:val="21"/>
          <w:highlight w:val="none"/>
        </w:rPr>
        <w:t>具有法律效力，若投标文件与招标文件要求不一致，其内容影响中标结果时，责任由投标人自行承担。</w:t>
      </w:r>
    </w:p>
    <w:p w14:paraId="15B8556E">
      <w:pPr>
        <w:adjustRightInd w:val="0"/>
        <w:snapToGrid w:val="0"/>
        <w:spacing w:line="360" w:lineRule="auto"/>
        <w:ind w:firstLine="420" w:firstLineChars="200"/>
        <w:jc w:val="left"/>
        <w:rPr>
          <w:rFonts w:hint="eastAsia" w:ascii="宋体" w:hAnsi="宋体" w:eastAsia="宋体" w:cs="宋体"/>
          <w:color w:val="auto"/>
          <w:szCs w:val="21"/>
          <w:highlight w:val="none"/>
        </w:rPr>
      </w:pPr>
    </w:p>
    <w:p w14:paraId="5B6DF21E">
      <w:pPr>
        <w:adjustRightInd w:val="0"/>
        <w:snapToGrid w:val="0"/>
        <w:spacing w:line="360" w:lineRule="auto"/>
        <w:ind w:firstLine="420" w:firstLineChars="200"/>
        <w:jc w:val="left"/>
        <w:rPr>
          <w:rFonts w:hint="eastAsia" w:ascii="宋体" w:hAnsi="宋体" w:eastAsia="宋体" w:cs="宋体"/>
          <w:color w:val="auto"/>
          <w:szCs w:val="21"/>
          <w:highlight w:val="none"/>
        </w:rPr>
      </w:pPr>
    </w:p>
    <w:p w14:paraId="240F05D7">
      <w:pPr>
        <w:pStyle w:val="4"/>
        <w:keepNext w:val="0"/>
        <w:keepLines w:val="0"/>
        <w:numPr>
          <w:ilvl w:val="0"/>
          <w:numId w:val="4"/>
        </w:numPr>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61" w:name="_Toc29913900"/>
      <w:bookmarkStart w:id="62" w:name="_Toc29644"/>
      <w:bookmarkStart w:id="63" w:name="_Toc13619"/>
      <w:bookmarkStart w:id="64" w:name="_Toc4485"/>
      <w:bookmarkStart w:id="65" w:name="_Toc20506"/>
      <w:r>
        <w:rPr>
          <w:rFonts w:hint="eastAsia" w:ascii="宋体" w:hAnsi="宋体" w:eastAsia="宋体" w:cs="宋体"/>
          <w:color w:val="auto"/>
          <w:sz w:val="28"/>
          <w:szCs w:val="28"/>
          <w:highlight w:val="none"/>
        </w:rPr>
        <w:t>投标</w:t>
      </w:r>
      <w:bookmarkEnd w:id="61"/>
      <w:bookmarkEnd w:id="62"/>
      <w:bookmarkEnd w:id="63"/>
      <w:bookmarkEnd w:id="64"/>
      <w:bookmarkEnd w:id="65"/>
    </w:p>
    <w:p w14:paraId="112C15A1">
      <w:pPr>
        <w:numPr>
          <w:ilvl w:val="255"/>
          <w:numId w:val="0"/>
        </w:numPr>
        <w:rPr>
          <w:rFonts w:hint="eastAsia" w:ascii="宋体" w:hAnsi="宋体" w:eastAsia="宋体" w:cs="宋体"/>
          <w:color w:val="auto"/>
          <w:highlight w:val="none"/>
        </w:rPr>
      </w:pPr>
      <w:bookmarkStart w:id="66" w:name="_Hlt193622730"/>
      <w:bookmarkEnd w:id="66"/>
      <w:bookmarkStart w:id="67" w:name="_Hlt226715444"/>
      <w:bookmarkEnd w:id="67"/>
    </w:p>
    <w:p w14:paraId="32713ADA">
      <w:pPr>
        <w:adjustRightInd w:val="0"/>
        <w:snapToGrid w:val="0"/>
        <w:spacing w:before="156" w:beforeLines="50" w:line="360" w:lineRule="auto"/>
        <w:ind w:firstLine="241" w:firstLineChars="100"/>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lang w:val="en-US" w:eastAsia="zh-CN"/>
        </w:rPr>
        <w:t>19</w:t>
      </w:r>
      <w:r>
        <w:rPr>
          <w:rFonts w:hint="eastAsia" w:ascii="宋体" w:hAnsi="宋体" w:eastAsia="宋体" w:cs="宋体"/>
          <w:b/>
          <w:color w:val="auto"/>
          <w:sz w:val="24"/>
          <w:highlight w:val="none"/>
        </w:rPr>
        <w:t>.</w:t>
      </w:r>
      <w:r>
        <w:rPr>
          <w:rFonts w:hint="eastAsia" w:ascii="宋体" w:hAnsi="宋体" w:eastAsia="宋体" w:cs="宋体"/>
          <w:b/>
          <w:bCs/>
          <w:color w:val="auto"/>
          <w:sz w:val="24"/>
          <w:highlight w:val="none"/>
        </w:rPr>
        <w:t xml:space="preserve"> 电子投标文件的加密和提交</w:t>
      </w:r>
    </w:p>
    <w:p w14:paraId="788D7309">
      <w:pPr>
        <w:spacing w:line="360" w:lineRule="exact"/>
        <w:ind w:firstLine="411" w:firstLineChars="19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19</w:t>
      </w:r>
      <w:r>
        <w:rPr>
          <w:rFonts w:hint="eastAsia" w:ascii="宋体" w:hAnsi="宋体" w:eastAsia="宋体" w:cs="宋体"/>
          <w:color w:val="auto"/>
          <w:szCs w:val="21"/>
          <w:highlight w:val="none"/>
        </w:rPr>
        <w:t>.1投标人应按照招标文件和交易平台的要求编制数据电文形式的投标文件并通过数字证书进行加密后，</w:t>
      </w:r>
      <w:r>
        <w:rPr>
          <w:rFonts w:hint="eastAsia" w:ascii="宋体" w:hAnsi="宋体" w:eastAsia="宋体" w:cs="宋体"/>
          <w:bCs/>
          <w:color w:val="auto"/>
          <w:szCs w:val="21"/>
          <w:highlight w:val="none"/>
        </w:rPr>
        <w:t>在招标文件【投标须知前附表】规定的开标时间前将电子投标文件上传到交易平台的对应项目。</w:t>
      </w:r>
      <w:r>
        <w:rPr>
          <w:rFonts w:hint="eastAsia" w:ascii="宋体" w:hAnsi="宋体" w:eastAsia="宋体" w:cs="宋体"/>
          <w:color w:val="auto"/>
          <w:szCs w:val="21"/>
          <w:highlight w:val="none"/>
        </w:rPr>
        <w:t>未按要求加密或逾期上传提交的投标文件，交易平台将无法接受, 采购代理机构不予受理。</w:t>
      </w:r>
    </w:p>
    <w:p w14:paraId="13B2FDCC">
      <w:pPr>
        <w:spacing w:line="360" w:lineRule="exact"/>
        <w:ind w:firstLine="411" w:firstLineChars="196"/>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19</w:t>
      </w:r>
      <w:r>
        <w:rPr>
          <w:rFonts w:hint="eastAsia" w:ascii="宋体" w:hAnsi="宋体" w:eastAsia="宋体" w:cs="宋体"/>
          <w:color w:val="auto"/>
          <w:highlight w:val="none"/>
        </w:rPr>
        <w:t>.2采购代理机构不接受投标截止时间后递交的纸质、电子、传真等所有形式的投标文件。</w:t>
      </w:r>
    </w:p>
    <w:p w14:paraId="51D85859">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19</w:t>
      </w:r>
      <w:r>
        <w:rPr>
          <w:rFonts w:hint="eastAsia" w:ascii="宋体" w:hAnsi="宋体" w:eastAsia="宋体" w:cs="宋体"/>
          <w:bCs/>
          <w:color w:val="auto"/>
          <w:szCs w:val="21"/>
          <w:highlight w:val="none"/>
        </w:rPr>
        <w:t>.3</w:t>
      </w:r>
      <w:r>
        <w:rPr>
          <w:rFonts w:hint="eastAsia" w:ascii="宋体" w:hAnsi="宋体" w:eastAsia="宋体" w:cs="宋体"/>
          <w:color w:val="auto"/>
          <w:highlight w:val="none"/>
        </w:rPr>
        <w:t>建议投标人于开标前一个工作日完成投标文件的制作与上传，</w:t>
      </w:r>
      <w:r>
        <w:rPr>
          <w:rFonts w:hint="eastAsia" w:ascii="宋体" w:hAnsi="宋体" w:eastAsia="宋体" w:cs="宋体"/>
          <w:bCs/>
          <w:color w:val="auto"/>
          <w:szCs w:val="21"/>
          <w:highlight w:val="none"/>
        </w:rPr>
        <w:t>系统将显示“上传成功”。如遇系统提示“上传未成功”，投标人应及时重新提交文件或与系统运维机构联系。</w:t>
      </w:r>
      <w:r>
        <w:rPr>
          <w:rFonts w:hint="eastAsia" w:ascii="宋体" w:hAnsi="宋体" w:eastAsia="宋体" w:cs="宋体"/>
          <w:color w:val="auto"/>
          <w:highlight w:val="none"/>
        </w:rPr>
        <w:t>由于投标人对电子投标操作不熟悉或自身电脑、网络等原因导致不能在投标截止时间之前上传提交投标文件的，</w:t>
      </w:r>
      <w:r>
        <w:rPr>
          <w:rFonts w:hint="eastAsia" w:ascii="宋体" w:hAnsi="宋体" w:eastAsia="宋体" w:cs="宋体"/>
          <w:bCs/>
          <w:color w:val="auto"/>
          <w:szCs w:val="21"/>
          <w:highlight w:val="none"/>
        </w:rPr>
        <w:t>由此造成的后果和责任由投标人自行承担。</w:t>
      </w:r>
    </w:p>
    <w:p w14:paraId="50C5EEF6">
      <w:pPr>
        <w:adjustRightInd w:val="0"/>
        <w:snapToGrid w:val="0"/>
        <w:spacing w:before="156" w:beforeLines="50"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0</w:t>
      </w:r>
      <w:r>
        <w:rPr>
          <w:rFonts w:hint="eastAsia" w:ascii="宋体" w:hAnsi="宋体" w:eastAsia="宋体" w:cs="宋体"/>
          <w:b/>
          <w:bCs/>
          <w:color w:val="auto"/>
          <w:sz w:val="24"/>
          <w:highlight w:val="none"/>
        </w:rPr>
        <w:t>.电子投标文件的修改和撤回</w:t>
      </w:r>
    </w:p>
    <w:p w14:paraId="3A27C8AF">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0</w:t>
      </w:r>
      <w:r>
        <w:rPr>
          <w:rFonts w:hint="eastAsia" w:ascii="宋体" w:hAnsi="宋体" w:eastAsia="宋体" w:cs="宋体"/>
          <w:bCs/>
          <w:color w:val="auto"/>
          <w:szCs w:val="21"/>
          <w:highlight w:val="none"/>
        </w:rPr>
        <w:t>.1投标人在招标文件规定的投标截止时间前，可以撤回已上传的投标文件，也可以撤回并修改后再重新上传。</w:t>
      </w:r>
    </w:p>
    <w:p w14:paraId="1BB32BE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0</w:t>
      </w:r>
      <w:r>
        <w:rPr>
          <w:rFonts w:hint="eastAsia" w:ascii="宋体" w:hAnsi="宋体" w:eastAsia="宋体" w:cs="宋体"/>
          <w:bCs/>
          <w:color w:val="auto"/>
          <w:szCs w:val="21"/>
          <w:highlight w:val="none"/>
        </w:rPr>
        <w:t>.2采购人、采购代理机构发布了修改、澄清文件的，投标人应按照修改、澄清后的招标文件要求重新编制投标文件并上传至交易平台。</w:t>
      </w:r>
    </w:p>
    <w:p w14:paraId="24774584">
      <w:pPr>
        <w:adjustRightInd w:val="0"/>
        <w:snapToGrid w:val="0"/>
        <w:spacing w:before="156" w:beforeLines="50"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串通投标行为</w:t>
      </w:r>
    </w:p>
    <w:p w14:paraId="621A796E">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lang w:val="en-US" w:eastAsia="zh-CN"/>
        </w:rPr>
        <w:t>1</w:t>
      </w:r>
      <w:r>
        <w:rPr>
          <w:rFonts w:hint="eastAsia" w:ascii="宋体" w:hAnsi="宋体" w:eastAsia="宋体" w:cs="宋体"/>
          <w:color w:val="auto"/>
          <w:spacing w:val="-6"/>
          <w:szCs w:val="21"/>
          <w:highlight w:val="none"/>
        </w:rPr>
        <w:t>.1有下列情形之一的，属于恶意串通，对投标人依照政府采购法第七十七条第一款的规定追究法律责任：</w:t>
      </w:r>
    </w:p>
    <w:p w14:paraId="694EC002">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（1）投标人直接或者间接从采购人或者采购代理机构处获得其他投标人的相关情况并修改其投标文件；</w:t>
      </w:r>
    </w:p>
    <w:p w14:paraId="33C3872F">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（2）投标人按照采购人或者采购代理机构的授意撤换、修改投标文件；</w:t>
      </w:r>
    </w:p>
    <w:p w14:paraId="3CB1437D">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（3）投标人之间协商报价、技术方案等投标文件的实质性内容；</w:t>
      </w:r>
    </w:p>
    <w:p w14:paraId="4BA27D3B">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（4）属于同一集团、协会、商会等组织成员的投标人按照该组织要求协同参加政府采购活动；</w:t>
      </w:r>
    </w:p>
    <w:p w14:paraId="2EA84880">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（5）投标人之间事先约定由某一特定投标人中标；</w:t>
      </w:r>
    </w:p>
    <w:p w14:paraId="306788CD">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（6）投标人之间商定部分投标人放弃参加政府采购活动或者放弃中标；</w:t>
      </w:r>
    </w:p>
    <w:p w14:paraId="536E024A">
      <w:pPr>
        <w:adjustRightInd w:val="0"/>
        <w:snapToGrid w:val="0"/>
        <w:spacing w:before="156" w:beforeLines="50" w:line="360"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（7）投标人与采购人或者采购代理机构之间、投标人相互之间，为谋求特定投标人中标或者排斥其他投标人的其他串通行为。</w:t>
      </w:r>
    </w:p>
    <w:p w14:paraId="0DE27D8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.2有下列情形之一的，视为投标人串通投标，其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65FF25C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（1）不同投标人的投标文件由同一单位或者个人编制；</w:t>
      </w:r>
    </w:p>
    <w:p w14:paraId="49A4C8E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（2）不同投标人委托同一单位或者个人办理投标事宜；</w:t>
      </w:r>
    </w:p>
    <w:p w14:paraId="420EF19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（3）不同投标人的投标文件载明的项目管理成员或者联系人员为同一人；</w:t>
      </w:r>
    </w:p>
    <w:p w14:paraId="04E3511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（4）不同投标人的投标文件异常一致或者投标报价呈规律性差异；</w:t>
      </w:r>
    </w:p>
    <w:p w14:paraId="478E81D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（5）不同投标人的投标文件相互签章；</w:t>
      </w:r>
    </w:p>
    <w:p w14:paraId="7693111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不同投标人的文件制作机器码或文件创建标识码或电脑IP地址一致的；</w:t>
      </w:r>
    </w:p>
    <w:p w14:paraId="694E3F6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法律、行政法规或规章规定的其他串通行为。</w:t>
      </w:r>
    </w:p>
    <w:p w14:paraId="012DE6D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p>
    <w:p w14:paraId="2C8EED37">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68" w:name="_Toc30559"/>
      <w:bookmarkStart w:id="69" w:name="_Toc30757"/>
      <w:bookmarkStart w:id="70" w:name="_Toc29913901"/>
      <w:bookmarkStart w:id="71" w:name="_Toc5746"/>
      <w:bookmarkStart w:id="72" w:name="_Toc26112"/>
      <w:r>
        <w:rPr>
          <w:rFonts w:hint="eastAsia" w:ascii="宋体" w:hAnsi="宋体" w:eastAsia="宋体" w:cs="宋体"/>
          <w:color w:val="auto"/>
          <w:sz w:val="28"/>
          <w:szCs w:val="28"/>
          <w:highlight w:val="none"/>
        </w:rPr>
        <w:t>五、开标，资格审查和评标</w:t>
      </w:r>
      <w:bookmarkEnd w:id="68"/>
      <w:bookmarkEnd w:id="69"/>
      <w:bookmarkEnd w:id="70"/>
      <w:bookmarkEnd w:id="71"/>
      <w:bookmarkEnd w:id="72"/>
    </w:p>
    <w:p w14:paraId="031A6012">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 开标</w:t>
      </w:r>
    </w:p>
    <w:p w14:paraId="649D63C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.1开标时，出现下列情形之一的，采购代理机构不予受理： </w:t>
      </w:r>
    </w:p>
    <w:p w14:paraId="6D477C8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（1）经检查数字证书无效的电子投标文件； </w:t>
      </w:r>
    </w:p>
    <w:p w14:paraId="6D5C56A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（2）电子投标文件未按照招标文件的要求进行加密的； </w:t>
      </w:r>
    </w:p>
    <w:p w14:paraId="7D81F29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（3）电子投标文件未按招标文件要求上传至交易平台的；</w:t>
      </w:r>
    </w:p>
    <w:p w14:paraId="7385CEF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（4）投标人未按照</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规定的方式及时间解密电子投标文件的；</w:t>
      </w:r>
    </w:p>
    <w:p w14:paraId="0AAD1AA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（5）其它违反法律、法规的情形。</w:t>
      </w:r>
    </w:p>
    <w:p w14:paraId="56C883C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.2采购人或者采购代理机构应按招标文件规定的时间、地点在交易平台上组织公开开标，并邀请投标人参加。</w:t>
      </w:r>
    </w:p>
    <w:p w14:paraId="2DBC9CEF">
      <w:pPr>
        <w:spacing w:line="400" w:lineRule="atLeast"/>
        <w:ind w:firstLine="41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.3</w:t>
      </w:r>
      <w:r>
        <w:rPr>
          <w:rFonts w:hint="eastAsia" w:ascii="宋体" w:hAnsi="宋体" w:eastAsia="宋体" w:cs="宋体"/>
          <w:color w:val="auto"/>
          <w:highlight w:val="none"/>
        </w:rPr>
        <w:t>投标人在开标时间前提前登录网上开标系统，</w:t>
      </w:r>
      <w:r>
        <w:rPr>
          <w:rFonts w:hint="eastAsia" w:ascii="宋体" w:hAnsi="宋体" w:eastAsia="宋体" w:cs="宋体"/>
          <w:color w:val="auto"/>
          <w:szCs w:val="21"/>
          <w:highlight w:val="none"/>
        </w:rPr>
        <w:t>通过网上开标系统参加开标会</w:t>
      </w:r>
      <w:r>
        <w:rPr>
          <w:rFonts w:hint="eastAsia" w:ascii="宋体" w:hAnsi="宋体" w:eastAsia="宋体" w:cs="宋体"/>
          <w:color w:val="auto"/>
          <w:highlight w:val="none"/>
        </w:rPr>
        <w:t>。</w:t>
      </w:r>
    </w:p>
    <w:p w14:paraId="03F3CF0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开标程序。采购代理机构在投标截止时间后，按下列程序进行开标： </w:t>
      </w:r>
    </w:p>
    <w:p w14:paraId="35BCF085">
      <w:pPr>
        <w:spacing w:line="400" w:lineRule="atLeast"/>
        <w:ind w:firstLine="41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（1）宣读。投标截止时间，采购代理机构登根据系统显示宣布报名的投标人数量和上传了投标文件的投标人数量。</w:t>
      </w:r>
    </w:p>
    <w:p w14:paraId="19D2BE7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（2）解密。采购代理机构在系统发出解密指令。</w:t>
      </w:r>
      <w:r>
        <w:rPr>
          <w:rFonts w:hint="eastAsia" w:ascii="宋体" w:hAnsi="宋体" w:eastAsia="宋体" w:cs="宋体"/>
          <w:color w:val="auto"/>
          <w:highlight w:val="none"/>
        </w:rPr>
        <w:t>投标人根据系统发出投标文件解密指令提示后在规定时间内使用加密投标文件的CA数字证书进行投标文件解密。解密时限见第二章第一节《投标须知前附表》，投标文件在解密时限内解密成功的为有效投标人，未解密或解密失败，视为撤销其投标文件，开标继续进行。当</w:t>
      </w:r>
      <w:r>
        <w:rPr>
          <w:rFonts w:hint="eastAsia" w:ascii="宋体" w:hAnsi="宋体" w:eastAsia="宋体" w:cs="宋体"/>
          <w:color w:val="auto"/>
          <w:szCs w:val="21"/>
          <w:highlight w:val="none"/>
        </w:rPr>
        <w:t>解密成功的投标人不足3家时，开标不再继续。</w:t>
      </w:r>
    </w:p>
    <w:p w14:paraId="21DB9ACC">
      <w:pPr>
        <w:spacing w:line="400" w:lineRule="atLeast"/>
        <w:ind w:firstLine="41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（3）唱标。</w:t>
      </w:r>
      <w:r>
        <w:rPr>
          <w:rFonts w:hint="eastAsia" w:ascii="宋体" w:hAnsi="宋体" w:eastAsia="宋体" w:cs="宋体"/>
          <w:color w:val="auto"/>
          <w:highlight w:val="none"/>
        </w:rPr>
        <w:t>以投标人《开标一览表》为准，由系统在线公布投标人名单、开标关键数据情况。电子交易系统在线即时生成《开标记录表》，所有解密成功的投标人可以在线即时查看、下载。</w:t>
      </w:r>
    </w:p>
    <w:p w14:paraId="7AF4358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（4）确认。投标人</w:t>
      </w:r>
      <w:r>
        <w:rPr>
          <w:rFonts w:hint="eastAsia" w:ascii="宋体" w:hAnsi="宋体" w:cs="宋体"/>
          <w:color w:val="auto"/>
          <w:szCs w:val="21"/>
          <w:highlight w:val="none"/>
          <w:lang w:eastAsia="zh-CN"/>
        </w:rPr>
        <w:t>法定代表人（单位负责人）或授权代表人</w:t>
      </w:r>
      <w:r>
        <w:rPr>
          <w:rFonts w:hint="eastAsia" w:ascii="宋体" w:hAnsi="宋体" w:eastAsia="宋体" w:cs="宋体"/>
          <w:color w:val="auto"/>
          <w:szCs w:val="21"/>
          <w:highlight w:val="none"/>
        </w:rPr>
        <w:t>应在规定的时间内通过电子交易系统在《开标记录表》上进行确认。投标人未在规定的时间进行确认的，视同认可开标结果</w:t>
      </w:r>
      <w:r>
        <w:rPr>
          <w:rFonts w:hint="eastAsia" w:ascii="宋体" w:hAnsi="宋体" w:eastAsia="宋体" w:cs="宋体"/>
          <w:color w:val="auto"/>
          <w:szCs w:val="21"/>
          <w:highlight w:val="none"/>
          <w:lang w:eastAsia="zh-CN"/>
        </w:rPr>
        <w:t>，显示为“默认确认”</w:t>
      </w:r>
      <w:r>
        <w:rPr>
          <w:rFonts w:hint="eastAsia" w:ascii="宋体" w:hAnsi="宋体" w:eastAsia="宋体" w:cs="宋体"/>
          <w:color w:val="auto"/>
          <w:szCs w:val="21"/>
          <w:highlight w:val="none"/>
        </w:rPr>
        <w:t>。</w:t>
      </w:r>
    </w:p>
    <w:p w14:paraId="2AD5DF7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投标人代表对开标过程和开标记录有疑义，以及认为采购人或者采购代理机构相关工作人员有《政府采购法实施条例》第九条第一款需要回避的情形的，应当场提出询问或者回避申请。</w:t>
      </w:r>
    </w:p>
    <w:p w14:paraId="45B2C81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2.6</w:t>
      </w:r>
      <w:r>
        <w:rPr>
          <w:rFonts w:hint="eastAsia" w:ascii="宋体" w:hAnsi="宋体" w:eastAsia="宋体" w:cs="宋体"/>
          <w:color w:val="auto"/>
          <w:szCs w:val="21"/>
          <w:highlight w:val="none"/>
        </w:rPr>
        <w:t>采购人或者采购代理机构对投标人代表当场提出的询问或者回避申请，按《政府采购法实施条例》有关规定及时处理。</w:t>
      </w:r>
    </w:p>
    <w:p w14:paraId="5A886A60">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7</w:t>
      </w:r>
      <w:r>
        <w:rPr>
          <w:rFonts w:hint="eastAsia" w:ascii="宋体" w:hAnsi="宋体" w:eastAsia="宋体" w:cs="宋体"/>
          <w:bCs/>
          <w:color w:val="auto"/>
          <w:szCs w:val="21"/>
          <w:highlight w:val="none"/>
        </w:rPr>
        <w:t>开标时，出现下列情形之一的，视为投标人撤销其投标。</w:t>
      </w:r>
    </w:p>
    <w:p w14:paraId="4C166B98">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（1）投标人未按要求配置开标所需的软硬件设备，导致解密失败的；</w:t>
      </w:r>
    </w:p>
    <w:p w14:paraId="67A148A2">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（2）投标人电脑故障或无法上网，导致解密失败的； </w:t>
      </w:r>
    </w:p>
    <w:p w14:paraId="115F885C">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（3）投标人电子CA证书发生故障、失效、错误等，导致解密失败的；</w:t>
      </w:r>
    </w:p>
    <w:p w14:paraId="6F6CA1F8">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（4）解密时间超过规定时限的；</w:t>
      </w:r>
    </w:p>
    <w:p w14:paraId="5DCFF8CA">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（5）其他由于投标人自身原因导致解密失效的情形。</w:t>
      </w:r>
    </w:p>
    <w:p w14:paraId="49A40988">
      <w:pPr>
        <w:spacing w:line="400" w:lineRule="exact"/>
        <w:ind w:firstLine="720"/>
        <w:rPr>
          <w:rFonts w:hint="eastAsia" w:ascii="宋体" w:hAnsi="宋体" w:eastAsia="宋体" w:cs="宋体"/>
          <w:b/>
          <w:color w:val="auto"/>
          <w:highlight w:val="none"/>
        </w:rPr>
      </w:pPr>
    </w:p>
    <w:p w14:paraId="2B1AAAB6">
      <w:pPr>
        <w:adjustRightInd w:val="0"/>
        <w:snapToGrid w:val="0"/>
        <w:spacing w:before="156" w:beforeLines="50" w:line="360" w:lineRule="auto"/>
        <w:jc w:val="left"/>
        <w:rPr>
          <w:rFonts w:hint="eastAsia" w:ascii="宋体" w:hAnsi="宋体" w:eastAsia="宋体" w:cs="宋体"/>
          <w:b/>
          <w:color w:val="auto"/>
          <w:sz w:val="24"/>
          <w:highlight w:val="none"/>
        </w:rPr>
      </w:pPr>
      <w:r>
        <w:rPr>
          <w:rStyle w:val="47"/>
          <w:rFonts w:hint="eastAsia" w:ascii="宋体" w:hAnsi="宋体" w:eastAsia="宋体" w:cs="宋体"/>
          <w:color w:val="auto"/>
          <w:sz w:val="24"/>
          <w:highlight w:val="none"/>
        </w:rPr>
        <w:t>2</w:t>
      </w:r>
      <w:r>
        <w:rPr>
          <w:rStyle w:val="47"/>
          <w:rFonts w:hint="eastAsia" w:ascii="宋体" w:hAnsi="宋体" w:eastAsia="宋体" w:cs="宋体"/>
          <w:color w:val="auto"/>
          <w:sz w:val="24"/>
          <w:highlight w:val="none"/>
          <w:lang w:val="en-US" w:eastAsia="zh-CN"/>
        </w:rPr>
        <w:t>3</w:t>
      </w:r>
      <w:r>
        <w:rPr>
          <w:rStyle w:val="47"/>
          <w:rFonts w:hint="eastAsia" w:ascii="宋体" w:hAnsi="宋体" w:eastAsia="宋体" w:cs="宋体"/>
          <w:color w:val="auto"/>
          <w:sz w:val="24"/>
          <w:highlight w:val="none"/>
        </w:rPr>
        <w:t>.</w:t>
      </w:r>
      <w:r>
        <w:rPr>
          <w:rFonts w:hint="eastAsia" w:ascii="宋体" w:hAnsi="宋体" w:eastAsia="宋体" w:cs="宋体"/>
          <w:b/>
          <w:color w:val="auto"/>
          <w:sz w:val="24"/>
          <w:highlight w:val="none"/>
        </w:rPr>
        <w:t xml:space="preserve"> 资格审查</w:t>
      </w:r>
    </w:p>
    <w:p w14:paraId="7A0216E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.1开标结束后，采购人、采购代理机构依法按照第三章“资格审查”规定组织资格审查。</w:t>
      </w:r>
    </w:p>
    <w:p w14:paraId="7DB19BF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.2资格审查结束后，采购人、采购代理机构应将资格审查结果告知评标委员会。资格审查不合格投标人不进入评标；经资格审查合格投标人少于3家的，不得评标。</w:t>
      </w:r>
    </w:p>
    <w:p w14:paraId="4F6B1AA3">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评标委员会</w:t>
      </w:r>
    </w:p>
    <w:p w14:paraId="21D602F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.1评标由依法组建的评标委员会负责，评标委员会由采购人代表和</w:t>
      </w:r>
      <w:r>
        <w:rPr>
          <w:rFonts w:hint="eastAsia" w:ascii="宋体" w:hAnsi="宋体" w:eastAsia="宋体" w:cs="宋体"/>
          <w:color w:val="auto"/>
          <w:szCs w:val="21"/>
          <w:highlight w:val="none"/>
          <w:lang w:eastAsia="zh-CN"/>
        </w:rPr>
        <w:t>评标专家</w:t>
      </w:r>
      <w:r>
        <w:rPr>
          <w:rFonts w:hint="eastAsia" w:ascii="宋体" w:hAnsi="宋体" w:eastAsia="宋体" w:cs="宋体"/>
          <w:color w:val="auto"/>
          <w:szCs w:val="21"/>
          <w:highlight w:val="none"/>
        </w:rPr>
        <w:t>组成。</w:t>
      </w:r>
    </w:p>
    <w:p w14:paraId="0AB8D65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.2评标委员会成员有下列情形之一的，应当回避：</w:t>
      </w:r>
    </w:p>
    <w:p w14:paraId="78428DE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（1）参加采购活动前三年内,与投标人存在劳动关系,或者担任过投标人的董事、监事,或者是投标人的控股股东或实际控制人；</w:t>
      </w:r>
    </w:p>
    <w:p w14:paraId="77F6E6D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（2）与投标人的法定代表人或者负责人有夫妻、直系血亲、三代以内旁系血亲或者近姻亲关系；</w:t>
      </w:r>
    </w:p>
    <w:p w14:paraId="13BFB96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（3）与投标人有其他可能影响政府采购活动公平、公正进行的关系。</w:t>
      </w:r>
    </w:p>
    <w:p w14:paraId="1ADD9E8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.3评标委员会负责具体评标事务，并独立履行下列职责：</w:t>
      </w:r>
    </w:p>
    <w:p w14:paraId="07493C6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（1）审查、评价投标文件是否符合招标文件的商务、技术等实质性要求；</w:t>
      </w:r>
    </w:p>
    <w:p w14:paraId="0F13EF9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（2）要求投标人对投标文件有关事项作出澄清或者说明；</w:t>
      </w:r>
    </w:p>
    <w:p w14:paraId="2F7FE07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（3）对投标文件进行比较和评价；</w:t>
      </w:r>
    </w:p>
    <w:p w14:paraId="7F021D3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（4）确定中标候选人名单，以及根据采购人委托直接确定中标人。</w:t>
      </w:r>
    </w:p>
    <w:p w14:paraId="0A5E01C7">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w:t>
      </w:r>
      <w:r>
        <w:rPr>
          <w:rFonts w:hint="eastAsia" w:ascii="宋体" w:hAnsi="宋体" w:eastAsia="宋体" w:cs="宋体"/>
          <w:b/>
          <w:bCs/>
          <w:color w:val="auto"/>
          <w:sz w:val="24"/>
          <w:highlight w:val="none"/>
        </w:rPr>
        <w:t xml:space="preserve"> 评标</w:t>
      </w:r>
    </w:p>
    <w:p w14:paraId="17DE8EFF">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.1评标委员会按照</w:t>
      </w:r>
      <w:r>
        <w:rPr>
          <w:rFonts w:hint="eastAsia" w:ascii="宋体" w:hAnsi="宋体" w:eastAsia="宋体" w:cs="宋体"/>
          <w:bCs/>
          <w:color w:val="auto"/>
          <w:highlight w:val="none"/>
        </w:rPr>
        <w:t>第四章“评标方法及标准”</w:t>
      </w:r>
      <w:r>
        <w:rPr>
          <w:rFonts w:hint="eastAsia" w:ascii="宋体" w:hAnsi="宋体" w:eastAsia="宋体" w:cs="宋体"/>
          <w:color w:val="auto"/>
          <w:highlight w:val="none"/>
        </w:rPr>
        <w:t>规定的评标方法、评审因素、标准和程序以及有关法律、法规及规章对投标文件进行评审。</w:t>
      </w:r>
    </w:p>
    <w:p w14:paraId="4A342701">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73" w:name="_Toc28111"/>
      <w:bookmarkStart w:id="74" w:name="_Toc29913902"/>
      <w:bookmarkStart w:id="75" w:name="_Toc1276"/>
      <w:bookmarkStart w:id="76" w:name="_Toc31877"/>
      <w:bookmarkStart w:id="77" w:name="_Toc26254"/>
      <w:r>
        <w:rPr>
          <w:rFonts w:hint="eastAsia" w:ascii="宋体" w:hAnsi="宋体" w:eastAsia="宋体" w:cs="宋体"/>
          <w:color w:val="auto"/>
          <w:sz w:val="28"/>
          <w:szCs w:val="28"/>
          <w:highlight w:val="none"/>
        </w:rPr>
        <w:t>六、中标信息公布</w:t>
      </w:r>
      <w:bookmarkEnd w:id="73"/>
      <w:bookmarkEnd w:id="74"/>
      <w:bookmarkEnd w:id="75"/>
      <w:bookmarkEnd w:id="76"/>
      <w:bookmarkEnd w:id="77"/>
    </w:p>
    <w:p w14:paraId="4C024351">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中标通知书与中标信息公布</w:t>
      </w:r>
    </w:p>
    <w:p w14:paraId="5ECD6D1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.1采购代理机构应当在评标结束后</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个工作日内将评标报告送采购人。</w:t>
      </w:r>
    </w:p>
    <w:p w14:paraId="49E0427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.2采购人应当自收到评标报告之日起</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个工作日内，在评标报告确定的中标候选人名单中按顺序确定中标人。中标候选人并列的，按照</w:t>
      </w:r>
      <w:r>
        <w:rPr>
          <w:rFonts w:hint="eastAsia" w:ascii="宋体" w:hAnsi="宋体" w:eastAsia="宋体" w:cs="宋体"/>
          <w:b/>
          <w:color w:val="auto"/>
          <w:szCs w:val="21"/>
          <w:highlight w:val="none"/>
        </w:rPr>
        <w:t>【投标须知前附表】</w:t>
      </w:r>
      <w:r>
        <w:rPr>
          <w:rFonts w:hint="eastAsia" w:ascii="宋体" w:hAnsi="宋体" w:eastAsia="宋体" w:cs="宋体"/>
          <w:color w:val="auto"/>
          <w:szCs w:val="21"/>
          <w:highlight w:val="none"/>
        </w:rPr>
        <w:t>规定的方式确定中标人；招标文件未规定的，采取随机抽取的方式确定。</w:t>
      </w:r>
    </w:p>
    <w:p w14:paraId="14C6650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.3采购人、采购代理机构应当自采购人确定</w:t>
      </w:r>
      <w:r>
        <w:rPr>
          <w:rFonts w:hint="eastAsia" w:ascii="宋体" w:hAnsi="宋体" w:eastAsia="宋体" w:cs="宋体"/>
          <w:color w:val="auto"/>
          <w:szCs w:val="21"/>
          <w:highlight w:val="none"/>
          <w:lang w:eastAsia="zh-CN"/>
        </w:rPr>
        <w:t>中标投标人</w:t>
      </w:r>
      <w:r>
        <w:rPr>
          <w:rFonts w:hint="eastAsia" w:ascii="宋体" w:hAnsi="宋体" w:eastAsia="宋体" w:cs="宋体"/>
          <w:color w:val="auto"/>
          <w:szCs w:val="21"/>
          <w:highlight w:val="none"/>
        </w:rPr>
        <w:t>之日起2个工作日内，发出中标通知书，并在招标公告指定媒体上公告中标结果，招标文件随中标结果同时公告，中标结果公告期限为１个工作日。</w:t>
      </w:r>
    </w:p>
    <w:p w14:paraId="5102DC05">
      <w:pPr>
        <w:numPr>
          <w:ilvl w:val="0"/>
          <w:numId w:val="5"/>
        </w:num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投标人询问及</w:t>
      </w:r>
      <w:r>
        <w:rPr>
          <w:rFonts w:hint="eastAsia" w:ascii="宋体" w:hAnsi="宋体" w:eastAsia="宋体" w:cs="宋体"/>
          <w:b/>
          <w:bCs/>
          <w:color w:val="auto"/>
          <w:sz w:val="24"/>
          <w:highlight w:val="none"/>
        </w:rPr>
        <w:t>质疑</w:t>
      </w:r>
    </w:p>
    <w:p w14:paraId="14E04F6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.1投标人对政府采购活动事项有疑问的，可以向采购人、采购代理机构提出询问。采购人或采购代理机构将在3个工作日内作出答复。</w:t>
      </w:r>
    </w:p>
    <w:p w14:paraId="1CD6B26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投标人认为招标文件、采购过程和中标结果使自己的权益受到损害的，可以在知道或者应知其权益受到损害之日起7个工作日内，按照《湖南省财政厅关于印发＜政府采购质疑答复和投诉处理操作规程＞的通知》(湘财购〔2019〕20号)规定，</w:t>
      </w:r>
      <w:r>
        <w:rPr>
          <w:rFonts w:hint="eastAsia" w:ascii="宋体" w:hAnsi="宋体" w:eastAsia="宋体" w:cs="宋体"/>
          <w:color w:val="auto"/>
          <w:szCs w:val="21"/>
          <w:highlight w:val="none"/>
          <w:lang w:eastAsia="zh-CN"/>
        </w:rPr>
        <w:t>在法定质疑期内以纸质书面形式一次性向采购人、采购代理机构提出针对同一采购程序环节的质疑。</w:t>
      </w:r>
    </w:p>
    <w:p w14:paraId="21A1770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.3投标人提出质疑的，应按照《湖南省财政厅关于印发＜政府采购质疑答复和投诉处理操作规程＞的通知》规定制作、签署、送达。采购人、采购代理机构接收质疑函的联系部门、联系电话和通讯地址见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eastAsia="宋体" w:cs="宋体"/>
          <w:b/>
          <w:color w:val="auto"/>
          <w:szCs w:val="21"/>
          <w:highlight w:val="none"/>
        </w:rPr>
        <w:t>【申请人须知前附表】</w:t>
      </w:r>
      <w:r>
        <w:rPr>
          <w:rFonts w:hint="eastAsia" w:ascii="宋体" w:hAnsi="宋体" w:eastAsia="宋体" w:cs="宋体"/>
          <w:color w:val="auto"/>
          <w:szCs w:val="21"/>
          <w:highlight w:val="none"/>
        </w:rPr>
        <w:t xml:space="preserve">。  </w:t>
      </w:r>
    </w:p>
    <w:p w14:paraId="4BF4D3A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.4采购人、采购代理机构按照《湖南省财政厅关于印发＜政府采购质疑答复和投诉处理操作规程＞的通知》规定进行质疑答复。</w:t>
      </w:r>
    </w:p>
    <w:p w14:paraId="0F94CDEC">
      <w:pPr>
        <w:adjustRightInd w:val="0"/>
        <w:snapToGrid w:val="0"/>
        <w:spacing w:before="156" w:beforeLines="50" w:line="360" w:lineRule="auto"/>
        <w:ind w:firstLine="420" w:firstLineChars="200"/>
        <w:jc w:val="left"/>
        <w:rPr>
          <w:rFonts w:hint="eastAsia" w:ascii="宋体" w:hAnsi="宋体" w:eastAsia="宋体" w:cs="宋体"/>
          <w:b/>
          <w:bCs/>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5投标人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6F242F5E">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78" w:name="_Toc29913903"/>
      <w:bookmarkStart w:id="79" w:name="_Toc20707"/>
      <w:bookmarkStart w:id="80" w:name="_Toc14372"/>
      <w:bookmarkStart w:id="81" w:name="_Toc17703"/>
      <w:bookmarkStart w:id="82" w:name="_Toc1193"/>
      <w:r>
        <w:rPr>
          <w:rFonts w:hint="eastAsia" w:ascii="宋体" w:hAnsi="宋体" w:eastAsia="宋体" w:cs="宋体"/>
          <w:color w:val="auto"/>
          <w:sz w:val="28"/>
          <w:szCs w:val="28"/>
          <w:highlight w:val="none"/>
        </w:rPr>
        <w:t>七、合同签订</w:t>
      </w:r>
      <w:bookmarkEnd w:id="78"/>
      <w:bookmarkEnd w:id="79"/>
      <w:bookmarkEnd w:id="80"/>
      <w:bookmarkEnd w:id="81"/>
      <w:bookmarkEnd w:id="82"/>
    </w:p>
    <w:p w14:paraId="75256140">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 签订合同</w:t>
      </w:r>
    </w:p>
    <w:p w14:paraId="576D1B2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.1采购人应自中标通知书发出之日起</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日内，按中标通知书指定的时间、地点与中标人签订政府采购合同。所签订的合同不得对招标文件确定的事项和中标人投标文件作实质性修改。</w:t>
      </w:r>
    </w:p>
    <w:p w14:paraId="4086742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.2招标文件、中标人的投标文件均为签订合同的依据。</w:t>
      </w:r>
    </w:p>
    <w:p w14:paraId="0C7E7208">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rPr>
        <w:t>.3联</w:t>
      </w:r>
      <w:r>
        <w:rPr>
          <w:rFonts w:hint="eastAsia" w:ascii="宋体" w:hAnsi="宋体" w:eastAsia="宋体" w:cs="宋体"/>
          <w:color w:val="auto"/>
          <w:spacing w:val="-2"/>
          <w:kern w:val="0"/>
          <w:szCs w:val="21"/>
          <w:highlight w:val="none"/>
        </w:rPr>
        <w:t>合</w:t>
      </w:r>
      <w:r>
        <w:rPr>
          <w:rFonts w:hint="eastAsia" w:ascii="宋体" w:hAnsi="宋体" w:eastAsia="宋体" w:cs="宋体"/>
          <w:color w:val="auto"/>
          <w:kern w:val="0"/>
          <w:szCs w:val="21"/>
          <w:highlight w:val="none"/>
        </w:rPr>
        <w:t>体</w:t>
      </w:r>
      <w:r>
        <w:rPr>
          <w:rFonts w:hint="eastAsia" w:ascii="宋体" w:hAnsi="宋体" w:eastAsia="宋体" w:cs="宋体"/>
          <w:color w:val="auto"/>
          <w:spacing w:val="-2"/>
          <w:kern w:val="0"/>
          <w:szCs w:val="21"/>
          <w:highlight w:val="none"/>
        </w:rPr>
        <w:t>中</w:t>
      </w:r>
      <w:r>
        <w:rPr>
          <w:rFonts w:hint="eastAsia" w:ascii="宋体" w:hAnsi="宋体" w:eastAsia="宋体" w:cs="宋体"/>
          <w:color w:val="auto"/>
          <w:kern w:val="0"/>
          <w:szCs w:val="21"/>
          <w:highlight w:val="none"/>
        </w:rPr>
        <w:t>标的</w:t>
      </w:r>
      <w:r>
        <w:rPr>
          <w:rFonts w:hint="eastAsia" w:ascii="宋体" w:hAnsi="宋体" w:eastAsia="宋体" w:cs="宋体"/>
          <w:color w:val="auto"/>
          <w:spacing w:val="-14"/>
          <w:kern w:val="0"/>
          <w:szCs w:val="21"/>
          <w:highlight w:val="none"/>
        </w:rPr>
        <w:t>，</w:t>
      </w:r>
      <w:r>
        <w:rPr>
          <w:rFonts w:hint="eastAsia" w:ascii="宋体" w:hAnsi="宋体" w:eastAsia="宋体" w:cs="宋体"/>
          <w:color w:val="auto"/>
          <w:kern w:val="0"/>
          <w:szCs w:val="21"/>
          <w:highlight w:val="none"/>
        </w:rPr>
        <w:t>联</w:t>
      </w:r>
      <w:r>
        <w:rPr>
          <w:rFonts w:hint="eastAsia" w:ascii="宋体" w:hAnsi="宋体" w:eastAsia="宋体" w:cs="宋体"/>
          <w:color w:val="auto"/>
          <w:spacing w:val="-2"/>
          <w:kern w:val="0"/>
          <w:szCs w:val="21"/>
          <w:highlight w:val="none"/>
        </w:rPr>
        <w:t>合</w:t>
      </w:r>
      <w:r>
        <w:rPr>
          <w:rFonts w:hint="eastAsia" w:ascii="宋体" w:hAnsi="宋体" w:eastAsia="宋体" w:cs="宋体"/>
          <w:color w:val="auto"/>
          <w:kern w:val="0"/>
          <w:szCs w:val="21"/>
          <w:highlight w:val="none"/>
        </w:rPr>
        <w:t>体各</w:t>
      </w:r>
      <w:r>
        <w:rPr>
          <w:rFonts w:hint="eastAsia" w:ascii="宋体" w:hAnsi="宋体" w:eastAsia="宋体" w:cs="宋体"/>
          <w:color w:val="auto"/>
          <w:spacing w:val="-2"/>
          <w:kern w:val="0"/>
          <w:szCs w:val="21"/>
          <w:highlight w:val="none"/>
        </w:rPr>
        <w:t>方</w:t>
      </w:r>
      <w:r>
        <w:rPr>
          <w:rFonts w:hint="eastAsia" w:ascii="宋体" w:hAnsi="宋体" w:eastAsia="宋体" w:cs="宋体"/>
          <w:color w:val="auto"/>
          <w:kern w:val="0"/>
          <w:szCs w:val="21"/>
          <w:highlight w:val="none"/>
        </w:rPr>
        <w:t>应</w:t>
      </w:r>
      <w:r>
        <w:rPr>
          <w:rFonts w:hint="eastAsia" w:ascii="宋体" w:hAnsi="宋体" w:eastAsia="宋体" w:cs="宋体"/>
          <w:color w:val="auto"/>
          <w:spacing w:val="-2"/>
          <w:kern w:val="0"/>
          <w:szCs w:val="21"/>
          <w:highlight w:val="none"/>
        </w:rPr>
        <w:t>当</w:t>
      </w:r>
      <w:r>
        <w:rPr>
          <w:rFonts w:hint="eastAsia" w:ascii="宋体" w:hAnsi="宋体" w:eastAsia="宋体" w:cs="宋体"/>
          <w:color w:val="auto"/>
          <w:kern w:val="0"/>
          <w:szCs w:val="21"/>
          <w:highlight w:val="none"/>
        </w:rPr>
        <w:t>共</w:t>
      </w:r>
      <w:r>
        <w:rPr>
          <w:rFonts w:hint="eastAsia" w:ascii="宋体" w:hAnsi="宋体" w:eastAsia="宋体" w:cs="宋体"/>
          <w:color w:val="auto"/>
          <w:spacing w:val="-2"/>
          <w:kern w:val="0"/>
          <w:szCs w:val="21"/>
          <w:highlight w:val="none"/>
        </w:rPr>
        <w:t>同</w:t>
      </w:r>
      <w:r>
        <w:rPr>
          <w:rFonts w:hint="eastAsia" w:ascii="宋体" w:hAnsi="宋体" w:eastAsia="宋体" w:cs="宋体"/>
          <w:color w:val="auto"/>
          <w:kern w:val="0"/>
          <w:szCs w:val="21"/>
          <w:highlight w:val="none"/>
        </w:rPr>
        <w:t>与</w:t>
      </w:r>
      <w:r>
        <w:rPr>
          <w:rFonts w:hint="eastAsia" w:ascii="宋体" w:hAnsi="宋体" w:eastAsia="宋体" w:cs="宋体"/>
          <w:color w:val="auto"/>
          <w:spacing w:val="-2"/>
          <w:kern w:val="0"/>
          <w:szCs w:val="21"/>
          <w:highlight w:val="none"/>
        </w:rPr>
        <w:t>采购人</w:t>
      </w:r>
      <w:r>
        <w:rPr>
          <w:rFonts w:hint="eastAsia" w:ascii="宋体" w:hAnsi="宋体" w:eastAsia="宋体" w:cs="宋体"/>
          <w:color w:val="auto"/>
          <w:kern w:val="0"/>
          <w:szCs w:val="21"/>
          <w:highlight w:val="none"/>
        </w:rPr>
        <w:t>签订</w:t>
      </w:r>
      <w:r>
        <w:rPr>
          <w:rFonts w:hint="eastAsia" w:ascii="宋体" w:hAnsi="宋体" w:eastAsia="宋体" w:cs="宋体"/>
          <w:color w:val="auto"/>
          <w:spacing w:val="-2"/>
          <w:kern w:val="0"/>
          <w:szCs w:val="21"/>
          <w:highlight w:val="none"/>
        </w:rPr>
        <w:t>合</w:t>
      </w:r>
      <w:r>
        <w:rPr>
          <w:rFonts w:hint="eastAsia" w:ascii="宋体" w:hAnsi="宋体" w:eastAsia="宋体" w:cs="宋体"/>
          <w:color w:val="auto"/>
          <w:kern w:val="0"/>
          <w:szCs w:val="21"/>
          <w:highlight w:val="none"/>
        </w:rPr>
        <w:t>同</w:t>
      </w:r>
      <w:r>
        <w:rPr>
          <w:rFonts w:hint="eastAsia" w:ascii="宋体" w:hAnsi="宋体" w:eastAsia="宋体" w:cs="宋体"/>
          <w:color w:val="auto"/>
          <w:spacing w:val="-14"/>
          <w:kern w:val="0"/>
          <w:szCs w:val="21"/>
          <w:highlight w:val="none"/>
        </w:rPr>
        <w:t>，</w:t>
      </w:r>
      <w:r>
        <w:rPr>
          <w:rFonts w:hint="eastAsia" w:ascii="宋体" w:hAnsi="宋体" w:eastAsia="宋体" w:cs="宋体"/>
          <w:color w:val="auto"/>
          <w:kern w:val="0"/>
          <w:szCs w:val="21"/>
          <w:highlight w:val="none"/>
        </w:rPr>
        <w:t>就</w:t>
      </w:r>
      <w:r>
        <w:rPr>
          <w:rFonts w:hint="eastAsia" w:ascii="宋体" w:hAnsi="宋体" w:eastAsia="宋体" w:cs="宋体"/>
          <w:color w:val="auto"/>
          <w:spacing w:val="-2"/>
          <w:kern w:val="0"/>
          <w:szCs w:val="21"/>
          <w:highlight w:val="none"/>
        </w:rPr>
        <w:t>中</w:t>
      </w:r>
      <w:r>
        <w:rPr>
          <w:rFonts w:hint="eastAsia" w:ascii="宋体" w:hAnsi="宋体" w:eastAsia="宋体" w:cs="宋体"/>
          <w:color w:val="auto"/>
          <w:kern w:val="0"/>
          <w:szCs w:val="21"/>
          <w:highlight w:val="none"/>
        </w:rPr>
        <w:t>标</w:t>
      </w:r>
      <w:r>
        <w:rPr>
          <w:rFonts w:hint="eastAsia" w:ascii="宋体" w:hAnsi="宋体" w:eastAsia="宋体" w:cs="宋体"/>
          <w:color w:val="auto"/>
          <w:spacing w:val="-2"/>
          <w:kern w:val="0"/>
          <w:szCs w:val="21"/>
          <w:highlight w:val="none"/>
        </w:rPr>
        <w:t>项</w:t>
      </w:r>
      <w:r>
        <w:rPr>
          <w:rFonts w:hint="eastAsia" w:ascii="宋体" w:hAnsi="宋体" w:eastAsia="宋体" w:cs="宋体"/>
          <w:color w:val="auto"/>
          <w:kern w:val="0"/>
          <w:szCs w:val="21"/>
          <w:highlight w:val="none"/>
        </w:rPr>
        <w:t>目</w:t>
      </w:r>
      <w:r>
        <w:rPr>
          <w:rFonts w:hint="eastAsia" w:ascii="宋体" w:hAnsi="宋体" w:eastAsia="宋体" w:cs="宋体"/>
          <w:color w:val="auto"/>
          <w:spacing w:val="-2"/>
          <w:kern w:val="0"/>
          <w:szCs w:val="21"/>
          <w:highlight w:val="none"/>
        </w:rPr>
        <w:t>向</w:t>
      </w:r>
      <w:r>
        <w:rPr>
          <w:rFonts w:hint="eastAsia" w:ascii="宋体" w:hAnsi="宋体" w:eastAsia="宋体" w:cs="宋体"/>
          <w:color w:val="auto"/>
          <w:kern w:val="0"/>
          <w:szCs w:val="21"/>
          <w:highlight w:val="none"/>
        </w:rPr>
        <w:t>采购人承</w:t>
      </w:r>
      <w:r>
        <w:rPr>
          <w:rFonts w:hint="eastAsia" w:ascii="宋体" w:hAnsi="宋体" w:eastAsia="宋体" w:cs="宋体"/>
          <w:color w:val="auto"/>
          <w:spacing w:val="-2"/>
          <w:kern w:val="0"/>
          <w:szCs w:val="21"/>
          <w:highlight w:val="none"/>
        </w:rPr>
        <w:t>担</w:t>
      </w:r>
      <w:r>
        <w:rPr>
          <w:rFonts w:hint="eastAsia" w:ascii="宋体" w:hAnsi="宋体" w:eastAsia="宋体" w:cs="宋体"/>
          <w:color w:val="auto"/>
          <w:kern w:val="0"/>
          <w:szCs w:val="21"/>
          <w:highlight w:val="none"/>
        </w:rPr>
        <w:t>连带责</w:t>
      </w:r>
      <w:r>
        <w:rPr>
          <w:rFonts w:hint="eastAsia" w:ascii="宋体" w:hAnsi="宋体" w:eastAsia="宋体" w:cs="宋体"/>
          <w:color w:val="auto"/>
          <w:spacing w:val="-2"/>
          <w:kern w:val="0"/>
          <w:szCs w:val="21"/>
          <w:highlight w:val="none"/>
        </w:rPr>
        <w:t>任</w:t>
      </w:r>
      <w:r>
        <w:rPr>
          <w:rFonts w:hint="eastAsia" w:ascii="宋体" w:hAnsi="宋体" w:eastAsia="宋体" w:cs="宋体"/>
          <w:color w:val="auto"/>
          <w:kern w:val="0"/>
          <w:szCs w:val="21"/>
          <w:highlight w:val="none"/>
        </w:rPr>
        <w:t>。</w:t>
      </w:r>
    </w:p>
    <w:p w14:paraId="5821003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.4中标合同将在招标公告指定媒体上公告，但合同中涉及国家秘密、商业秘密的内容除外。</w:t>
      </w:r>
    </w:p>
    <w:p w14:paraId="18F06633">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.5中标人</w:t>
      </w:r>
      <w:r>
        <w:rPr>
          <w:rFonts w:hint="eastAsia" w:ascii="宋体" w:hAnsi="宋体" w:eastAsia="宋体" w:cs="宋体"/>
          <w:bCs/>
          <w:color w:val="auto"/>
          <w:szCs w:val="21"/>
          <w:highlight w:val="none"/>
        </w:rPr>
        <w:t>应当按照合同约定依法履行合同义务。政府采购合同的履行、违约责任和解决争议的方法等适用《</w:t>
      </w:r>
      <w:r>
        <w:rPr>
          <w:rFonts w:hint="eastAsia" w:ascii="宋体" w:hAnsi="宋体" w:eastAsia="宋体" w:cs="宋体"/>
          <w:bCs/>
          <w:color w:val="auto"/>
          <w:szCs w:val="21"/>
          <w:highlight w:val="none"/>
          <w:lang w:eastAsia="zh-CN"/>
        </w:rPr>
        <w:t>中华人民共和国民法典</w:t>
      </w:r>
      <w:r>
        <w:rPr>
          <w:rFonts w:hint="eastAsia" w:ascii="宋体" w:hAnsi="宋体" w:eastAsia="宋体" w:cs="宋体"/>
          <w:bCs/>
          <w:color w:val="auto"/>
          <w:szCs w:val="21"/>
          <w:highlight w:val="none"/>
        </w:rPr>
        <w:t>》。</w:t>
      </w:r>
    </w:p>
    <w:p w14:paraId="06590567">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29</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政府采购合同履行中</w:t>
      </w:r>
      <w:r>
        <w:rPr>
          <w:rFonts w:hint="eastAsia" w:ascii="宋体" w:hAnsi="宋体" w:eastAsia="宋体" w:cs="宋体"/>
          <w:b/>
          <w:bCs/>
          <w:color w:val="auto"/>
          <w:sz w:val="24"/>
          <w:highlight w:val="none"/>
        </w:rPr>
        <w:t>数量的变更</w:t>
      </w:r>
    </w:p>
    <w:p w14:paraId="286B8D4B">
      <w:pPr>
        <w:adjustRightInd w:val="0"/>
        <w:snapToGrid w:val="0"/>
        <w:spacing w:before="156" w:beforeLines="50" w:line="360" w:lineRule="auto"/>
        <w:ind w:firstLine="42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1政府采购合同履行中，采购人需追加与合同标的相同的服务或包含的配套服务的，在不改变合同其他条款的前提下，可以与中标人协商签订补充合同，但所有补充合同的采购金额不得超过原合同采购金额的百分之十。</w:t>
      </w:r>
    </w:p>
    <w:p w14:paraId="563B078A">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83" w:name="_Toc8027"/>
      <w:bookmarkStart w:id="84" w:name="_Toc29694"/>
      <w:bookmarkStart w:id="85" w:name="_Toc13234"/>
      <w:bookmarkStart w:id="86" w:name="_Toc14155"/>
      <w:bookmarkStart w:id="87" w:name="_Toc29913904"/>
      <w:r>
        <w:rPr>
          <w:rFonts w:hint="eastAsia" w:ascii="宋体" w:hAnsi="宋体" w:eastAsia="宋体" w:cs="宋体"/>
          <w:color w:val="auto"/>
          <w:sz w:val="28"/>
          <w:szCs w:val="28"/>
          <w:highlight w:val="none"/>
        </w:rPr>
        <w:t>八、政府采购政策</w:t>
      </w:r>
      <w:bookmarkEnd w:id="83"/>
      <w:bookmarkEnd w:id="84"/>
      <w:bookmarkEnd w:id="85"/>
      <w:bookmarkEnd w:id="86"/>
      <w:bookmarkEnd w:id="87"/>
    </w:p>
    <w:p w14:paraId="7ED67300">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0</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政府采购政策</w:t>
      </w:r>
    </w:p>
    <w:p w14:paraId="431D3B62">
      <w:pPr>
        <w:adjustRightInd w:val="0"/>
        <w:snapToGrid w:val="0"/>
        <w:spacing w:before="156" w:beforeLines="5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en-US" w:eastAsia="zh-CN"/>
        </w:rPr>
        <w:t>0</w:t>
      </w:r>
      <w:r>
        <w:rPr>
          <w:rFonts w:hint="eastAsia" w:ascii="宋体" w:hAnsi="宋体" w:eastAsia="宋体" w:cs="宋体"/>
          <w:color w:val="auto"/>
          <w:kern w:val="0"/>
          <w:highlight w:val="none"/>
        </w:rPr>
        <w:t>.1优先采购：</w:t>
      </w:r>
    </w:p>
    <w:p w14:paraId="0172A489">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szCs w:val="21"/>
          <w:highlight w:val="none"/>
        </w:rPr>
        <w:t>纳入财政部会同国务院有关部门发布的节能产品、环境标志产品政府采购品目清单，实施政府优先采购的，评审时按招标文件第四章第一节有关规定给予一定比例的价格折扣或者加分；</w:t>
      </w:r>
      <w:r>
        <w:rPr>
          <w:rFonts w:hint="eastAsia" w:ascii="宋体" w:hAnsi="宋体" w:eastAsia="宋体" w:cs="宋体"/>
          <w:color w:val="auto"/>
          <w:highlight w:val="none"/>
        </w:rPr>
        <w:t xml:space="preserve"> </w:t>
      </w:r>
    </w:p>
    <w:p w14:paraId="6DDFBE46">
      <w:pPr>
        <w:adjustRightInd w:val="0"/>
        <w:snapToGrid w:val="0"/>
        <w:spacing w:before="156" w:beforeLines="5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en-US" w:eastAsia="zh-CN"/>
        </w:rPr>
        <w:t>0</w:t>
      </w:r>
      <w:r>
        <w:rPr>
          <w:rFonts w:hint="eastAsia" w:ascii="宋体" w:hAnsi="宋体" w:eastAsia="宋体" w:cs="宋体"/>
          <w:color w:val="auto"/>
          <w:kern w:val="0"/>
          <w:highlight w:val="none"/>
        </w:rPr>
        <w:t>.2强制采购：</w:t>
      </w:r>
    </w:p>
    <w:p w14:paraId="47A9F733">
      <w:pPr>
        <w:adjustRightInd w:val="0"/>
        <w:snapToGrid w:val="0"/>
        <w:spacing w:before="156" w:beforeLines="50"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（1）纳入财政部会同国务院有关部门发布的节能产品政府采购品目清单，实施政府强制采购的（品目清单标注</w:t>
      </w:r>
      <w:r>
        <w:rPr>
          <w:rFonts w:hint="eastAsia" w:ascii="宋体" w:hAnsi="宋体" w:eastAsia="宋体" w:cs="宋体"/>
          <w:color w:val="auto"/>
          <w:kern w:val="0"/>
          <w:highlight w:val="none"/>
        </w:rPr>
        <w:sym w:font="Wingdings" w:char="F0AB"/>
      </w:r>
      <w:r>
        <w:rPr>
          <w:rFonts w:hint="eastAsia" w:ascii="宋体" w:hAnsi="宋体" w:eastAsia="宋体" w:cs="宋体"/>
          <w:color w:val="auto"/>
          <w:kern w:val="0"/>
          <w:highlight w:val="none"/>
        </w:rPr>
        <w:t>符号产品），投标人投标产品应当取得国家确定的认证机构出具的、处于有效期之内的节能产品认证证书，否则其</w:t>
      </w:r>
      <w:r>
        <w:rPr>
          <w:rFonts w:hint="eastAsia" w:ascii="宋体" w:hAnsi="宋体" w:eastAsia="宋体" w:cs="宋体"/>
          <w:b/>
          <w:color w:val="auto"/>
          <w:kern w:val="0"/>
          <w:szCs w:val="21"/>
          <w:highlight w:val="none"/>
        </w:rPr>
        <w:t>投标无效</w:t>
      </w:r>
      <w:r>
        <w:rPr>
          <w:rFonts w:hint="eastAsia" w:ascii="宋体" w:hAnsi="宋体" w:eastAsia="宋体" w:cs="宋体"/>
          <w:color w:val="auto"/>
          <w:kern w:val="0"/>
          <w:highlight w:val="none"/>
        </w:rPr>
        <w:t>。</w:t>
      </w:r>
    </w:p>
    <w:p w14:paraId="4833692A">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.3价格评审优惠：</w:t>
      </w:r>
    </w:p>
    <w:p w14:paraId="0E1C7E54">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在政府采购活动中，供应商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14:paraId="66F733A2">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5B5D0A17">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57326128">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（3）符合中小企业划分标准的个体工商户视同中小企业，享受评审中价格扣除等促进中小企业发展的政府采购政策。</w:t>
      </w:r>
    </w:p>
    <w:p w14:paraId="321F328A">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（4）监狱企业、残疾人福利性单位视同小型、微型企业，享受评审中价格扣除等促进中小企业发展的政府采购政策。</w:t>
      </w:r>
    </w:p>
    <w:p w14:paraId="1C4A4BC6">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（5）与大企业的负责人为同一人，或者与大企业存在直接控股、管理关系的中小企业，不享受评审中价格扣除等促进中小企业发展的政府采购政策。 </w:t>
      </w:r>
    </w:p>
    <w:p w14:paraId="09867671">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（6）本章第1.2款规定采购项目或者采购包属于“预留采购份额”的，预留部分不再享受本款“价格评审优惠”的小微企业扶持政策。</w:t>
      </w:r>
    </w:p>
    <w:p w14:paraId="6B70F750">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.4政府采购政策交叉与叠加</w:t>
      </w:r>
    </w:p>
    <w:p w14:paraId="2B3CF16B">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（1）投标产品取得两个及以上优先采购产品认证的，评审时只有其中一项产品能享受优先采购优惠（投标人自行选择，并在投标文件中并填报相关信息及数据）</w:t>
      </w:r>
    </w:p>
    <w:p w14:paraId="2223639D">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（2）投标人同时符合小型、微型企业及监狱企业、残疾人福利性单位要求的，评审时只有一种类型享受价格评审优惠政策；</w:t>
      </w:r>
    </w:p>
    <w:p w14:paraId="574D363B">
      <w:pPr>
        <w:shd w:val="clear" w:color="auto" w:fill="auto"/>
        <w:adjustRightInd w:val="0"/>
        <w:snapToGrid w:val="0"/>
        <w:spacing w:before="156" w:beforeLines="50" w:line="360" w:lineRule="auto"/>
        <w:ind w:firstLine="420" w:firstLineChars="200"/>
        <w:jc w:val="left"/>
        <w:rPr>
          <w:rFonts w:hint="eastAsia" w:ascii="宋体" w:hAnsi="宋体"/>
          <w:color w:val="auto"/>
          <w:highlight w:val="none"/>
          <w:shd w:val="clear" w:color="auto" w:fill="auto"/>
        </w:rPr>
      </w:pPr>
      <w:r>
        <w:rPr>
          <w:rFonts w:hint="eastAsia" w:ascii="宋体" w:hAnsi="宋体"/>
          <w:color w:val="auto"/>
          <w:highlight w:val="none"/>
          <w:shd w:val="clear" w:color="auto" w:fill="auto"/>
        </w:rPr>
        <w:t>（3）小型和微型企业的价格评审优惠可以与同时属于“节能产品”、“环境标志产品”中的一项优先采购优惠累加计算。</w:t>
      </w:r>
    </w:p>
    <w:p w14:paraId="35CEB2A6">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3</w:t>
      </w:r>
      <w:r>
        <w:rPr>
          <w:rFonts w:hint="eastAsia" w:ascii="宋体" w:hAnsi="宋体"/>
          <w:color w:val="auto"/>
          <w:highlight w:val="none"/>
          <w:shd w:val="clear" w:color="auto" w:fill="auto"/>
          <w:lang w:val="en-US" w:eastAsia="zh-CN"/>
        </w:rPr>
        <w:t>0</w:t>
      </w:r>
      <w:r>
        <w:rPr>
          <w:rFonts w:hint="eastAsia" w:ascii="宋体" w:hAnsi="宋体"/>
          <w:color w:val="auto"/>
          <w:highlight w:val="none"/>
          <w:shd w:val="clear" w:color="auto" w:fill="auto"/>
        </w:rPr>
        <w:t>.5在货物采购项目中，供应商提供的货物既有中小企业制造货物，也有大型企业制造货物的，不享受政府采购中小企业扶持政策。</w:t>
      </w:r>
    </w:p>
    <w:p w14:paraId="3DE8BCE5">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3</w:t>
      </w:r>
      <w:r>
        <w:rPr>
          <w:rFonts w:hint="eastAsia" w:ascii="宋体" w:hAnsi="宋体"/>
          <w:color w:val="auto"/>
          <w:highlight w:val="none"/>
          <w:shd w:val="clear" w:color="auto" w:fill="auto"/>
          <w:lang w:val="en-US" w:eastAsia="zh-CN"/>
        </w:rPr>
        <w:t>0</w:t>
      </w:r>
      <w:r>
        <w:rPr>
          <w:rFonts w:hint="eastAsia" w:ascii="宋体" w:hAnsi="宋体"/>
          <w:color w:val="auto"/>
          <w:highlight w:val="none"/>
          <w:shd w:val="clear" w:color="auto" w:fill="auto"/>
        </w:rPr>
        <w:t>.6投标人符合本章第3</w:t>
      </w:r>
      <w:r>
        <w:rPr>
          <w:rFonts w:hint="eastAsia" w:ascii="宋体" w:hAnsi="宋体"/>
          <w:color w:val="auto"/>
          <w:highlight w:val="none"/>
          <w:shd w:val="clear" w:color="auto" w:fill="auto"/>
          <w:lang w:val="en-US" w:eastAsia="zh-CN"/>
        </w:rPr>
        <w:t>0</w:t>
      </w:r>
      <w:r>
        <w:rPr>
          <w:rFonts w:hint="eastAsia" w:ascii="宋体" w:hAnsi="宋体"/>
          <w:color w:val="auto"/>
          <w:highlight w:val="none"/>
          <w:shd w:val="clear" w:color="auto" w:fill="auto"/>
        </w:rPr>
        <w:t>.1款、第3</w:t>
      </w:r>
      <w:r>
        <w:rPr>
          <w:rFonts w:hint="eastAsia" w:ascii="宋体" w:hAnsi="宋体"/>
          <w:color w:val="auto"/>
          <w:highlight w:val="none"/>
          <w:shd w:val="clear" w:color="auto" w:fill="auto"/>
          <w:lang w:val="en-US" w:eastAsia="zh-CN"/>
        </w:rPr>
        <w:t>0</w:t>
      </w:r>
      <w:r>
        <w:rPr>
          <w:rFonts w:hint="eastAsia" w:ascii="宋体" w:hAnsi="宋体"/>
          <w:color w:val="auto"/>
          <w:highlight w:val="none"/>
          <w:shd w:val="clear" w:color="auto" w:fill="auto"/>
        </w:rPr>
        <w:t>.2款、第3</w:t>
      </w:r>
      <w:r>
        <w:rPr>
          <w:rFonts w:hint="eastAsia" w:ascii="宋体" w:hAnsi="宋体"/>
          <w:color w:val="auto"/>
          <w:highlight w:val="none"/>
          <w:shd w:val="clear" w:color="auto" w:fill="auto"/>
          <w:lang w:val="en-US" w:eastAsia="zh-CN"/>
        </w:rPr>
        <w:t>0</w:t>
      </w:r>
      <w:r>
        <w:rPr>
          <w:rFonts w:hint="eastAsia" w:ascii="宋体" w:hAnsi="宋体"/>
          <w:color w:val="auto"/>
          <w:highlight w:val="none"/>
          <w:shd w:val="clear" w:color="auto" w:fill="auto"/>
        </w:rPr>
        <w:t>.3款规定的，应提供相关证明资料。</w:t>
      </w:r>
    </w:p>
    <w:p w14:paraId="2A89B234">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（1）节能产品、环境标志产品：提供国家确定的认证机构出具的、处于有效期之内的节能产品、环境标志产品认证证书。</w:t>
      </w:r>
    </w:p>
    <w:p w14:paraId="594A2536">
      <w:pPr>
        <w:shd w:val="clear" w:color="auto" w:fill="auto"/>
        <w:adjustRightInd w:val="0"/>
        <w:snapToGrid w:val="0"/>
        <w:spacing w:before="156" w:beforeLines="50" w:line="360" w:lineRule="auto"/>
        <w:ind w:firstLine="420" w:firstLineChars="200"/>
        <w:jc w:val="left"/>
        <w:rPr>
          <w:rFonts w:ascii="宋体" w:hAnsi="宋体"/>
          <w:color w:val="auto"/>
          <w:szCs w:val="21"/>
          <w:highlight w:val="none"/>
          <w:shd w:val="clear" w:color="auto" w:fill="auto"/>
        </w:rPr>
      </w:pPr>
      <w:r>
        <w:rPr>
          <w:rFonts w:hint="eastAsia" w:ascii="宋体" w:hAnsi="宋体"/>
          <w:color w:val="auto"/>
          <w:highlight w:val="none"/>
          <w:shd w:val="clear" w:color="auto" w:fill="auto"/>
        </w:rPr>
        <w:t>（2）中小企业：货物类采购项目，按《关于印发＜政府采购促进中小企业发展办法＞的通知》(财库[2020]46号) 和《关于印发中小企业划型标准规定的通知》（工信部联企业〔2011〕300号）文件规定提供中小企业声明函（格式）；服务类采购项目，按《湖南省财政厅关于政府采购促进中小企业发展的有关措施的通知》（湘财购[2022]17号）文件规定提供湖南省政府采购供应商资格承诺函（格式）</w:t>
      </w:r>
      <w:r>
        <w:rPr>
          <w:rFonts w:hint="eastAsia" w:ascii="宋体" w:hAnsi="宋体"/>
          <w:color w:val="auto"/>
          <w:szCs w:val="21"/>
          <w:highlight w:val="none"/>
          <w:shd w:val="clear" w:color="auto" w:fill="auto"/>
        </w:rPr>
        <w:t>。</w:t>
      </w:r>
    </w:p>
    <w:p w14:paraId="789E630C">
      <w:pPr>
        <w:pStyle w:val="58"/>
        <w:shd w:val="clear" w:color="auto" w:fill="auto"/>
        <w:spacing w:line="360" w:lineRule="auto"/>
        <w:rPr>
          <w:rFonts w:ascii="宋体" w:hAnsi="宋体"/>
          <w:color w:val="auto"/>
          <w:szCs w:val="24"/>
          <w:highlight w:val="none"/>
          <w:shd w:val="clear" w:color="auto" w:fill="auto"/>
        </w:rPr>
      </w:pPr>
      <w:r>
        <w:rPr>
          <w:rFonts w:hint="eastAsia" w:ascii="宋体" w:hAnsi="宋体"/>
          <w:color w:val="auto"/>
          <w:szCs w:val="24"/>
          <w:highlight w:val="none"/>
          <w:shd w:val="clear" w:color="auto" w:fill="auto"/>
        </w:rPr>
        <w:t>（3）监狱企业：按《关于政府采购支持监狱企业发展有关问题的通知》(财库〔2014〕68号)文件规定提供证明文件。</w:t>
      </w:r>
    </w:p>
    <w:p w14:paraId="30345110">
      <w:pPr>
        <w:pStyle w:val="58"/>
        <w:shd w:val="clear" w:color="auto" w:fill="auto"/>
        <w:spacing w:line="360" w:lineRule="auto"/>
        <w:rPr>
          <w:rFonts w:ascii="宋体" w:hAnsi="宋体"/>
          <w:color w:val="auto"/>
          <w:szCs w:val="24"/>
          <w:highlight w:val="none"/>
          <w:shd w:val="clear" w:color="auto" w:fill="auto"/>
        </w:rPr>
      </w:pPr>
      <w:r>
        <w:rPr>
          <w:rFonts w:hint="eastAsia" w:ascii="宋体" w:hAnsi="宋体"/>
          <w:color w:val="auto"/>
          <w:szCs w:val="24"/>
          <w:highlight w:val="none"/>
          <w:shd w:val="clear" w:color="auto" w:fill="auto"/>
        </w:rPr>
        <w:t>（4）残疾人福利性单位：按《关于促进残疾人就业政府采购政策的通知》(财库〔2017〕141号)文件规定提供《残疾人福利性单位声明函》（格式）。</w:t>
      </w:r>
    </w:p>
    <w:p w14:paraId="7B648B1C">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3</w:t>
      </w:r>
      <w:r>
        <w:rPr>
          <w:rFonts w:hint="eastAsia" w:ascii="宋体" w:hAnsi="宋体"/>
          <w:color w:val="auto"/>
          <w:highlight w:val="none"/>
          <w:shd w:val="clear" w:color="auto" w:fill="auto"/>
          <w:lang w:val="en-US" w:eastAsia="zh-CN"/>
        </w:rPr>
        <w:t>0</w:t>
      </w:r>
      <w:r>
        <w:rPr>
          <w:rFonts w:hint="eastAsia" w:ascii="宋体" w:hAnsi="宋体"/>
          <w:color w:val="auto"/>
          <w:highlight w:val="none"/>
          <w:shd w:val="clear" w:color="auto" w:fill="auto"/>
        </w:rPr>
        <w:t>.7执行中小企业预留采购份额政策的规定：</w:t>
      </w:r>
    </w:p>
    <w:p w14:paraId="19C5CBD3">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（1）预留份额的采购项目或者采购包，应明确该项目或相关采购包专门面向中小企业采购，并作为供应商资格条件。</w:t>
      </w:r>
    </w:p>
    <w:p w14:paraId="6E5AA97E">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（2）要求以联合体形式参加或者合同分包的，应明确联合协议或者分包意向协议中中小企业合同金额应当达到的比例，并作为供应商资格条件。</w:t>
      </w:r>
    </w:p>
    <w:p w14:paraId="2A8D1C8C">
      <w:pPr>
        <w:shd w:val="clear" w:color="auto" w:fill="auto"/>
        <w:adjustRightInd w:val="0"/>
        <w:snapToGrid w:val="0"/>
        <w:spacing w:before="156" w:beforeLines="50" w:line="360" w:lineRule="auto"/>
        <w:ind w:firstLine="420" w:firstLineChars="200"/>
        <w:jc w:val="left"/>
        <w:rPr>
          <w:rFonts w:ascii="宋体" w:hAnsi="宋体"/>
          <w:color w:val="auto"/>
          <w:highlight w:val="none"/>
          <w:shd w:val="clear" w:color="auto" w:fill="auto"/>
        </w:rPr>
      </w:pPr>
      <w:r>
        <w:rPr>
          <w:rFonts w:hint="eastAsia" w:ascii="宋体" w:hAnsi="宋体"/>
          <w:color w:val="auto"/>
          <w:highlight w:val="none"/>
          <w:shd w:val="clear" w:color="auto" w:fill="auto"/>
        </w:rPr>
        <w:t>（3）组成联合体或者接受分包合同的中小企业与联合体内其他企业(成员)、分包企业(投标人)之间不得存在直接控股、管理关系。</w:t>
      </w:r>
    </w:p>
    <w:p w14:paraId="2E6F01D6">
      <w:pPr>
        <w:shd w:val="clear" w:color="auto" w:fill="auto"/>
        <w:adjustRightInd w:val="0"/>
        <w:snapToGrid w:val="0"/>
        <w:spacing w:before="156" w:beforeLines="50" w:line="360" w:lineRule="auto"/>
        <w:ind w:firstLine="420" w:firstLineChars="200"/>
        <w:jc w:val="left"/>
        <w:rPr>
          <w:rFonts w:hint="eastAsia" w:ascii="宋体" w:hAnsi="宋体"/>
          <w:color w:val="auto"/>
          <w:highlight w:val="none"/>
          <w:shd w:val="clear" w:color="auto" w:fill="auto"/>
        </w:rPr>
      </w:pPr>
      <w:r>
        <w:rPr>
          <w:rFonts w:hint="eastAsia" w:ascii="宋体" w:hAnsi="宋体"/>
          <w:color w:val="auto"/>
          <w:highlight w:val="none"/>
          <w:shd w:val="clear" w:color="auto" w:fill="auto"/>
        </w:rPr>
        <w:t>3</w:t>
      </w:r>
      <w:r>
        <w:rPr>
          <w:rFonts w:hint="eastAsia" w:ascii="宋体" w:hAnsi="宋体"/>
          <w:color w:val="auto"/>
          <w:highlight w:val="none"/>
          <w:shd w:val="clear" w:color="auto" w:fill="auto"/>
          <w:lang w:val="en-US" w:eastAsia="zh-CN"/>
        </w:rPr>
        <w:t>0</w:t>
      </w:r>
      <w:r>
        <w:rPr>
          <w:rFonts w:hint="eastAsia" w:ascii="宋体" w:hAnsi="宋体"/>
          <w:color w:val="auto"/>
          <w:highlight w:val="none"/>
          <w:shd w:val="clear" w:color="auto" w:fill="auto"/>
        </w:rPr>
        <w:t>.8采购进口产品</w:t>
      </w:r>
    </w:p>
    <w:p w14:paraId="720FDBD9">
      <w:pPr>
        <w:shd w:val="clear" w:color="auto" w:fill="auto"/>
        <w:adjustRightInd w:val="0"/>
        <w:snapToGrid w:val="0"/>
        <w:spacing w:before="156" w:beforeLines="50" w:line="360" w:lineRule="auto"/>
        <w:ind w:firstLine="420" w:firstLineChars="200"/>
        <w:jc w:val="left"/>
        <w:rPr>
          <w:rFonts w:hint="eastAsia" w:ascii="宋体" w:hAnsi="宋体"/>
          <w:color w:val="auto"/>
          <w:highlight w:val="none"/>
          <w:shd w:val="clear" w:color="auto" w:fill="auto"/>
        </w:rPr>
      </w:pPr>
      <w:r>
        <w:rPr>
          <w:rFonts w:hint="eastAsia" w:ascii="宋体" w:hAnsi="宋体" w:cs="宋体"/>
          <w:color w:val="auto"/>
          <w:kern w:val="0"/>
          <w:szCs w:val="21"/>
          <w:highlight w:val="none"/>
          <w:shd w:val="clear" w:color="auto" w:fill="auto"/>
        </w:rPr>
        <w:t>进口产品是指符合《政府采购进口产品管理办法》（财库〔2007〕119号）和《关于政府采购进口产品管理有关问题的通知》（财办库〔2008〕248号）文件规定的产品。除</w:t>
      </w:r>
      <w:r>
        <w:rPr>
          <w:rFonts w:hint="eastAsia" w:ascii="宋体" w:hAnsi="宋体"/>
          <w:b/>
          <w:color w:val="auto"/>
          <w:szCs w:val="21"/>
          <w:highlight w:val="none"/>
          <w:shd w:val="clear" w:color="auto" w:fill="auto"/>
        </w:rPr>
        <w:t>【投标须知前附表】</w:t>
      </w:r>
      <w:r>
        <w:rPr>
          <w:rFonts w:hint="eastAsia" w:ascii="宋体" w:hAnsi="宋体" w:cs="宋体"/>
          <w:color w:val="auto"/>
          <w:kern w:val="0"/>
          <w:szCs w:val="21"/>
          <w:highlight w:val="none"/>
          <w:shd w:val="clear" w:color="auto" w:fill="auto"/>
        </w:rPr>
        <w:t>另有规定外，采购项目</w:t>
      </w:r>
      <w:r>
        <w:rPr>
          <w:rFonts w:hint="eastAsia" w:ascii="宋体" w:hAnsi="宋体" w:cs="宋体"/>
          <w:b/>
          <w:color w:val="auto"/>
          <w:kern w:val="0"/>
          <w:szCs w:val="21"/>
          <w:highlight w:val="none"/>
          <w:shd w:val="clear" w:color="auto" w:fill="auto"/>
        </w:rPr>
        <w:t>拒绝进口产品参加投标</w:t>
      </w:r>
      <w:r>
        <w:rPr>
          <w:rFonts w:hint="eastAsia" w:ascii="宋体" w:hAnsi="宋体" w:cs="宋体"/>
          <w:color w:val="auto"/>
          <w:kern w:val="0"/>
          <w:szCs w:val="21"/>
          <w:highlight w:val="none"/>
          <w:shd w:val="clear" w:color="auto" w:fill="auto"/>
        </w:rPr>
        <w:t>。本款规定同意购买进口产品的，不限制满足招标文件要求的国内产品参与投标竞争。</w:t>
      </w:r>
    </w:p>
    <w:p w14:paraId="09CEE0F4">
      <w:pPr>
        <w:shd w:val="clear" w:color="auto" w:fill="auto"/>
        <w:adjustRightInd w:val="0"/>
        <w:snapToGrid w:val="0"/>
        <w:spacing w:before="156" w:beforeLines="50" w:line="360" w:lineRule="auto"/>
        <w:ind w:firstLine="420" w:firstLineChars="200"/>
        <w:jc w:val="left"/>
        <w:rPr>
          <w:rFonts w:hint="eastAsia" w:ascii="宋体" w:hAnsi="宋体"/>
          <w:color w:val="auto"/>
          <w:highlight w:val="none"/>
          <w:shd w:val="clear" w:color="auto" w:fill="auto"/>
        </w:rPr>
      </w:pPr>
      <w:r>
        <w:rPr>
          <w:rFonts w:hint="eastAsia" w:ascii="宋体" w:hAnsi="宋体"/>
          <w:color w:val="auto"/>
          <w:highlight w:val="none"/>
          <w:shd w:val="clear" w:color="auto" w:fill="auto"/>
        </w:rPr>
        <w:t>3</w:t>
      </w:r>
      <w:r>
        <w:rPr>
          <w:rFonts w:hint="eastAsia" w:ascii="宋体" w:hAnsi="宋体"/>
          <w:color w:val="auto"/>
          <w:highlight w:val="none"/>
          <w:shd w:val="clear" w:color="auto" w:fill="auto"/>
          <w:lang w:val="en-US" w:eastAsia="zh-CN"/>
        </w:rPr>
        <w:t>0</w:t>
      </w:r>
      <w:r>
        <w:rPr>
          <w:rFonts w:hint="eastAsia" w:ascii="宋体" w:hAnsi="宋体"/>
          <w:color w:val="auto"/>
          <w:highlight w:val="none"/>
          <w:shd w:val="clear" w:color="auto" w:fill="auto"/>
        </w:rPr>
        <w:t>.9投标人有融资、担保需求的，可登陆中国湖南政府采购网查询相关银行、担保机构业务。</w:t>
      </w:r>
    </w:p>
    <w:p w14:paraId="72E84508">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88" w:name="_Toc29504"/>
      <w:bookmarkStart w:id="89" w:name="_Toc29913905"/>
      <w:bookmarkStart w:id="90" w:name="_Toc21705"/>
      <w:bookmarkStart w:id="91" w:name="_Toc4249"/>
      <w:bookmarkStart w:id="92" w:name="_Toc17533"/>
      <w:r>
        <w:rPr>
          <w:rFonts w:hint="eastAsia" w:ascii="宋体" w:hAnsi="宋体" w:eastAsia="宋体" w:cs="宋体"/>
          <w:color w:val="auto"/>
          <w:sz w:val="28"/>
          <w:szCs w:val="28"/>
          <w:highlight w:val="none"/>
        </w:rPr>
        <w:t>九、其他规定</w:t>
      </w:r>
      <w:bookmarkEnd w:id="88"/>
      <w:bookmarkEnd w:id="89"/>
      <w:bookmarkEnd w:id="90"/>
      <w:bookmarkEnd w:id="91"/>
      <w:bookmarkEnd w:id="92"/>
    </w:p>
    <w:p w14:paraId="37A4F4DE">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招标不足三家处理</w:t>
      </w:r>
    </w:p>
    <w:p w14:paraId="544273A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.1公开招标数额标准以上的采购项目，投标截止后投标人不足3家或者通过资格审查或符合性审查的投标人不足3家的，除采购任务取消情形外，按照以下方式处理：</w:t>
      </w:r>
    </w:p>
    <w:p w14:paraId="737DE29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（1）招标文件存在不合理条款或者招标程序不符合规定的，采购人、采购代理机构改正后依法重新招标；</w:t>
      </w:r>
    </w:p>
    <w:p w14:paraId="6B94FF3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（2）招标文件没有不合理条款、招标程序符合规定，需要采用其他采购方式采购的，采购人应当依法报财政部门批准。</w:t>
      </w:r>
    </w:p>
    <w:p w14:paraId="6350FAA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.2属上款第（2）项情形的，评标委员会应出具招标文件没有不合理条款的论证意见。</w:t>
      </w:r>
    </w:p>
    <w:p w14:paraId="50E79E4D">
      <w:pPr>
        <w:adjustRightInd w:val="0"/>
        <w:snapToGrid w:val="0"/>
        <w:spacing w:before="156" w:beforeLines="50" w:line="360" w:lineRule="auto"/>
        <w:jc w:val="left"/>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eastAsia="zh-CN"/>
        </w:rPr>
        <w:t>采购代理服务费</w:t>
      </w:r>
    </w:p>
    <w:p w14:paraId="6878EC7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采购代理服务费</w:t>
      </w:r>
      <w:r>
        <w:rPr>
          <w:rFonts w:hint="eastAsia" w:ascii="宋体" w:hAnsi="宋体" w:eastAsia="宋体" w:cs="宋体"/>
          <w:color w:val="auto"/>
          <w:szCs w:val="21"/>
          <w:highlight w:val="none"/>
        </w:rPr>
        <w:t>由采购人支付。</w:t>
      </w:r>
    </w:p>
    <w:p w14:paraId="5989CE50">
      <w:pPr>
        <w:adjustRightInd w:val="0"/>
        <w:snapToGrid w:val="0"/>
        <w:spacing w:before="156" w:beforeLines="50" w:line="360" w:lineRule="auto"/>
        <w:ind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 需要补充的其他内容</w:t>
      </w:r>
    </w:p>
    <w:p w14:paraId="0721EB7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.1招标文件需要补充的其他内容见【投标须知前附表】。</w:t>
      </w:r>
    </w:p>
    <w:p w14:paraId="425A5211">
      <w:pPr>
        <w:adjustRightInd w:val="0"/>
        <w:snapToGrid w:val="0"/>
        <w:spacing w:before="156" w:beforeLines="50" w:line="360" w:lineRule="auto"/>
        <w:ind w:firstLine="0"/>
        <w:jc w:val="left"/>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.电子招投标的应急措施</w:t>
      </w:r>
    </w:p>
    <w:p w14:paraId="5347327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.1电子开标、评标如出现下列情形，导致系统短时间内无法恢复正常运行，影响到招投标</w:t>
      </w:r>
      <w:r>
        <w:rPr>
          <w:rFonts w:hint="eastAsia" w:ascii="宋体" w:hAnsi="宋体" w:eastAsia="宋体" w:cs="宋体"/>
          <w:bCs/>
          <w:color w:val="auto"/>
          <w:szCs w:val="21"/>
          <w:highlight w:val="none"/>
        </w:rPr>
        <w:t>活动无法继续开展</w:t>
      </w:r>
      <w:r>
        <w:rPr>
          <w:rFonts w:hint="eastAsia" w:ascii="宋体" w:hAnsi="宋体" w:eastAsia="宋体" w:cs="宋体"/>
          <w:color w:val="auto"/>
          <w:szCs w:val="21"/>
          <w:highlight w:val="none"/>
        </w:rPr>
        <w:t xml:space="preserve">时，按交易中心应急预案措施执行： </w:t>
      </w:r>
    </w:p>
    <w:p w14:paraId="2209A92D">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（1）系统服务器发生故障，无法访问或无法使用系统； </w:t>
      </w:r>
    </w:p>
    <w:p w14:paraId="00495278">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（2）系统的软件或数据库出现错误，不能进行正常操作； </w:t>
      </w:r>
    </w:p>
    <w:p w14:paraId="7A89DBF3">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（3）系统发现有安全漏洞，有潜在的泄密危险； </w:t>
      </w:r>
    </w:p>
    <w:p w14:paraId="7530C6E2">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（4）病毒发作或受到外来病毒的攻击；</w:t>
      </w:r>
    </w:p>
    <w:p w14:paraId="7D4554A5">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（5）网络故障，无法访问或无法使用系统；</w:t>
      </w:r>
    </w:p>
    <w:p w14:paraId="0A658F33">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（6）电力中断等其他特殊情况。</w:t>
      </w:r>
    </w:p>
    <w:p w14:paraId="77F90F5A">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.2出现上述情况之一时，经交易中心相关部门确认：</w:t>
      </w:r>
      <w:r>
        <w:rPr>
          <w:rFonts w:hint="eastAsia" w:ascii="宋体" w:hAnsi="宋体" w:eastAsia="宋体" w:cs="宋体"/>
          <w:bCs/>
          <w:color w:val="auto"/>
          <w:szCs w:val="21"/>
          <w:highlight w:val="none"/>
        </w:rPr>
        <w:t>采购人或采购代理机构可选择采取如下措施，投标人不得对此持有异议。</w:t>
      </w:r>
    </w:p>
    <w:p w14:paraId="4FEC45A7">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（1）酌情延长投标文件文件解密时间，采取远程解密等，以保障招投标活动的继续实施；</w:t>
      </w:r>
    </w:p>
    <w:p w14:paraId="5BBE78A1">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（2）项目作延期开标处理，待系统恢复后再进行开标活动；</w:t>
      </w:r>
    </w:p>
    <w:p w14:paraId="1B720479">
      <w:pPr>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（3）对已在评标的项目，评标委员会酌情延期进行评审，待系统恢复后再进行评审工作。</w:t>
      </w:r>
    </w:p>
    <w:p w14:paraId="0C9354A0">
      <w:pPr>
        <w:pStyle w:val="23"/>
        <w:adjustRightInd w:val="0"/>
        <w:snapToGrid w:val="0"/>
        <w:spacing w:line="360" w:lineRule="auto"/>
        <w:ind w:firstLine="0"/>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r>
      <w:bookmarkStart w:id="93" w:name="_Toc5705"/>
      <w:bookmarkStart w:id="94" w:name="_Toc19262"/>
      <w:bookmarkStart w:id="95" w:name="_Toc29913906"/>
      <w:r>
        <w:rPr>
          <w:rFonts w:hint="eastAsia" w:ascii="宋体" w:hAnsi="宋体" w:eastAsia="宋体" w:cs="宋体"/>
          <w:b/>
          <w:color w:val="auto"/>
          <w:sz w:val="32"/>
          <w:szCs w:val="32"/>
          <w:highlight w:val="none"/>
        </w:rPr>
        <w:t>第三章 资格审查</w:t>
      </w:r>
      <w:bookmarkEnd w:id="93"/>
      <w:bookmarkEnd w:id="94"/>
      <w:bookmarkEnd w:id="95"/>
    </w:p>
    <w:p w14:paraId="60ED5656">
      <w:pPr>
        <w:pStyle w:val="4"/>
        <w:adjustRightInd w:val="0"/>
        <w:snapToGrid w:val="0"/>
        <w:spacing w:before="156" w:beforeLines="50" w:after="0" w:line="360" w:lineRule="auto"/>
        <w:rPr>
          <w:rFonts w:hint="eastAsia" w:ascii="宋体" w:hAnsi="宋体" w:eastAsia="宋体" w:cs="宋体"/>
          <w:color w:val="auto"/>
          <w:sz w:val="24"/>
          <w:szCs w:val="24"/>
          <w:highlight w:val="none"/>
        </w:rPr>
      </w:pPr>
      <w:bookmarkStart w:id="96" w:name="_Toc6313"/>
      <w:bookmarkStart w:id="97" w:name="_Toc15106"/>
      <w:bookmarkStart w:id="98" w:name="_Toc29913907"/>
      <w:bookmarkStart w:id="99" w:name="_Toc6307"/>
      <w:bookmarkStart w:id="100" w:name="_Toc10428"/>
      <w:r>
        <w:rPr>
          <w:rFonts w:hint="eastAsia" w:ascii="宋体" w:hAnsi="宋体" w:eastAsia="宋体" w:cs="宋体"/>
          <w:color w:val="auto"/>
          <w:sz w:val="24"/>
          <w:szCs w:val="24"/>
          <w:highlight w:val="none"/>
        </w:rPr>
        <w:t>1．资格审查主体</w:t>
      </w:r>
      <w:bookmarkEnd w:id="96"/>
      <w:bookmarkEnd w:id="97"/>
      <w:bookmarkEnd w:id="98"/>
      <w:bookmarkEnd w:id="99"/>
      <w:bookmarkEnd w:id="100"/>
    </w:p>
    <w:p w14:paraId="23CBEAAD">
      <w:pPr>
        <w:adjustRightInd w:val="0"/>
        <w:snapToGrid w:val="0"/>
        <w:spacing w:before="156" w:beforeLines="50" w:line="360" w:lineRule="auto"/>
        <w:ind w:firstLine="417" w:firstLineChars="199"/>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1.1资格审查主体：采购人、采购代理机构负责资格审查。</w:t>
      </w:r>
    </w:p>
    <w:p w14:paraId="47EE1DDF">
      <w:pPr>
        <w:pStyle w:val="4"/>
        <w:adjustRightInd w:val="0"/>
        <w:snapToGrid w:val="0"/>
        <w:spacing w:before="156" w:beforeLines="50" w:after="0" w:line="360" w:lineRule="auto"/>
        <w:rPr>
          <w:rFonts w:hint="eastAsia" w:ascii="宋体" w:hAnsi="宋体" w:eastAsia="宋体" w:cs="宋体"/>
          <w:color w:val="auto"/>
          <w:sz w:val="24"/>
          <w:szCs w:val="24"/>
          <w:highlight w:val="none"/>
        </w:rPr>
      </w:pPr>
      <w:bookmarkStart w:id="101" w:name="_Toc29312"/>
      <w:bookmarkStart w:id="102" w:name="_Toc6810"/>
      <w:bookmarkStart w:id="103" w:name="_Toc9425"/>
      <w:bookmarkStart w:id="104" w:name="_Toc15161"/>
      <w:bookmarkStart w:id="105" w:name="_Toc29913908"/>
      <w:r>
        <w:rPr>
          <w:rFonts w:hint="eastAsia" w:ascii="宋体" w:hAnsi="宋体" w:eastAsia="宋体" w:cs="宋体"/>
          <w:color w:val="auto"/>
          <w:sz w:val="24"/>
          <w:szCs w:val="24"/>
          <w:highlight w:val="none"/>
        </w:rPr>
        <w:t>2．资格审查</w:t>
      </w:r>
      <w:bookmarkEnd w:id="101"/>
      <w:bookmarkEnd w:id="102"/>
      <w:bookmarkEnd w:id="103"/>
      <w:bookmarkEnd w:id="104"/>
      <w:bookmarkEnd w:id="105"/>
    </w:p>
    <w:p w14:paraId="4393A63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2.1资格审查依据法律法规和招标文件的规定，对投标文件中的资格证明文件、投标报价等进行审查，以确定投标供应商是否具备投标资格。</w:t>
      </w:r>
    </w:p>
    <w:p w14:paraId="4DAE5C9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2.2在资格审查时，投标人存在下列情况之一的，资格审查不合格，其投标无效：</w:t>
      </w:r>
    </w:p>
    <w:p w14:paraId="7C4C02B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（1）不具备招标文件中规定的资格要求的，或提交的资格证明文件不符合招标文件要求的；</w:t>
      </w:r>
    </w:p>
    <w:p w14:paraId="478E4B5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（2）联合体投标未提交联合体协议书，或未提交联合体各方资格证明文件的；</w:t>
      </w:r>
    </w:p>
    <w:p w14:paraId="5B92C54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（3）投标文件的资格证明文件未按照招标文件要求进行电子签名、盖章的；</w:t>
      </w:r>
    </w:p>
    <w:p w14:paraId="65C131C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）投标报价超过招标文件中规定的预算金额或者最高限价的；</w:t>
      </w:r>
    </w:p>
    <w:p w14:paraId="1D37952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）法律、法规和招标文件规定的其他投标无效情形的。</w:t>
      </w:r>
    </w:p>
    <w:p w14:paraId="260DE700">
      <w:pPr>
        <w:adjustRightInd w:val="0"/>
        <w:snapToGrid w:val="0"/>
        <w:spacing w:before="156" w:beforeLines="50" w:line="360" w:lineRule="auto"/>
        <w:ind w:firstLine="420" w:firstLineChars="200"/>
        <w:jc w:val="left"/>
        <w:rPr>
          <w:rFonts w:hint="eastAsia" w:ascii="宋体" w:hAnsi="宋体" w:eastAsia="宋体" w:cs="宋体"/>
          <w:b/>
          <w:color w:val="auto"/>
          <w:sz w:val="32"/>
          <w:szCs w:val="32"/>
          <w:highlight w:val="none"/>
        </w:rPr>
      </w:pPr>
      <w:r>
        <w:rPr>
          <w:rFonts w:hint="eastAsia" w:ascii="宋体" w:hAnsi="宋体" w:eastAsia="宋体" w:cs="宋体"/>
          <w:color w:val="auto"/>
          <w:highlight w:val="none"/>
        </w:rPr>
        <w:t>2.3信用记录。开标结束后</w:t>
      </w:r>
      <w:r>
        <w:rPr>
          <w:rFonts w:hint="eastAsia" w:ascii="宋体" w:hAnsi="宋体" w:eastAsia="宋体" w:cs="宋体"/>
          <w:color w:val="auto"/>
          <w:szCs w:val="21"/>
          <w:highlight w:val="none"/>
        </w:rPr>
        <w:t>资格审查时，采购人、采购代理机构将对投标人信用记录进行甄别。</w:t>
      </w:r>
    </w:p>
    <w:p w14:paraId="29C110C0">
      <w:pPr>
        <w:adjustRightInd w:val="0"/>
        <w:snapToGrid w:val="0"/>
        <w:spacing w:before="156" w:beforeLines="50" w:line="360" w:lineRule="auto"/>
        <w:ind w:firstLine="422" w:firstLineChars="200"/>
        <w:jc w:val="left"/>
        <w:rPr>
          <w:rFonts w:ascii="宋体" w:hAnsi="宋体"/>
          <w:color w:val="auto"/>
          <w:szCs w:val="21"/>
          <w:highlight w:val="none"/>
        </w:rPr>
      </w:pPr>
      <w:r>
        <w:rPr>
          <w:rFonts w:hint="eastAsia" w:ascii="宋体" w:hAnsi="宋体"/>
          <w:b/>
          <w:bCs/>
          <w:color w:val="auto"/>
          <w:szCs w:val="21"/>
          <w:highlight w:val="none"/>
        </w:rPr>
        <w:t>（1）信用信息查询的查询渠道：</w:t>
      </w:r>
      <w:r>
        <w:rPr>
          <w:rFonts w:hint="eastAsia" w:ascii="宋体" w:hAnsi="宋体"/>
          <w:color w:val="auto"/>
          <w:szCs w:val="21"/>
          <w:highlight w:val="none"/>
        </w:rPr>
        <w:t>信用中国网（www.creditchina.gov.cn）、信用湖南(https:y/creditfgwhunan.gov.en)、信用郴州(http:/xycz.czs.gov.cn/ )、中国政府采购网(www.ccgp.gov.cn )、湖南省政府采购网(htp://www.ccgp-hunan.gov.cn/)；</w:t>
      </w:r>
    </w:p>
    <w:p w14:paraId="7B254F76">
      <w:pPr>
        <w:adjustRightInd w:val="0"/>
        <w:snapToGrid w:val="0"/>
        <w:spacing w:before="156" w:beforeLines="50" w:line="360" w:lineRule="auto"/>
        <w:ind w:firstLine="422" w:firstLineChars="200"/>
        <w:jc w:val="left"/>
        <w:rPr>
          <w:rFonts w:ascii="宋体" w:hAnsi="宋体"/>
          <w:color w:val="auto"/>
          <w:szCs w:val="21"/>
          <w:highlight w:val="none"/>
        </w:rPr>
      </w:pPr>
      <w:r>
        <w:rPr>
          <w:rFonts w:hint="eastAsia" w:ascii="宋体" w:hAnsi="宋体"/>
          <w:b/>
          <w:bCs/>
          <w:color w:val="auto"/>
          <w:szCs w:val="21"/>
          <w:highlight w:val="none"/>
        </w:rPr>
        <w:t>（2）不良信用记录是指：投标人在</w:t>
      </w:r>
      <w:r>
        <w:rPr>
          <w:rFonts w:hint="eastAsia" w:ascii="宋体" w:hAnsi="宋体"/>
          <w:color w:val="auto"/>
          <w:szCs w:val="21"/>
          <w:highlight w:val="none"/>
        </w:rPr>
        <w:t>“信用中国”、“信用湖南”、“信用郴州”网站被列入失信被执行人和重大税收违法案件当事人名单，或在“中国政府采购网”、"湖南省政府采购网”网站被列人政府采购严重违法失信行为记录名单。</w:t>
      </w:r>
      <w:r>
        <w:rPr>
          <w:rFonts w:hint="eastAsia" w:ascii="宋体" w:hAnsi="宋体"/>
          <w:b/>
          <w:bCs/>
          <w:color w:val="auto"/>
          <w:szCs w:val="21"/>
          <w:highlight w:val="none"/>
        </w:rPr>
        <w:t>投标人有上述不良信用记</w:t>
      </w:r>
      <w:r>
        <w:rPr>
          <w:rFonts w:hint="eastAsia" w:ascii="宋体" w:hAnsi="宋体"/>
          <w:b/>
          <w:bCs/>
          <w:color w:val="auto"/>
          <w:szCs w:val="21"/>
          <w:highlight w:val="none"/>
          <w:lang w:val="en-US" w:eastAsia="zh-CN"/>
        </w:rPr>
        <w:t>录投标无效，其中，列人政府采购严重违法失信行为记录名单的，按处罚结果执行。</w:t>
      </w:r>
    </w:p>
    <w:p w14:paraId="5AE689C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（3）联合体形式投标的，联合体成员存在不良信用记录的，视同联合体存在不良信用记录。</w:t>
      </w:r>
    </w:p>
    <w:p w14:paraId="7FCE300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（4）信用信息查询记录和证据留存具体方式：</w:t>
      </w:r>
      <w:r>
        <w:rPr>
          <w:rFonts w:hint="eastAsia" w:ascii="宋体" w:hAnsi="宋体" w:eastAsia="宋体" w:cs="宋体"/>
          <w:color w:val="auto"/>
          <w:sz w:val="22"/>
          <w:szCs w:val="22"/>
          <w:highlight w:val="none"/>
        </w:rPr>
        <w:t>由投</w:t>
      </w:r>
      <w:r>
        <w:rPr>
          <w:rFonts w:hint="eastAsia" w:ascii="宋体" w:hAnsi="宋体" w:eastAsia="宋体" w:cs="宋体"/>
          <w:color w:val="auto"/>
          <w:sz w:val="21"/>
          <w:szCs w:val="21"/>
          <w:highlight w:val="none"/>
        </w:rPr>
        <w:t>标人</w:t>
      </w:r>
      <w:r>
        <w:rPr>
          <w:rFonts w:hint="eastAsia" w:ascii="宋体" w:hAnsi="宋体" w:eastAsia="宋体" w:cs="宋体"/>
          <w:bCs/>
          <w:color w:val="auto"/>
          <w:sz w:val="21"/>
          <w:szCs w:val="21"/>
          <w:highlight w:val="none"/>
        </w:rPr>
        <w:t>在本项目招标</w:t>
      </w:r>
      <w:r>
        <w:rPr>
          <w:rFonts w:hint="eastAsia" w:ascii="宋体" w:hAnsi="宋体" w:eastAsia="宋体" w:cs="宋体"/>
          <w:bCs/>
          <w:color w:val="auto"/>
          <w:sz w:val="21"/>
          <w:szCs w:val="21"/>
          <w:highlight w:val="none"/>
          <w:lang w:eastAsia="zh-CN"/>
        </w:rPr>
        <w:t>公告发布时间之后</w:t>
      </w:r>
      <w:r>
        <w:rPr>
          <w:rFonts w:hint="eastAsia" w:ascii="宋体" w:hAnsi="宋体" w:eastAsia="宋体" w:cs="宋体"/>
          <w:bCs/>
          <w:color w:val="auto"/>
          <w:sz w:val="21"/>
          <w:szCs w:val="21"/>
          <w:highlight w:val="none"/>
        </w:rPr>
        <w:t>且</w:t>
      </w:r>
      <w:r>
        <w:rPr>
          <w:rFonts w:hint="eastAsia" w:ascii="宋体" w:hAnsi="宋体" w:eastAsia="宋体" w:cs="宋体"/>
          <w:color w:val="auto"/>
          <w:sz w:val="21"/>
          <w:szCs w:val="21"/>
          <w:highlight w:val="none"/>
        </w:rPr>
        <w:t>在投标截止时间前自行在指定网站查询并提供查询结果截</w:t>
      </w:r>
      <w:r>
        <w:rPr>
          <w:rFonts w:hint="eastAsia" w:ascii="宋体" w:hAnsi="宋体" w:eastAsia="宋体" w:cs="宋体"/>
          <w:color w:val="auto"/>
          <w:sz w:val="22"/>
          <w:szCs w:val="22"/>
          <w:highlight w:val="none"/>
        </w:rPr>
        <w:t>图资料。开标时间之后，本章指定网站信息发生的任何变更均不再作为资格审查依据。</w:t>
      </w:r>
    </w:p>
    <w:p w14:paraId="03CF7893">
      <w:pPr>
        <w:pStyle w:val="4"/>
        <w:adjustRightInd w:val="0"/>
        <w:snapToGrid w:val="0"/>
        <w:spacing w:before="156" w:beforeLines="50" w:after="0" w:line="360" w:lineRule="auto"/>
        <w:rPr>
          <w:rFonts w:hint="eastAsia" w:ascii="宋体" w:hAnsi="宋体" w:eastAsia="宋体" w:cs="宋体"/>
          <w:color w:val="auto"/>
          <w:sz w:val="24"/>
          <w:szCs w:val="24"/>
          <w:highlight w:val="none"/>
        </w:rPr>
      </w:pPr>
      <w:bookmarkStart w:id="106" w:name="_Toc22283"/>
      <w:bookmarkStart w:id="107" w:name="_Toc30489"/>
      <w:bookmarkStart w:id="108" w:name="_Toc27363"/>
      <w:bookmarkStart w:id="109" w:name="_Toc30072"/>
      <w:bookmarkStart w:id="110" w:name="_Toc29913909"/>
      <w:r>
        <w:rPr>
          <w:rFonts w:hint="eastAsia" w:ascii="宋体" w:hAnsi="宋体" w:eastAsia="宋体" w:cs="宋体"/>
          <w:color w:val="auto"/>
          <w:sz w:val="24"/>
          <w:szCs w:val="24"/>
          <w:highlight w:val="none"/>
        </w:rPr>
        <w:t>3．资格审查结果</w:t>
      </w:r>
      <w:bookmarkEnd w:id="106"/>
      <w:bookmarkEnd w:id="107"/>
      <w:bookmarkEnd w:id="108"/>
      <w:bookmarkEnd w:id="109"/>
      <w:bookmarkEnd w:id="110"/>
    </w:p>
    <w:p w14:paraId="134E20D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3.1未通过资格审查的投标人，采购人、采购代理机构应当告知其未通过的原因。</w:t>
      </w:r>
    </w:p>
    <w:p w14:paraId="1C5FF54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3.2资格审查结束后，采购人、采购代理机构应将资格审查结果告知评标委员会。</w:t>
      </w:r>
    </w:p>
    <w:p w14:paraId="7CFFAF11">
      <w:pPr>
        <w:adjustRightInd w:val="0"/>
        <w:snapToGrid w:val="0"/>
        <w:spacing w:before="156" w:beforeLines="50" w:line="360" w:lineRule="auto"/>
        <w:ind w:firstLine="420" w:firstLineChars="200"/>
        <w:jc w:val="left"/>
        <w:rPr>
          <w:rFonts w:hint="eastAsia" w:ascii="宋体" w:hAnsi="宋体" w:eastAsia="宋体" w:cs="宋体"/>
          <w:b/>
          <w:bCs/>
          <w:color w:val="auto"/>
          <w:sz w:val="32"/>
          <w:highlight w:val="none"/>
        </w:rPr>
      </w:pPr>
      <w:r>
        <w:rPr>
          <w:rFonts w:hint="eastAsia" w:ascii="宋体" w:hAnsi="宋体" w:eastAsia="宋体" w:cs="宋体"/>
          <w:color w:val="auto"/>
          <w:highlight w:val="none"/>
        </w:rPr>
        <w:br w:type="page"/>
      </w:r>
    </w:p>
    <w:p w14:paraId="257318B4">
      <w:pPr>
        <w:pStyle w:val="5"/>
        <w:adjustRightInd w:val="0"/>
        <w:snapToGrid w:val="0"/>
        <w:spacing w:before="0" w:after="0" w:line="360" w:lineRule="auto"/>
        <w:rPr>
          <w:rFonts w:hint="eastAsia" w:ascii="宋体" w:hAnsi="宋体" w:eastAsia="宋体" w:cs="宋体"/>
          <w:color w:val="auto"/>
          <w:sz w:val="21"/>
          <w:szCs w:val="21"/>
          <w:highlight w:val="none"/>
        </w:rPr>
      </w:pPr>
      <w:bookmarkStart w:id="111" w:name="_Toc20651210"/>
      <w:bookmarkStart w:id="112" w:name="_Toc22337"/>
      <w:bookmarkStart w:id="113" w:name="_Toc11994"/>
      <w:bookmarkStart w:id="114" w:name="_Toc3093"/>
      <w:bookmarkStart w:id="115" w:name="_Toc27072"/>
      <w:bookmarkStart w:id="116" w:name="_Toc29913910"/>
      <w:r>
        <w:rPr>
          <w:rFonts w:hint="eastAsia" w:ascii="宋体" w:hAnsi="宋体" w:eastAsia="宋体" w:cs="宋体"/>
          <w:color w:val="auto"/>
          <w:sz w:val="21"/>
          <w:szCs w:val="21"/>
          <w:highlight w:val="none"/>
        </w:rPr>
        <w:t>附表1资格审查表</w:t>
      </w:r>
      <w:bookmarkEnd w:id="111"/>
      <w:bookmarkEnd w:id="112"/>
      <w:bookmarkEnd w:id="113"/>
      <w:bookmarkEnd w:id="114"/>
      <w:bookmarkEnd w:id="115"/>
    </w:p>
    <w:p w14:paraId="2FA5A6F6">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资格审查表</w:t>
      </w:r>
      <w:r>
        <w:rPr>
          <w:rFonts w:hint="eastAsia"/>
          <w:color w:val="auto"/>
          <w:sz w:val="28"/>
          <w:szCs w:val="28"/>
          <w:highlight w:val="none"/>
        </w:rPr>
        <w:t>（第</w:t>
      </w:r>
      <w:r>
        <w:rPr>
          <w:rFonts w:hint="eastAsia"/>
          <w:color w:val="auto"/>
          <w:sz w:val="28"/>
          <w:szCs w:val="28"/>
          <w:highlight w:val="none"/>
          <w:lang w:val="en-US" w:eastAsia="zh-CN"/>
        </w:rPr>
        <w:t>1</w:t>
      </w:r>
      <w:r>
        <w:rPr>
          <w:rFonts w:hint="eastAsia"/>
          <w:color w:val="auto"/>
          <w:sz w:val="28"/>
          <w:szCs w:val="28"/>
          <w:highlight w:val="none"/>
        </w:rPr>
        <w:t>包至第</w:t>
      </w:r>
      <w:r>
        <w:rPr>
          <w:rFonts w:hint="eastAsia"/>
          <w:color w:val="auto"/>
          <w:sz w:val="28"/>
          <w:szCs w:val="28"/>
          <w:highlight w:val="none"/>
          <w:lang w:val="en-US" w:eastAsia="zh-CN"/>
        </w:rPr>
        <w:t>4</w:t>
      </w:r>
      <w:r>
        <w:rPr>
          <w:rFonts w:hint="eastAsia"/>
          <w:color w:val="auto"/>
          <w:sz w:val="28"/>
          <w:szCs w:val="28"/>
          <w:highlight w:val="none"/>
        </w:rPr>
        <w:t>包适用）</w:t>
      </w:r>
    </w:p>
    <w:tbl>
      <w:tblPr>
        <w:tblStyle w:val="44"/>
        <w:tblW w:w="883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11"/>
        <w:gridCol w:w="3653"/>
        <w:gridCol w:w="4474"/>
      </w:tblGrid>
      <w:tr w14:paraId="68289C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2" w:hRule="atLeast"/>
        </w:trPr>
        <w:tc>
          <w:tcPr>
            <w:tcW w:w="711" w:type="dxa"/>
            <w:noWrap w:val="0"/>
            <w:vAlign w:val="center"/>
          </w:tcPr>
          <w:p w14:paraId="75069A0A">
            <w:pPr>
              <w:adjustRightInd w:val="0"/>
              <w:snapToGrid w:val="0"/>
              <w:spacing w:before="156"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3653" w:type="dxa"/>
            <w:noWrap w:val="0"/>
            <w:vAlign w:val="center"/>
          </w:tcPr>
          <w:p w14:paraId="1202ED48">
            <w:pPr>
              <w:adjustRightInd w:val="0"/>
              <w:snapToGrid w:val="0"/>
              <w:spacing w:before="156"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审查项目</w:t>
            </w:r>
          </w:p>
        </w:tc>
        <w:tc>
          <w:tcPr>
            <w:tcW w:w="4474" w:type="dxa"/>
            <w:noWrap w:val="0"/>
            <w:vAlign w:val="center"/>
          </w:tcPr>
          <w:p w14:paraId="4F707A32">
            <w:pPr>
              <w:adjustRightInd w:val="0"/>
              <w:snapToGrid w:val="0"/>
              <w:spacing w:before="156" w:beforeLines="50" w:line="360" w:lineRule="auto"/>
              <w:jc w:val="center"/>
              <w:rPr>
                <w:rFonts w:ascii="宋体" w:hAnsi="宋体" w:cs="宋体"/>
                <w:b/>
                <w:color w:val="auto"/>
                <w:kern w:val="0"/>
                <w:szCs w:val="21"/>
                <w:highlight w:val="none"/>
              </w:rPr>
            </w:pPr>
            <w:r>
              <w:rPr>
                <w:rFonts w:hint="eastAsia" w:ascii="宋体" w:hAnsi="宋体" w:cs="宋体"/>
                <w:b/>
                <w:color w:val="auto"/>
                <w:kern w:val="0"/>
                <w:szCs w:val="21"/>
                <w:highlight w:val="none"/>
              </w:rPr>
              <w:t>审查标准</w:t>
            </w:r>
          </w:p>
        </w:tc>
      </w:tr>
      <w:tr w14:paraId="4C8101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46" w:hRule="atLeast"/>
        </w:trPr>
        <w:tc>
          <w:tcPr>
            <w:tcW w:w="711" w:type="dxa"/>
            <w:noWrap w:val="0"/>
            <w:vAlign w:val="center"/>
          </w:tcPr>
          <w:p w14:paraId="1849C1A1">
            <w:pPr>
              <w:adjustRightInd w:val="0"/>
              <w:snapToGrid w:val="0"/>
              <w:spacing w:before="156" w:beforeLines="50"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3653" w:type="dxa"/>
            <w:noWrap w:val="0"/>
            <w:vAlign w:val="center"/>
          </w:tcPr>
          <w:p w14:paraId="250A8ABD">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基本资格证明资料</w:t>
            </w:r>
          </w:p>
        </w:tc>
        <w:tc>
          <w:tcPr>
            <w:tcW w:w="4474" w:type="dxa"/>
            <w:noWrap w:val="0"/>
            <w:vAlign w:val="top"/>
          </w:tcPr>
          <w:p w14:paraId="233F6225">
            <w:pPr>
              <w:pStyle w:val="58"/>
              <w:ind w:firstLine="0" w:firstLineChars="0"/>
              <w:rPr>
                <w:rFonts w:hint="eastAsia"/>
                <w:color w:val="auto"/>
                <w:highlight w:val="none"/>
              </w:rPr>
            </w:pPr>
            <w:r>
              <w:rPr>
                <w:rFonts w:hint="eastAsia" w:ascii="宋体" w:hAnsi="宋体" w:cs="宋体"/>
                <w:color w:val="auto"/>
                <w:highlight w:val="none"/>
              </w:rPr>
              <w:t>按照招标文件要求提交：1.1</w:t>
            </w:r>
            <w:r>
              <w:rPr>
                <w:rFonts w:hint="eastAsia" w:ascii="宋体" w:hAnsi="宋体"/>
                <w:b/>
                <w:color w:val="auto"/>
                <w:highlight w:val="none"/>
              </w:rPr>
              <w:t>法人或者其他组织的营业执照等主体资格证明文件，自然人的身份证明</w:t>
            </w:r>
            <w:r>
              <w:rPr>
                <w:rFonts w:hint="eastAsia" w:ascii="宋体" w:hAnsi="宋体"/>
                <w:color w:val="auto"/>
                <w:highlight w:val="none"/>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r>
              <w:rPr>
                <w:rFonts w:hint="eastAsia" w:ascii="宋体" w:hAnsi="宋体" w:cs="宋体"/>
                <w:color w:val="auto"/>
                <w:highlight w:val="none"/>
              </w:rPr>
              <w:t>；</w:t>
            </w:r>
          </w:p>
        </w:tc>
      </w:tr>
      <w:tr w14:paraId="069B28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711" w:type="dxa"/>
            <w:noWrap w:val="0"/>
            <w:vAlign w:val="center"/>
          </w:tcPr>
          <w:p w14:paraId="11B95AB7">
            <w:pPr>
              <w:adjustRightInd w:val="0"/>
              <w:snapToGrid w:val="0"/>
              <w:spacing w:before="156" w:beforeLines="50"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3653" w:type="dxa"/>
            <w:noWrap w:val="0"/>
            <w:vAlign w:val="center"/>
          </w:tcPr>
          <w:p w14:paraId="2C22B6F6">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特定资格证明材料</w:t>
            </w:r>
          </w:p>
        </w:tc>
        <w:tc>
          <w:tcPr>
            <w:tcW w:w="4474" w:type="dxa"/>
            <w:noWrap w:val="0"/>
            <w:vAlign w:val="center"/>
          </w:tcPr>
          <w:p w14:paraId="78CD3C66">
            <w:pPr>
              <w:adjustRightInd w:val="0"/>
              <w:snapToGrid w:val="0"/>
              <w:spacing w:before="156" w:beforeLines="50"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按照招标文件要求提供特定资格证明材料的</w:t>
            </w:r>
          </w:p>
        </w:tc>
      </w:tr>
      <w:tr w14:paraId="427ACD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95" w:hRule="atLeast"/>
        </w:trPr>
        <w:tc>
          <w:tcPr>
            <w:tcW w:w="711" w:type="dxa"/>
            <w:noWrap w:val="0"/>
            <w:vAlign w:val="center"/>
          </w:tcPr>
          <w:p w14:paraId="66BB4E67">
            <w:pPr>
              <w:adjustRightInd w:val="0"/>
              <w:snapToGrid w:val="0"/>
              <w:spacing w:before="156" w:beforeLines="50" w:line="360" w:lineRule="auto"/>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3</w:t>
            </w:r>
          </w:p>
        </w:tc>
        <w:tc>
          <w:tcPr>
            <w:tcW w:w="3653" w:type="dxa"/>
            <w:noWrap w:val="0"/>
            <w:vAlign w:val="center"/>
          </w:tcPr>
          <w:p w14:paraId="330331CA">
            <w:pPr>
              <w:adjustRightInd w:val="0"/>
              <w:snapToGrid w:val="0"/>
              <w:spacing w:before="156" w:beforeLines="50" w:line="360" w:lineRule="auto"/>
              <w:rPr>
                <w:rFonts w:hint="eastAsia" w:ascii="宋体" w:hAnsi="宋体" w:cs="宋体"/>
                <w:color w:val="auto"/>
                <w:kern w:val="0"/>
                <w:szCs w:val="21"/>
                <w:highlight w:val="none"/>
              </w:rPr>
            </w:pPr>
            <w:r>
              <w:rPr>
                <w:rFonts w:hint="eastAsia" w:ascii="宋体" w:hAnsi="宋体" w:eastAsia="宋体" w:cs="宋体"/>
                <w:color w:val="auto"/>
                <w:kern w:val="0"/>
                <w:szCs w:val="21"/>
                <w:highlight w:val="none"/>
                <w:lang w:bidi="ar"/>
              </w:rPr>
              <w:t>按湘财购[2022]17号文件规定：符合法定条件的</w:t>
            </w:r>
            <w:r>
              <w:rPr>
                <w:rFonts w:hint="eastAsia" w:ascii="宋体" w:hAnsi="宋体" w:eastAsia="宋体" w:cs="宋体"/>
                <w:color w:val="auto"/>
                <w:kern w:val="0"/>
                <w:szCs w:val="21"/>
                <w:highlight w:val="none"/>
                <w:lang w:eastAsia="zh-CN" w:bidi="ar"/>
              </w:rPr>
              <w:t>投标人</w:t>
            </w:r>
            <w:r>
              <w:rPr>
                <w:rFonts w:hint="eastAsia" w:ascii="宋体" w:hAnsi="宋体" w:eastAsia="宋体" w:cs="宋体"/>
                <w:color w:val="auto"/>
                <w:kern w:val="0"/>
                <w:szCs w:val="21"/>
                <w:highlight w:val="none"/>
                <w:lang w:bidi="ar"/>
              </w:rPr>
              <w:t>凭《湖南省政府采购供应商资格承诺函》参与政府采购活动，也可通过在金融机构办理电子增信取得对应信用星级参与政府采购活动和电子卖场交易，无需提供财务状况、缴纳税收和社会保障资金等资格证明材料。</w:t>
            </w:r>
            <w:r>
              <w:rPr>
                <w:rFonts w:hint="eastAsia" w:ascii="宋体" w:hAnsi="宋体" w:eastAsia="宋体" w:cs="宋体"/>
                <w:color w:val="auto"/>
                <w:szCs w:val="21"/>
                <w:highlight w:val="none"/>
              </w:rPr>
              <w:t>湖南省政府采购供应商资格承诺函</w:t>
            </w:r>
            <w:r>
              <w:rPr>
                <w:rFonts w:hint="eastAsia" w:ascii="宋体" w:hAnsi="宋体" w:eastAsia="宋体" w:cs="宋体"/>
                <w:color w:val="auto"/>
                <w:szCs w:val="21"/>
                <w:highlight w:val="none"/>
                <w:lang w:eastAsia="zh-CN"/>
              </w:rPr>
              <w:t>。</w:t>
            </w:r>
          </w:p>
        </w:tc>
        <w:tc>
          <w:tcPr>
            <w:tcW w:w="4474" w:type="dxa"/>
            <w:noWrap w:val="0"/>
            <w:vAlign w:val="center"/>
          </w:tcPr>
          <w:p w14:paraId="5A0F03AF">
            <w:pPr>
              <w:adjustRightInd w:val="0"/>
              <w:snapToGrid w:val="0"/>
              <w:spacing w:before="156" w:beforeLines="50" w:line="360" w:lineRule="auto"/>
              <w:jc w:val="left"/>
              <w:rPr>
                <w:rFonts w:hint="eastAsia" w:ascii="宋体" w:hAnsi="宋体" w:cs="宋体"/>
                <w:color w:val="auto"/>
                <w:kern w:val="0"/>
                <w:szCs w:val="21"/>
                <w:highlight w:val="none"/>
              </w:rPr>
            </w:pPr>
            <w:r>
              <w:rPr>
                <w:rFonts w:hint="eastAsia" w:ascii="宋体" w:hAnsi="宋体" w:cs="宋体"/>
                <w:color w:val="auto"/>
                <w:szCs w:val="21"/>
                <w:highlight w:val="none"/>
              </w:rPr>
              <w:t>供应商提交《湖南省政府采购供应商资格承诺函》</w:t>
            </w:r>
            <w:r>
              <w:rPr>
                <w:rFonts w:hint="eastAsia" w:ascii="宋体" w:hAnsi="宋体" w:eastAsia="宋体" w:cs="宋体"/>
                <w:color w:val="auto"/>
                <w:szCs w:val="21"/>
                <w:highlight w:val="none"/>
              </w:rPr>
              <w:t>，内容填写完整，签字盖章齐全。</w:t>
            </w:r>
          </w:p>
        </w:tc>
      </w:tr>
      <w:tr w14:paraId="5BEC86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34" w:hRule="atLeast"/>
        </w:trPr>
        <w:tc>
          <w:tcPr>
            <w:tcW w:w="711" w:type="dxa"/>
            <w:noWrap w:val="0"/>
            <w:vAlign w:val="center"/>
          </w:tcPr>
          <w:p w14:paraId="1FD88621">
            <w:pPr>
              <w:adjustRightInd w:val="0"/>
              <w:snapToGrid w:val="0"/>
              <w:spacing w:before="156" w:beforeLines="50" w:line="360" w:lineRule="auto"/>
              <w:jc w:val="center"/>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4</w:t>
            </w:r>
          </w:p>
        </w:tc>
        <w:tc>
          <w:tcPr>
            <w:tcW w:w="3653" w:type="dxa"/>
            <w:noWrap w:val="0"/>
            <w:vAlign w:val="center"/>
          </w:tcPr>
          <w:p w14:paraId="7C024DD6">
            <w:pPr>
              <w:adjustRightInd w:val="0"/>
              <w:snapToGrid w:val="0"/>
              <w:spacing w:before="156" w:beforeLines="5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Cs w:val="21"/>
                <w:highlight w:val="none"/>
              </w:rPr>
              <w:t>单位负责人为同一人或者存在直接控股、管理关系的书面说明</w:t>
            </w:r>
          </w:p>
        </w:tc>
        <w:tc>
          <w:tcPr>
            <w:tcW w:w="4474" w:type="dxa"/>
            <w:noWrap w:val="0"/>
            <w:vAlign w:val="center"/>
          </w:tcPr>
          <w:p w14:paraId="301E02D2">
            <w:pPr>
              <w:adjustRightInd w:val="0"/>
              <w:snapToGrid w:val="0"/>
              <w:spacing w:before="156"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供应商提交《投标人资格声明》，内容填写完整，签字盖章齐全。</w:t>
            </w:r>
          </w:p>
        </w:tc>
      </w:tr>
      <w:tr w14:paraId="3751C7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11" w:type="dxa"/>
            <w:noWrap w:val="0"/>
            <w:vAlign w:val="center"/>
          </w:tcPr>
          <w:p w14:paraId="131FC889">
            <w:pPr>
              <w:adjustRightInd w:val="0"/>
              <w:snapToGrid w:val="0"/>
              <w:spacing w:before="156" w:beforeLines="50" w:line="360" w:lineRule="auto"/>
              <w:jc w:val="center"/>
              <w:rPr>
                <w:rFonts w:hint="default"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w:t>
            </w:r>
          </w:p>
        </w:tc>
        <w:tc>
          <w:tcPr>
            <w:tcW w:w="3653" w:type="dxa"/>
            <w:noWrap w:val="0"/>
            <w:vAlign w:val="top"/>
          </w:tcPr>
          <w:p w14:paraId="534067BB">
            <w:pPr>
              <w:adjustRightInd w:val="0"/>
              <w:snapToGrid w:val="0"/>
              <w:spacing w:before="156" w:beforeLines="5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为本采购项目提供整体设计、规范编制或者项目管理、监理、检测等服务的，不得再参加此项目的其他招标采购活动</w:t>
            </w:r>
          </w:p>
        </w:tc>
        <w:tc>
          <w:tcPr>
            <w:tcW w:w="4474" w:type="dxa"/>
            <w:noWrap w:val="0"/>
            <w:vAlign w:val="center"/>
          </w:tcPr>
          <w:p w14:paraId="3A084963">
            <w:pPr>
              <w:adjustRightInd w:val="0"/>
              <w:snapToGrid w:val="0"/>
              <w:spacing w:before="156"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供应商提交《投标人资格声明》，内容填写完整，签字盖章齐全。</w:t>
            </w:r>
          </w:p>
        </w:tc>
      </w:tr>
      <w:tr w14:paraId="40D066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43" w:hRule="atLeast"/>
        </w:trPr>
        <w:tc>
          <w:tcPr>
            <w:tcW w:w="711" w:type="dxa"/>
            <w:noWrap w:val="0"/>
            <w:vAlign w:val="center"/>
          </w:tcPr>
          <w:p w14:paraId="11D64A91">
            <w:pPr>
              <w:adjustRightInd w:val="0"/>
              <w:snapToGrid w:val="0"/>
              <w:spacing w:before="156" w:beforeLines="50"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6</w:t>
            </w:r>
          </w:p>
        </w:tc>
        <w:tc>
          <w:tcPr>
            <w:tcW w:w="3653" w:type="dxa"/>
            <w:noWrap w:val="0"/>
            <w:vAlign w:val="center"/>
          </w:tcPr>
          <w:p w14:paraId="4BB4F03C">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法定代表人身份证明或者授权委托书</w:t>
            </w:r>
          </w:p>
        </w:tc>
        <w:tc>
          <w:tcPr>
            <w:tcW w:w="4474" w:type="dxa"/>
            <w:noWrap w:val="0"/>
            <w:vAlign w:val="center"/>
          </w:tcPr>
          <w:p w14:paraId="01D8DE18">
            <w:pPr>
              <w:adjustRightInd w:val="0"/>
              <w:snapToGrid w:val="0"/>
              <w:spacing w:before="156" w:beforeLines="50" w:line="360" w:lineRule="auto"/>
              <w:jc w:val="left"/>
              <w:rPr>
                <w:rFonts w:hint="eastAsia" w:ascii="宋体" w:hAnsi="宋体" w:cs="宋体"/>
                <w:color w:val="auto"/>
                <w:kern w:val="0"/>
                <w:szCs w:val="21"/>
                <w:highlight w:val="none"/>
              </w:rPr>
            </w:pPr>
            <w:r>
              <w:rPr>
                <w:rFonts w:hint="eastAsia" w:ascii="宋体" w:hAnsi="宋体" w:cs="宋体"/>
                <w:color w:val="auto"/>
                <w:szCs w:val="21"/>
                <w:highlight w:val="none"/>
              </w:rPr>
              <w:t>法人提交法定代表人身份证明原件扫描件或者法定代表人授权委托书原件扫描件，自然人提交身份证原件扫描件;</w:t>
            </w:r>
          </w:p>
        </w:tc>
      </w:tr>
      <w:tr w14:paraId="05A3AC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711" w:type="dxa"/>
            <w:noWrap w:val="0"/>
            <w:vAlign w:val="center"/>
          </w:tcPr>
          <w:p w14:paraId="12052AA7">
            <w:pPr>
              <w:adjustRightInd w:val="0"/>
              <w:snapToGrid w:val="0"/>
              <w:spacing w:before="156" w:beforeLines="50"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7</w:t>
            </w:r>
          </w:p>
        </w:tc>
        <w:tc>
          <w:tcPr>
            <w:tcW w:w="3653" w:type="dxa"/>
            <w:noWrap w:val="0"/>
            <w:vAlign w:val="center"/>
          </w:tcPr>
          <w:p w14:paraId="2ED67A4D">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签署、盖章</w:t>
            </w:r>
          </w:p>
        </w:tc>
        <w:tc>
          <w:tcPr>
            <w:tcW w:w="4474" w:type="dxa"/>
            <w:noWrap w:val="0"/>
            <w:vAlign w:val="center"/>
          </w:tcPr>
          <w:p w14:paraId="6D7C7CF7">
            <w:pPr>
              <w:adjustRightInd w:val="0"/>
              <w:snapToGrid w:val="0"/>
              <w:spacing w:before="156" w:beforeLines="50"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资格证明文件是否按照招标文件规定签署、盖章的</w:t>
            </w:r>
          </w:p>
        </w:tc>
      </w:tr>
      <w:tr w14:paraId="5B417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711" w:type="dxa"/>
            <w:noWrap w:val="0"/>
            <w:vAlign w:val="center"/>
          </w:tcPr>
          <w:p w14:paraId="3A1C8EB7">
            <w:pPr>
              <w:adjustRightInd w:val="0"/>
              <w:snapToGrid w:val="0"/>
              <w:spacing w:before="156" w:beforeLines="50"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8</w:t>
            </w:r>
          </w:p>
        </w:tc>
        <w:tc>
          <w:tcPr>
            <w:tcW w:w="3653" w:type="dxa"/>
            <w:noWrap w:val="0"/>
            <w:vAlign w:val="center"/>
          </w:tcPr>
          <w:p w14:paraId="2AED2F2C">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信用记录</w:t>
            </w:r>
          </w:p>
        </w:tc>
        <w:tc>
          <w:tcPr>
            <w:tcW w:w="4474" w:type="dxa"/>
            <w:noWrap w:val="0"/>
            <w:vAlign w:val="center"/>
          </w:tcPr>
          <w:p w14:paraId="32FF1AA1">
            <w:pPr>
              <w:adjustRightInd w:val="0"/>
              <w:snapToGrid w:val="0"/>
              <w:spacing w:before="156" w:beforeLines="50"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信用记录符合要求的 </w:t>
            </w:r>
          </w:p>
        </w:tc>
      </w:tr>
      <w:tr w14:paraId="37BFAE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34" w:hRule="atLeast"/>
        </w:trPr>
        <w:tc>
          <w:tcPr>
            <w:tcW w:w="711" w:type="dxa"/>
            <w:noWrap w:val="0"/>
            <w:vAlign w:val="center"/>
          </w:tcPr>
          <w:p w14:paraId="345C896D">
            <w:pPr>
              <w:adjustRightInd w:val="0"/>
              <w:snapToGrid w:val="0"/>
              <w:spacing w:before="156" w:beforeLines="50"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9</w:t>
            </w:r>
          </w:p>
        </w:tc>
        <w:tc>
          <w:tcPr>
            <w:tcW w:w="3653" w:type="dxa"/>
            <w:noWrap w:val="0"/>
            <w:vAlign w:val="center"/>
          </w:tcPr>
          <w:p w14:paraId="72B9B0A9">
            <w:pPr>
              <w:adjustRightInd w:val="0"/>
              <w:snapToGrid w:val="0"/>
              <w:spacing w:before="156" w:beforeLines="50" w:line="360" w:lineRule="auto"/>
              <w:rPr>
                <w:rFonts w:ascii="宋体" w:hAnsi="宋体" w:cs="宋体"/>
                <w:color w:val="auto"/>
                <w:kern w:val="0"/>
                <w:szCs w:val="21"/>
                <w:highlight w:val="none"/>
              </w:rPr>
            </w:pPr>
            <w:r>
              <w:rPr>
                <w:rFonts w:hint="eastAsia" w:ascii="宋体" w:hAnsi="宋体" w:cs="宋体"/>
                <w:color w:val="auto"/>
                <w:kern w:val="0"/>
                <w:szCs w:val="21"/>
                <w:highlight w:val="none"/>
              </w:rPr>
              <w:t>其他</w:t>
            </w:r>
          </w:p>
        </w:tc>
        <w:tc>
          <w:tcPr>
            <w:tcW w:w="4474" w:type="dxa"/>
            <w:noWrap w:val="0"/>
            <w:vAlign w:val="center"/>
          </w:tcPr>
          <w:p w14:paraId="1D7644A1">
            <w:pPr>
              <w:adjustRightInd w:val="0"/>
              <w:snapToGrid w:val="0"/>
              <w:spacing w:before="156" w:beforeLines="50"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不存在法律、法规和招标文件规定的其他投标无效情形</w:t>
            </w:r>
          </w:p>
        </w:tc>
      </w:tr>
      <w:tr w14:paraId="62190F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2" w:hRule="atLeast"/>
        </w:trPr>
        <w:tc>
          <w:tcPr>
            <w:tcW w:w="711" w:type="dxa"/>
            <w:noWrap w:val="0"/>
            <w:vAlign w:val="center"/>
          </w:tcPr>
          <w:p w14:paraId="7818969B">
            <w:pPr>
              <w:adjustRightInd w:val="0"/>
              <w:snapToGrid w:val="0"/>
              <w:spacing w:before="156" w:beforeLines="50" w:line="360" w:lineRule="auto"/>
              <w:jc w:val="center"/>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10</w:t>
            </w:r>
          </w:p>
        </w:tc>
        <w:tc>
          <w:tcPr>
            <w:tcW w:w="3653" w:type="dxa"/>
            <w:noWrap w:val="0"/>
            <w:vAlign w:val="top"/>
          </w:tcPr>
          <w:p w14:paraId="7EC5A020">
            <w:pPr>
              <w:adjustRightInd w:val="0"/>
              <w:snapToGrid w:val="0"/>
              <w:spacing w:before="156" w:beforeLines="50"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w:t>
            </w:r>
          </w:p>
        </w:tc>
        <w:tc>
          <w:tcPr>
            <w:tcW w:w="4474" w:type="dxa"/>
            <w:noWrap w:val="0"/>
            <w:vAlign w:val="center"/>
          </w:tcPr>
          <w:p w14:paraId="078542BD">
            <w:pPr>
              <w:adjustRightInd w:val="0"/>
              <w:snapToGrid w:val="0"/>
              <w:spacing w:before="156" w:beforeLines="50" w:line="360" w:lineRule="auto"/>
              <w:jc w:val="center"/>
              <w:rPr>
                <w:rFonts w:ascii="宋体" w:hAnsi="宋体" w:cs="宋体"/>
                <w:color w:val="auto"/>
                <w:kern w:val="0"/>
                <w:szCs w:val="21"/>
                <w:highlight w:val="none"/>
              </w:rPr>
            </w:pPr>
          </w:p>
        </w:tc>
      </w:tr>
      <w:tr w14:paraId="1D8205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0" w:hRule="atLeast"/>
        </w:trPr>
        <w:tc>
          <w:tcPr>
            <w:tcW w:w="711" w:type="dxa"/>
            <w:noWrap w:val="0"/>
            <w:vAlign w:val="center"/>
          </w:tcPr>
          <w:p w14:paraId="62DAC64D">
            <w:pPr>
              <w:adjustRightInd w:val="0"/>
              <w:snapToGrid w:val="0"/>
              <w:spacing w:before="156" w:beforeLines="50" w:line="360" w:lineRule="auto"/>
              <w:jc w:val="center"/>
              <w:rPr>
                <w:rFonts w:ascii="宋体" w:hAnsi="宋体" w:cs="宋体"/>
                <w:color w:val="auto"/>
                <w:kern w:val="0"/>
                <w:sz w:val="20"/>
                <w:szCs w:val="21"/>
                <w:highlight w:val="none"/>
              </w:rPr>
            </w:pPr>
            <w:r>
              <w:rPr>
                <w:rFonts w:hint="eastAsia" w:ascii="宋体" w:hAnsi="宋体" w:cs="宋体"/>
                <w:color w:val="auto"/>
                <w:kern w:val="0"/>
                <w:szCs w:val="21"/>
                <w:highlight w:val="none"/>
              </w:rPr>
              <w:t>结论</w:t>
            </w:r>
          </w:p>
        </w:tc>
        <w:tc>
          <w:tcPr>
            <w:tcW w:w="8127" w:type="dxa"/>
            <w:gridSpan w:val="2"/>
            <w:noWrap w:val="0"/>
            <w:vAlign w:val="center"/>
          </w:tcPr>
          <w:p w14:paraId="1AB6F96E">
            <w:pPr>
              <w:adjustRightInd w:val="0"/>
              <w:snapToGrid w:val="0"/>
              <w:spacing w:before="156" w:beforeLines="50" w:line="360" w:lineRule="auto"/>
              <w:jc w:val="center"/>
              <w:rPr>
                <w:rFonts w:ascii="宋体" w:hAnsi="宋体" w:cs="宋体"/>
                <w:color w:val="auto"/>
                <w:kern w:val="0"/>
                <w:szCs w:val="21"/>
                <w:highlight w:val="none"/>
              </w:rPr>
            </w:pPr>
          </w:p>
        </w:tc>
      </w:tr>
    </w:tbl>
    <w:p w14:paraId="7053C668">
      <w:pPr>
        <w:widowControl/>
        <w:jc w:val="left"/>
        <w:rPr>
          <w:rFonts w:hint="eastAsia" w:ascii="宋体" w:hAnsi="宋体" w:eastAsia="宋体" w:cs="宋体"/>
          <w:bCs/>
          <w:color w:val="auto"/>
          <w:szCs w:val="21"/>
          <w:highlight w:val="none"/>
        </w:rPr>
      </w:pPr>
      <w:r>
        <w:rPr>
          <w:rFonts w:hint="eastAsia" w:ascii="宋体" w:hAnsi="宋体" w:eastAsia="宋体" w:cs="宋体"/>
          <w:color w:val="auto"/>
          <w:highlight w:val="none"/>
        </w:rPr>
        <w:t>注：符合的因素</w:t>
      </w:r>
      <w:r>
        <w:rPr>
          <w:rFonts w:hint="eastAsia" w:ascii="宋体" w:hAnsi="宋体" w:eastAsia="宋体" w:cs="宋体"/>
          <w:color w:val="auto"/>
          <w:highlight w:val="none"/>
          <w:lang w:eastAsia="zh-CN"/>
        </w:rPr>
        <w:t>记“通过”</w:t>
      </w:r>
      <w:r>
        <w:rPr>
          <w:rFonts w:hint="eastAsia" w:ascii="宋体" w:hAnsi="宋体" w:eastAsia="宋体" w:cs="宋体"/>
          <w:color w:val="auto"/>
          <w:highlight w:val="none"/>
        </w:rPr>
        <w:t>，不符合的因素</w:t>
      </w:r>
      <w:r>
        <w:rPr>
          <w:rFonts w:hint="eastAsia" w:ascii="宋体" w:hAnsi="宋体" w:eastAsia="宋体" w:cs="宋体"/>
          <w:color w:val="auto"/>
          <w:highlight w:val="none"/>
          <w:lang w:eastAsia="zh-CN"/>
        </w:rPr>
        <w:t>记“不通过”</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结论填写“通过”或“不通过”</w:t>
      </w:r>
      <w:r>
        <w:rPr>
          <w:rFonts w:hint="eastAsia" w:ascii="宋体" w:hAnsi="宋体" w:eastAsia="宋体" w:cs="宋体"/>
          <w:color w:val="auto"/>
          <w:highlight w:val="none"/>
        </w:rPr>
        <w:t>。只要有一项不符合要求的属于不合格投标人，不合格投标人不能进入下一步评审。合格投标人数量少于3个的，不得评标。</w:t>
      </w:r>
    </w:p>
    <w:p w14:paraId="0CC0E509">
      <w:pPr>
        <w:pStyle w:val="5"/>
        <w:adjustRightInd w:val="0"/>
        <w:snapToGrid w:val="0"/>
        <w:spacing w:before="0" w:after="0" w:line="360" w:lineRule="auto"/>
        <w:rPr>
          <w:rFonts w:hint="eastAsia" w:ascii="宋体" w:hAnsi="宋体" w:eastAsia="宋体" w:cs="宋体"/>
          <w:b w:val="0"/>
          <w:color w:val="auto"/>
          <w:sz w:val="21"/>
          <w:szCs w:val="21"/>
          <w:highlight w:val="none"/>
        </w:rPr>
      </w:pPr>
      <w:bookmarkStart w:id="117" w:name="_Toc17460"/>
      <w:bookmarkStart w:id="118" w:name="_Toc14940"/>
      <w:bookmarkStart w:id="119" w:name="_Toc29855"/>
    </w:p>
    <w:p w14:paraId="5D15C9FF">
      <w:pPr>
        <w:pStyle w:val="5"/>
        <w:adjustRightInd w:val="0"/>
        <w:snapToGrid w:val="0"/>
        <w:spacing w:before="0" w:after="0" w:line="360" w:lineRule="auto"/>
        <w:rPr>
          <w:rFonts w:hint="eastAsia" w:ascii="宋体" w:hAnsi="宋体" w:eastAsia="宋体" w:cs="宋体"/>
          <w:b w:val="0"/>
          <w:color w:val="auto"/>
          <w:sz w:val="21"/>
          <w:szCs w:val="21"/>
          <w:highlight w:val="none"/>
        </w:rPr>
      </w:pPr>
      <w:bookmarkStart w:id="120" w:name="_Toc3931"/>
      <w:r>
        <w:rPr>
          <w:rFonts w:hint="eastAsia" w:ascii="宋体" w:hAnsi="宋体" w:eastAsia="宋体" w:cs="宋体"/>
          <w:b w:val="0"/>
          <w:color w:val="auto"/>
          <w:sz w:val="21"/>
          <w:szCs w:val="21"/>
          <w:highlight w:val="none"/>
        </w:rPr>
        <w:t>附表2 资格审查结果一览表</w:t>
      </w:r>
      <w:bookmarkEnd w:id="117"/>
      <w:bookmarkEnd w:id="118"/>
      <w:bookmarkEnd w:id="119"/>
      <w:bookmarkEnd w:id="120"/>
    </w:p>
    <w:p w14:paraId="57E7D4F1">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资格审查结果一览表</w:t>
      </w:r>
    </w:p>
    <w:tbl>
      <w:tblPr>
        <w:tblStyle w:val="45"/>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4A1C51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3EEC46E5">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2963" w:type="dxa"/>
            <w:noWrap w:val="0"/>
            <w:vAlign w:val="center"/>
          </w:tcPr>
          <w:p w14:paraId="5C427F8E">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投标人名称</w:t>
            </w:r>
          </w:p>
        </w:tc>
        <w:tc>
          <w:tcPr>
            <w:tcW w:w="2439" w:type="dxa"/>
            <w:noWrap w:val="0"/>
            <w:vAlign w:val="center"/>
          </w:tcPr>
          <w:p w14:paraId="5DC6928F">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资格审查结果</w:t>
            </w:r>
          </w:p>
          <w:p w14:paraId="7654A275">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（合格/不合格）</w:t>
            </w:r>
          </w:p>
        </w:tc>
        <w:tc>
          <w:tcPr>
            <w:tcW w:w="2961" w:type="dxa"/>
            <w:noWrap w:val="0"/>
            <w:vAlign w:val="center"/>
          </w:tcPr>
          <w:p w14:paraId="10D87190">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资格审查不合格原因</w:t>
            </w:r>
          </w:p>
        </w:tc>
      </w:tr>
      <w:tr w14:paraId="32B719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77D4D19">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4716F1E6">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0572AC3E">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6AE118F9">
            <w:pPr>
              <w:adjustRightInd w:val="0"/>
              <w:snapToGrid w:val="0"/>
              <w:spacing w:line="360" w:lineRule="auto"/>
              <w:rPr>
                <w:rFonts w:hint="eastAsia" w:ascii="宋体" w:hAnsi="宋体" w:eastAsia="宋体" w:cs="宋体"/>
                <w:color w:val="auto"/>
                <w:kern w:val="0"/>
                <w:sz w:val="24"/>
                <w:highlight w:val="none"/>
              </w:rPr>
            </w:pPr>
          </w:p>
        </w:tc>
      </w:tr>
      <w:tr w14:paraId="3D4803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42478284">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33EF4A7D">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45FE8266">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88F0951">
            <w:pPr>
              <w:adjustRightInd w:val="0"/>
              <w:snapToGrid w:val="0"/>
              <w:spacing w:line="360" w:lineRule="auto"/>
              <w:rPr>
                <w:rFonts w:hint="eastAsia" w:ascii="宋体" w:hAnsi="宋体" w:eastAsia="宋体" w:cs="宋体"/>
                <w:color w:val="auto"/>
                <w:kern w:val="0"/>
                <w:sz w:val="24"/>
                <w:highlight w:val="none"/>
              </w:rPr>
            </w:pPr>
          </w:p>
        </w:tc>
      </w:tr>
      <w:tr w14:paraId="0E61AD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0B9F6BC">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3C61128F">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22958711">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6BE0B659">
            <w:pPr>
              <w:adjustRightInd w:val="0"/>
              <w:snapToGrid w:val="0"/>
              <w:spacing w:line="360" w:lineRule="auto"/>
              <w:rPr>
                <w:rFonts w:hint="eastAsia" w:ascii="宋体" w:hAnsi="宋体" w:eastAsia="宋体" w:cs="宋体"/>
                <w:color w:val="auto"/>
                <w:kern w:val="0"/>
                <w:sz w:val="24"/>
                <w:highlight w:val="none"/>
              </w:rPr>
            </w:pPr>
          </w:p>
        </w:tc>
      </w:tr>
      <w:tr w14:paraId="1358E2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65E1D18D">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594E042C">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39F74F7F">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D22DEB1">
            <w:pPr>
              <w:adjustRightInd w:val="0"/>
              <w:snapToGrid w:val="0"/>
              <w:spacing w:line="360" w:lineRule="auto"/>
              <w:rPr>
                <w:rFonts w:hint="eastAsia" w:ascii="宋体" w:hAnsi="宋体" w:eastAsia="宋体" w:cs="宋体"/>
                <w:color w:val="auto"/>
                <w:kern w:val="0"/>
                <w:sz w:val="24"/>
                <w:highlight w:val="none"/>
              </w:rPr>
            </w:pPr>
          </w:p>
        </w:tc>
      </w:tr>
      <w:tr w14:paraId="2C6A12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750AE19A">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5A9DD24E">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1EBA5DF2">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27EA6A6C">
            <w:pPr>
              <w:adjustRightInd w:val="0"/>
              <w:snapToGrid w:val="0"/>
              <w:spacing w:line="360" w:lineRule="auto"/>
              <w:rPr>
                <w:rFonts w:hint="eastAsia" w:ascii="宋体" w:hAnsi="宋体" w:eastAsia="宋体" w:cs="宋体"/>
                <w:color w:val="auto"/>
                <w:kern w:val="0"/>
                <w:sz w:val="24"/>
                <w:highlight w:val="none"/>
              </w:rPr>
            </w:pPr>
          </w:p>
        </w:tc>
      </w:tr>
      <w:tr w14:paraId="1223E9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08E3384">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2CA48F7D">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6C91A73C">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6B206DC2">
            <w:pPr>
              <w:adjustRightInd w:val="0"/>
              <w:snapToGrid w:val="0"/>
              <w:spacing w:line="360" w:lineRule="auto"/>
              <w:rPr>
                <w:rFonts w:hint="eastAsia" w:ascii="宋体" w:hAnsi="宋体" w:eastAsia="宋体" w:cs="宋体"/>
                <w:color w:val="auto"/>
                <w:kern w:val="0"/>
                <w:sz w:val="24"/>
                <w:highlight w:val="none"/>
              </w:rPr>
            </w:pPr>
          </w:p>
        </w:tc>
      </w:tr>
      <w:tr w14:paraId="2DE809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6137F0F">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62549217">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58BB5669">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44925B3D">
            <w:pPr>
              <w:adjustRightInd w:val="0"/>
              <w:snapToGrid w:val="0"/>
              <w:spacing w:line="360" w:lineRule="auto"/>
              <w:rPr>
                <w:rFonts w:hint="eastAsia" w:ascii="宋体" w:hAnsi="宋体" w:eastAsia="宋体" w:cs="宋体"/>
                <w:color w:val="auto"/>
                <w:kern w:val="0"/>
                <w:sz w:val="24"/>
                <w:highlight w:val="none"/>
              </w:rPr>
            </w:pPr>
          </w:p>
        </w:tc>
      </w:tr>
    </w:tbl>
    <w:p w14:paraId="6F85C488">
      <w:pPr>
        <w:widowControl/>
        <w:jc w:val="left"/>
        <w:rPr>
          <w:rFonts w:hint="eastAsia" w:ascii="宋体" w:hAnsi="宋体" w:eastAsia="宋体" w:cs="宋体"/>
          <w:color w:val="auto"/>
          <w:sz w:val="24"/>
          <w:highlight w:val="none"/>
        </w:rPr>
      </w:pPr>
    </w:p>
    <w:p w14:paraId="5A905C00">
      <w:pPr>
        <w:rPr>
          <w:rFonts w:hint="eastAsia" w:ascii="宋体" w:hAnsi="宋体" w:eastAsia="宋体" w:cs="宋体"/>
          <w:b w:val="0"/>
          <w:color w:val="auto"/>
          <w:sz w:val="21"/>
          <w:szCs w:val="21"/>
          <w:highlight w:val="none"/>
        </w:rPr>
      </w:pPr>
      <w:bookmarkStart w:id="121" w:name="_Toc6157"/>
      <w:bookmarkStart w:id="122" w:name="_Toc8517"/>
      <w:bookmarkStart w:id="123" w:name="_Toc141"/>
      <w:r>
        <w:rPr>
          <w:rFonts w:hint="eastAsia" w:ascii="宋体" w:hAnsi="宋体" w:eastAsia="宋体" w:cs="宋体"/>
          <w:b w:val="0"/>
          <w:color w:val="auto"/>
          <w:sz w:val="21"/>
          <w:szCs w:val="21"/>
          <w:highlight w:val="none"/>
        </w:rPr>
        <w:br w:type="page"/>
      </w:r>
    </w:p>
    <w:p w14:paraId="14B2E725">
      <w:pPr>
        <w:pStyle w:val="5"/>
        <w:adjustRightInd w:val="0"/>
        <w:snapToGrid w:val="0"/>
        <w:spacing w:before="0" w:after="0" w:line="360" w:lineRule="auto"/>
        <w:rPr>
          <w:rFonts w:hint="eastAsia" w:ascii="宋体" w:hAnsi="宋体" w:eastAsia="宋体" w:cs="宋体"/>
          <w:b w:val="0"/>
          <w:color w:val="auto"/>
          <w:sz w:val="21"/>
          <w:szCs w:val="21"/>
          <w:highlight w:val="none"/>
        </w:rPr>
      </w:pPr>
      <w:bookmarkStart w:id="124" w:name="_Toc1183"/>
      <w:r>
        <w:rPr>
          <w:rFonts w:hint="eastAsia" w:ascii="宋体" w:hAnsi="宋体" w:eastAsia="宋体" w:cs="宋体"/>
          <w:b w:val="0"/>
          <w:color w:val="auto"/>
          <w:sz w:val="21"/>
          <w:szCs w:val="21"/>
          <w:highlight w:val="none"/>
        </w:rPr>
        <w:t>附表3 资格审查合格投标人名单</w:t>
      </w:r>
      <w:bookmarkEnd w:id="121"/>
      <w:bookmarkEnd w:id="122"/>
      <w:bookmarkEnd w:id="123"/>
      <w:bookmarkEnd w:id="124"/>
    </w:p>
    <w:p w14:paraId="122EB66E">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资格审查合格投标人名单</w:t>
      </w:r>
    </w:p>
    <w:tbl>
      <w:tblPr>
        <w:tblStyle w:val="45"/>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030A3D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center"/>
          </w:tcPr>
          <w:p w14:paraId="256DD9EB">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7796" w:type="dxa"/>
            <w:noWrap w:val="0"/>
            <w:vAlign w:val="center"/>
          </w:tcPr>
          <w:p w14:paraId="2811A404">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合格投标人名称</w:t>
            </w:r>
          </w:p>
        </w:tc>
      </w:tr>
      <w:tr w14:paraId="1486E8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96217A0">
            <w:pPr>
              <w:adjustRightInd w:val="0"/>
              <w:snapToGrid w:val="0"/>
              <w:spacing w:line="360" w:lineRule="auto"/>
              <w:rPr>
                <w:rFonts w:hint="eastAsia" w:ascii="宋体" w:hAnsi="宋体" w:eastAsia="宋体" w:cs="宋体"/>
                <w:color w:val="auto"/>
                <w:kern w:val="0"/>
                <w:szCs w:val="21"/>
                <w:highlight w:val="none"/>
              </w:rPr>
            </w:pPr>
          </w:p>
        </w:tc>
        <w:tc>
          <w:tcPr>
            <w:tcW w:w="7796" w:type="dxa"/>
            <w:noWrap w:val="0"/>
            <w:vAlign w:val="top"/>
          </w:tcPr>
          <w:p w14:paraId="71727228">
            <w:pPr>
              <w:adjustRightInd w:val="0"/>
              <w:snapToGrid w:val="0"/>
              <w:spacing w:line="360" w:lineRule="auto"/>
              <w:rPr>
                <w:rFonts w:hint="eastAsia" w:ascii="宋体" w:hAnsi="宋体" w:eastAsia="宋体" w:cs="宋体"/>
                <w:color w:val="auto"/>
                <w:kern w:val="0"/>
                <w:szCs w:val="21"/>
                <w:highlight w:val="none"/>
              </w:rPr>
            </w:pPr>
          </w:p>
        </w:tc>
      </w:tr>
      <w:tr w14:paraId="65075F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A74B2CE">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5FA9AD59">
            <w:pPr>
              <w:adjustRightInd w:val="0"/>
              <w:snapToGrid w:val="0"/>
              <w:spacing w:line="360" w:lineRule="auto"/>
              <w:rPr>
                <w:rFonts w:hint="eastAsia" w:ascii="宋体" w:hAnsi="宋体" w:eastAsia="宋体" w:cs="宋体"/>
                <w:color w:val="auto"/>
                <w:kern w:val="0"/>
                <w:sz w:val="24"/>
                <w:highlight w:val="none"/>
              </w:rPr>
            </w:pPr>
          </w:p>
        </w:tc>
      </w:tr>
      <w:tr w14:paraId="1CD068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AB9D25A">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4897E934">
            <w:pPr>
              <w:adjustRightInd w:val="0"/>
              <w:snapToGrid w:val="0"/>
              <w:spacing w:line="360" w:lineRule="auto"/>
              <w:rPr>
                <w:rFonts w:hint="eastAsia" w:ascii="宋体" w:hAnsi="宋体" w:eastAsia="宋体" w:cs="宋体"/>
                <w:color w:val="auto"/>
                <w:kern w:val="0"/>
                <w:sz w:val="24"/>
                <w:highlight w:val="none"/>
              </w:rPr>
            </w:pPr>
          </w:p>
        </w:tc>
      </w:tr>
      <w:tr w14:paraId="321AE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EF66862">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02AC2550">
            <w:pPr>
              <w:adjustRightInd w:val="0"/>
              <w:snapToGrid w:val="0"/>
              <w:spacing w:line="360" w:lineRule="auto"/>
              <w:rPr>
                <w:rFonts w:hint="eastAsia" w:ascii="宋体" w:hAnsi="宋体" w:eastAsia="宋体" w:cs="宋体"/>
                <w:color w:val="auto"/>
                <w:kern w:val="0"/>
                <w:sz w:val="24"/>
                <w:highlight w:val="none"/>
              </w:rPr>
            </w:pPr>
          </w:p>
        </w:tc>
      </w:tr>
      <w:tr w14:paraId="740691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26AF896">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3B605908">
            <w:pPr>
              <w:adjustRightInd w:val="0"/>
              <w:snapToGrid w:val="0"/>
              <w:spacing w:line="360" w:lineRule="auto"/>
              <w:rPr>
                <w:rFonts w:hint="eastAsia" w:ascii="宋体" w:hAnsi="宋体" w:eastAsia="宋体" w:cs="宋体"/>
                <w:color w:val="auto"/>
                <w:kern w:val="0"/>
                <w:sz w:val="24"/>
                <w:highlight w:val="none"/>
              </w:rPr>
            </w:pPr>
          </w:p>
        </w:tc>
      </w:tr>
      <w:tr w14:paraId="538090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F9C7527">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4F165D72">
            <w:pPr>
              <w:adjustRightInd w:val="0"/>
              <w:snapToGrid w:val="0"/>
              <w:spacing w:line="360" w:lineRule="auto"/>
              <w:rPr>
                <w:rFonts w:hint="eastAsia" w:ascii="宋体" w:hAnsi="宋体" w:eastAsia="宋体" w:cs="宋体"/>
                <w:color w:val="auto"/>
                <w:kern w:val="0"/>
                <w:sz w:val="24"/>
                <w:highlight w:val="none"/>
              </w:rPr>
            </w:pPr>
          </w:p>
        </w:tc>
      </w:tr>
    </w:tbl>
    <w:p w14:paraId="0418CB7F">
      <w:pPr>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说明：本表中投标人排名不分先后。不合格的投标人不能进入下一步评审。</w:t>
      </w:r>
      <w:r>
        <w:rPr>
          <w:rFonts w:hint="eastAsia" w:ascii="宋体" w:hAnsi="宋体" w:eastAsia="宋体" w:cs="宋体"/>
          <w:color w:val="auto"/>
          <w:kern w:val="0"/>
          <w:szCs w:val="21"/>
          <w:highlight w:val="none"/>
        </w:rPr>
        <w:t>合格投标人数量少于3个的，不得评标。</w:t>
      </w:r>
    </w:p>
    <w:p w14:paraId="47702600">
      <w:pPr>
        <w:adjustRightInd w:val="0"/>
        <w:snapToGrid w:val="0"/>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r>
        <w:rPr>
          <w:rFonts w:hint="eastAsia" w:ascii="宋体" w:hAnsi="宋体" w:eastAsia="宋体" w:cs="宋体"/>
          <w:color w:val="auto"/>
          <w:szCs w:val="21"/>
          <w:highlight w:val="none"/>
          <w:lang w:eastAsia="zh-CN"/>
        </w:rPr>
        <w:t>代表</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A96E7A0">
      <w:pPr>
        <w:pStyle w:val="23"/>
        <w:adjustRightInd w:val="0"/>
        <w:snapToGrid w:val="0"/>
        <w:spacing w:line="360" w:lineRule="auto"/>
        <w:jc w:val="both"/>
        <w:outlineLvl w:val="0"/>
        <w:rPr>
          <w:rFonts w:hint="eastAsia" w:ascii="宋体" w:hAnsi="宋体" w:eastAsia="宋体" w:cs="宋体"/>
          <w:b/>
          <w:color w:val="auto"/>
          <w:sz w:val="28"/>
          <w:szCs w:val="28"/>
          <w:highlight w:val="none"/>
        </w:rPr>
      </w:pPr>
      <w:bookmarkStart w:id="125" w:name="_Toc27212"/>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highlight w:val="none"/>
        </w:rPr>
        <w:br w:type="page"/>
      </w:r>
      <w:bookmarkStart w:id="126" w:name="_Toc15313"/>
      <w:r>
        <w:rPr>
          <w:rFonts w:hint="eastAsia" w:ascii="宋体" w:hAnsi="宋体" w:eastAsia="宋体" w:cs="宋体"/>
          <w:b/>
          <w:color w:val="auto"/>
          <w:sz w:val="32"/>
          <w:szCs w:val="32"/>
          <w:highlight w:val="none"/>
        </w:rPr>
        <w:t>第四章 评标方法及标准（综合评分法）</w:t>
      </w:r>
      <w:bookmarkEnd w:id="116"/>
      <w:bookmarkEnd w:id="125"/>
      <w:bookmarkEnd w:id="126"/>
    </w:p>
    <w:p w14:paraId="07E69C12">
      <w:pPr>
        <w:pStyle w:val="3"/>
        <w:adjustRightInd w:val="0"/>
        <w:snapToGrid w:val="0"/>
        <w:jc w:val="center"/>
        <w:rPr>
          <w:rFonts w:hint="eastAsia" w:ascii="宋体" w:hAnsi="宋体" w:eastAsia="宋体" w:cs="宋体"/>
          <w:color w:val="auto"/>
          <w:sz w:val="28"/>
          <w:szCs w:val="28"/>
          <w:highlight w:val="none"/>
        </w:rPr>
      </w:pPr>
      <w:bookmarkStart w:id="127" w:name="_Toc20037"/>
      <w:bookmarkStart w:id="128" w:name="_Toc6248"/>
      <w:bookmarkStart w:id="129" w:name="_Toc29913911"/>
      <w:bookmarkStart w:id="130" w:name="_Toc2502"/>
      <w:bookmarkStart w:id="131" w:name="_Toc27055"/>
      <w:r>
        <w:rPr>
          <w:rFonts w:hint="eastAsia" w:ascii="宋体" w:hAnsi="宋体" w:eastAsia="宋体" w:cs="宋体"/>
          <w:color w:val="auto"/>
          <w:sz w:val="28"/>
          <w:szCs w:val="28"/>
          <w:highlight w:val="none"/>
        </w:rPr>
        <w:t>第一节 评标方法及标准前附表</w:t>
      </w:r>
      <w:bookmarkEnd w:id="127"/>
      <w:bookmarkEnd w:id="128"/>
      <w:bookmarkEnd w:id="129"/>
      <w:bookmarkEnd w:id="130"/>
      <w:bookmarkEnd w:id="131"/>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0"/>
        <w:gridCol w:w="2271"/>
        <w:gridCol w:w="4818"/>
      </w:tblGrid>
      <w:tr w14:paraId="39DCA7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double" w:color="auto" w:sz="4" w:space="0"/>
              <w:bottom w:val="single" w:color="auto" w:sz="6" w:space="0"/>
            </w:tcBorders>
          </w:tcPr>
          <w:p w14:paraId="1D039218">
            <w:pPr>
              <w:adjustRightInd w:val="0"/>
              <w:snapToGrid w:val="0"/>
              <w:spacing w:before="156" w:beforeLines="50"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条款号</w:t>
            </w:r>
          </w:p>
        </w:tc>
        <w:tc>
          <w:tcPr>
            <w:tcW w:w="2271" w:type="dxa"/>
            <w:tcBorders>
              <w:top w:val="double" w:color="auto" w:sz="4" w:space="0"/>
              <w:bottom w:val="single" w:color="auto" w:sz="6" w:space="0"/>
            </w:tcBorders>
          </w:tcPr>
          <w:p w14:paraId="00669644">
            <w:pPr>
              <w:adjustRightInd w:val="0"/>
              <w:snapToGrid w:val="0"/>
              <w:spacing w:before="156" w:beforeLines="50"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条款名称</w:t>
            </w:r>
          </w:p>
        </w:tc>
        <w:tc>
          <w:tcPr>
            <w:tcW w:w="4818" w:type="dxa"/>
            <w:tcBorders>
              <w:top w:val="double" w:color="auto" w:sz="4" w:space="0"/>
              <w:bottom w:val="single" w:color="auto" w:sz="6" w:space="0"/>
            </w:tcBorders>
          </w:tcPr>
          <w:p w14:paraId="0EB6D23F">
            <w:pPr>
              <w:adjustRightInd w:val="0"/>
              <w:snapToGrid w:val="0"/>
              <w:spacing w:before="156" w:beforeLines="50" w:line="360" w:lineRule="auto"/>
              <w:jc w:val="center"/>
              <w:rPr>
                <w:rFonts w:hint="eastAsia" w:ascii="宋体" w:hAnsi="宋体" w:eastAsia="宋体" w:cs="宋体"/>
                <w:b/>
                <w:color w:val="auto"/>
                <w:highlight w:val="none"/>
              </w:rPr>
            </w:pPr>
            <w:r>
              <w:rPr>
                <w:rFonts w:hint="eastAsia" w:ascii="宋体" w:hAnsi="宋体" w:eastAsia="宋体" w:cs="宋体"/>
                <w:b/>
                <w:color w:val="auto"/>
                <w:highlight w:val="none"/>
              </w:rPr>
              <w:t>编列内容规定</w:t>
            </w:r>
          </w:p>
        </w:tc>
      </w:tr>
      <w:tr w14:paraId="2A1DA5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14:paraId="1C59377A">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kern w:val="0"/>
                <w:szCs w:val="21"/>
                <w:highlight w:val="none"/>
                <w:lang w:val="zh-CN"/>
              </w:rPr>
              <w:t>款</w:t>
            </w:r>
          </w:p>
        </w:tc>
        <w:tc>
          <w:tcPr>
            <w:tcW w:w="2271" w:type="dxa"/>
            <w:tcBorders>
              <w:top w:val="single" w:color="auto" w:sz="6" w:space="0"/>
              <w:bottom w:val="single" w:color="auto" w:sz="6" w:space="0"/>
            </w:tcBorders>
            <w:vAlign w:val="center"/>
          </w:tcPr>
          <w:p w14:paraId="5F2BEBCA">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评标方法</w:t>
            </w:r>
          </w:p>
        </w:tc>
        <w:tc>
          <w:tcPr>
            <w:tcW w:w="4818" w:type="dxa"/>
            <w:tcBorders>
              <w:top w:val="single" w:color="auto" w:sz="6" w:space="0"/>
              <w:bottom w:val="single" w:color="auto" w:sz="6" w:space="0"/>
            </w:tcBorders>
            <w:vAlign w:val="center"/>
          </w:tcPr>
          <w:p w14:paraId="67180875">
            <w:pPr>
              <w:adjustRightInd w:val="0"/>
              <w:snapToGrid w:val="0"/>
              <w:spacing w:before="156" w:beforeLines="50"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综合评分法</w:t>
            </w:r>
          </w:p>
        </w:tc>
      </w:tr>
      <w:tr w14:paraId="29600D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14:paraId="6A97A1D1">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第3.4</w:t>
            </w:r>
            <w:r>
              <w:rPr>
                <w:rFonts w:hint="eastAsia" w:ascii="宋体" w:hAnsi="宋体" w:eastAsia="宋体" w:cs="宋体"/>
                <w:color w:val="auto"/>
                <w:kern w:val="0"/>
                <w:szCs w:val="21"/>
                <w:highlight w:val="none"/>
                <w:lang w:val="zh-CN"/>
              </w:rPr>
              <w:t>款</w:t>
            </w:r>
          </w:p>
        </w:tc>
        <w:tc>
          <w:tcPr>
            <w:tcW w:w="2271" w:type="dxa"/>
            <w:tcBorders>
              <w:top w:val="single" w:color="auto" w:sz="6" w:space="0"/>
              <w:bottom w:val="single" w:color="auto" w:sz="6" w:space="0"/>
            </w:tcBorders>
            <w:vAlign w:val="center"/>
          </w:tcPr>
          <w:p w14:paraId="3856F132">
            <w:pPr>
              <w:adjustRightInd w:val="0"/>
              <w:snapToGrid w:val="0"/>
              <w:spacing w:before="156" w:beforeLines="50" w:line="24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服务中配套货物非单一产品采购项目的核心产品</w:t>
            </w:r>
            <w:r>
              <w:rPr>
                <w:rFonts w:hint="eastAsia" w:ascii="宋体" w:hAnsi="宋体" w:eastAsia="宋体" w:cs="宋体"/>
                <w:color w:val="auto"/>
                <w:szCs w:val="21"/>
                <w:highlight w:val="none"/>
                <w:lang w:eastAsia="zh-CN"/>
              </w:rPr>
              <w:t>（本项目不适用）</w:t>
            </w:r>
          </w:p>
        </w:tc>
        <w:tc>
          <w:tcPr>
            <w:tcW w:w="4818" w:type="dxa"/>
            <w:tcBorders>
              <w:top w:val="single" w:color="auto" w:sz="6" w:space="0"/>
              <w:bottom w:val="single" w:color="auto" w:sz="6" w:space="0"/>
            </w:tcBorders>
            <w:vAlign w:val="center"/>
          </w:tcPr>
          <w:p w14:paraId="038D61F0">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核心产品为：</w:t>
            </w:r>
            <w:r>
              <w:rPr>
                <w:rFonts w:hint="eastAsia" w:ascii="宋体" w:hAnsi="宋体" w:eastAsia="宋体" w:cs="宋体"/>
                <w:color w:val="auto"/>
                <w:szCs w:val="21"/>
                <w:highlight w:val="none"/>
              </w:rPr>
              <w:softHyphen/>
            </w:r>
            <w:r>
              <w:rPr>
                <w:rFonts w:hint="eastAsia" w:ascii="宋体" w:hAnsi="宋体" w:eastAsia="宋体" w:cs="宋体"/>
                <w:color w:val="auto"/>
                <w:szCs w:val="21"/>
                <w:highlight w:val="none"/>
              </w:rPr>
              <w:softHyphen/>
            </w:r>
            <w:r>
              <w:rPr>
                <w:rFonts w:hint="eastAsia" w:ascii="宋体" w:hAnsi="宋体" w:eastAsia="宋体" w:cs="宋体"/>
                <w:color w:val="auto"/>
                <w:szCs w:val="21"/>
                <w:highlight w:val="none"/>
              </w:rPr>
              <w:softHyphen/>
            </w:r>
            <w:r>
              <w:rPr>
                <w:rFonts w:hint="eastAsia" w:ascii="宋体" w:hAnsi="宋体" w:eastAsia="宋体" w:cs="宋体"/>
                <w:color w:val="auto"/>
                <w:szCs w:val="21"/>
                <w:highlight w:val="none"/>
              </w:rPr>
              <w:softHyphen/>
            </w:r>
            <w:r>
              <w:rPr>
                <w:rFonts w:hint="eastAsia" w:ascii="宋体" w:hAnsi="宋体" w:eastAsia="宋体" w:cs="宋体"/>
                <w:color w:val="auto"/>
                <w:szCs w:val="21"/>
                <w:highlight w:val="none"/>
              </w:rPr>
              <w:t>__</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_</w:t>
            </w:r>
            <w:r>
              <w:rPr>
                <w:rFonts w:hint="eastAsia" w:ascii="宋体" w:hAnsi="宋体" w:eastAsia="宋体" w:cs="宋体"/>
                <w:color w:val="auto"/>
                <w:highlight w:val="none"/>
              </w:rPr>
              <w:t>。</w:t>
            </w:r>
            <w:r>
              <w:rPr>
                <w:rFonts w:hint="eastAsia" w:ascii="宋体" w:hAnsi="宋体" w:eastAsia="宋体" w:cs="宋体"/>
                <w:color w:val="auto"/>
                <w:kern w:val="0"/>
                <w:highlight w:val="none"/>
              </w:rPr>
              <w:t>（提示：根据采购项目技术构成、产品价格比重等合理确定具体产品为核心产品）</w:t>
            </w:r>
          </w:p>
        </w:tc>
      </w:tr>
      <w:tr w14:paraId="5AEC48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14:paraId="6CF43C4A">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第4.2</w:t>
            </w:r>
            <w:r>
              <w:rPr>
                <w:rFonts w:hint="eastAsia" w:ascii="宋体" w:hAnsi="宋体" w:eastAsia="宋体" w:cs="宋体"/>
                <w:color w:val="auto"/>
                <w:kern w:val="0"/>
                <w:szCs w:val="21"/>
                <w:highlight w:val="none"/>
                <w:lang w:val="zh-CN"/>
              </w:rPr>
              <w:t>款</w:t>
            </w:r>
          </w:p>
        </w:tc>
        <w:tc>
          <w:tcPr>
            <w:tcW w:w="2271" w:type="dxa"/>
            <w:tcBorders>
              <w:top w:val="single" w:color="auto" w:sz="6" w:space="0"/>
              <w:bottom w:val="single" w:color="auto" w:sz="6" w:space="0"/>
            </w:tcBorders>
            <w:vAlign w:val="center"/>
          </w:tcPr>
          <w:p w14:paraId="0C32BC69">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投标文件报价出现前后不一致的修正</w:t>
            </w:r>
          </w:p>
        </w:tc>
        <w:tc>
          <w:tcPr>
            <w:tcW w:w="4818" w:type="dxa"/>
            <w:tcBorders>
              <w:top w:val="single" w:color="auto" w:sz="6" w:space="0"/>
              <w:bottom w:val="single" w:color="auto" w:sz="6" w:space="0"/>
            </w:tcBorders>
            <w:vAlign w:val="center"/>
          </w:tcPr>
          <w:p w14:paraId="4107E02F">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详见第4.2款</w:t>
            </w:r>
          </w:p>
        </w:tc>
      </w:tr>
      <w:tr w14:paraId="6A49BA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single" w:color="auto" w:sz="6" w:space="0"/>
              <w:bottom w:val="single" w:color="auto" w:sz="6" w:space="0"/>
            </w:tcBorders>
            <w:vAlign w:val="center"/>
          </w:tcPr>
          <w:p w14:paraId="5CE98A72">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第5.2</w:t>
            </w:r>
            <w:r>
              <w:rPr>
                <w:rFonts w:hint="eastAsia" w:ascii="宋体" w:hAnsi="宋体" w:eastAsia="宋体" w:cs="宋体"/>
                <w:color w:val="auto"/>
                <w:kern w:val="0"/>
                <w:szCs w:val="21"/>
                <w:highlight w:val="none"/>
                <w:lang w:val="zh-CN"/>
              </w:rPr>
              <w:t>项</w:t>
            </w:r>
          </w:p>
        </w:tc>
        <w:tc>
          <w:tcPr>
            <w:tcW w:w="2271" w:type="dxa"/>
            <w:tcBorders>
              <w:top w:val="single" w:color="auto" w:sz="6" w:space="0"/>
              <w:bottom w:val="single" w:color="auto" w:sz="6" w:space="0"/>
            </w:tcBorders>
            <w:vAlign w:val="center"/>
          </w:tcPr>
          <w:p w14:paraId="740A2977">
            <w:pPr>
              <w:adjustRightInd w:val="0"/>
              <w:snapToGrid w:val="0"/>
              <w:spacing w:before="156" w:beforeLines="50" w:line="24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相同品牌产品</w:t>
            </w:r>
          </w:p>
          <w:p w14:paraId="38C58725">
            <w:pPr>
              <w:adjustRightInd w:val="0"/>
              <w:snapToGrid w:val="0"/>
              <w:spacing w:before="156" w:beforeLines="50" w:line="24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评审得分相同的规定</w:t>
            </w:r>
            <w:r>
              <w:rPr>
                <w:rFonts w:hint="eastAsia" w:ascii="宋体" w:hAnsi="宋体" w:eastAsia="宋体" w:cs="宋体"/>
                <w:color w:val="auto"/>
                <w:szCs w:val="21"/>
                <w:highlight w:val="none"/>
                <w:lang w:eastAsia="zh-CN"/>
              </w:rPr>
              <w:t>（本项目不适用）</w:t>
            </w:r>
          </w:p>
        </w:tc>
        <w:tc>
          <w:tcPr>
            <w:tcW w:w="4818" w:type="dxa"/>
            <w:tcBorders>
              <w:top w:val="single" w:color="auto" w:sz="6" w:space="0"/>
              <w:bottom w:val="single" w:color="auto" w:sz="6" w:space="0"/>
            </w:tcBorders>
            <w:vAlign w:val="center"/>
          </w:tcPr>
          <w:p w14:paraId="153384AB">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得分相同的，按投标报价由低到高顺序排列。得分且投标报价相同的，按技术指标优劣顺序排列。</w:t>
            </w:r>
            <w:r>
              <w:rPr>
                <w:rFonts w:hint="eastAsia" w:ascii="宋体" w:hAnsi="宋体" w:eastAsia="宋体" w:cs="宋体"/>
                <w:color w:val="auto"/>
                <w:szCs w:val="21"/>
                <w:highlight w:val="none"/>
              </w:rPr>
              <w:t>（</w:t>
            </w:r>
            <w:r>
              <w:rPr>
                <w:rFonts w:hint="eastAsia" w:ascii="宋体" w:hAnsi="宋体" w:eastAsia="宋体" w:cs="宋体"/>
                <w:i/>
                <w:color w:val="auto"/>
                <w:szCs w:val="21"/>
                <w:highlight w:val="none"/>
              </w:rPr>
              <w:t>提示：也可另行规定</w:t>
            </w:r>
            <w:r>
              <w:rPr>
                <w:rFonts w:hint="eastAsia" w:ascii="宋体" w:hAnsi="宋体" w:eastAsia="宋体" w:cs="宋体"/>
                <w:color w:val="auto"/>
                <w:szCs w:val="21"/>
                <w:highlight w:val="none"/>
              </w:rPr>
              <w:t xml:space="preserve">）  </w:t>
            </w:r>
          </w:p>
          <w:p w14:paraId="66FA0C3E">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highlight w:val="none"/>
              </w:rPr>
              <w:t>□ 随机抽取方式确定。</w:t>
            </w:r>
          </w:p>
        </w:tc>
      </w:tr>
      <w:tr w14:paraId="433DE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0" w:type="dxa"/>
            <w:tcBorders>
              <w:top w:val="single" w:color="auto" w:sz="6" w:space="0"/>
            </w:tcBorders>
            <w:vAlign w:val="center"/>
          </w:tcPr>
          <w:p w14:paraId="256D0383">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val="zh-CN"/>
              </w:rPr>
              <w:t>项</w:t>
            </w:r>
          </w:p>
        </w:tc>
        <w:tc>
          <w:tcPr>
            <w:tcW w:w="2271" w:type="dxa"/>
            <w:tcBorders>
              <w:top w:val="single" w:color="auto" w:sz="6" w:space="0"/>
            </w:tcBorders>
            <w:vAlign w:val="center"/>
          </w:tcPr>
          <w:p w14:paraId="580F4800">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价格评审优惠</w:t>
            </w:r>
          </w:p>
          <w:p w14:paraId="2AB1D744">
            <w:pPr>
              <w:pStyle w:val="58"/>
              <w:spacing w:line="240" w:lineRule="auto"/>
              <w:rPr>
                <w:rFonts w:hint="eastAsia" w:ascii="宋体" w:hAnsi="宋体" w:eastAsia="宋体" w:cs="宋体"/>
                <w:color w:val="auto"/>
                <w:highlight w:val="none"/>
              </w:rPr>
            </w:pPr>
          </w:p>
        </w:tc>
        <w:tc>
          <w:tcPr>
            <w:tcW w:w="4818" w:type="dxa"/>
            <w:tcBorders>
              <w:top w:val="single" w:color="auto" w:sz="6" w:space="0"/>
              <w:bottom w:val="single" w:color="auto" w:sz="4" w:space="0"/>
            </w:tcBorders>
            <w:vAlign w:val="center"/>
          </w:tcPr>
          <w:p w14:paraId="79DDA012">
            <w:pPr>
              <w:spacing w:line="24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color w:val="auto"/>
                <w:szCs w:val="21"/>
                <w:highlight w:val="none"/>
              </w:rPr>
              <w:t>1.非专门面向中小企业采购：给予小型和微型企业产品的价格给予</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0%的扣除，用扣除后的价格参与评审，本项目具体扣除比例为</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val="en-US" w:eastAsia="zh-CN"/>
              </w:rPr>
              <w:t xml:space="preserve">10 </w:t>
            </w: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rPr>
              <w:t>。</w:t>
            </w:r>
          </w:p>
          <w:p w14:paraId="5EF272B8">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2.监狱企业、残疾人福利性单位视同小型、微型企业，享受评审中价格扣除等促进中小企业发展的政府采购政策。</w:t>
            </w:r>
          </w:p>
          <w:p w14:paraId="65ECD367">
            <w:pPr>
              <w:adjustRightInd w:val="0"/>
              <w:snapToGrid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3.投标人同时符合小型、微型企业及监狱企业、残疾人福利性单位要求的，评审时只有一种类型享受价格评审优惠政策；</w:t>
            </w:r>
          </w:p>
          <w:p w14:paraId="73A35027">
            <w:pPr>
              <w:snapToGrid w:val="0"/>
              <w:spacing w:line="240" w:lineRule="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szCs w:val="21"/>
                <w:highlight w:val="none"/>
              </w:rPr>
              <w:t>4.小型和微型企业的价格评审优惠可以与同时属于“节能产品”、“环境标志产品”中的一项优先采购优惠累加计算。</w:t>
            </w:r>
          </w:p>
        </w:tc>
      </w:tr>
      <w:tr w14:paraId="77C729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4" w:hRule="atLeast"/>
        </w:trPr>
        <w:tc>
          <w:tcPr>
            <w:tcW w:w="1700" w:type="dxa"/>
            <w:tcBorders>
              <w:top w:val="single" w:color="auto" w:sz="6" w:space="0"/>
              <w:bottom w:val="single" w:color="auto" w:sz="6" w:space="0"/>
              <w:right w:val="single" w:color="auto" w:sz="6" w:space="0"/>
            </w:tcBorders>
            <w:vAlign w:val="center"/>
          </w:tcPr>
          <w:p w14:paraId="5B85CAEB">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第5.</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w:t>
            </w:r>
            <w:r>
              <w:rPr>
                <w:rFonts w:hint="eastAsia" w:ascii="宋体" w:hAnsi="宋体" w:eastAsia="宋体" w:cs="宋体"/>
                <w:color w:val="auto"/>
                <w:kern w:val="0"/>
                <w:szCs w:val="21"/>
                <w:highlight w:val="none"/>
                <w:lang w:val="zh-CN"/>
              </w:rPr>
              <w:t>项</w:t>
            </w:r>
          </w:p>
        </w:tc>
        <w:tc>
          <w:tcPr>
            <w:tcW w:w="2271" w:type="dxa"/>
            <w:tcBorders>
              <w:top w:val="single" w:color="auto" w:sz="6" w:space="0"/>
              <w:left w:val="single" w:color="auto" w:sz="6" w:space="0"/>
              <w:right w:val="single" w:color="auto" w:sz="6" w:space="0"/>
            </w:tcBorders>
            <w:vAlign w:val="center"/>
          </w:tcPr>
          <w:p w14:paraId="1EBE5C0D">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优先采购</w:t>
            </w:r>
          </w:p>
          <w:p w14:paraId="09D39D9C">
            <w:pPr>
              <w:adjustRightInd w:val="0"/>
              <w:snapToGrid w:val="0"/>
              <w:spacing w:before="156" w:beforeLines="50" w:line="24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（本项目不适用）</w:t>
            </w:r>
          </w:p>
        </w:tc>
        <w:tc>
          <w:tcPr>
            <w:tcW w:w="4818" w:type="dxa"/>
            <w:tcBorders>
              <w:top w:val="single" w:color="auto" w:sz="6" w:space="0"/>
              <w:left w:val="single" w:color="auto" w:sz="6" w:space="0"/>
              <w:bottom w:val="single" w:color="auto" w:sz="6" w:space="0"/>
            </w:tcBorders>
            <w:vAlign w:val="center"/>
          </w:tcPr>
          <w:p w14:paraId="2A1947B0">
            <w:pPr>
              <w:widowControl/>
              <w:spacing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①非强制采购节能产品:</w:t>
            </w:r>
            <w:r>
              <w:rPr>
                <w:rFonts w:hint="eastAsia" w:ascii="宋体" w:hAnsi="宋体" w:eastAsia="宋体" w:cs="宋体"/>
                <w:color w:val="auto"/>
                <w:szCs w:val="21"/>
                <w:highlight w:val="none"/>
              </w:rPr>
              <w:t>对于技术和价格分，应分别给予</w:t>
            </w:r>
            <w:r>
              <w:rPr>
                <w:rFonts w:hint="eastAsia" w:ascii="宋体" w:hAnsi="宋体" w:eastAsia="宋体" w:cs="宋体"/>
                <w:color w:val="auto"/>
                <w:kern w:val="0"/>
                <w:szCs w:val="21"/>
                <w:highlight w:val="none"/>
              </w:rPr>
              <w:t>一级评标因素权重</w:t>
            </w:r>
            <w:r>
              <w:rPr>
                <w:rFonts w:hint="eastAsia" w:ascii="宋体" w:hAnsi="宋体" w:eastAsia="宋体" w:cs="宋体"/>
                <w:color w:val="auto"/>
                <w:szCs w:val="21"/>
                <w:highlight w:val="none"/>
              </w:rPr>
              <w:t>4%-8%的加分。本项目具体加分比例分别为 ：技术</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%、价格</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w:t>
            </w:r>
          </w:p>
          <w:p w14:paraId="3AB8DE44">
            <w:pPr>
              <w:widowControl/>
              <w:spacing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②环境标志产品:</w:t>
            </w:r>
            <w:r>
              <w:rPr>
                <w:rFonts w:hint="eastAsia" w:ascii="宋体" w:hAnsi="宋体" w:eastAsia="宋体" w:cs="宋体"/>
                <w:color w:val="auto"/>
                <w:szCs w:val="21"/>
                <w:highlight w:val="none"/>
              </w:rPr>
              <w:t>对于技术和价格分，应分别给予</w:t>
            </w:r>
            <w:r>
              <w:rPr>
                <w:rFonts w:hint="eastAsia" w:ascii="宋体" w:hAnsi="宋体" w:eastAsia="宋体" w:cs="宋体"/>
                <w:color w:val="auto"/>
                <w:kern w:val="0"/>
                <w:szCs w:val="21"/>
                <w:highlight w:val="none"/>
              </w:rPr>
              <w:t>一级评标因素权重</w:t>
            </w:r>
            <w:r>
              <w:rPr>
                <w:rFonts w:hint="eastAsia" w:ascii="宋体" w:hAnsi="宋体" w:eastAsia="宋体" w:cs="宋体"/>
                <w:color w:val="auto"/>
                <w:szCs w:val="21"/>
                <w:highlight w:val="none"/>
              </w:rPr>
              <w:t>4%-8%的加分。本项目具体加分比例分别为 ：技术</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%、价格</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br w:type="textWrapping"/>
            </w:r>
            <w:r>
              <w:rPr>
                <w:rFonts w:hint="eastAsia" w:ascii="宋体" w:hAnsi="宋体" w:eastAsia="宋体" w:cs="宋体"/>
                <w:color w:val="auto"/>
                <w:kern w:val="0"/>
                <w:szCs w:val="21"/>
                <w:highlight w:val="none"/>
              </w:rPr>
              <w:t xml:space="preserve">    注：以上</w:t>
            </w:r>
            <w:r>
              <w:rPr>
                <w:rFonts w:hint="eastAsia" w:ascii="宋体" w:hAnsi="宋体" w:eastAsia="宋体" w:cs="宋体"/>
                <w:color w:val="auto"/>
                <w:kern w:val="0"/>
                <w:szCs w:val="21"/>
                <w:highlight w:val="none"/>
                <w:lang w:eastAsia="zh-CN"/>
              </w:rPr>
              <w:t>二</w:t>
            </w:r>
            <w:r>
              <w:rPr>
                <w:rFonts w:hint="eastAsia" w:ascii="宋体" w:hAnsi="宋体" w:eastAsia="宋体" w:cs="宋体"/>
                <w:color w:val="auto"/>
                <w:kern w:val="0"/>
                <w:szCs w:val="21"/>
                <w:highlight w:val="none"/>
              </w:rPr>
              <w:t>项优先采购产品中，</w:t>
            </w:r>
            <w:r>
              <w:rPr>
                <w:rFonts w:hint="eastAsia" w:ascii="宋体" w:hAnsi="宋体" w:eastAsia="宋体" w:cs="宋体"/>
                <w:color w:val="auto"/>
                <w:highlight w:val="none"/>
              </w:rPr>
              <w:t>投标产品取得两项及以上优先采购产品认证的，评审时只有其中一项产品能享受优先采购优惠。</w:t>
            </w:r>
          </w:p>
        </w:tc>
      </w:tr>
      <w:tr w14:paraId="217914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tcBorders>
              <w:top w:val="single" w:color="auto" w:sz="6" w:space="0"/>
              <w:bottom w:val="double" w:color="auto" w:sz="4" w:space="0"/>
            </w:tcBorders>
            <w:vAlign w:val="center"/>
          </w:tcPr>
          <w:p w14:paraId="0D206F98">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第6.1</w:t>
            </w:r>
            <w:r>
              <w:rPr>
                <w:rFonts w:hint="eastAsia" w:ascii="宋体" w:hAnsi="宋体" w:eastAsia="宋体" w:cs="宋体"/>
                <w:color w:val="auto"/>
                <w:kern w:val="0"/>
                <w:szCs w:val="21"/>
                <w:highlight w:val="none"/>
                <w:lang w:val="zh-CN"/>
              </w:rPr>
              <w:t>款</w:t>
            </w:r>
          </w:p>
        </w:tc>
        <w:tc>
          <w:tcPr>
            <w:tcW w:w="2271" w:type="dxa"/>
            <w:tcBorders>
              <w:top w:val="single" w:color="auto" w:sz="6" w:space="0"/>
              <w:bottom w:val="double" w:color="auto" w:sz="4" w:space="0"/>
              <w:right w:val="single" w:color="auto" w:sz="6" w:space="0"/>
            </w:tcBorders>
            <w:vAlign w:val="center"/>
          </w:tcPr>
          <w:p w14:paraId="161F8FD9">
            <w:pPr>
              <w:adjustRightInd w:val="0"/>
              <w:snapToGrid w:val="0"/>
              <w:spacing w:before="156" w:beforeLines="50"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中标候选人并列的确定中标人的方式</w:t>
            </w:r>
          </w:p>
        </w:tc>
        <w:tc>
          <w:tcPr>
            <w:tcW w:w="4818" w:type="dxa"/>
            <w:tcBorders>
              <w:top w:val="single" w:color="auto" w:sz="6" w:space="0"/>
              <w:left w:val="single" w:color="auto" w:sz="6" w:space="0"/>
              <w:bottom w:val="double" w:color="auto" w:sz="4" w:space="0"/>
              <w:right w:val="double" w:color="auto" w:sz="4" w:space="0"/>
            </w:tcBorders>
            <w:vAlign w:val="center"/>
          </w:tcPr>
          <w:p w14:paraId="0F3EC69D">
            <w:pPr>
              <w:adjustRightInd w:val="0"/>
              <w:snapToGrid w:val="0"/>
              <w:spacing w:line="240" w:lineRule="auto"/>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评标结果按评审后得分由高到低顺序排列。投标人评标总得分相同的，依次按照投标报价得分、技术部分得分由高至低顺序排序。总得分相同且投标报价得分相同且技术部分得分相同的由采购人随机抽取确定排序。投标文件满足招标文件全部实质性要求</w:t>
            </w:r>
            <w:r>
              <w:rPr>
                <w:rFonts w:hint="eastAsia" w:ascii="宋体" w:hAnsi="宋体" w:eastAsia="宋体" w:cs="宋体"/>
                <w:bCs/>
                <w:color w:val="auto"/>
                <w:szCs w:val="21"/>
                <w:highlight w:val="none"/>
              </w:rPr>
              <w:t>，且按照评审因素的量化指标评审得分最高的投标人为排名第一的中标候选人</w:t>
            </w:r>
            <w:r>
              <w:rPr>
                <w:rFonts w:hint="eastAsia" w:ascii="宋体" w:hAnsi="宋体" w:eastAsia="宋体" w:cs="宋体"/>
                <w:color w:val="auto"/>
                <w:kern w:val="0"/>
                <w:szCs w:val="21"/>
                <w:highlight w:val="none"/>
              </w:rPr>
              <w:t>。</w:t>
            </w:r>
          </w:p>
        </w:tc>
      </w:tr>
    </w:tbl>
    <w:p w14:paraId="68C4FA12">
      <w:pPr>
        <w:adjustRightInd w:val="0"/>
        <w:snapToGrid w:val="0"/>
        <w:spacing w:before="156" w:beforeLines="50" w:line="360" w:lineRule="auto"/>
        <w:ind w:firstLine="420" w:firstLineChars="200"/>
        <w:jc w:val="left"/>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r>
    </w:p>
    <w:p w14:paraId="2325E104">
      <w:pPr>
        <w:pStyle w:val="3"/>
        <w:keepNext w:val="0"/>
        <w:keepLines w:val="0"/>
        <w:adjustRightInd w:val="0"/>
        <w:snapToGrid w:val="0"/>
        <w:spacing w:before="156" w:beforeLines="50"/>
        <w:jc w:val="center"/>
        <w:rPr>
          <w:rFonts w:hint="eastAsia" w:ascii="宋体" w:hAnsi="宋体" w:eastAsia="宋体" w:cs="宋体"/>
          <w:color w:val="auto"/>
          <w:sz w:val="28"/>
          <w:szCs w:val="28"/>
          <w:highlight w:val="none"/>
        </w:rPr>
      </w:pPr>
      <w:bookmarkStart w:id="132" w:name="_Toc29913912"/>
      <w:bookmarkStart w:id="133" w:name="_Toc12691"/>
      <w:bookmarkStart w:id="134" w:name="_Toc15572"/>
      <w:bookmarkStart w:id="135" w:name="_Toc29450"/>
      <w:bookmarkStart w:id="136" w:name="_Toc5866"/>
      <w:r>
        <w:rPr>
          <w:rFonts w:hint="eastAsia" w:ascii="宋体" w:hAnsi="宋体" w:eastAsia="宋体" w:cs="宋体"/>
          <w:color w:val="auto"/>
          <w:sz w:val="28"/>
          <w:szCs w:val="28"/>
          <w:highlight w:val="none"/>
        </w:rPr>
        <w:t>第二节 评标方法及标准</w:t>
      </w:r>
      <w:bookmarkEnd w:id="132"/>
      <w:bookmarkEnd w:id="133"/>
      <w:bookmarkEnd w:id="134"/>
      <w:bookmarkEnd w:id="135"/>
      <w:bookmarkEnd w:id="136"/>
    </w:p>
    <w:p w14:paraId="6B9895C8">
      <w:pPr>
        <w:pStyle w:val="4"/>
        <w:keepNext w:val="0"/>
        <w:keepLines w:val="0"/>
        <w:adjustRightInd w:val="0"/>
        <w:snapToGrid w:val="0"/>
        <w:spacing w:before="156" w:beforeLines="50" w:after="0" w:line="360" w:lineRule="auto"/>
        <w:rPr>
          <w:rFonts w:hint="eastAsia" w:ascii="宋体" w:hAnsi="宋体" w:eastAsia="宋体" w:cs="宋体"/>
          <w:color w:val="auto"/>
          <w:sz w:val="24"/>
          <w:szCs w:val="24"/>
          <w:highlight w:val="none"/>
        </w:rPr>
      </w:pPr>
      <w:bookmarkStart w:id="137" w:name="_Toc13213"/>
      <w:bookmarkStart w:id="138" w:name="_Toc14423"/>
      <w:bookmarkStart w:id="139" w:name="_Toc723"/>
      <w:bookmarkStart w:id="140" w:name="_Toc9118"/>
      <w:bookmarkStart w:id="141" w:name="_Toc29913913"/>
      <w:r>
        <w:rPr>
          <w:rFonts w:hint="eastAsia" w:ascii="宋体" w:hAnsi="宋体" w:eastAsia="宋体" w:cs="宋体"/>
          <w:color w:val="auto"/>
          <w:sz w:val="24"/>
          <w:szCs w:val="24"/>
          <w:highlight w:val="none"/>
        </w:rPr>
        <w:t>1．评标方法</w:t>
      </w:r>
      <w:bookmarkEnd w:id="137"/>
      <w:bookmarkEnd w:id="138"/>
      <w:bookmarkEnd w:id="139"/>
      <w:bookmarkEnd w:id="140"/>
      <w:bookmarkEnd w:id="141"/>
    </w:p>
    <w:p w14:paraId="41010A2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1.1综合评分法，指投标文件满足招标文件全部实质性要求，且按照评审因素的量化指标评审得分最高的投标人为中标候选人的评标方法。</w:t>
      </w:r>
    </w:p>
    <w:p w14:paraId="77456BF5">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1.2本采购项目评标方法见本章第一节“评标规范前附表”（以下简称</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w:t>
      </w:r>
    </w:p>
    <w:p w14:paraId="55C5D34E">
      <w:pPr>
        <w:pStyle w:val="4"/>
        <w:keepNext w:val="0"/>
        <w:keepLines w:val="0"/>
        <w:adjustRightInd w:val="0"/>
        <w:snapToGrid w:val="0"/>
        <w:spacing w:before="156" w:beforeLines="50" w:after="0" w:line="360" w:lineRule="auto"/>
        <w:rPr>
          <w:rFonts w:hint="eastAsia" w:ascii="宋体" w:hAnsi="宋体" w:eastAsia="宋体" w:cs="宋体"/>
          <w:bCs w:val="0"/>
          <w:color w:val="auto"/>
          <w:sz w:val="24"/>
          <w:szCs w:val="24"/>
          <w:highlight w:val="none"/>
        </w:rPr>
      </w:pPr>
      <w:bookmarkStart w:id="142" w:name="_Toc3899"/>
      <w:bookmarkStart w:id="143" w:name="_Toc17004"/>
      <w:bookmarkStart w:id="144" w:name="_Toc29913914"/>
      <w:bookmarkStart w:id="145" w:name="_Toc30974"/>
      <w:bookmarkStart w:id="146" w:name="_Toc30157"/>
      <w:r>
        <w:rPr>
          <w:rFonts w:hint="eastAsia" w:ascii="宋体" w:hAnsi="宋体" w:eastAsia="宋体" w:cs="宋体"/>
          <w:bCs w:val="0"/>
          <w:color w:val="auto"/>
          <w:sz w:val="24"/>
          <w:szCs w:val="24"/>
          <w:highlight w:val="none"/>
        </w:rPr>
        <w:t>2．评标程序</w:t>
      </w:r>
      <w:bookmarkEnd w:id="142"/>
      <w:bookmarkEnd w:id="143"/>
      <w:bookmarkEnd w:id="144"/>
      <w:bookmarkEnd w:id="145"/>
      <w:bookmarkEnd w:id="146"/>
    </w:p>
    <w:p w14:paraId="060613A9">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2.1评标程序分为投标文件符合性审查、澄清有关问题、比较和评价、推荐中标候选人。</w:t>
      </w:r>
    </w:p>
    <w:p w14:paraId="76C92456">
      <w:pPr>
        <w:pStyle w:val="4"/>
        <w:keepNext w:val="0"/>
        <w:keepLines w:val="0"/>
        <w:adjustRightInd w:val="0"/>
        <w:snapToGrid w:val="0"/>
        <w:spacing w:before="156" w:beforeLines="50" w:after="0" w:line="360" w:lineRule="auto"/>
        <w:rPr>
          <w:rFonts w:hint="eastAsia" w:ascii="宋体" w:hAnsi="宋体" w:eastAsia="宋体" w:cs="宋体"/>
          <w:bCs w:val="0"/>
          <w:color w:val="auto"/>
          <w:sz w:val="24"/>
          <w:szCs w:val="24"/>
          <w:highlight w:val="none"/>
        </w:rPr>
      </w:pPr>
      <w:bookmarkStart w:id="147" w:name="_Toc29913915"/>
      <w:bookmarkStart w:id="148" w:name="_Toc27857"/>
      <w:bookmarkStart w:id="149" w:name="_Toc2535"/>
      <w:bookmarkStart w:id="150" w:name="_Toc9800"/>
      <w:bookmarkStart w:id="151" w:name="_Toc5640"/>
      <w:r>
        <w:rPr>
          <w:rFonts w:hint="eastAsia" w:ascii="宋体" w:hAnsi="宋体" w:eastAsia="宋体" w:cs="宋体"/>
          <w:bCs w:val="0"/>
          <w:color w:val="auto"/>
          <w:sz w:val="24"/>
          <w:szCs w:val="24"/>
          <w:highlight w:val="none"/>
        </w:rPr>
        <w:t>3．投标文件的符合性审查</w:t>
      </w:r>
      <w:bookmarkEnd w:id="147"/>
      <w:bookmarkEnd w:id="148"/>
      <w:bookmarkEnd w:id="149"/>
      <w:bookmarkEnd w:id="150"/>
      <w:bookmarkEnd w:id="151"/>
    </w:p>
    <w:p w14:paraId="01D0715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3.1资格审查结束后，评标委员会依法按照本章第三节“投标文件的符合性审查”规定进行投标文件符合性。</w:t>
      </w:r>
    </w:p>
    <w:p w14:paraId="596C8DD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3.2符合性审查合格投标人少于3家的，应予废标。</w:t>
      </w:r>
    </w:p>
    <w:p w14:paraId="1308AE6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3.3单一产品采购项目：提供相同品牌产品的不同投标人参加同一合同项下投标的，按一家投标人计算。提供不同品牌产品的投标人不足三家的，应予废标。</w:t>
      </w:r>
    </w:p>
    <w:p w14:paraId="3CD46CF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3.4非单一产品采购项目：采购人或者采购代理机构将在</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中载明核心产品。多家投标人提供的核心产品品牌相同的，视为相同品牌，按本章本节第3.3款规定处理。</w:t>
      </w:r>
    </w:p>
    <w:p w14:paraId="42A5E7BC">
      <w:pPr>
        <w:pStyle w:val="4"/>
        <w:keepNext w:val="0"/>
        <w:keepLines w:val="0"/>
        <w:adjustRightInd w:val="0"/>
        <w:snapToGrid w:val="0"/>
        <w:spacing w:before="156" w:beforeLines="50" w:after="0" w:line="360" w:lineRule="auto"/>
        <w:rPr>
          <w:rFonts w:hint="eastAsia" w:ascii="宋体" w:hAnsi="宋体" w:eastAsia="宋体" w:cs="宋体"/>
          <w:bCs w:val="0"/>
          <w:color w:val="auto"/>
          <w:sz w:val="24"/>
          <w:szCs w:val="24"/>
          <w:highlight w:val="none"/>
        </w:rPr>
      </w:pPr>
      <w:bookmarkStart w:id="152" w:name="_Toc483"/>
      <w:bookmarkStart w:id="153" w:name="_Toc26178"/>
      <w:bookmarkStart w:id="154" w:name="_Toc20456"/>
      <w:bookmarkStart w:id="155" w:name="_Toc29913916"/>
      <w:bookmarkStart w:id="156" w:name="_Toc22848"/>
      <w:r>
        <w:rPr>
          <w:rFonts w:hint="eastAsia" w:ascii="宋体" w:hAnsi="宋体" w:eastAsia="宋体" w:cs="宋体"/>
          <w:bCs w:val="0"/>
          <w:color w:val="auto"/>
          <w:sz w:val="24"/>
          <w:szCs w:val="24"/>
          <w:highlight w:val="none"/>
        </w:rPr>
        <w:t>4．投标文件的澄清</w:t>
      </w:r>
      <w:bookmarkEnd w:id="152"/>
      <w:bookmarkEnd w:id="153"/>
      <w:bookmarkEnd w:id="154"/>
      <w:bookmarkEnd w:id="155"/>
      <w:bookmarkEnd w:id="156"/>
    </w:p>
    <w:p w14:paraId="2846EF2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4.1对于投标文件中含义不明确、同类问题表述不一致或者有明显文字和计算错误的内容，评标委员会应当以数据电文形式要求投标人作出必要的澄清、说明或者补正。</w:t>
      </w:r>
    </w:p>
    <w:p w14:paraId="5F829D6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4.2投标文件的投标报价出现前后不一致的，除</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另有规定外，按照下列规定修正：</w:t>
      </w:r>
    </w:p>
    <w:p w14:paraId="755914B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（1）投标文件中开标一览表内容与投标文件中相应内容不一致的，以开标一览表为准；</w:t>
      </w:r>
    </w:p>
    <w:p w14:paraId="02AE81F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（2）大写金额和小写金额不一致的，以大写金额为准；</w:t>
      </w:r>
    </w:p>
    <w:p w14:paraId="41A11CC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（3）单价金额小数点或者百分比有明显错位的，以开标一览表的总价为准，并修改单价；</w:t>
      </w:r>
    </w:p>
    <w:p w14:paraId="13A6381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（4）总价金额与按单价汇总金额不一致的，以单价金额计算结果为准。</w:t>
      </w:r>
    </w:p>
    <w:p w14:paraId="1CCD0D3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4.3投标文件报价同时出现两种以上不一致的，按照前款规定的顺序修正。修正后的报价由投标人代表电子签名或者加盖单位电子章确认后产生约束力，投标人不确认的，其投标无效。</w:t>
      </w:r>
    </w:p>
    <w:p w14:paraId="1CA9E06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14:paraId="5873D9C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4.5有效的澄清材料，是投标文件的补充材料，成为投标文件的组成部分。</w:t>
      </w:r>
    </w:p>
    <w:p w14:paraId="4C6029F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14:paraId="61422F75">
      <w:pPr>
        <w:pStyle w:val="4"/>
        <w:keepNext w:val="0"/>
        <w:keepLines w:val="0"/>
        <w:adjustRightInd w:val="0"/>
        <w:snapToGrid w:val="0"/>
        <w:spacing w:before="156" w:beforeLines="50" w:after="0" w:line="360" w:lineRule="auto"/>
        <w:rPr>
          <w:rFonts w:hint="eastAsia" w:ascii="宋体" w:hAnsi="宋体" w:eastAsia="宋体" w:cs="宋体"/>
          <w:bCs w:val="0"/>
          <w:color w:val="auto"/>
          <w:sz w:val="24"/>
          <w:szCs w:val="24"/>
          <w:highlight w:val="none"/>
        </w:rPr>
      </w:pPr>
      <w:bookmarkStart w:id="157" w:name="_Toc5596"/>
      <w:bookmarkStart w:id="158" w:name="_Toc13546"/>
      <w:bookmarkStart w:id="159" w:name="_Toc29913917"/>
      <w:bookmarkStart w:id="160" w:name="_Toc23488"/>
      <w:r>
        <w:rPr>
          <w:rFonts w:hint="eastAsia" w:ascii="宋体" w:hAnsi="宋体" w:eastAsia="宋体" w:cs="宋体"/>
          <w:bCs w:val="0"/>
          <w:color w:val="auto"/>
          <w:sz w:val="24"/>
          <w:szCs w:val="24"/>
          <w:highlight w:val="none"/>
        </w:rPr>
        <w:t>5．投标文件的比较与评价</w:t>
      </w:r>
      <w:bookmarkEnd w:id="157"/>
      <w:bookmarkEnd w:id="158"/>
      <w:bookmarkEnd w:id="159"/>
      <w:bookmarkEnd w:id="160"/>
    </w:p>
    <w:p w14:paraId="1995BFCB">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5.1评标委员会依法按照本章第三节“投标文件的比较与评价”规定，对资格性检查和符合性检查合格的投标文件进行比较和评价。</w:t>
      </w:r>
    </w:p>
    <w:p w14:paraId="0B8B6950">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5.2单一产品采购项目：</w:t>
      </w:r>
    </w:p>
    <w:p w14:paraId="1DE3CE1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规定的方式确定一个投标人获得中标人推荐资格，招标文件未规定的采取随机抽取方式确定，其他同品牌投标人</w:t>
      </w:r>
      <w:r>
        <w:rPr>
          <w:rFonts w:hint="eastAsia" w:ascii="宋体" w:hAnsi="宋体" w:eastAsia="宋体" w:cs="宋体"/>
          <w:b/>
          <w:color w:val="auto"/>
          <w:szCs w:val="21"/>
          <w:highlight w:val="none"/>
        </w:rPr>
        <w:t>不作为中标候选人</w:t>
      </w:r>
      <w:r>
        <w:rPr>
          <w:rFonts w:hint="eastAsia" w:ascii="宋体" w:hAnsi="宋体" w:eastAsia="宋体" w:cs="宋体"/>
          <w:color w:val="auto"/>
          <w:szCs w:val="21"/>
          <w:highlight w:val="none"/>
        </w:rPr>
        <w:t>。</w:t>
      </w:r>
    </w:p>
    <w:p w14:paraId="5E701518">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5.3非单一产品采购项目：多家投标人提供的核心产品品牌相同的，视为相同品牌，按本章本节第 5.2 款规定处理。</w:t>
      </w:r>
    </w:p>
    <w:p w14:paraId="2CD47F0B">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政府采购政策：</w:t>
      </w:r>
    </w:p>
    <w:p w14:paraId="2C7405D9">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bCs/>
          <w:color w:val="auto"/>
          <w:szCs w:val="21"/>
          <w:highlight w:val="none"/>
        </w:rPr>
        <w:t>价格评审优惠：</w:t>
      </w:r>
      <w:r>
        <w:rPr>
          <w:rFonts w:hint="eastAsia" w:ascii="宋体" w:hAnsi="宋体" w:eastAsia="宋体" w:cs="宋体"/>
          <w:color w:val="auto"/>
          <w:szCs w:val="21"/>
          <w:highlight w:val="none"/>
        </w:rPr>
        <w:t>按</w:t>
      </w:r>
      <w:r>
        <w:rPr>
          <w:rFonts w:hint="eastAsia" w:ascii="宋体" w:hAnsi="宋体" w:eastAsia="宋体" w:cs="宋体"/>
          <w:b/>
          <w:color w:val="auto"/>
          <w:szCs w:val="21"/>
          <w:highlight w:val="none"/>
        </w:rPr>
        <w:t>【评标方法及标准前附表】</w:t>
      </w:r>
      <w:r>
        <w:rPr>
          <w:rFonts w:hint="eastAsia" w:ascii="宋体" w:hAnsi="宋体" w:eastAsia="宋体" w:cs="宋体"/>
          <w:color w:val="auto"/>
          <w:szCs w:val="21"/>
          <w:highlight w:val="none"/>
        </w:rPr>
        <w:t>及第二章“投标须知”的相关规定给予一定的价格折扣。</w:t>
      </w:r>
    </w:p>
    <w:p w14:paraId="3B7AF0F4">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（2）优先采购：</w:t>
      </w:r>
      <w:r>
        <w:rPr>
          <w:rFonts w:hint="eastAsia" w:ascii="宋体" w:hAnsi="宋体" w:eastAsia="宋体" w:cs="宋体"/>
          <w:bCs/>
          <w:color w:val="auto"/>
          <w:szCs w:val="21"/>
          <w:highlight w:val="none"/>
        </w:rPr>
        <w:t>评审时按</w:t>
      </w:r>
      <w:r>
        <w:rPr>
          <w:rFonts w:hint="eastAsia" w:ascii="宋体" w:hAnsi="宋体" w:eastAsia="宋体" w:cs="宋体"/>
          <w:b/>
          <w:color w:val="auto"/>
          <w:szCs w:val="21"/>
          <w:highlight w:val="none"/>
        </w:rPr>
        <w:t>【评标方法及标准前附表】</w:t>
      </w:r>
      <w:r>
        <w:rPr>
          <w:rFonts w:hint="eastAsia" w:ascii="宋体" w:hAnsi="宋体" w:eastAsia="宋体" w:cs="宋体"/>
          <w:bCs/>
          <w:color w:val="auto"/>
          <w:szCs w:val="21"/>
          <w:highlight w:val="none"/>
        </w:rPr>
        <w:t>及第二章</w:t>
      </w:r>
      <w:r>
        <w:rPr>
          <w:rFonts w:hint="eastAsia" w:ascii="宋体" w:hAnsi="宋体" w:eastAsia="宋体" w:cs="宋体"/>
          <w:color w:val="auto"/>
          <w:szCs w:val="21"/>
          <w:highlight w:val="none"/>
        </w:rPr>
        <w:t>“投标须知”</w:t>
      </w:r>
      <w:r>
        <w:rPr>
          <w:rFonts w:hint="eastAsia" w:ascii="宋体" w:hAnsi="宋体" w:eastAsia="宋体" w:cs="宋体"/>
          <w:bCs/>
          <w:color w:val="auto"/>
          <w:szCs w:val="21"/>
          <w:highlight w:val="none"/>
        </w:rPr>
        <w:t>的相关规定给予价格折扣或者加分。</w:t>
      </w:r>
    </w:p>
    <w:p w14:paraId="580036E0">
      <w:pPr>
        <w:pStyle w:val="4"/>
        <w:keepNext w:val="0"/>
        <w:keepLines w:val="0"/>
        <w:adjustRightInd w:val="0"/>
        <w:snapToGrid w:val="0"/>
        <w:spacing w:before="156" w:beforeLines="50" w:after="0" w:line="360" w:lineRule="auto"/>
        <w:rPr>
          <w:rFonts w:hint="eastAsia" w:ascii="宋体" w:hAnsi="宋体" w:eastAsia="宋体" w:cs="宋体"/>
          <w:color w:val="auto"/>
          <w:sz w:val="24"/>
          <w:szCs w:val="24"/>
          <w:highlight w:val="none"/>
        </w:rPr>
      </w:pPr>
      <w:bookmarkStart w:id="161" w:name="_Toc17681"/>
      <w:bookmarkStart w:id="162" w:name="_Toc29913918"/>
      <w:bookmarkStart w:id="163" w:name="_Toc5370"/>
      <w:bookmarkStart w:id="164" w:name="_Toc23499"/>
      <w:r>
        <w:rPr>
          <w:rFonts w:hint="eastAsia" w:ascii="宋体" w:hAnsi="宋体" w:eastAsia="宋体" w:cs="宋体"/>
          <w:bCs w:val="0"/>
          <w:color w:val="auto"/>
          <w:sz w:val="24"/>
          <w:szCs w:val="24"/>
          <w:highlight w:val="none"/>
        </w:rPr>
        <w:t>6．</w:t>
      </w:r>
      <w:r>
        <w:rPr>
          <w:rFonts w:hint="eastAsia" w:ascii="宋体" w:hAnsi="宋体" w:eastAsia="宋体" w:cs="宋体"/>
          <w:color w:val="auto"/>
          <w:sz w:val="24"/>
          <w:szCs w:val="24"/>
          <w:highlight w:val="none"/>
        </w:rPr>
        <w:t>推荐中标候选人</w:t>
      </w:r>
      <w:bookmarkEnd w:id="161"/>
      <w:bookmarkEnd w:id="162"/>
      <w:bookmarkEnd w:id="163"/>
      <w:bookmarkEnd w:id="164"/>
    </w:p>
    <w:p w14:paraId="2E13DF40">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综合评分法：评标结果按评审后得分由高到低顺序排列。得分相同的，按投标报价由低到高顺序排列。得分且投标报价相同的并列，按</w:t>
      </w:r>
      <w:r>
        <w:rPr>
          <w:rFonts w:hint="eastAsia" w:ascii="宋体" w:hAnsi="宋体" w:eastAsia="宋体" w:cs="宋体"/>
          <w:b/>
          <w:bCs/>
          <w:color w:val="auto"/>
          <w:szCs w:val="21"/>
          <w:highlight w:val="none"/>
        </w:rPr>
        <w:t>【评标方法及标准前附表】</w:t>
      </w:r>
      <w:r>
        <w:rPr>
          <w:rFonts w:hint="eastAsia" w:ascii="宋体" w:hAnsi="宋体" w:eastAsia="宋体" w:cs="宋体"/>
          <w:bCs/>
          <w:color w:val="auto"/>
          <w:szCs w:val="21"/>
          <w:highlight w:val="none"/>
        </w:rPr>
        <w:t>规定的方式确定中标人；招标文件未规定的，采取随机抽取的方式确定。</w:t>
      </w:r>
    </w:p>
    <w:p w14:paraId="096B5A1C">
      <w:pPr>
        <w:pStyle w:val="4"/>
        <w:keepNext w:val="0"/>
        <w:keepLines w:val="0"/>
        <w:adjustRightInd w:val="0"/>
        <w:snapToGrid w:val="0"/>
        <w:spacing w:before="156" w:beforeLines="50" w:after="0" w:line="360" w:lineRule="auto"/>
        <w:rPr>
          <w:rFonts w:hint="eastAsia" w:ascii="宋体" w:hAnsi="宋体" w:eastAsia="宋体" w:cs="宋体"/>
          <w:color w:val="auto"/>
          <w:sz w:val="24"/>
          <w:szCs w:val="24"/>
          <w:highlight w:val="none"/>
        </w:rPr>
      </w:pPr>
      <w:bookmarkStart w:id="165" w:name="_Toc27411"/>
      <w:bookmarkStart w:id="166" w:name="_Toc29913919"/>
      <w:bookmarkStart w:id="167" w:name="_Toc11040"/>
      <w:bookmarkStart w:id="168" w:name="_Toc7686"/>
      <w:r>
        <w:rPr>
          <w:rFonts w:hint="eastAsia" w:ascii="宋体" w:hAnsi="宋体" w:eastAsia="宋体" w:cs="宋体"/>
          <w:bCs w:val="0"/>
          <w:color w:val="auto"/>
          <w:sz w:val="24"/>
          <w:szCs w:val="24"/>
          <w:highlight w:val="none"/>
        </w:rPr>
        <w:t>7．</w:t>
      </w:r>
      <w:r>
        <w:rPr>
          <w:rFonts w:hint="eastAsia" w:ascii="宋体" w:hAnsi="宋体" w:eastAsia="宋体" w:cs="宋体"/>
          <w:color w:val="auto"/>
          <w:sz w:val="24"/>
          <w:szCs w:val="24"/>
          <w:highlight w:val="none"/>
        </w:rPr>
        <w:t>编写评标报告</w:t>
      </w:r>
      <w:bookmarkEnd w:id="165"/>
      <w:bookmarkEnd w:id="166"/>
      <w:bookmarkEnd w:id="167"/>
      <w:bookmarkEnd w:id="168"/>
    </w:p>
    <w:p w14:paraId="07F6606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7.1评标</w:t>
      </w:r>
      <w:r>
        <w:rPr>
          <w:rFonts w:hint="eastAsia" w:ascii="宋体" w:hAnsi="宋体" w:eastAsia="宋体" w:cs="宋体"/>
          <w:bCs/>
          <w:color w:val="auto"/>
          <w:szCs w:val="21"/>
          <w:highlight w:val="none"/>
        </w:rPr>
        <w:t>委员会</w:t>
      </w:r>
      <w:r>
        <w:rPr>
          <w:rFonts w:hint="eastAsia" w:ascii="宋体" w:hAnsi="宋体" w:eastAsia="宋体" w:cs="宋体"/>
          <w:color w:val="auto"/>
          <w:szCs w:val="21"/>
          <w:highlight w:val="none"/>
        </w:rPr>
        <w:t>根据全体评标成员电子签名的原始评标记录和评标结果编写评标报告。</w:t>
      </w:r>
    </w:p>
    <w:p w14:paraId="6D45B11F">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7.2</w:t>
      </w:r>
      <w:r>
        <w:rPr>
          <w:rFonts w:hint="eastAsia" w:ascii="宋体" w:hAnsi="宋体" w:eastAsia="宋体" w:cs="宋体"/>
          <w:bCs/>
          <w:color w:val="auto"/>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73C7C8EB">
      <w:pPr>
        <w:pStyle w:val="4"/>
        <w:keepNext w:val="0"/>
        <w:keepLines w:val="0"/>
        <w:adjustRightInd w:val="0"/>
        <w:snapToGrid w:val="0"/>
        <w:spacing w:before="156" w:beforeLines="50" w:after="0" w:line="360" w:lineRule="auto"/>
        <w:rPr>
          <w:rFonts w:hint="eastAsia" w:ascii="宋体" w:hAnsi="宋体" w:eastAsia="宋体" w:cs="宋体"/>
          <w:bCs w:val="0"/>
          <w:color w:val="auto"/>
          <w:sz w:val="24"/>
          <w:szCs w:val="24"/>
          <w:highlight w:val="none"/>
        </w:rPr>
      </w:pPr>
      <w:bookmarkStart w:id="169" w:name="_Toc25119"/>
      <w:bookmarkStart w:id="170" w:name="_Toc29913920"/>
      <w:bookmarkStart w:id="171" w:name="_Toc22429"/>
      <w:bookmarkStart w:id="172" w:name="_Toc9642"/>
      <w:r>
        <w:rPr>
          <w:rFonts w:hint="eastAsia" w:ascii="宋体" w:hAnsi="宋体" w:eastAsia="宋体" w:cs="宋体"/>
          <w:bCs w:val="0"/>
          <w:color w:val="auto"/>
          <w:sz w:val="24"/>
          <w:szCs w:val="24"/>
          <w:highlight w:val="none"/>
        </w:rPr>
        <w:t>8．</w:t>
      </w:r>
      <w:r>
        <w:rPr>
          <w:rFonts w:hint="eastAsia" w:ascii="宋体" w:hAnsi="宋体" w:eastAsia="宋体" w:cs="宋体"/>
          <w:color w:val="auto"/>
          <w:sz w:val="24"/>
          <w:szCs w:val="24"/>
          <w:highlight w:val="none"/>
        </w:rPr>
        <w:t>评标报告</w:t>
      </w:r>
      <w:r>
        <w:rPr>
          <w:rFonts w:hint="eastAsia" w:ascii="宋体" w:hAnsi="宋体" w:eastAsia="宋体" w:cs="宋体"/>
          <w:bCs w:val="0"/>
          <w:color w:val="auto"/>
          <w:sz w:val="24"/>
          <w:szCs w:val="24"/>
          <w:highlight w:val="none"/>
        </w:rPr>
        <w:t>复核</w:t>
      </w:r>
      <w:bookmarkEnd w:id="169"/>
      <w:bookmarkEnd w:id="170"/>
      <w:bookmarkEnd w:id="171"/>
      <w:bookmarkEnd w:id="172"/>
    </w:p>
    <w:p w14:paraId="34BEFEAB">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8.1汇总结束后，评标委员会应当进行复核，特别要对拟推荐为中标候选供应商的、报价最低的、投标文件被认定为无效的进行重点复核。</w:t>
      </w:r>
    </w:p>
    <w:p w14:paraId="4006F987">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8.2汇总完成后，除下列情形外，任何人不得修改评标结果：</w:t>
      </w:r>
    </w:p>
    <w:p w14:paraId="6DFFE6E7">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（1）分值汇总计算错误的；</w:t>
      </w:r>
    </w:p>
    <w:p w14:paraId="4C644FB6">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（2）分项评分超出评分标准范围的；</w:t>
      </w:r>
    </w:p>
    <w:p w14:paraId="6374027F">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（3）评标委员会成员对客观评审因素评分不一致的；</w:t>
      </w:r>
    </w:p>
    <w:p w14:paraId="2A4D224E">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（4）经评标委员会认定评分畸高、畸低的。</w:t>
      </w:r>
    </w:p>
    <w:p w14:paraId="32704805">
      <w:pPr>
        <w:adjustRightInd w:val="0"/>
        <w:snapToGrid w:val="0"/>
        <w:spacing w:before="156" w:beforeLines="50" w:line="36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DB1D31E">
      <w:pPr>
        <w:pStyle w:val="4"/>
        <w:keepNext w:val="0"/>
        <w:keepLines w:val="0"/>
        <w:adjustRightInd w:val="0"/>
        <w:snapToGrid w:val="0"/>
        <w:spacing w:before="156" w:beforeLines="50" w:after="0" w:line="360" w:lineRule="auto"/>
        <w:rPr>
          <w:rFonts w:hint="eastAsia" w:ascii="宋体" w:hAnsi="宋体" w:eastAsia="宋体" w:cs="宋体"/>
          <w:bCs w:val="0"/>
          <w:color w:val="auto"/>
          <w:sz w:val="24"/>
          <w:szCs w:val="24"/>
          <w:highlight w:val="none"/>
        </w:rPr>
      </w:pPr>
      <w:bookmarkStart w:id="173" w:name="_Toc22688"/>
      <w:bookmarkStart w:id="174" w:name="_Toc4206"/>
      <w:bookmarkStart w:id="175" w:name="_Toc29913921"/>
      <w:bookmarkStart w:id="176" w:name="_Toc16343"/>
      <w:r>
        <w:rPr>
          <w:rFonts w:hint="eastAsia" w:ascii="宋体" w:hAnsi="宋体" w:eastAsia="宋体" w:cs="宋体"/>
          <w:color w:val="auto"/>
          <w:sz w:val="24"/>
          <w:szCs w:val="24"/>
          <w:highlight w:val="none"/>
        </w:rPr>
        <w:t>9．</w:t>
      </w:r>
      <w:r>
        <w:rPr>
          <w:rFonts w:hint="eastAsia" w:ascii="宋体" w:hAnsi="宋体" w:eastAsia="宋体" w:cs="宋体"/>
          <w:bCs w:val="0"/>
          <w:color w:val="auto"/>
          <w:sz w:val="24"/>
          <w:szCs w:val="24"/>
          <w:highlight w:val="none"/>
        </w:rPr>
        <w:t>停止评标</w:t>
      </w:r>
      <w:bookmarkEnd w:id="173"/>
      <w:bookmarkEnd w:id="174"/>
      <w:bookmarkEnd w:id="175"/>
      <w:bookmarkEnd w:id="176"/>
    </w:p>
    <w:p w14:paraId="3813E748">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bCs/>
          <w:color w:val="auto"/>
          <w:szCs w:val="21"/>
          <w:highlight w:val="none"/>
        </w:rPr>
        <w:t>9.1</w:t>
      </w:r>
      <w:r>
        <w:rPr>
          <w:rFonts w:hint="eastAsia" w:ascii="宋体" w:hAnsi="宋体" w:eastAsia="宋体" w:cs="宋体"/>
          <w:color w:val="auto"/>
          <w:kern w:val="0"/>
          <w:szCs w:val="21"/>
          <w:highlight w:val="none"/>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717DEC22">
      <w:pPr>
        <w:pStyle w:val="4"/>
        <w:bidi w:val="0"/>
        <w:rPr>
          <w:rFonts w:hint="eastAsia" w:ascii="宋体" w:hAnsi="宋体" w:eastAsia="宋体" w:cs="宋体"/>
          <w:color w:val="auto"/>
          <w:sz w:val="28"/>
          <w:szCs w:val="28"/>
          <w:highlight w:val="none"/>
        </w:rPr>
      </w:pPr>
      <w:bookmarkStart w:id="177" w:name="_Toc18913"/>
      <w:bookmarkStart w:id="178" w:name="_Toc9169"/>
      <w:r>
        <w:rPr>
          <w:rFonts w:hint="eastAsia" w:ascii="宋体" w:hAnsi="宋体" w:eastAsia="宋体" w:cs="宋体"/>
          <w:color w:val="auto"/>
          <w:sz w:val="28"/>
          <w:szCs w:val="28"/>
          <w:highlight w:val="none"/>
        </w:rPr>
        <w:t>10.废标</w:t>
      </w:r>
      <w:bookmarkEnd w:id="177"/>
      <w:bookmarkEnd w:id="178"/>
    </w:p>
    <w:p w14:paraId="3C51C55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根据有关法律法规和招标文件的有关规定，如出现下列情况之一的，应予以废标：</w:t>
      </w:r>
    </w:p>
    <w:p w14:paraId="4B566C1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（1）符合专业条件的投标人或者对招标文件作实质响应的投标人不足三家的；</w:t>
      </w:r>
    </w:p>
    <w:p w14:paraId="02CBF56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3F1D07F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（3）投标人的报价均超过</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项目采购预算，</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不能支付的；</w:t>
      </w:r>
    </w:p>
    <w:p w14:paraId="7E9548A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（4）因重大变故，采购任务取消的。</w:t>
      </w:r>
    </w:p>
    <w:p w14:paraId="369CF1CA">
      <w:pPr>
        <w:pStyle w:val="4"/>
        <w:keepNext w:val="0"/>
        <w:keepLines w:val="0"/>
        <w:adjustRightInd w:val="0"/>
        <w:snapToGrid w:val="0"/>
        <w:spacing w:before="156" w:beforeLines="50" w:after="0" w:line="360" w:lineRule="auto"/>
        <w:rPr>
          <w:rFonts w:hint="eastAsia" w:ascii="宋体" w:hAnsi="宋体" w:eastAsia="宋体" w:cs="宋体"/>
          <w:bCs w:val="0"/>
          <w:color w:val="auto"/>
          <w:sz w:val="24"/>
          <w:szCs w:val="24"/>
          <w:highlight w:val="none"/>
        </w:rPr>
      </w:pPr>
      <w:bookmarkStart w:id="179" w:name="_Toc29913922"/>
      <w:bookmarkStart w:id="180" w:name="_Toc20209"/>
      <w:bookmarkStart w:id="181" w:name="_Toc5188"/>
      <w:bookmarkStart w:id="182" w:name="_Toc881"/>
      <w:r>
        <w:rPr>
          <w:rFonts w:hint="eastAsia" w:ascii="宋体" w:hAnsi="宋体" w:eastAsia="宋体" w:cs="宋体"/>
          <w:color w:val="auto"/>
          <w:kern w:val="0"/>
          <w:sz w:val="24"/>
          <w:szCs w:val="24"/>
          <w:highlight w:val="none"/>
        </w:rPr>
        <w:t>11．重新组建评标委员会进行评标</w:t>
      </w:r>
      <w:bookmarkEnd w:id="179"/>
      <w:bookmarkEnd w:id="180"/>
      <w:bookmarkEnd w:id="181"/>
      <w:bookmarkEnd w:id="182"/>
    </w:p>
    <w:p w14:paraId="78191E1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11.1评标委员会或者其成员存在下列情形导致评标结果无效的，采购人、采购代理机构可以重新组建评标委员会进行评标，并书面报告本级财政部门，但采购合同已经履行的除外：</w:t>
      </w:r>
    </w:p>
    <w:p w14:paraId="78A0142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（1）评标委员会组成不符合《政府采购货物和服务招标投标管理办法》规定的；</w:t>
      </w:r>
    </w:p>
    <w:p w14:paraId="4B2E8EB6">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（2）有《政府采购货物和服务招标投标管理办法》第六十二条第一至五项情形的；</w:t>
      </w:r>
    </w:p>
    <w:p w14:paraId="78C03A2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（3）评标委员会及其成员独立评标受到非法干预的；</w:t>
      </w:r>
    </w:p>
    <w:p w14:paraId="609530F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（4）有政府采购法实施条例第七十五条规定的违法行为的。</w:t>
      </w:r>
    </w:p>
    <w:p w14:paraId="5F509F0B">
      <w:pPr>
        <w:adjustRightInd w:val="0"/>
        <w:snapToGrid w:val="0"/>
        <w:spacing w:before="156" w:beforeLines="50" w:line="360" w:lineRule="auto"/>
        <w:ind w:firstLine="420" w:firstLineChars="200"/>
        <w:jc w:val="left"/>
        <w:rPr>
          <w:rFonts w:hint="eastAsia" w:ascii="宋体" w:hAnsi="宋体" w:eastAsia="宋体" w:cs="宋体"/>
          <w:b/>
          <w:color w:val="auto"/>
          <w:sz w:val="32"/>
          <w:szCs w:val="32"/>
          <w:highlight w:val="none"/>
        </w:rPr>
      </w:pPr>
      <w:r>
        <w:rPr>
          <w:rFonts w:hint="eastAsia" w:ascii="宋体" w:hAnsi="宋体" w:eastAsia="宋体" w:cs="宋体"/>
          <w:color w:val="auto"/>
          <w:szCs w:val="21"/>
          <w:highlight w:val="none"/>
        </w:rPr>
        <w:t>11.2有违法违规行为的原评标委员会成员不得参加重新组建的评标委员会。</w:t>
      </w:r>
      <w:r>
        <w:rPr>
          <w:rFonts w:hint="eastAsia" w:ascii="宋体" w:hAnsi="宋体" w:eastAsia="宋体" w:cs="宋体"/>
          <w:b/>
          <w:color w:val="auto"/>
          <w:sz w:val="32"/>
          <w:szCs w:val="32"/>
          <w:highlight w:val="none"/>
        </w:rPr>
        <w:br w:type="page"/>
      </w:r>
    </w:p>
    <w:p w14:paraId="373EAE37">
      <w:pPr>
        <w:pStyle w:val="3"/>
        <w:adjustRightInd w:val="0"/>
        <w:snapToGrid w:val="0"/>
        <w:jc w:val="center"/>
        <w:rPr>
          <w:rFonts w:hint="eastAsia" w:ascii="宋体" w:hAnsi="宋体" w:eastAsia="宋体" w:cs="宋体"/>
          <w:color w:val="auto"/>
          <w:sz w:val="28"/>
          <w:szCs w:val="28"/>
          <w:highlight w:val="none"/>
        </w:rPr>
      </w:pPr>
      <w:bookmarkStart w:id="183" w:name="_Toc10641"/>
      <w:bookmarkStart w:id="184" w:name="_Toc30098"/>
      <w:bookmarkStart w:id="185" w:name="_Toc7448"/>
      <w:bookmarkStart w:id="186" w:name="_Toc29913923"/>
      <w:r>
        <w:rPr>
          <w:rFonts w:hint="eastAsia" w:ascii="宋体" w:hAnsi="宋体" w:eastAsia="宋体" w:cs="宋体"/>
          <w:color w:val="auto"/>
          <w:sz w:val="28"/>
          <w:szCs w:val="28"/>
          <w:highlight w:val="none"/>
        </w:rPr>
        <w:t>第三节 投标文件的符合性审查</w:t>
      </w:r>
      <w:bookmarkEnd w:id="183"/>
      <w:bookmarkEnd w:id="184"/>
      <w:bookmarkEnd w:id="185"/>
      <w:bookmarkEnd w:id="186"/>
    </w:p>
    <w:p w14:paraId="5AF01893">
      <w:pPr>
        <w:adjustRightInd w:val="0"/>
        <w:snapToGrid w:val="0"/>
        <w:spacing w:before="156" w:beforeLines="5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1.符合性审查</w:t>
      </w:r>
    </w:p>
    <w:p w14:paraId="448EF6AC">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szCs w:val="21"/>
          <w:highlight w:val="none"/>
        </w:rPr>
        <w:t>评标委员会应</w:t>
      </w:r>
      <w:r>
        <w:rPr>
          <w:rFonts w:hint="eastAsia" w:ascii="宋体" w:hAnsi="宋体" w:eastAsia="宋体" w:cs="宋体"/>
          <w:color w:val="auto"/>
          <w:highlight w:val="none"/>
        </w:rPr>
        <w:t>对符合资格条件的投标人的投标文件进行符合性审查，以确定其是否满足招标文件的实质性要求。</w:t>
      </w:r>
    </w:p>
    <w:p w14:paraId="761B3F5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54FDB51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（2）投标人不得通过修正或撤销不合要求的偏离从而使其投标成为实质上响应的投标。</w:t>
      </w:r>
    </w:p>
    <w:p w14:paraId="68736AF4">
      <w:pPr>
        <w:adjustRightInd w:val="0"/>
        <w:snapToGrid w:val="0"/>
        <w:spacing w:before="156" w:beforeLines="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rPr>
        <w:t>1.2</w:t>
      </w:r>
      <w:r>
        <w:rPr>
          <w:rFonts w:hint="eastAsia" w:ascii="宋体" w:hAnsi="宋体" w:eastAsia="宋体" w:cs="宋体"/>
          <w:color w:val="auto"/>
          <w:highlight w:val="none"/>
        </w:rPr>
        <w:t>未通过符合性审查的投标人，其投标将被认定为投标无效，不能进入下一阶段评审。通过符合性审查的投标人数量不足 3 家的，不得作进一步的比较和评价。</w:t>
      </w:r>
    </w:p>
    <w:p w14:paraId="1D6F0E5B">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2.投标无效</w:t>
      </w:r>
    </w:p>
    <w:p w14:paraId="000BA44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2.1投标人存在下列情况之一的，符合性审查不合格，投标无效：</w:t>
      </w:r>
    </w:p>
    <w:p w14:paraId="06BD6C59">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（1）投标文件中</w:t>
      </w:r>
      <w:r>
        <w:rPr>
          <w:rFonts w:hint="eastAsia" w:ascii="宋体" w:hAnsi="宋体" w:eastAsia="宋体" w:cs="宋体"/>
          <w:color w:val="auto"/>
          <w:szCs w:val="21"/>
          <w:highlight w:val="none"/>
          <w:lang w:eastAsia="zh-CN"/>
        </w:rPr>
        <w:t>商务和技术文件</w:t>
      </w:r>
      <w:r>
        <w:rPr>
          <w:rFonts w:hint="eastAsia" w:ascii="宋体" w:hAnsi="宋体" w:eastAsia="宋体" w:cs="宋体"/>
          <w:color w:val="auto"/>
          <w:szCs w:val="21"/>
          <w:highlight w:val="none"/>
        </w:rPr>
        <w:t>未按照招标文件规定要求签署、盖章的；</w:t>
      </w:r>
    </w:p>
    <w:p w14:paraId="08F5CFA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（2）投标文件没有对招标文件的实质性要求和条件作出响应，或者对招标文件的偏离超出招标文件规定的偏离</w:t>
      </w:r>
      <w:r>
        <w:rPr>
          <w:rFonts w:hint="eastAsia" w:ascii="宋体" w:hAnsi="宋体" w:eastAsia="宋体" w:cs="宋体"/>
          <w:color w:val="auto"/>
          <w:highlight w:val="none"/>
        </w:rPr>
        <w:t>范围和幅度</w:t>
      </w:r>
      <w:r>
        <w:rPr>
          <w:rFonts w:hint="eastAsia" w:ascii="宋体" w:hAnsi="宋体" w:eastAsia="宋体" w:cs="宋体"/>
          <w:color w:val="auto"/>
          <w:szCs w:val="21"/>
          <w:highlight w:val="none"/>
        </w:rPr>
        <w:t>；</w:t>
      </w:r>
    </w:p>
    <w:p w14:paraId="62EFA81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（3）投标有效期不足的；</w:t>
      </w:r>
    </w:p>
    <w:p w14:paraId="011338E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（4）投标文件含有采购人不能接受的附加条件的；</w:t>
      </w:r>
    </w:p>
    <w:p w14:paraId="361B7E6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（5）不符合本节第1.1款规定符合性审查标准的；</w:t>
      </w:r>
    </w:p>
    <w:p w14:paraId="550C999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（6）法律、法规和招标文件规定的其他投标无效情形的。</w:t>
      </w:r>
    </w:p>
    <w:p w14:paraId="3DAAC155">
      <w:pPr>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2.2在评标过程中发现投标人有不遵循公平竞争的原则，恶意串通，妨碍其他投标人的竞争行为，损害采购人或者其他投标人的合法权益的，评标委员会应当认定其</w:t>
      </w:r>
      <w:r>
        <w:rPr>
          <w:rFonts w:hint="eastAsia" w:ascii="宋体" w:hAnsi="宋体" w:eastAsia="宋体" w:cs="宋体"/>
          <w:b/>
          <w:color w:val="auto"/>
          <w:kern w:val="0"/>
          <w:szCs w:val="21"/>
          <w:highlight w:val="none"/>
        </w:rPr>
        <w:t>投标无效</w:t>
      </w:r>
      <w:r>
        <w:rPr>
          <w:rFonts w:hint="eastAsia" w:ascii="宋体" w:hAnsi="宋体" w:eastAsia="宋体" w:cs="宋体"/>
          <w:color w:val="auto"/>
          <w:kern w:val="0"/>
          <w:szCs w:val="21"/>
          <w:highlight w:val="none"/>
        </w:rPr>
        <w:t>，并书面报告本级财政部门。</w:t>
      </w:r>
    </w:p>
    <w:p w14:paraId="3E07FFAE">
      <w:pPr>
        <w:rPr>
          <w:rFonts w:hint="eastAsia" w:ascii="宋体" w:hAnsi="宋体" w:eastAsia="宋体" w:cs="宋体"/>
          <w:color w:val="auto"/>
          <w:highlight w:val="none"/>
        </w:rPr>
      </w:pPr>
    </w:p>
    <w:p w14:paraId="36036C81">
      <w:pPr>
        <w:rPr>
          <w:rFonts w:hint="eastAsia" w:ascii="宋体" w:hAnsi="宋体" w:eastAsia="宋体" w:cs="宋体"/>
          <w:color w:val="auto"/>
          <w:highlight w:val="none"/>
        </w:rPr>
      </w:pPr>
    </w:p>
    <w:p w14:paraId="67497BDE">
      <w:pPr>
        <w:widowControl/>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383E3C70">
      <w:pPr>
        <w:pStyle w:val="4"/>
        <w:adjustRightInd w:val="0"/>
        <w:snapToGrid w:val="0"/>
        <w:spacing w:before="156" w:beforeLines="50" w:after="0" w:line="360" w:lineRule="auto"/>
        <w:rPr>
          <w:rFonts w:hint="eastAsia" w:ascii="宋体" w:hAnsi="宋体" w:eastAsia="宋体" w:cs="宋体"/>
          <w:color w:val="auto"/>
          <w:sz w:val="21"/>
          <w:szCs w:val="21"/>
          <w:highlight w:val="none"/>
        </w:rPr>
      </w:pPr>
      <w:bookmarkStart w:id="187" w:name="_Toc1533"/>
      <w:bookmarkStart w:id="188" w:name="_Toc16957"/>
      <w:bookmarkStart w:id="189" w:name="_Toc20064"/>
      <w:bookmarkStart w:id="190" w:name="_Toc20651227"/>
      <w:bookmarkStart w:id="191" w:name="_Toc29913924"/>
      <w:r>
        <w:rPr>
          <w:rFonts w:hint="eastAsia" w:ascii="宋体" w:hAnsi="宋体" w:eastAsia="宋体" w:cs="宋体"/>
          <w:color w:val="auto"/>
          <w:sz w:val="21"/>
          <w:szCs w:val="21"/>
          <w:highlight w:val="none"/>
        </w:rPr>
        <w:t>附表1 符合性审查表</w:t>
      </w:r>
      <w:bookmarkEnd w:id="187"/>
      <w:bookmarkEnd w:id="188"/>
      <w:bookmarkEnd w:id="189"/>
      <w:bookmarkEnd w:id="190"/>
    </w:p>
    <w:p w14:paraId="4C87A01F">
      <w:pPr>
        <w:adjustRightInd w:val="0"/>
        <w:snapToGrid w:val="0"/>
        <w:spacing w:before="156" w:beforeLines="5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符合性审查表</w:t>
      </w:r>
      <w:r>
        <w:rPr>
          <w:rFonts w:hint="eastAsia"/>
          <w:color w:val="auto"/>
          <w:sz w:val="28"/>
          <w:szCs w:val="28"/>
          <w:highlight w:val="none"/>
        </w:rPr>
        <w:t>（第</w:t>
      </w:r>
      <w:r>
        <w:rPr>
          <w:rFonts w:hint="eastAsia"/>
          <w:color w:val="auto"/>
          <w:sz w:val="28"/>
          <w:szCs w:val="28"/>
          <w:highlight w:val="none"/>
          <w:lang w:val="en-US" w:eastAsia="zh-CN"/>
        </w:rPr>
        <w:t>1</w:t>
      </w:r>
      <w:r>
        <w:rPr>
          <w:rFonts w:hint="eastAsia"/>
          <w:color w:val="auto"/>
          <w:sz w:val="28"/>
          <w:szCs w:val="28"/>
          <w:highlight w:val="none"/>
        </w:rPr>
        <w:t>包至第</w:t>
      </w:r>
      <w:r>
        <w:rPr>
          <w:rFonts w:hint="eastAsia"/>
          <w:color w:val="auto"/>
          <w:sz w:val="28"/>
          <w:szCs w:val="28"/>
          <w:highlight w:val="none"/>
          <w:lang w:val="en-US" w:eastAsia="zh-CN"/>
        </w:rPr>
        <w:t>4</w:t>
      </w:r>
      <w:r>
        <w:rPr>
          <w:rFonts w:hint="eastAsia"/>
          <w:color w:val="auto"/>
          <w:sz w:val="28"/>
          <w:szCs w:val="28"/>
          <w:highlight w:val="none"/>
        </w:rPr>
        <w:t>包适用）</w:t>
      </w:r>
    </w:p>
    <w:p w14:paraId="4DF9F637">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tbl>
      <w:tblPr>
        <w:tblStyle w:val="45"/>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686"/>
        <w:gridCol w:w="5691"/>
      </w:tblGrid>
      <w:tr w14:paraId="601D45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noWrap w:val="0"/>
            <w:vAlign w:val="center"/>
          </w:tcPr>
          <w:p w14:paraId="0D1F47D3">
            <w:pPr>
              <w:adjustRightInd w:val="0"/>
              <w:snapToGrid w:val="0"/>
              <w:spacing w:before="156" w:beforeLines="50" w:line="360" w:lineRule="auto"/>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2686" w:type="dxa"/>
            <w:noWrap w:val="0"/>
            <w:vAlign w:val="center"/>
          </w:tcPr>
          <w:p w14:paraId="61301AAB">
            <w:pPr>
              <w:adjustRightInd w:val="0"/>
              <w:snapToGrid w:val="0"/>
              <w:spacing w:before="156" w:beforeLines="50" w:line="360" w:lineRule="auto"/>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审查项目</w:t>
            </w:r>
          </w:p>
        </w:tc>
        <w:tc>
          <w:tcPr>
            <w:tcW w:w="5691" w:type="dxa"/>
            <w:noWrap w:val="0"/>
            <w:vAlign w:val="center"/>
          </w:tcPr>
          <w:p w14:paraId="3E6AF5DD">
            <w:pPr>
              <w:adjustRightInd w:val="0"/>
              <w:snapToGrid w:val="0"/>
              <w:spacing w:before="156" w:beforeLines="50" w:line="360" w:lineRule="auto"/>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审查标准</w:t>
            </w:r>
          </w:p>
        </w:tc>
      </w:tr>
      <w:tr w14:paraId="4F1860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61411CA3">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686" w:type="dxa"/>
            <w:noWrap w:val="0"/>
            <w:vAlign w:val="center"/>
          </w:tcPr>
          <w:p w14:paraId="68F7B65C">
            <w:pPr>
              <w:adjustRightInd w:val="0"/>
              <w:snapToGrid w:val="0"/>
              <w:spacing w:before="156" w:beforeLines="5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合同履行期限</w:t>
            </w:r>
          </w:p>
        </w:tc>
        <w:tc>
          <w:tcPr>
            <w:tcW w:w="5691" w:type="dxa"/>
            <w:noWrap w:val="0"/>
            <w:vAlign w:val="center"/>
          </w:tcPr>
          <w:p w14:paraId="5654742A">
            <w:pPr>
              <w:adjustRightInd w:val="0"/>
              <w:snapToGrid w:val="0"/>
              <w:spacing w:before="156" w:beforeLines="5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是否响应招标文件</w:t>
            </w:r>
          </w:p>
        </w:tc>
      </w:tr>
      <w:tr w14:paraId="0283CE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54740A38">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686" w:type="dxa"/>
            <w:noWrap w:val="0"/>
            <w:vAlign w:val="center"/>
          </w:tcPr>
          <w:p w14:paraId="5FF1A080">
            <w:pPr>
              <w:rPr>
                <w:rFonts w:hint="eastAsia" w:ascii="宋体" w:hAnsi="宋体" w:eastAsia="宋体" w:cs="宋体"/>
                <w:color w:val="auto"/>
                <w:kern w:val="0"/>
                <w:szCs w:val="21"/>
                <w:highlight w:val="none"/>
              </w:rPr>
            </w:pPr>
            <w:r>
              <w:rPr>
                <w:rFonts w:hint="eastAsia" w:ascii="宋体" w:hAnsi="宋体" w:eastAsia="宋体" w:cs="宋体"/>
                <w:color w:val="auto"/>
                <w:highlight w:val="none"/>
              </w:rPr>
              <w:t>投标有效期</w:t>
            </w:r>
          </w:p>
        </w:tc>
        <w:tc>
          <w:tcPr>
            <w:tcW w:w="5691" w:type="dxa"/>
            <w:noWrap w:val="0"/>
            <w:vAlign w:val="center"/>
          </w:tcPr>
          <w:p w14:paraId="1F2E34CB">
            <w:pPr>
              <w:rPr>
                <w:rFonts w:hint="eastAsia" w:ascii="宋体" w:hAnsi="宋体" w:eastAsia="宋体" w:cs="宋体"/>
                <w:color w:val="auto"/>
                <w:kern w:val="0"/>
                <w:szCs w:val="21"/>
                <w:highlight w:val="none"/>
              </w:rPr>
            </w:pPr>
            <w:r>
              <w:rPr>
                <w:rFonts w:hint="eastAsia" w:ascii="宋体" w:hAnsi="宋体" w:eastAsia="宋体" w:cs="宋体"/>
                <w:color w:val="auto"/>
                <w:highlight w:val="none"/>
              </w:rPr>
              <w:t>是否符合招标文件的规定</w:t>
            </w:r>
          </w:p>
        </w:tc>
      </w:tr>
      <w:tr w14:paraId="31D2BD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2F18C38B">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2686" w:type="dxa"/>
            <w:noWrap w:val="0"/>
            <w:vAlign w:val="center"/>
          </w:tcPr>
          <w:p w14:paraId="32960C6C">
            <w:pPr>
              <w:rPr>
                <w:rFonts w:hint="eastAsia" w:ascii="宋体" w:hAnsi="宋体" w:eastAsia="宋体" w:cs="宋体"/>
                <w:color w:val="auto"/>
                <w:kern w:val="0"/>
                <w:szCs w:val="21"/>
                <w:highlight w:val="none"/>
              </w:rPr>
            </w:pPr>
            <w:r>
              <w:rPr>
                <w:rFonts w:hint="eastAsia" w:ascii="宋体" w:hAnsi="宋体" w:eastAsia="宋体" w:cs="宋体"/>
                <w:color w:val="auto"/>
                <w:highlight w:val="none"/>
              </w:rPr>
              <w:t>投标文件中商务和技术文件的签署、盖章</w:t>
            </w:r>
          </w:p>
        </w:tc>
        <w:tc>
          <w:tcPr>
            <w:tcW w:w="5691" w:type="dxa"/>
            <w:noWrap w:val="0"/>
            <w:vAlign w:val="center"/>
          </w:tcPr>
          <w:p w14:paraId="655AA21B">
            <w:pPr>
              <w:rPr>
                <w:rFonts w:hint="eastAsia" w:ascii="宋体" w:hAnsi="宋体" w:eastAsia="宋体" w:cs="宋体"/>
                <w:color w:val="auto"/>
                <w:kern w:val="0"/>
                <w:szCs w:val="21"/>
                <w:highlight w:val="none"/>
              </w:rPr>
            </w:pPr>
            <w:r>
              <w:rPr>
                <w:rFonts w:hint="eastAsia" w:ascii="宋体" w:hAnsi="宋体" w:eastAsia="宋体" w:cs="宋体"/>
                <w:color w:val="auto"/>
                <w:highlight w:val="none"/>
              </w:rPr>
              <w:t>是否符合招标文件的规定</w:t>
            </w:r>
          </w:p>
        </w:tc>
      </w:tr>
      <w:tr w14:paraId="03543E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7" w:hRule="atLeast"/>
        </w:trPr>
        <w:tc>
          <w:tcPr>
            <w:tcW w:w="683" w:type="dxa"/>
            <w:noWrap w:val="0"/>
            <w:vAlign w:val="center"/>
          </w:tcPr>
          <w:p w14:paraId="77F2ED84">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2686" w:type="dxa"/>
            <w:noWrap w:val="0"/>
            <w:vAlign w:val="center"/>
          </w:tcPr>
          <w:p w14:paraId="79F138CE">
            <w:pPr>
              <w:rPr>
                <w:rFonts w:hint="eastAsia" w:ascii="宋体" w:hAnsi="宋体" w:eastAsia="宋体" w:cs="宋体"/>
                <w:color w:val="auto"/>
                <w:kern w:val="0"/>
                <w:szCs w:val="21"/>
                <w:highlight w:val="none"/>
              </w:rPr>
            </w:pPr>
            <w:r>
              <w:rPr>
                <w:rFonts w:hint="eastAsia" w:ascii="宋体" w:hAnsi="宋体" w:eastAsia="宋体" w:cs="宋体"/>
                <w:color w:val="auto"/>
                <w:highlight w:val="none"/>
              </w:rPr>
              <w:t>投标人对采购项目内容只允许有一个投标报价，否则其投标无效。</w:t>
            </w:r>
          </w:p>
        </w:tc>
        <w:tc>
          <w:tcPr>
            <w:tcW w:w="5691" w:type="dxa"/>
            <w:noWrap w:val="0"/>
            <w:vAlign w:val="center"/>
          </w:tcPr>
          <w:p w14:paraId="3D79F0C5">
            <w:pPr>
              <w:rPr>
                <w:rFonts w:hint="eastAsia" w:ascii="宋体" w:hAnsi="宋体" w:eastAsia="宋体" w:cs="宋体"/>
                <w:color w:val="auto"/>
                <w:kern w:val="0"/>
                <w:szCs w:val="21"/>
                <w:highlight w:val="none"/>
              </w:rPr>
            </w:pPr>
            <w:r>
              <w:rPr>
                <w:rFonts w:hint="eastAsia" w:ascii="宋体" w:hAnsi="宋体" w:eastAsia="宋体" w:cs="宋体"/>
                <w:color w:val="auto"/>
                <w:highlight w:val="none"/>
              </w:rPr>
              <w:t>是否符合招标文件的规定</w:t>
            </w:r>
          </w:p>
        </w:tc>
      </w:tr>
      <w:tr w14:paraId="6F447B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38FB4F89">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2686" w:type="dxa"/>
            <w:noWrap w:val="0"/>
            <w:vAlign w:val="center"/>
          </w:tcPr>
          <w:p w14:paraId="07F2D127">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w:t>
            </w:r>
          </w:p>
        </w:tc>
        <w:tc>
          <w:tcPr>
            <w:tcW w:w="5691" w:type="dxa"/>
            <w:noWrap w:val="0"/>
            <w:vAlign w:val="center"/>
          </w:tcPr>
          <w:p w14:paraId="3B6E3604">
            <w:pPr>
              <w:adjustRightInd w:val="0"/>
              <w:snapToGrid w:val="0"/>
              <w:spacing w:before="156" w:beforeLines="50"/>
              <w:rPr>
                <w:rFonts w:hint="eastAsia" w:ascii="宋体" w:hAnsi="宋体" w:eastAsia="宋体" w:cs="宋体"/>
                <w:color w:val="auto"/>
                <w:kern w:val="0"/>
                <w:szCs w:val="21"/>
                <w:highlight w:val="none"/>
                <w:lang w:eastAsia="zh-CN"/>
              </w:rPr>
            </w:pPr>
            <w:r>
              <w:rPr>
                <w:rFonts w:hint="eastAsia" w:ascii="宋体" w:hAnsi="宋体" w:eastAsia="宋体" w:cs="宋体"/>
                <w:color w:val="auto"/>
                <w:szCs w:val="21"/>
                <w:highlight w:val="none"/>
                <w:lang w:eastAsia="zh-CN"/>
              </w:rPr>
              <w:t>投标报价不得超过采购项目预算或最高限价（如有），</w:t>
            </w:r>
            <w:r>
              <w:rPr>
                <w:rFonts w:hint="eastAsia" w:ascii="宋体" w:hAnsi="宋体" w:eastAsia="宋体" w:cs="宋体"/>
                <w:color w:val="auto"/>
                <w:kern w:val="0"/>
                <w:szCs w:val="21"/>
                <w:highlight w:val="none"/>
              </w:rPr>
              <w:t>分项报价也不得超过采购项目的分项预算（如有）。</w:t>
            </w:r>
          </w:p>
        </w:tc>
      </w:tr>
      <w:tr w14:paraId="5EE226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026DF93E">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2686" w:type="dxa"/>
            <w:noWrap w:val="0"/>
            <w:vAlign w:val="center"/>
          </w:tcPr>
          <w:p w14:paraId="7DCF35C5">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投标文件载明的投标范围符合招标文件规定的招标范围</w:t>
            </w:r>
          </w:p>
        </w:tc>
        <w:tc>
          <w:tcPr>
            <w:tcW w:w="5691" w:type="dxa"/>
            <w:noWrap w:val="0"/>
            <w:vAlign w:val="center"/>
          </w:tcPr>
          <w:p w14:paraId="249CFD18">
            <w:pPr>
              <w:adjustRightInd w:val="0"/>
              <w:snapToGrid w:val="0"/>
              <w:spacing w:before="156" w:beforeLines="5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没有缺漏招标文件所要求的内容</w:t>
            </w:r>
          </w:p>
        </w:tc>
      </w:tr>
      <w:tr w14:paraId="059A43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71" w:hRule="atLeast"/>
        </w:trPr>
        <w:tc>
          <w:tcPr>
            <w:tcW w:w="683" w:type="dxa"/>
            <w:noWrap w:val="0"/>
            <w:vAlign w:val="center"/>
          </w:tcPr>
          <w:p w14:paraId="1534A93B">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2686" w:type="dxa"/>
            <w:noWrap w:val="0"/>
            <w:vAlign w:val="center"/>
          </w:tcPr>
          <w:p w14:paraId="5BA8B1AB">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投标文件对招标文件的偏离没有超出招标文件规定的偏离范围和幅度</w:t>
            </w:r>
          </w:p>
        </w:tc>
        <w:tc>
          <w:tcPr>
            <w:tcW w:w="5691" w:type="dxa"/>
            <w:noWrap w:val="0"/>
            <w:vAlign w:val="center"/>
          </w:tcPr>
          <w:p w14:paraId="5802F35F">
            <w:pPr>
              <w:adjustRightInd w:val="0"/>
              <w:snapToGrid w:val="0"/>
              <w:spacing w:before="156" w:beforeLines="5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是否符</w:t>
            </w:r>
            <w:bookmarkStart w:id="350" w:name="_GoBack"/>
            <w:bookmarkEnd w:id="350"/>
            <w:r>
              <w:rPr>
                <w:rFonts w:hint="eastAsia" w:ascii="宋体" w:hAnsi="宋体" w:eastAsia="宋体" w:cs="宋体"/>
                <w:color w:val="auto"/>
                <w:szCs w:val="21"/>
                <w:highlight w:val="none"/>
              </w:rPr>
              <w:t>合招标文件的规定</w:t>
            </w:r>
          </w:p>
        </w:tc>
      </w:tr>
      <w:tr w14:paraId="64215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472C4624">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2686" w:type="dxa"/>
            <w:noWrap w:val="0"/>
            <w:vAlign w:val="center"/>
          </w:tcPr>
          <w:p w14:paraId="75C65673">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投标文件没有采购人不能接受的附加条件</w:t>
            </w:r>
          </w:p>
        </w:tc>
        <w:tc>
          <w:tcPr>
            <w:tcW w:w="5691" w:type="dxa"/>
            <w:noWrap w:val="0"/>
            <w:vAlign w:val="center"/>
          </w:tcPr>
          <w:p w14:paraId="7784D1F7">
            <w:pPr>
              <w:adjustRightInd w:val="0"/>
              <w:snapToGrid w:val="0"/>
              <w:spacing w:before="156" w:beforeLines="5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是否符合招标文件的规定</w:t>
            </w:r>
          </w:p>
        </w:tc>
      </w:tr>
      <w:tr w14:paraId="48FE3B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76433733">
            <w:pPr>
              <w:adjustRightInd w:val="0"/>
              <w:snapToGrid w:val="0"/>
              <w:spacing w:before="156" w:beforeLines="5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2686" w:type="dxa"/>
            <w:noWrap w:val="0"/>
            <w:vAlign w:val="center"/>
          </w:tcPr>
          <w:p w14:paraId="04EF2909">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符合法律、法规和招标文件中用“拒绝”“不接受”“无效”“不得”等文字规定的实质性条款</w:t>
            </w:r>
          </w:p>
        </w:tc>
        <w:tc>
          <w:tcPr>
            <w:tcW w:w="5691" w:type="dxa"/>
            <w:noWrap w:val="0"/>
            <w:vAlign w:val="center"/>
          </w:tcPr>
          <w:p w14:paraId="601B835F">
            <w:pPr>
              <w:adjustRightInd w:val="0"/>
              <w:snapToGrid w:val="0"/>
              <w:spacing w:before="156" w:beforeLines="5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是否符合招标文件的规定</w:t>
            </w:r>
          </w:p>
        </w:tc>
      </w:tr>
      <w:tr w14:paraId="421EA8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noWrap w:val="0"/>
            <w:vAlign w:val="center"/>
          </w:tcPr>
          <w:p w14:paraId="6C1C45D3">
            <w:pPr>
              <w:adjustRightInd w:val="0"/>
              <w:snapToGrid w:val="0"/>
              <w:spacing w:before="156" w:beforeLines="50" w:line="360" w:lineRule="auto"/>
              <w:jc w:val="center"/>
              <w:rPr>
                <w:rFonts w:hint="eastAsia" w:ascii="宋体" w:hAnsi="宋体" w:eastAsia="宋体" w:cs="宋体"/>
                <w:color w:val="auto"/>
                <w:kern w:val="0"/>
                <w:sz w:val="20"/>
                <w:szCs w:val="21"/>
                <w:highlight w:val="none"/>
              </w:rPr>
            </w:pPr>
            <w:r>
              <w:rPr>
                <w:rFonts w:hint="eastAsia" w:ascii="宋体" w:hAnsi="宋体" w:eastAsia="宋体" w:cs="宋体"/>
                <w:color w:val="auto"/>
                <w:kern w:val="0"/>
                <w:sz w:val="20"/>
                <w:szCs w:val="21"/>
                <w:highlight w:val="none"/>
              </w:rPr>
              <w:t>结论</w:t>
            </w:r>
          </w:p>
        </w:tc>
        <w:tc>
          <w:tcPr>
            <w:tcW w:w="8377" w:type="dxa"/>
            <w:gridSpan w:val="2"/>
            <w:noWrap w:val="0"/>
            <w:vAlign w:val="center"/>
          </w:tcPr>
          <w:p w14:paraId="1D026B1D">
            <w:pPr>
              <w:adjustRightInd w:val="0"/>
              <w:snapToGrid w:val="0"/>
              <w:spacing w:before="156" w:beforeLines="50" w:line="360" w:lineRule="auto"/>
              <w:jc w:val="center"/>
              <w:rPr>
                <w:rFonts w:hint="eastAsia" w:ascii="宋体" w:hAnsi="宋体" w:eastAsia="宋体" w:cs="宋体"/>
                <w:color w:val="auto"/>
                <w:kern w:val="0"/>
                <w:sz w:val="20"/>
                <w:szCs w:val="21"/>
                <w:highlight w:val="none"/>
              </w:rPr>
            </w:pPr>
          </w:p>
        </w:tc>
      </w:tr>
    </w:tbl>
    <w:p w14:paraId="3F32DD81">
      <w:pPr>
        <w:rPr>
          <w:rFonts w:hint="eastAsia" w:ascii="宋体" w:hAnsi="宋体" w:eastAsia="宋体" w:cs="宋体"/>
          <w:color w:val="auto"/>
          <w:highlight w:val="none"/>
        </w:rPr>
      </w:pPr>
      <w:r>
        <w:rPr>
          <w:rFonts w:hint="eastAsia" w:ascii="宋体" w:hAnsi="宋体" w:eastAsia="宋体" w:cs="宋体"/>
          <w:color w:val="auto"/>
          <w:highlight w:val="none"/>
        </w:rPr>
        <w:t>注：符合的因素</w:t>
      </w:r>
      <w:r>
        <w:rPr>
          <w:rFonts w:hint="eastAsia" w:ascii="宋体" w:hAnsi="宋体" w:eastAsia="宋体" w:cs="宋体"/>
          <w:color w:val="auto"/>
          <w:highlight w:val="none"/>
          <w:lang w:eastAsia="zh-CN"/>
        </w:rPr>
        <w:t>记“通过”</w:t>
      </w:r>
      <w:r>
        <w:rPr>
          <w:rFonts w:hint="eastAsia" w:ascii="宋体" w:hAnsi="宋体" w:eastAsia="宋体" w:cs="宋体"/>
          <w:color w:val="auto"/>
          <w:highlight w:val="none"/>
        </w:rPr>
        <w:t>，不符合的因素</w:t>
      </w:r>
      <w:r>
        <w:rPr>
          <w:rFonts w:hint="eastAsia" w:ascii="宋体" w:hAnsi="宋体" w:eastAsia="宋体" w:cs="宋体"/>
          <w:color w:val="auto"/>
          <w:highlight w:val="none"/>
          <w:lang w:eastAsia="zh-CN"/>
        </w:rPr>
        <w:t>记“不通过”</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结论填写“通过”或“不通过”</w:t>
      </w:r>
      <w:r>
        <w:rPr>
          <w:rFonts w:hint="eastAsia" w:ascii="宋体" w:hAnsi="宋体" w:eastAsia="宋体" w:cs="宋体"/>
          <w:color w:val="auto"/>
          <w:highlight w:val="none"/>
        </w:rPr>
        <w:t>。只要有一项不符合要求的属于不合格投标人，不合格投标人不能进入下一步评审。合格投标人数量少于3个的，不得评标。</w:t>
      </w:r>
    </w:p>
    <w:p w14:paraId="6622F244">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0E41CC83">
      <w:pPr>
        <w:pStyle w:val="4"/>
        <w:adjustRightInd w:val="0"/>
        <w:snapToGrid w:val="0"/>
        <w:spacing w:before="156" w:beforeLines="50" w:after="0" w:line="360" w:lineRule="auto"/>
        <w:rPr>
          <w:rFonts w:hint="eastAsia" w:ascii="宋体" w:hAnsi="宋体" w:eastAsia="宋体" w:cs="宋体"/>
          <w:b w:val="0"/>
          <w:bCs w:val="0"/>
          <w:color w:val="auto"/>
          <w:sz w:val="21"/>
          <w:szCs w:val="21"/>
          <w:highlight w:val="none"/>
        </w:rPr>
      </w:pPr>
      <w:bookmarkStart w:id="192" w:name="_Toc19315"/>
      <w:bookmarkStart w:id="193" w:name="_Toc3251"/>
      <w:bookmarkStart w:id="194" w:name="_Toc12497"/>
      <w:r>
        <w:rPr>
          <w:rFonts w:hint="eastAsia" w:ascii="宋体" w:hAnsi="宋体" w:eastAsia="宋体" w:cs="宋体"/>
          <w:b w:val="0"/>
          <w:bCs w:val="0"/>
          <w:color w:val="auto"/>
          <w:sz w:val="21"/>
          <w:szCs w:val="21"/>
          <w:highlight w:val="none"/>
        </w:rPr>
        <w:t>附表2 符合性审查结果一览表</w:t>
      </w:r>
      <w:bookmarkEnd w:id="192"/>
      <w:bookmarkEnd w:id="193"/>
      <w:bookmarkEnd w:id="194"/>
    </w:p>
    <w:p w14:paraId="5A0C474B">
      <w:pPr>
        <w:adjustRightInd w:val="0"/>
        <w:snapToGrid w:val="0"/>
        <w:spacing w:before="156" w:beforeLines="5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符合性审查结果一览表</w:t>
      </w:r>
    </w:p>
    <w:p w14:paraId="242B31BC">
      <w:pPr>
        <w:adjustRightInd w:val="0"/>
        <w:snapToGrid w:val="0"/>
        <w:spacing w:before="156" w:beforeLines="50" w:line="360" w:lineRule="auto"/>
        <w:rPr>
          <w:rFonts w:hint="eastAsia" w:ascii="宋体" w:hAnsi="宋体" w:eastAsia="宋体" w:cs="宋体"/>
          <w:color w:val="auto"/>
          <w:szCs w:val="21"/>
          <w:highlight w:val="none"/>
        </w:rPr>
      </w:pPr>
    </w:p>
    <w:tbl>
      <w:tblPr>
        <w:tblStyle w:val="45"/>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1708FB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center"/>
          </w:tcPr>
          <w:p w14:paraId="4D7DD7C9">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2963" w:type="dxa"/>
            <w:noWrap w:val="0"/>
            <w:vAlign w:val="center"/>
          </w:tcPr>
          <w:p w14:paraId="797E10A5">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投标人名称</w:t>
            </w:r>
          </w:p>
        </w:tc>
        <w:tc>
          <w:tcPr>
            <w:tcW w:w="2439" w:type="dxa"/>
            <w:noWrap w:val="0"/>
            <w:vAlign w:val="center"/>
          </w:tcPr>
          <w:p w14:paraId="4773895B">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符合性审查结果</w:t>
            </w:r>
          </w:p>
          <w:p w14:paraId="0F71DFDB">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（合格/不合格）</w:t>
            </w:r>
          </w:p>
        </w:tc>
        <w:tc>
          <w:tcPr>
            <w:tcW w:w="2961" w:type="dxa"/>
            <w:noWrap w:val="0"/>
            <w:vAlign w:val="center"/>
          </w:tcPr>
          <w:p w14:paraId="7FEB43A5">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符合性审查不合格原因</w:t>
            </w:r>
          </w:p>
        </w:tc>
      </w:tr>
      <w:tr w14:paraId="60AC12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2D1A383">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11A02865">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4EA59B89">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0D30E2B3">
            <w:pPr>
              <w:adjustRightInd w:val="0"/>
              <w:snapToGrid w:val="0"/>
              <w:spacing w:line="360" w:lineRule="auto"/>
              <w:rPr>
                <w:rFonts w:hint="eastAsia" w:ascii="宋体" w:hAnsi="宋体" w:eastAsia="宋体" w:cs="宋体"/>
                <w:color w:val="auto"/>
                <w:kern w:val="0"/>
                <w:sz w:val="24"/>
                <w:highlight w:val="none"/>
              </w:rPr>
            </w:pPr>
          </w:p>
        </w:tc>
      </w:tr>
      <w:tr w14:paraId="1DC1E0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11971B0F">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6C52B904">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4D07E9DE">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7EB27398">
            <w:pPr>
              <w:adjustRightInd w:val="0"/>
              <w:snapToGrid w:val="0"/>
              <w:spacing w:line="360" w:lineRule="auto"/>
              <w:rPr>
                <w:rFonts w:hint="eastAsia" w:ascii="宋体" w:hAnsi="宋体" w:eastAsia="宋体" w:cs="宋体"/>
                <w:color w:val="auto"/>
                <w:kern w:val="0"/>
                <w:sz w:val="24"/>
                <w:highlight w:val="none"/>
              </w:rPr>
            </w:pPr>
          </w:p>
        </w:tc>
      </w:tr>
      <w:tr w14:paraId="78E3EB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3F31E675">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72A28919">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0A930441">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10571431">
            <w:pPr>
              <w:adjustRightInd w:val="0"/>
              <w:snapToGrid w:val="0"/>
              <w:spacing w:line="360" w:lineRule="auto"/>
              <w:rPr>
                <w:rFonts w:hint="eastAsia" w:ascii="宋体" w:hAnsi="宋体" w:eastAsia="宋体" w:cs="宋体"/>
                <w:color w:val="auto"/>
                <w:kern w:val="0"/>
                <w:sz w:val="24"/>
                <w:highlight w:val="none"/>
              </w:rPr>
            </w:pPr>
          </w:p>
        </w:tc>
      </w:tr>
      <w:tr w14:paraId="1D13F3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0B6E43DC">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4B8187E0">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1DDE9571">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B51D71A">
            <w:pPr>
              <w:adjustRightInd w:val="0"/>
              <w:snapToGrid w:val="0"/>
              <w:spacing w:line="360" w:lineRule="auto"/>
              <w:rPr>
                <w:rFonts w:hint="eastAsia" w:ascii="宋体" w:hAnsi="宋体" w:eastAsia="宋体" w:cs="宋体"/>
                <w:color w:val="auto"/>
                <w:kern w:val="0"/>
                <w:sz w:val="24"/>
                <w:highlight w:val="none"/>
              </w:rPr>
            </w:pPr>
          </w:p>
        </w:tc>
      </w:tr>
      <w:tr w14:paraId="74C4D9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61F3A46">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7F94D98F">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74171AD9">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7DE92F6">
            <w:pPr>
              <w:adjustRightInd w:val="0"/>
              <w:snapToGrid w:val="0"/>
              <w:spacing w:line="360" w:lineRule="auto"/>
              <w:rPr>
                <w:rFonts w:hint="eastAsia" w:ascii="宋体" w:hAnsi="宋体" w:eastAsia="宋体" w:cs="宋体"/>
                <w:color w:val="auto"/>
                <w:kern w:val="0"/>
                <w:sz w:val="24"/>
                <w:highlight w:val="none"/>
              </w:rPr>
            </w:pPr>
          </w:p>
        </w:tc>
      </w:tr>
      <w:tr w14:paraId="2986E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noWrap w:val="0"/>
            <w:vAlign w:val="top"/>
          </w:tcPr>
          <w:p w14:paraId="506F1014">
            <w:pPr>
              <w:adjustRightInd w:val="0"/>
              <w:snapToGrid w:val="0"/>
              <w:spacing w:line="360" w:lineRule="auto"/>
              <w:rPr>
                <w:rFonts w:hint="eastAsia" w:ascii="宋体" w:hAnsi="宋体" w:eastAsia="宋体" w:cs="宋体"/>
                <w:color w:val="auto"/>
                <w:kern w:val="0"/>
                <w:sz w:val="24"/>
                <w:highlight w:val="none"/>
              </w:rPr>
            </w:pPr>
          </w:p>
        </w:tc>
        <w:tc>
          <w:tcPr>
            <w:tcW w:w="2963" w:type="dxa"/>
            <w:noWrap w:val="0"/>
            <w:vAlign w:val="top"/>
          </w:tcPr>
          <w:p w14:paraId="23783E50">
            <w:pPr>
              <w:adjustRightInd w:val="0"/>
              <w:snapToGrid w:val="0"/>
              <w:spacing w:line="360" w:lineRule="auto"/>
              <w:rPr>
                <w:rFonts w:hint="eastAsia" w:ascii="宋体" w:hAnsi="宋体" w:eastAsia="宋体" w:cs="宋体"/>
                <w:color w:val="auto"/>
                <w:kern w:val="0"/>
                <w:sz w:val="24"/>
                <w:highlight w:val="none"/>
              </w:rPr>
            </w:pPr>
          </w:p>
        </w:tc>
        <w:tc>
          <w:tcPr>
            <w:tcW w:w="2439" w:type="dxa"/>
            <w:noWrap w:val="0"/>
            <w:vAlign w:val="top"/>
          </w:tcPr>
          <w:p w14:paraId="7E433772">
            <w:pPr>
              <w:adjustRightInd w:val="0"/>
              <w:snapToGrid w:val="0"/>
              <w:spacing w:line="360" w:lineRule="auto"/>
              <w:rPr>
                <w:rFonts w:hint="eastAsia" w:ascii="宋体" w:hAnsi="宋体" w:eastAsia="宋体" w:cs="宋体"/>
                <w:color w:val="auto"/>
                <w:kern w:val="0"/>
                <w:sz w:val="24"/>
                <w:highlight w:val="none"/>
              </w:rPr>
            </w:pPr>
          </w:p>
        </w:tc>
        <w:tc>
          <w:tcPr>
            <w:tcW w:w="2961" w:type="dxa"/>
            <w:noWrap w:val="0"/>
            <w:vAlign w:val="top"/>
          </w:tcPr>
          <w:p w14:paraId="34234714">
            <w:pPr>
              <w:adjustRightInd w:val="0"/>
              <w:snapToGrid w:val="0"/>
              <w:spacing w:line="360" w:lineRule="auto"/>
              <w:rPr>
                <w:rFonts w:hint="eastAsia" w:ascii="宋体" w:hAnsi="宋体" w:eastAsia="宋体" w:cs="宋体"/>
                <w:color w:val="auto"/>
                <w:kern w:val="0"/>
                <w:sz w:val="24"/>
                <w:highlight w:val="none"/>
              </w:rPr>
            </w:pPr>
          </w:p>
        </w:tc>
      </w:tr>
    </w:tbl>
    <w:p w14:paraId="7F2446AA">
      <w:pPr>
        <w:widowControl/>
        <w:jc w:val="left"/>
        <w:rPr>
          <w:rFonts w:hint="eastAsia" w:ascii="宋体" w:hAnsi="宋体" w:eastAsia="宋体" w:cs="宋体"/>
          <w:bCs/>
          <w:color w:val="auto"/>
          <w:szCs w:val="21"/>
          <w:highlight w:val="none"/>
        </w:rPr>
      </w:pPr>
    </w:p>
    <w:p w14:paraId="7AE58AB4">
      <w:pPr>
        <w:pStyle w:val="4"/>
        <w:adjustRightInd w:val="0"/>
        <w:snapToGrid w:val="0"/>
        <w:spacing w:before="156" w:beforeLines="50" w:after="0" w:line="360" w:lineRule="auto"/>
        <w:rPr>
          <w:rFonts w:hint="eastAsia" w:ascii="宋体" w:hAnsi="宋体" w:eastAsia="宋体" w:cs="宋体"/>
          <w:b w:val="0"/>
          <w:bCs w:val="0"/>
          <w:color w:val="auto"/>
          <w:sz w:val="21"/>
          <w:szCs w:val="21"/>
          <w:highlight w:val="none"/>
        </w:rPr>
      </w:pPr>
      <w:bookmarkStart w:id="195" w:name="_Toc25337"/>
      <w:bookmarkStart w:id="196" w:name="_Toc19472"/>
      <w:bookmarkStart w:id="197" w:name="_Toc21842"/>
      <w:r>
        <w:rPr>
          <w:rFonts w:hint="eastAsia" w:ascii="宋体" w:hAnsi="宋体" w:eastAsia="宋体" w:cs="宋体"/>
          <w:b w:val="0"/>
          <w:bCs w:val="0"/>
          <w:color w:val="auto"/>
          <w:sz w:val="21"/>
          <w:szCs w:val="21"/>
          <w:highlight w:val="none"/>
        </w:rPr>
        <w:t>附表3 符合性审查合格投标人名单</w:t>
      </w:r>
      <w:bookmarkEnd w:id="195"/>
      <w:bookmarkEnd w:id="196"/>
      <w:bookmarkEnd w:id="197"/>
    </w:p>
    <w:p w14:paraId="282943DB">
      <w:pPr>
        <w:adjustRightInd w:val="0"/>
        <w:snapToGrid w:val="0"/>
        <w:spacing w:before="156" w:beforeLines="5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符合性审查合格投标人名单</w:t>
      </w:r>
    </w:p>
    <w:tbl>
      <w:tblPr>
        <w:tblStyle w:val="45"/>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61BF2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center"/>
          </w:tcPr>
          <w:p w14:paraId="7B95426D">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7796" w:type="dxa"/>
            <w:noWrap w:val="0"/>
            <w:vAlign w:val="center"/>
          </w:tcPr>
          <w:p w14:paraId="4DE38B7F">
            <w:pPr>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合格投标人名称</w:t>
            </w:r>
          </w:p>
        </w:tc>
      </w:tr>
      <w:tr w14:paraId="4CCA7A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E87FF05">
            <w:pPr>
              <w:adjustRightInd w:val="0"/>
              <w:snapToGrid w:val="0"/>
              <w:spacing w:line="360" w:lineRule="auto"/>
              <w:rPr>
                <w:rFonts w:hint="eastAsia" w:ascii="宋体" w:hAnsi="宋体" w:eastAsia="宋体" w:cs="宋体"/>
                <w:color w:val="auto"/>
                <w:kern w:val="0"/>
                <w:szCs w:val="21"/>
                <w:highlight w:val="none"/>
              </w:rPr>
            </w:pPr>
          </w:p>
        </w:tc>
        <w:tc>
          <w:tcPr>
            <w:tcW w:w="7796" w:type="dxa"/>
            <w:noWrap w:val="0"/>
            <w:vAlign w:val="top"/>
          </w:tcPr>
          <w:p w14:paraId="5FD9EFB3">
            <w:pPr>
              <w:adjustRightInd w:val="0"/>
              <w:snapToGrid w:val="0"/>
              <w:spacing w:line="360" w:lineRule="auto"/>
              <w:rPr>
                <w:rFonts w:hint="eastAsia" w:ascii="宋体" w:hAnsi="宋体" w:eastAsia="宋体" w:cs="宋体"/>
                <w:color w:val="auto"/>
                <w:kern w:val="0"/>
                <w:szCs w:val="21"/>
                <w:highlight w:val="none"/>
              </w:rPr>
            </w:pPr>
          </w:p>
        </w:tc>
      </w:tr>
      <w:tr w14:paraId="0F6783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762A1FCE">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3AA0742E">
            <w:pPr>
              <w:adjustRightInd w:val="0"/>
              <w:snapToGrid w:val="0"/>
              <w:spacing w:line="360" w:lineRule="auto"/>
              <w:rPr>
                <w:rFonts w:hint="eastAsia" w:ascii="宋体" w:hAnsi="宋体" w:eastAsia="宋体" w:cs="宋体"/>
                <w:color w:val="auto"/>
                <w:kern w:val="0"/>
                <w:sz w:val="24"/>
                <w:highlight w:val="none"/>
              </w:rPr>
            </w:pPr>
          </w:p>
        </w:tc>
      </w:tr>
      <w:tr w14:paraId="42D0A0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02F01F86">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51232FF4">
            <w:pPr>
              <w:adjustRightInd w:val="0"/>
              <w:snapToGrid w:val="0"/>
              <w:spacing w:line="360" w:lineRule="auto"/>
              <w:rPr>
                <w:rFonts w:hint="eastAsia" w:ascii="宋体" w:hAnsi="宋体" w:eastAsia="宋体" w:cs="宋体"/>
                <w:color w:val="auto"/>
                <w:kern w:val="0"/>
                <w:sz w:val="24"/>
                <w:highlight w:val="none"/>
              </w:rPr>
            </w:pPr>
          </w:p>
        </w:tc>
      </w:tr>
      <w:tr w14:paraId="56E7C2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24C874C1">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0FA6EAD6">
            <w:pPr>
              <w:adjustRightInd w:val="0"/>
              <w:snapToGrid w:val="0"/>
              <w:spacing w:line="360" w:lineRule="auto"/>
              <w:rPr>
                <w:rFonts w:hint="eastAsia" w:ascii="宋体" w:hAnsi="宋体" w:eastAsia="宋体" w:cs="宋体"/>
                <w:color w:val="auto"/>
                <w:kern w:val="0"/>
                <w:sz w:val="24"/>
                <w:highlight w:val="none"/>
              </w:rPr>
            </w:pPr>
          </w:p>
        </w:tc>
      </w:tr>
      <w:tr w14:paraId="497B4E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31B51C4E">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17C3C081">
            <w:pPr>
              <w:adjustRightInd w:val="0"/>
              <w:snapToGrid w:val="0"/>
              <w:spacing w:line="360" w:lineRule="auto"/>
              <w:rPr>
                <w:rFonts w:hint="eastAsia" w:ascii="宋体" w:hAnsi="宋体" w:eastAsia="宋体" w:cs="宋体"/>
                <w:color w:val="auto"/>
                <w:kern w:val="0"/>
                <w:sz w:val="24"/>
                <w:highlight w:val="none"/>
              </w:rPr>
            </w:pPr>
          </w:p>
        </w:tc>
      </w:tr>
      <w:tr w14:paraId="72B04E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noWrap w:val="0"/>
            <w:vAlign w:val="top"/>
          </w:tcPr>
          <w:p w14:paraId="18CA2ACB">
            <w:pPr>
              <w:adjustRightInd w:val="0"/>
              <w:snapToGrid w:val="0"/>
              <w:spacing w:line="360" w:lineRule="auto"/>
              <w:rPr>
                <w:rFonts w:hint="eastAsia" w:ascii="宋体" w:hAnsi="宋体" w:eastAsia="宋体" w:cs="宋体"/>
                <w:color w:val="auto"/>
                <w:kern w:val="0"/>
                <w:sz w:val="24"/>
                <w:highlight w:val="none"/>
              </w:rPr>
            </w:pPr>
          </w:p>
        </w:tc>
        <w:tc>
          <w:tcPr>
            <w:tcW w:w="7796" w:type="dxa"/>
            <w:noWrap w:val="0"/>
            <w:vAlign w:val="top"/>
          </w:tcPr>
          <w:p w14:paraId="7A5F5283">
            <w:pPr>
              <w:adjustRightInd w:val="0"/>
              <w:snapToGrid w:val="0"/>
              <w:spacing w:line="360" w:lineRule="auto"/>
              <w:rPr>
                <w:rFonts w:hint="eastAsia" w:ascii="宋体" w:hAnsi="宋体" w:eastAsia="宋体" w:cs="宋体"/>
                <w:color w:val="auto"/>
                <w:kern w:val="0"/>
                <w:sz w:val="24"/>
                <w:highlight w:val="none"/>
              </w:rPr>
            </w:pPr>
          </w:p>
        </w:tc>
      </w:tr>
    </w:tbl>
    <w:p w14:paraId="733A3F0A">
      <w:pPr>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说明：本表中投标人排名不分先后。不合格的投标人不能进入下一步评审。</w:t>
      </w:r>
      <w:r>
        <w:rPr>
          <w:rFonts w:hint="eastAsia" w:ascii="宋体" w:hAnsi="宋体" w:eastAsia="宋体" w:cs="宋体"/>
          <w:color w:val="auto"/>
          <w:kern w:val="0"/>
          <w:szCs w:val="21"/>
          <w:highlight w:val="none"/>
        </w:rPr>
        <w:t>合格投标人数量少于3个的，不得评标。</w:t>
      </w:r>
    </w:p>
    <w:p w14:paraId="4E8911E2">
      <w:pPr>
        <w:adjustRightInd w:val="0"/>
        <w:snapToGrid w:val="0"/>
        <w:spacing w:line="360" w:lineRule="auto"/>
        <w:rPr>
          <w:rFonts w:hint="eastAsia" w:ascii="宋体" w:hAnsi="宋体" w:eastAsia="宋体" w:cs="宋体"/>
          <w:color w:val="auto"/>
          <w:szCs w:val="21"/>
          <w:highlight w:val="none"/>
        </w:rPr>
      </w:pPr>
    </w:p>
    <w:p w14:paraId="4DF61BEE">
      <w:pPr>
        <w:rPr>
          <w:rFonts w:hint="eastAsia" w:ascii="宋体" w:hAnsi="宋体" w:eastAsia="宋体" w:cs="宋体"/>
          <w:color w:val="auto"/>
          <w:w w:val="90"/>
          <w:highlight w:val="none"/>
        </w:rPr>
      </w:pPr>
      <w:r>
        <w:rPr>
          <w:rFonts w:hint="eastAsia" w:ascii="宋体" w:hAnsi="宋体" w:eastAsia="宋体" w:cs="宋体"/>
          <w:color w:val="auto"/>
          <w:szCs w:val="21"/>
          <w:highlight w:val="none"/>
        </w:rPr>
        <w:t>评标委员会全体成员（</w:t>
      </w:r>
      <w:r>
        <w:rPr>
          <w:rFonts w:hint="eastAsia" w:ascii="宋体" w:hAnsi="宋体" w:eastAsia="宋体" w:cs="宋体"/>
          <w:color w:val="auto"/>
          <w:szCs w:val="21"/>
          <w:highlight w:val="none"/>
          <w:lang w:eastAsia="zh-CN"/>
        </w:rPr>
        <w:t>电子</w:t>
      </w:r>
      <w:r>
        <w:rPr>
          <w:rFonts w:hint="eastAsia" w:ascii="宋体" w:hAnsi="宋体" w:eastAsia="宋体" w:cs="宋体"/>
          <w:color w:val="auto"/>
          <w:szCs w:val="21"/>
          <w:highlight w:val="none"/>
        </w:rPr>
        <w:t>签字）：                                    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日</w:t>
      </w:r>
    </w:p>
    <w:p w14:paraId="02D86198">
      <w:pPr>
        <w:rPr>
          <w:rFonts w:hint="eastAsia" w:ascii="宋体" w:hAnsi="宋体" w:eastAsia="宋体" w:cs="宋体"/>
          <w:b/>
          <w:color w:val="auto"/>
          <w:sz w:val="32"/>
          <w:szCs w:val="32"/>
          <w:highlight w:val="none"/>
        </w:rPr>
      </w:pPr>
    </w:p>
    <w:p w14:paraId="249395BD">
      <w:pPr>
        <w:pStyle w:val="3"/>
        <w:adjustRightInd w:val="0"/>
        <w:snapToGrid w:val="0"/>
        <w:jc w:val="center"/>
        <w:rPr>
          <w:rFonts w:hint="eastAsia" w:ascii="宋体" w:hAnsi="宋体" w:eastAsia="宋体" w:cs="宋体"/>
          <w:color w:val="auto"/>
          <w:sz w:val="28"/>
          <w:szCs w:val="28"/>
          <w:highlight w:val="none"/>
        </w:rPr>
      </w:pPr>
      <w:r>
        <w:rPr>
          <w:rFonts w:hint="eastAsia" w:ascii="宋体" w:hAnsi="宋体" w:eastAsia="宋体" w:cs="宋体"/>
          <w:b w:val="0"/>
          <w:color w:val="auto"/>
          <w:sz w:val="32"/>
          <w:highlight w:val="none"/>
        </w:rPr>
        <w:br w:type="page"/>
      </w:r>
      <w:bookmarkStart w:id="198" w:name="_Toc4901"/>
      <w:bookmarkStart w:id="199" w:name="_Toc8939"/>
      <w:bookmarkStart w:id="200" w:name="_Toc23932"/>
      <w:r>
        <w:rPr>
          <w:rFonts w:hint="eastAsia" w:ascii="宋体" w:hAnsi="宋体" w:eastAsia="宋体" w:cs="宋体"/>
          <w:color w:val="auto"/>
          <w:sz w:val="28"/>
          <w:szCs w:val="28"/>
          <w:highlight w:val="none"/>
        </w:rPr>
        <w:t>第四节 投标文件的比较与评价</w:t>
      </w:r>
      <w:bookmarkEnd w:id="191"/>
      <w:bookmarkEnd w:id="198"/>
      <w:bookmarkEnd w:id="199"/>
      <w:bookmarkEnd w:id="200"/>
    </w:p>
    <w:p w14:paraId="4726C66B">
      <w:pPr>
        <w:widowControl/>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综合评分法</w:t>
      </w:r>
    </w:p>
    <w:p w14:paraId="7A009997">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1.1综合评分法，指投标文件满足招标文件全部实质性要求，且按照评审因素的量化指标评审得分最高的投标人为中标候选人的评标方法。</w:t>
      </w:r>
    </w:p>
    <w:p w14:paraId="4661D65E">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76A9A16A">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1.3未通过符合性审查的投标文件不得进入比较与评价。</w:t>
      </w:r>
    </w:p>
    <w:p w14:paraId="13E62294">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color w:val="auto"/>
          <w:highlight w:val="none"/>
        </w:rPr>
        <w:t xml:space="preserve"> </w:t>
      </w:r>
      <w:r>
        <w:rPr>
          <w:rFonts w:hint="eastAsia" w:ascii="宋体" w:hAnsi="宋体" w:eastAsia="宋体" w:cs="宋体"/>
          <w:b/>
          <w:bCs/>
          <w:color w:val="auto"/>
          <w:sz w:val="24"/>
          <w:highlight w:val="none"/>
        </w:rPr>
        <w:t>投标报价的算术修正及政府采购政策调整</w:t>
      </w:r>
    </w:p>
    <w:p w14:paraId="3A77D411">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2.1如果有算术错误，投标报价将按本章第二节第4.2款、第4.3款规定进行算术修正。</w:t>
      </w:r>
    </w:p>
    <w:p w14:paraId="770C4DE1">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2.2需落实政府采购政策（价格评审优惠）的，按第二章“投标须知”及本章第二节第5.</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（1）项的相关规定进行价格调整。</w:t>
      </w:r>
    </w:p>
    <w:p w14:paraId="4503DE2E">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2.3按本章本节第2.1款、第2.2款规定，以修正或调整后的价格确定投标人的投标报价和评标基准价，用于投标报价评价。</w:t>
      </w:r>
    </w:p>
    <w:p w14:paraId="72CA8DB1">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color w:val="auto"/>
          <w:highlight w:val="none"/>
        </w:rPr>
        <w:t xml:space="preserve"> </w:t>
      </w:r>
      <w:r>
        <w:rPr>
          <w:rFonts w:hint="eastAsia" w:ascii="宋体" w:hAnsi="宋体" w:eastAsia="宋体" w:cs="宋体"/>
          <w:b/>
          <w:bCs/>
          <w:color w:val="auto"/>
          <w:sz w:val="24"/>
          <w:highlight w:val="none"/>
        </w:rPr>
        <w:t>投标报价评价</w:t>
      </w:r>
    </w:p>
    <w:p w14:paraId="4571C0F4">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3.1投标报价评价：价格分应当采用低价优先法计算，即满足招标文件要求且投标价格最低的投标报价为评标基准价，其价格分为满分（报价权重分）。其他投标人的价格分统一按照下列公式计算：</w:t>
      </w:r>
    </w:p>
    <w:p w14:paraId="665D9E4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投标报价得分=（评标基准价</w:t>
      </w:r>
      <w:r>
        <w:rPr>
          <w:rFonts w:hint="eastAsia" w:ascii="宋体" w:hAnsi="宋体" w:eastAsia="宋体" w:cs="宋体"/>
          <w:color w:val="auto"/>
          <w:szCs w:val="21"/>
          <w:highlight w:val="none"/>
          <w:vertAlign w:val="subscript"/>
        </w:rPr>
        <w:t>修正或调整</w:t>
      </w:r>
      <w:r>
        <w:rPr>
          <w:rFonts w:hint="eastAsia" w:ascii="宋体" w:hAnsi="宋体" w:eastAsia="宋体" w:cs="宋体"/>
          <w:color w:val="auto"/>
          <w:szCs w:val="21"/>
          <w:highlight w:val="none"/>
        </w:rPr>
        <w:t>／投标报价</w:t>
      </w:r>
      <w:r>
        <w:rPr>
          <w:rFonts w:hint="eastAsia" w:ascii="宋体" w:hAnsi="宋体" w:eastAsia="宋体" w:cs="宋体"/>
          <w:color w:val="auto"/>
          <w:szCs w:val="21"/>
          <w:highlight w:val="none"/>
          <w:vertAlign w:val="subscript"/>
        </w:rPr>
        <w:t>修正或调整</w:t>
      </w:r>
      <w:r>
        <w:rPr>
          <w:rFonts w:hint="eastAsia" w:ascii="宋体" w:hAnsi="宋体" w:eastAsia="宋体" w:cs="宋体"/>
          <w:color w:val="auto"/>
          <w:szCs w:val="21"/>
          <w:highlight w:val="none"/>
        </w:rPr>
        <w:t>） × 报价权重分</w:t>
      </w:r>
    </w:p>
    <w:p w14:paraId="646D1A5F">
      <w:pPr>
        <w:adjustRightInd w:val="0"/>
        <w:snapToGrid w:val="0"/>
        <w:spacing w:before="156" w:beforeLines="50"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技术、商务等评分项响应评价及政府采购政策加分</w:t>
      </w:r>
    </w:p>
    <w:p w14:paraId="184691E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4.1技术、商务等评分项响应评分。按</w:t>
      </w:r>
      <w:r>
        <w:rPr>
          <w:rFonts w:hint="eastAsia" w:ascii="宋体" w:hAnsi="宋体" w:eastAsia="宋体" w:cs="宋体"/>
          <w:bCs/>
          <w:color w:val="auto"/>
          <w:szCs w:val="21"/>
          <w:highlight w:val="none"/>
        </w:rPr>
        <w:t>本章</w:t>
      </w:r>
      <w:r>
        <w:rPr>
          <w:rFonts w:hint="eastAsia" w:ascii="宋体" w:hAnsi="宋体" w:eastAsia="宋体" w:cs="宋体"/>
          <w:color w:val="auto"/>
          <w:szCs w:val="21"/>
          <w:highlight w:val="none"/>
        </w:rPr>
        <w:t>本节附页1“评标方法及标准表”规定的评标因素和标准，对技术、商务等评分项计算得分。</w:t>
      </w:r>
    </w:p>
    <w:p w14:paraId="374D65CE">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4.2需落实政府采购政策（优先采购）的，按第二章、本章第二节第5.3（2）项以及本节附页1“评标方法及标准表”的相关规定进行技术、价格、商务项得分(加分)计算。</w:t>
      </w:r>
    </w:p>
    <w:p w14:paraId="743B99DF">
      <w:pPr>
        <w:adjustRightInd w:val="0"/>
        <w:snapToGrid w:val="0"/>
        <w:spacing w:before="156" w:beforeLines="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5.评标总得分</w:t>
      </w:r>
    </w:p>
    <w:p w14:paraId="3E86DE0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5.1评标总得分为投标报价、技术、商务等评分项得分(含优先采购政策加分)之和。</w:t>
      </w:r>
    </w:p>
    <w:p w14:paraId="2554999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评标总得分＝A</w:t>
      </w:r>
      <w:r>
        <w:rPr>
          <w:rFonts w:hint="eastAsia" w:ascii="宋体" w:hAnsi="宋体" w:eastAsia="宋体" w:cs="宋体"/>
          <w:color w:val="auto"/>
          <w:szCs w:val="21"/>
          <w:highlight w:val="none"/>
          <w:vertAlign w:val="subscript"/>
        </w:rPr>
        <w:t>投标报价得分</w:t>
      </w:r>
      <w:r>
        <w:rPr>
          <w:rFonts w:hint="eastAsia" w:ascii="宋体" w:hAnsi="宋体" w:eastAsia="宋体" w:cs="宋体"/>
          <w:color w:val="auto"/>
          <w:szCs w:val="21"/>
          <w:highlight w:val="none"/>
        </w:rPr>
        <w:t>＋A</w:t>
      </w:r>
      <w:r>
        <w:rPr>
          <w:rFonts w:hint="eastAsia" w:ascii="宋体" w:hAnsi="宋体" w:eastAsia="宋体" w:cs="宋体"/>
          <w:color w:val="auto"/>
          <w:szCs w:val="21"/>
          <w:highlight w:val="none"/>
          <w:vertAlign w:val="subscript"/>
        </w:rPr>
        <w:t>技术项得分</w:t>
      </w:r>
      <w:r>
        <w:rPr>
          <w:rFonts w:hint="eastAsia" w:ascii="宋体" w:hAnsi="宋体" w:eastAsia="宋体" w:cs="宋体"/>
          <w:color w:val="auto"/>
          <w:szCs w:val="21"/>
          <w:highlight w:val="none"/>
        </w:rPr>
        <w:t>＋A</w:t>
      </w:r>
      <w:r>
        <w:rPr>
          <w:rFonts w:hint="eastAsia" w:ascii="宋体" w:hAnsi="宋体" w:eastAsia="宋体" w:cs="宋体"/>
          <w:color w:val="auto"/>
          <w:szCs w:val="21"/>
          <w:highlight w:val="none"/>
          <w:vertAlign w:val="subscript"/>
        </w:rPr>
        <w:t>商务项得分</w:t>
      </w:r>
      <w:r>
        <w:rPr>
          <w:rFonts w:hint="eastAsia" w:ascii="宋体" w:hAnsi="宋体" w:eastAsia="宋体" w:cs="宋体"/>
          <w:color w:val="auto"/>
          <w:szCs w:val="21"/>
          <w:highlight w:val="none"/>
        </w:rPr>
        <w:t>＋A</w:t>
      </w:r>
      <w:r>
        <w:rPr>
          <w:rFonts w:hint="eastAsia" w:ascii="宋体" w:hAnsi="宋体" w:eastAsia="宋体" w:cs="宋体"/>
          <w:color w:val="auto"/>
          <w:szCs w:val="21"/>
          <w:highlight w:val="none"/>
          <w:vertAlign w:val="subscript"/>
        </w:rPr>
        <w:t>优先采购加分</w:t>
      </w:r>
    </w:p>
    <w:p w14:paraId="4879145F">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5.2评分分值计算保留小数点后两位，小数点后第三位“四舍五入”。</w:t>
      </w:r>
    </w:p>
    <w:p w14:paraId="00DDDBC2">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5.3</w:t>
      </w:r>
      <w:r>
        <w:rPr>
          <w:rFonts w:hint="eastAsia" w:ascii="宋体" w:hAnsi="宋体" w:eastAsia="宋体" w:cs="宋体"/>
          <w:color w:val="auto"/>
          <w:szCs w:val="21"/>
          <w:highlight w:val="none"/>
        </w:rPr>
        <w:t>评标时，评标委员会成员应当独立对满足招标文件全部实质性要求投标人的</w:t>
      </w:r>
      <w:r>
        <w:rPr>
          <w:rFonts w:hint="eastAsia" w:ascii="宋体" w:hAnsi="宋体" w:eastAsia="宋体" w:cs="宋体"/>
          <w:bCs/>
          <w:color w:val="auto"/>
          <w:szCs w:val="21"/>
          <w:highlight w:val="none"/>
        </w:rPr>
        <w:t>投标文件</w:t>
      </w:r>
      <w:r>
        <w:rPr>
          <w:rFonts w:hint="eastAsia" w:ascii="宋体" w:hAnsi="宋体" w:eastAsia="宋体" w:cs="宋体"/>
          <w:color w:val="auto"/>
          <w:szCs w:val="21"/>
          <w:highlight w:val="none"/>
        </w:rPr>
        <w:t>进行评价、评分，然后汇总每个投标人每项评分因素的得分。每个投标人的最终得分为所有评标委员会成员评分的算术平均值。</w:t>
      </w:r>
    </w:p>
    <w:p w14:paraId="0D3A9877">
      <w:pPr>
        <w:adjustRightInd w:val="0"/>
        <w:snapToGrid w:val="0"/>
        <w:spacing w:before="156" w:beforeLines="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6.中标候选人的推荐方法</w:t>
      </w:r>
    </w:p>
    <w:p w14:paraId="583F1F8D">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943F253">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6.2得分且投标报价相同的并列，按本章第二节规定确定中标候选人。</w:t>
      </w:r>
    </w:p>
    <w:p w14:paraId="08BAD6FA">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p>
    <w:p w14:paraId="6A285C4F">
      <w:pPr>
        <w:widowControl/>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r>
    </w:p>
    <w:p w14:paraId="3B04611C">
      <w:pPr>
        <w:pStyle w:val="4"/>
        <w:adjustRightInd w:val="0"/>
        <w:snapToGrid w:val="0"/>
        <w:spacing w:before="156" w:beforeLines="50" w:after="0" w:line="360" w:lineRule="auto"/>
        <w:rPr>
          <w:rFonts w:hint="eastAsia" w:ascii="宋体" w:hAnsi="宋体" w:eastAsia="宋体" w:cs="宋体"/>
          <w:color w:val="auto"/>
          <w:sz w:val="21"/>
          <w:szCs w:val="21"/>
          <w:highlight w:val="none"/>
        </w:rPr>
      </w:pPr>
      <w:bookmarkStart w:id="201" w:name="_Toc9101"/>
      <w:bookmarkStart w:id="202" w:name="_Toc29913925"/>
      <w:bookmarkStart w:id="203" w:name="_Toc9218"/>
      <w:bookmarkStart w:id="204" w:name="_Toc28979"/>
      <w:r>
        <w:rPr>
          <w:rFonts w:hint="eastAsia" w:ascii="宋体" w:hAnsi="宋体" w:eastAsia="宋体" w:cs="宋体"/>
          <w:color w:val="auto"/>
          <w:sz w:val="21"/>
          <w:szCs w:val="21"/>
          <w:highlight w:val="none"/>
        </w:rPr>
        <w:t>附页1 评标方法及标准表</w:t>
      </w:r>
      <w:bookmarkEnd w:id="201"/>
      <w:bookmarkEnd w:id="202"/>
      <w:bookmarkEnd w:id="203"/>
      <w:r>
        <w:rPr>
          <w:rFonts w:hint="eastAsia"/>
          <w:color w:val="auto"/>
          <w:sz w:val="28"/>
          <w:szCs w:val="28"/>
          <w:highlight w:val="none"/>
        </w:rPr>
        <w:t>（第</w:t>
      </w:r>
      <w:r>
        <w:rPr>
          <w:rFonts w:hint="eastAsia"/>
          <w:color w:val="auto"/>
          <w:sz w:val="28"/>
          <w:szCs w:val="28"/>
          <w:highlight w:val="none"/>
          <w:lang w:val="en-US" w:eastAsia="zh-CN"/>
        </w:rPr>
        <w:t>1</w:t>
      </w:r>
      <w:r>
        <w:rPr>
          <w:rFonts w:hint="eastAsia"/>
          <w:color w:val="auto"/>
          <w:sz w:val="28"/>
          <w:szCs w:val="28"/>
          <w:highlight w:val="none"/>
        </w:rPr>
        <w:t>包至第</w:t>
      </w:r>
      <w:r>
        <w:rPr>
          <w:rFonts w:hint="eastAsia"/>
          <w:color w:val="auto"/>
          <w:sz w:val="28"/>
          <w:szCs w:val="28"/>
          <w:highlight w:val="none"/>
          <w:lang w:val="en-US" w:eastAsia="zh-CN"/>
        </w:rPr>
        <w:t>4</w:t>
      </w:r>
      <w:r>
        <w:rPr>
          <w:rFonts w:hint="eastAsia"/>
          <w:color w:val="auto"/>
          <w:sz w:val="28"/>
          <w:szCs w:val="28"/>
          <w:highlight w:val="none"/>
        </w:rPr>
        <w:t>包适用）</w:t>
      </w:r>
      <w:bookmarkEnd w:id="204"/>
    </w:p>
    <w:p w14:paraId="57CB9F0B">
      <w:pPr>
        <w:adjustRightInd w:val="0"/>
        <w:snapToGrid w:val="0"/>
        <w:spacing w:before="156" w:beforeLines="50"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评标方法及标准</w:t>
      </w:r>
    </w:p>
    <w:tbl>
      <w:tblPr>
        <w:tblStyle w:val="44"/>
        <w:tblW w:w="8860" w:type="dxa"/>
        <w:jc w:val="center"/>
        <w:tblLayout w:type="fixed"/>
        <w:tblCellMar>
          <w:top w:w="0" w:type="dxa"/>
          <w:left w:w="0" w:type="dxa"/>
          <w:bottom w:w="0" w:type="dxa"/>
          <w:right w:w="0" w:type="dxa"/>
        </w:tblCellMar>
      </w:tblPr>
      <w:tblGrid>
        <w:gridCol w:w="5442"/>
        <w:gridCol w:w="3418"/>
      </w:tblGrid>
      <w:tr w14:paraId="12EDEBE6">
        <w:tblPrEx>
          <w:tblCellMar>
            <w:top w:w="0" w:type="dxa"/>
            <w:left w:w="0" w:type="dxa"/>
            <w:bottom w:w="0" w:type="dxa"/>
            <w:right w:w="0" w:type="dxa"/>
          </w:tblCellMar>
        </w:tblPrEx>
        <w:trPr>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3E6A3E17">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评审因素及权值</w:t>
            </w:r>
          </w:p>
        </w:tc>
      </w:tr>
      <w:tr w14:paraId="4F88DC3F">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2C85532D">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44D19096">
            <w:pPr>
              <w:widowControl/>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权值</w:t>
            </w:r>
            <w:r>
              <w:rPr>
                <w:rFonts w:hint="eastAsia" w:ascii="宋体" w:hAnsi="宋体" w:eastAsia="宋体" w:cs="宋体"/>
                <w:color w:val="auto"/>
                <w:kern w:val="0"/>
                <w:szCs w:val="21"/>
                <w:highlight w:val="none"/>
                <w:lang w:eastAsia="zh-CN"/>
              </w:rPr>
              <w:t>的取值</w:t>
            </w:r>
          </w:p>
        </w:tc>
      </w:tr>
      <w:tr w14:paraId="5432371A">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D98CC04">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850CB23">
            <w:pPr>
              <w:widowControl/>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50</w:t>
            </w:r>
            <w:r>
              <w:rPr>
                <w:rFonts w:hint="eastAsia" w:ascii="宋体" w:hAnsi="宋体" w:eastAsia="宋体" w:cs="宋体"/>
                <w:color w:val="auto"/>
                <w:kern w:val="0"/>
                <w:szCs w:val="21"/>
                <w:highlight w:val="none"/>
                <w:lang w:val="en-US" w:eastAsia="zh-CN"/>
              </w:rPr>
              <w:t>%</w:t>
            </w:r>
          </w:p>
        </w:tc>
      </w:tr>
      <w:tr w14:paraId="02C173BE">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88FA09A">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D682DC9">
            <w:pPr>
              <w:widowControl/>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40</w:t>
            </w:r>
            <w:r>
              <w:rPr>
                <w:rFonts w:hint="eastAsia" w:ascii="宋体" w:hAnsi="宋体" w:eastAsia="宋体" w:cs="宋体"/>
                <w:color w:val="auto"/>
                <w:kern w:val="0"/>
                <w:szCs w:val="21"/>
                <w:highlight w:val="none"/>
                <w:lang w:val="en-US" w:eastAsia="zh-CN"/>
              </w:rPr>
              <w:t>%</w:t>
            </w:r>
          </w:p>
        </w:tc>
      </w:tr>
      <w:tr w14:paraId="06C6C3E7">
        <w:tblPrEx>
          <w:tblCellMar>
            <w:top w:w="0" w:type="dxa"/>
            <w:left w:w="0" w:type="dxa"/>
            <w:bottom w:w="0" w:type="dxa"/>
            <w:right w:w="0" w:type="dxa"/>
          </w:tblCellMar>
        </w:tblPrEx>
        <w:trPr>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AA52102">
            <w:pPr>
              <w:widowControl/>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89FD7C9">
            <w:pPr>
              <w:widowControl/>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en-US" w:eastAsia="zh-CN"/>
              </w:rPr>
              <w:t>0%</w:t>
            </w:r>
          </w:p>
        </w:tc>
      </w:tr>
    </w:tbl>
    <w:p w14:paraId="7018617F">
      <w:pPr>
        <w:widowControl/>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 xml:space="preserve">  </w:t>
      </w:r>
    </w:p>
    <w:tbl>
      <w:tblPr>
        <w:tblStyle w:val="44"/>
        <w:tblW w:w="8945" w:type="dxa"/>
        <w:jc w:val="center"/>
        <w:tblLayout w:type="fixed"/>
        <w:tblCellMar>
          <w:top w:w="0" w:type="dxa"/>
          <w:left w:w="0" w:type="dxa"/>
          <w:bottom w:w="0" w:type="dxa"/>
          <w:right w:w="0" w:type="dxa"/>
        </w:tblCellMar>
      </w:tblPr>
      <w:tblGrid>
        <w:gridCol w:w="626"/>
        <w:gridCol w:w="1364"/>
        <w:gridCol w:w="708"/>
        <w:gridCol w:w="6247"/>
      </w:tblGrid>
      <w:tr w14:paraId="7397BED9">
        <w:tblPrEx>
          <w:tblCellMar>
            <w:top w:w="0" w:type="dxa"/>
            <w:left w:w="0" w:type="dxa"/>
            <w:bottom w:w="0" w:type="dxa"/>
            <w:right w:w="0" w:type="dxa"/>
          </w:tblCellMar>
        </w:tblPrEx>
        <w:trPr>
          <w:jc w:val="center"/>
        </w:trPr>
        <w:tc>
          <w:tcPr>
            <w:tcW w:w="8945" w:type="dxa"/>
            <w:gridSpan w:val="4"/>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98E5C93">
            <w:pPr>
              <w:widowControl/>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综合评分表</w:t>
            </w:r>
          </w:p>
        </w:tc>
      </w:tr>
      <w:tr w14:paraId="372228F8">
        <w:tblPrEx>
          <w:tblCellMar>
            <w:top w:w="0" w:type="dxa"/>
            <w:left w:w="0" w:type="dxa"/>
            <w:bottom w:w="0" w:type="dxa"/>
            <w:right w:w="0" w:type="dxa"/>
          </w:tblCellMar>
        </w:tblPrEx>
        <w:trPr>
          <w:jc w:val="center"/>
        </w:trPr>
        <w:tc>
          <w:tcPr>
            <w:tcW w:w="62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669EE3C">
            <w:pPr>
              <w:widowControl/>
              <w:spacing w:line="36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评审因素</w:t>
            </w:r>
          </w:p>
        </w:tc>
        <w:tc>
          <w:tcPr>
            <w:tcW w:w="136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3983E5C">
            <w:pPr>
              <w:widowControl/>
              <w:spacing w:line="36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计分因素</w:t>
            </w:r>
          </w:p>
        </w:tc>
        <w:tc>
          <w:tcPr>
            <w:tcW w:w="7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34DD38F">
            <w:pPr>
              <w:widowControl/>
              <w:spacing w:line="36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分值</w:t>
            </w:r>
          </w:p>
        </w:tc>
        <w:tc>
          <w:tcPr>
            <w:tcW w:w="624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3CB0DE8">
            <w:pPr>
              <w:widowControl/>
              <w:spacing w:line="36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计分标准</w:t>
            </w:r>
          </w:p>
        </w:tc>
      </w:tr>
      <w:tr w14:paraId="75E40E1E">
        <w:tblPrEx>
          <w:tblCellMar>
            <w:top w:w="0" w:type="dxa"/>
            <w:left w:w="0" w:type="dxa"/>
            <w:bottom w:w="0" w:type="dxa"/>
            <w:right w:w="0" w:type="dxa"/>
          </w:tblCellMar>
        </w:tblPrEx>
        <w:trPr>
          <w:jc w:val="center"/>
        </w:trPr>
        <w:tc>
          <w:tcPr>
            <w:tcW w:w="626"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18F10CA">
            <w:pPr>
              <w:widowControl/>
              <w:spacing w:line="360" w:lineRule="exact"/>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技术部分</w:t>
            </w:r>
            <w:r>
              <w:rPr>
                <w:rFonts w:hint="eastAsia" w:ascii="宋体" w:hAnsi="宋体" w:eastAsia="宋体" w:cs="宋体"/>
                <w:color w:val="auto"/>
                <w:kern w:val="0"/>
                <w:szCs w:val="21"/>
                <w:highlight w:val="none"/>
                <w:lang w:val="en-US" w:eastAsia="zh-CN"/>
              </w:rPr>
              <w:t>100分</w:t>
            </w:r>
          </w:p>
        </w:tc>
        <w:tc>
          <w:tcPr>
            <w:tcW w:w="136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BC08CD1">
            <w:pPr>
              <w:jc w:val="center"/>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项目理解情况</w:t>
            </w:r>
          </w:p>
        </w:tc>
        <w:tc>
          <w:tcPr>
            <w:tcW w:w="7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00A02C5">
            <w:pPr>
              <w:spacing w:line="300" w:lineRule="exact"/>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lang w:val="en-US" w:eastAsia="zh-CN"/>
              </w:rPr>
              <w:t>20</w:t>
            </w:r>
            <w:r>
              <w:rPr>
                <w:rFonts w:hint="eastAsia" w:ascii="宋体" w:hAnsi="宋体" w:eastAsia="宋体" w:cs="宋体"/>
                <w:color w:val="auto"/>
                <w:highlight w:val="none"/>
              </w:rPr>
              <w:t>分</w:t>
            </w:r>
          </w:p>
        </w:tc>
        <w:tc>
          <w:tcPr>
            <w:tcW w:w="624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F977898">
            <w:pPr>
              <w:spacing w:line="300" w:lineRule="exact"/>
              <w:jc w:val="left"/>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szCs w:val="21"/>
                <w:highlight w:val="none"/>
              </w:rPr>
              <w:t>针对本项目采购需求</w:t>
            </w:r>
            <w:r>
              <w:rPr>
                <w:rFonts w:hint="eastAsia" w:ascii="宋体" w:hAnsi="宋体" w:cs="宋体"/>
                <w:color w:val="auto"/>
                <w:szCs w:val="21"/>
                <w:highlight w:val="none"/>
                <w:lang w:val="en-US" w:eastAsia="zh-CN"/>
              </w:rPr>
              <w:t>提出</w:t>
            </w:r>
            <w:r>
              <w:rPr>
                <w:rFonts w:hint="eastAsia" w:ascii="宋体" w:hAnsi="宋体" w:cs="宋体"/>
                <w:color w:val="auto"/>
                <w:szCs w:val="21"/>
                <w:highlight w:val="none"/>
              </w:rPr>
              <w:t>项目理解情况</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，评标委员会对投标人的项目理解情况方案进行综合评价，方案包括但不限于：①</w:t>
            </w:r>
            <w:r>
              <w:rPr>
                <w:rFonts w:hint="eastAsia" w:ascii="宋体" w:hAnsi="宋体" w:cs="宋体"/>
                <w:color w:val="auto"/>
                <w:szCs w:val="21"/>
                <w:highlight w:val="none"/>
                <w:lang w:val="en-US" w:eastAsia="zh-CN"/>
              </w:rPr>
              <w:t>项目背景及项目现状的理解</w:t>
            </w:r>
            <w:r>
              <w:rPr>
                <w:rFonts w:hint="eastAsia" w:ascii="宋体" w:hAnsi="宋体" w:cs="宋体"/>
                <w:color w:val="auto"/>
                <w:szCs w:val="21"/>
                <w:highlight w:val="none"/>
              </w:rPr>
              <w:t>；②</w:t>
            </w:r>
            <w:r>
              <w:rPr>
                <w:rFonts w:hint="eastAsia" w:ascii="宋体" w:hAnsi="宋体" w:cs="宋体"/>
                <w:color w:val="auto"/>
                <w:szCs w:val="21"/>
                <w:highlight w:val="none"/>
                <w:lang w:val="en-US" w:eastAsia="zh-CN"/>
              </w:rPr>
              <w:t>对项目区域的了解及合理化建议</w:t>
            </w:r>
            <w:r>
              <w:rPr>
                <w:rFonts w:hint="eastAsia" w:ascii="宋体" w:hAnsi="宋体" w:cs="宋体"/>
                <w:color w:val="auto"/>
                <w:szCs w:val="21"/>
                <w:highlight w:val="none"/>
              </w:rPr>
              <w:t>等；上述小项方案具有针对性和可行性，内容完整合理满足采购需求要求的每项得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分。存在一般缺陷的小项方案得5分 (一般缺陷是指方案内容前后不一致</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前后逻辑错误</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内容有缺失，不影响项目的实施)。未提供或存在重大缺陷的小项方案不得分(重大缺陷是指方案凭空编造、与采购项目和采购需求无关，无法指导项目实施)</w:t>
            </w:r>
          </w:p>
        </w:tc>
      </w:tr>
      <w:tr w14:paraId="315AB858">
        <w:tblPrEx>
          <w:tblCellMar>
            <w:top w:w="0" w:type="dxa"/>
            <w:left w:w="0" w:type="dxa"/>
            <w:bottom w:w="0" w:type="dxa"/>
            <w:right w:w="0" w:type="dxa"/>
          </w:tblCellMar>
        </w:tblPrEx>
        <w:trPr>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23EE0C1A">
            <w:pPr>
              <w:widowControl/>
              <w:spacing w:line="360" w:lineRule="exact"/>
              <w:jc w:val="left"/>
              <w:rPr>
                <w:rFonts w:hint="eastAsia" w:ascii="宋体" w:hAnsi="宋体" w:eastAsia="宋体" w:cs="宋体"/>
                <w:color w:val="auto"/>
                <w:kern w:val="0"/>
                <w:szCs w:val="21"/>
                <w:highlight w:val="none"/>
              </w:rPr>
            </w:pPr>
          </w:p>
        </w:tc>
        <w:tc>
          <w:tcPr>
            <w:tcW w:w="136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CA03C15">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技术方案</w:t>
            </w:r>
          </w:p>
          <w:p w14:paraId="2CECD690">
            <w:pPr>
              <w:jc w:val="center"/>
              <w:rPr>
                <w:rFonts w:hint="eastAsia" w:ascii="宋体" w:hAnsi="宋体" w:eastAsia="宋体" w:cs="宋体"/>
                <w:color w:val="auto"/>
                <w:sz w:val="24"/>
                <w:szCs w:val="24"/>
                <w:highlight w:val="none"/>
                <w:lang w:val="en-US" w:eastAsia="zh-CN"/>
              </w:rPr>
            </w:pPr>
          </w:p>
        </w:tc>
        <w:tc>
          <w:tcPr>
            <w:tcW w:w="7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77649BA">
            <w:pPr>
              <w:spacing w:line="300" w:lineRule="exact"/>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lang w:val="en-US" w:eastAsia="zh-CN"/>
              </w:rPr>
              <w:t>80</w:t>
            </w:r>
            <w:r>
              <w:rPr>
                <w:rFonts w:hint="eastAsia" w:ascii="宋体" w:hAnsi="宋体" w:eastAsia="宋体" w:cs="宋体"/>
                <w:color w:val="auto"/>
                <w:highlight w:val="none"/>
              </w:rPr>
              <w:t>分</w:t>
            </w:r>
          </w:p>
        </w:tc>
        <w:tc>
          <w:tcPr>
            <w:tcW w:w="624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2863385">
            <w:pPr>
              <w:keepNext w:val="0"/>
              <w:keepLines w:val="0"/>
              <w:widowControl/>
              <w:suppressLineNumbers w:val="0"/>
              <w:jc w:val="left"/>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szCs w:val="21"/>
                <w:highlight w:val="none"/>
              </w:rPr>
              <w:t>针对本项目采购需求</w:t>
            </w:r>
            <w:r>
              <w:rPr>
                <w:rFonts w:hint="eastAsia" w:ascii="宋体" w:hAnsi="宋体" w:cs="宋体"/>
                <w:color w:val="auto"/>
                <w:szCs w:val="21"/>
                <w:highlight w:val="none"/>
                <w:lang w:val="en-US" w:eastAsia="zh-CN"/>
              </w:rPr>
              <w:t>提出</w:t>
            </w:r>
            <w:r>
              <w:rPr>
                <w:rFonts w:hint="eastAsia" w:ascii="宋体" w:hAnsi="宋体" w:cs="宋体"/>
                <w:color w:val="auto"/>
                <w:szCs w:val="21"/>
                <w:highlight w:val="none"/>
              </w:rPr>
              <w:t>技术方案，评标委员会对投标人的技术方案进行综合评价，方案包括但不限于：</w:t>
            </w:r>
            <w:r>
              <w:rPr>
                <w:rFonts w:hint="eastAsia" w:ascii="宋体" w:hAnsi="宋体" w:eastAsia="宋体" w:cs="宋体"/>
                <w:color w:val="auto"/>
                <w:szCs w:val="21"/>
                <w:highlight w:val="none"/>
              </w:rPr>
              <w:t>①</w:t>
            </w:r>
            <w:r>
              <w:rPr>
                <w:rFonts w:hint="eastAsia" w:ascii="宋体" w:hAnsi="宋体" w:eastAsia="宋体" w:cs="宋体"/>
                <w:color w:val="auto"/>
                <w:szCs w:val="21"/>
                <w:highlight w:val="none"/>
                <w:lang w:val="en-US" w:eastAsia="zh-CN"/>
              </w:rPr>
              <w:t>项目</w:t>
            </w:r>
            <w:r>
              <w:rPr>
                <w:rFonts w:hint="eastAsia" w:ascii="宋体" w:hAnsi="宋体" w:cs="宋体"/>
                <w:color w:val="auto"/>
                <w:szCs w:val="21"/>
                <w:highlight w:val="none"/>
                <w:lang w:val="en-US" w:eastAsia="zh-CN"/>
              </w:rPr>
              <w:t>调查</w:t>
            </w:r>
            <w:r>
              <w:rPr>
                <w:rFonts w:hint="eastAsia" w:ascii="宋体" w:hAnsi="宋体" w:eastAsia="宋体" w:cs="宋体"/>
                <w:color w:val="auto"/>
                <w:szCs w:val="21"/>
                <w:highlight w:val="none"/>
                <w:lang w:val="en-US" w:eastAsia="zh-CN"/>
              </w:rPr>
              <w:t>设计的技术方案规划</w:t>
            </w:r>
            <w:r>
              <w:rPr>
                <w:rFonts w:hint="eastAsia" w:ascii="宋体" w:hAnsi="宋体" w:eastAsia="宋体" w:cs="宋体"/>
                <w:color w:val="auto"/>
                <w:szCs w:val="21"/>
                <w:highlight w:val="none"/>
              </w:rPr>
              <w:t>；②项目</w:t>
            </w:r>
            <w:r>
              <w:rPr>
                <w:rFonts w:hint="eastAsia" w:ascii="宋体" w:hAnsi="宋体" w:cs="宋体"/>
                <w:color w:val="auto"/>
                <w:szCs w:val="21"/>
                <w:highlight w:val="none"/>
                <w:lang w:val="en-US" w:eastAsia="zh-CN"/>
              </w:rPr>
              <w:t>调查</w:t>
            </w:r>
            <w:r>
              <w:rPr>
                <w:rFonts w:hint="eastAsia" w:ascii="宋体" w:hAnsi="宋体" w:eastAsia="宋体" w:cs="宋体"/>
                <w:color w:val="auto"/>
                <w:szCs w:val="21"/>
                <w:highlight w:val="none"/>
                <w:lang w:val="en-US" w:eastAsia="zh-CN"/>
              </w:rPr>
              <w:t>设计</w:t>
            </w:r>
            <w:r>
              <w:rPr>
                <w:rFonts w:hint="eastAsia" w:ascii="宋体" w:hAnsi="宋体" w:eastAsia="宋体" w:cs="宋体"/>
                <w:color w:val="auto"/>
                <w:szCs w:val="21"/>
                <w:highlight w:val="none"/>
              </w:rPr>
              <w:t>的特点、关键技术问题的认识及其对策措施；③</w:t>
            </w:r>
            <w:r>
              <w:rPr>
                <w:rFonts w:hint="eastAsia" w:ascii="宋体" w:hAnsi="宋体" w:cs="宋体"/>
                <w:color w:val="auto"/>
                <w:szCs w:val="21"/>
                <w:highlight w:val="none"/>
                <w:lang w:val="en-US" w:eastAsia="zh-CN"/>
              </w:rPr>
              <w:t>调查</w:t>
            </w:r>
            <w:r>
              <w:rPr>
                <w:rFonts w:hint="eastAsia" w:ascii="宋体" w:hAnsi="宋体" w:eastAsia="宋体" w:cs="宋体"/>
                <w:color w:val="auto"/>
                <w:szCs w:val="21"/>
                <w:highlight w:val="none"/>
                <w:lang w:val="en-US" w:eastAsia="zh-CN"/>
              </w:rPr>
              <w:t>设计工作量及计划安排</w:t>
            </w:r>
            <w:r>
              <w:rPr>
                <w:rFonts w:hint="eastAsia" w:ascii="宋体" w:hAnsi="宋体" w:eastAsia="宋体" w:cs="宋体"/>
                <w:color w:val="auto"/>
                <w:szCs w:val="21"/>
                <w:highlight w:val="none"/>
              </w:rPr>
              <w:t>；④</w:t>
            </w:r>
            <w:r>
              <w:rPr>
                <w:rFonts w:hint="eastAsia" w:ascii="宋体" w:hAnsi="宋体" w:cs="宋体"/>
                <w:color w:val="auto"/>
                <w:szCs w:val="21"/>
                <w:highlight w:val="none"/>
                <w:lang w:val="en-US" w:eastAsia="zh-CN"/>
              </w:rPr>
              <w:t>调查</w:t>
            </w:r>
            <w:r>
              <w:rPr>
                <w:rFonts w:hint="eastAsia" w:ascii="宋体" w:hAnsi="宋体" w:eastAsia="宋体" w:cs="宋体"/>
                <w:color w:val="auto"/>
                <w:szCs w:val="21"/>
                <w:highlight w:val="none"/>
                <w:lang w:val="en-US" w:eastAsia="zh-CN"/>
              </w:rPr>
              <w:t>设计的质量保证措施、进度保证措施、安全保证措施</w:t>
            </w:r>
            <w:r>
              <w:rPr>
                <w:rFonts w:hint="eastAsia" w:ascii="宋体" w:hAnsi="宋体" w:eastAsia="宋体" w:cs="宋体"/>
                <w:color w:val="auto"/>
                <w:szCs w:val="21"/>
                <w:highlight w:val="none"/>
              </w:rPr>
              <w:t>等；</w:t>
            </w:r>
            <w:r>
              <w:rPr>
                <w:rFonts w:hint="eastAsia" w:ascii="宋体" w:hAnsi="宋体" w:cs="宋体"/>
                <w:color w:val="auto"/>
                <w:szCs w:val="21"/>
                <w:highlight w:val="none"/>
              </w:rPr>
              <w:t>上述小项方案具有针对性和可行性，内容完整合理满足采购需求要求的每项得</w:t>
            </w:r>
            <w:r>
              <w:rPr>
                <w:rFonts w:hint="eastAsia" w:ascii="宋体" w:hAnsi="宋体" w:cs="宋体"/>
                <w:color w:val="auto"/>
                <w:szCs w:val="21"/>
                <w:highlight w:val="none"/>
                <w:lang w:val="en-US" w:eastAsia="zh-CN"/>
              </w:rPr>
              <w:t>20</w:t>
            </w:r>
            <w:r>
              <w:rPr>
                <w:rFonts w:hint="eastAsia" w:ascii="宋体" w:hAnsi="宋体" w:cs="宋体"/>
                <w:color w:val="auto"/>
                <w:szCs w:val="21"/>
                <w:highlight w:val="none"/>
              </w:rPr>
              <w:t>分。存在一般缺陷的小项方案得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 (一般缺陷是指方案内容前后不一致</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前后逻辑错误</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内容有缺失，不影响项目的实施)。未提供或存在重大缺陷的小项方案不得分(重大缺陷是指方案凭空编造、与采购项目和采购需求无关，无法指导项目实施)</w:t>
            </w:r>
          </w:p>
        </w:tc>
      </w:tr>
      <w:tr w14:paraId="18BF4C72">
        <w:tblPrEx>
          <w:tblCellMar>
            <w:top w:w="0" w:type="dxa"/>
            <w:left w:w="0" w:type="dxa"/>
            <w:bottom w:w="0" w:type="dxa"/>
            <w:right w:w="0" w:type="dxa"/>
          </w:tblCellMar>
        </w:tblPrEx>
        <w:trPr>
          <w:jc w:val="center"/>
        </w:trPr>
        <w:tc>
          <w:tcPr>
            <w:tcW w:w="626" w:type="dxa"/>
            <w:vMerge w:val="restart"/>
            <w:tcBorders>
              <w:top w:val="single" w:color="000000" w:sz="6" w:space="0"/>
              <w:left w:val="single" w:color="000000" w:sz="6" w:space="0"/>
              <w:right w:val="single" w:color="000000" w:sz="6" w:space="0"/>
            </w:tcBorders>
            <w:tcMar>
              <w:top w:w="0" w:type="dxa"/>
              <w:left w:w="0" w:type="dxa"/>
              <w:bottom w:w="0" w:type="dxa"/>
              <w:right w:w="0" w:type="dxa"/>
            </w:tcMar>
            <w:vAlign w:val="center"/>
          </w:tcPr>
          <w:p w14:paraId="76AA3455">
            <w:pPr>
              <w:widowControl/>
              <w:spacing w:line="360" w:lineRule="exact"/>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商务部分</w:t>
            </w:r>
            <w:r>
              <w:rPr>
                <w:rFonts w:hint="eastAsia" w:ascii="宋体" w:hAnsi="宋体" w:eastAsia="宋体" w:cs="宋体"/>
                <w:color w:val="auto"/>
                <w:kern w:val="0"/>
                <w:szCs w:val="21"/>
                <w:highlight w:val="none"/>
                <w:lang w:val="en-US" w:eastAsia="zh-CN"/>
              </w:rPr>
              <w:t>100分</w:t>
            </w:r>
          </w:p>
        </w:tc>
        <w:tc>
          <w:tcPr>
            <w:tcW w:w="136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4E06122">
            <w:pPr>
              <w:jc w:val="center"/>
              <w:rPr>
                <w:rFonts w:hint="default" w:ascii="宋体" w:hAnsi="宋体" w:eastAsia="宋体" w:cs="宋体"/>
                <w:color w:val="auto"/>
                <w:kern w:val="2"/>
                <w:sz w:val="21"/>
                <w:szCs w:val="24"/>
                <w:highlight w:val="none"/>
                <w:lang w:val="en-US" w:eastAsia="zh-CN" w:bidi="ar-SA"/>
              </w:rPr>
            </w:pPr>
            <w:r>
              <w:rPr>
                <w:rFonts w:hint="eastAsia" w:ascii="宋体" w:hAnsi="宋体" w:cs="宋体"/>
                <w:color w:val="auto"/>
                <w:szCs w:val="21"/>
                <w:highlight w:val="none"/>
                <w:lang w:val="en-US" w:eastAsia="zh-CN"/>
              </w:rPr>
              <w:t>人员配置</w:t>
            </w:r>
          </w:p>
        </w:tc>
        <w:tc>
          <w:tcPr>
            <w:tcW w:w="7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42D4C2A">
            <w:pPr>
              <w:spacing w:line="276"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40</w:t>
            </w:r>
            <w:r>
              <w:rPr>
                <w:rFonts w:hint="eastAsia" w:ascii="宋体" w:hAnsi="宋体" w:eastAsia="宋体" w:cs="宋体"/>
                <w:color w:val="auto"/>
                <w:szCs w:val="21"/>
                <w:highlight w:val="none"/>
              </w:rPr>
              <w:t>分</w:t>
            </w:r>
          </w:p>
        </w:tc>
        <w:tc>
          <w:tcPr>
            <w:tcW w:w="624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37C2702">
            <w:pPr>
              <w:keepNext w:val="0"/>
              <w:keepLines w:val="0"/>
              <w:widowControl/>
              <w:numPr>
                <w:ilvl w:val="0"/>
                <w:numId w:val="0"/>
              </w:numPr>
              <w:suppressLineNumbers w:val="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Cs w:val="21"/>
                <w:highlight w:val="none"/>
                <w:lang w:val="en-US" w:eastAsia="zh-CN"/>
              </w:rPr>
              <w:t>本项目</w:t>
            </w:r>
            <w:r>
              <w:rPr>
                <w:rFonts w:hint="eastAsia" w:ascii="宋体" w:hAnsi="宋体" w:cs="宋体"/>
                <w:color w:val="auto"/>
                <w:szCs w:val="21"/>
                <w:highlight w:val="none"/>
                <w:lang w:val="en-US" w:eastAsia="zh-CN"/>
              </w:rPr>
              <w:t>项目</w:t>
            </w:r>
            <w:r>
              <w:rPr>
                <w:rFonts w:hint="eastAsia" w:ascii="宋体" w:hAnsi="宋体" w:eastAsia="宋体" w:cs="宋体"/>
                <w:color w:val="auto"/>
                <w:szCs w:val="21"/>
                <w:highlight w:val="none"/>
                <w:lang w:val="en-US" w:eastAsia="zh-CN"/>
              </w:rPr>
              <w:t>负责人（10分）具有</w:t>
            </w:r>
            <w:r>
              <w:rPr>
                <w:rFonts w:hint="eastAsia" w:ascii="宋体" w:hAnsi="宋体" w:cs="宋体"/>
                <w:color w:val="auto"/>
                <w:szCs w:val="21"/>
                <w:highlight w:val="none"/>
                <w:lang w:val="en-US" w:eastAsia="zh-CN"/>
              </w:rPr>
              <w:t>林业相关专业副</w:t>
            </w:r>
            <w:r>
              <w:rPr>
                <w:rFonts w:hint="eastAsia" w:ascii="宋体" w:hAnsi="宋体" w:eastAsia="宋体" w:cs="宋体"/>
                <w:color w:val="auto"/>
                <w:szCs w:val="21"/>
                <w:highlight w:val="none"/>
                <w:lang w:val="en-US" w:eastAsia="zh-CN"/>
              </w:rPr>
              <w:t>高级</w:t>
            </w:r>
            <w:r>
              <w:rPr>
                <w:rFonts w:hint="eastAsia" w:ascii="宋体" w:hAnsi="宋体" w:cs="宋体"/>
                <w:color w:val="auto"/>
                <w:szCs w:val="21"/>
                <w:highlight w:val="none"/>
                <w:lang w:val="en-US" w:eastAsia="zh-CN"/>
              </w:rPr>
              <w:t>及以上</w:t>
            </w:r>
            <w:r>
              <w:rPr>
                <w:rFonts w:hint="eastAsia" w:ascii="宋体" w:hAnsi="宋体" w:eastAsia="宋体" w:cs="宋体"/>
                <w:color w:val="auto"/>
                <w:szCs w:val="21"/>
                <w:highlight w:val="none"/>
                <w:lang w:val="en-US" w:eastAsia="zh-CN"/>
              </w:rPr>
              <w:t>职称</w:t>
            </w:r>
            <w:r>
              <w:rPr>
                <w:rFonts w:hint="eastAsia" w:ascii="宋体" w:hAnsi="宋体" w:cs="宋体"/>
                <w:color w:val="auto"/>
                <w:szCs w:val="21"/>
                <w:highlight w:val="none"/>
                <w:lang w:val="en-US" w:eastAsia="zh-CN"/>
              </w:rPr>
              <w:t>10分，</w:t>
            </w:r>
            <w:r>
              <w:rPr>
                <w:rFonts w:hint="eastAsia" w:ascii="宋体" w:hAnsi="宋体" w:eastAsia="宋体" w:cs="宋体"/>
                <w:color w:val="auto"/>
                <w:szCs w:val="21"/>
                <w:highlight w:val="none"/>
                <w:lang w:val="en-US" w:eastAsia="zh-CN"/>
              </w:rPr>
              <w:t>具有</w:t>
            </w:r>
            <w:r>
              <w:rPr>
                <w:rFonts w:hint="eastAsia" w:ascii="宋体" w:hAnsi="宋体" w:cs="宋体"/>
                <w:color w:val="auto"/>
                <w:szCs w:val="21"/>
                <w:highlight w:val="none"/>
                <w:lang w:val="en-US" w:eastAsia="zh-CN"/>
              </w:rPr>
              <w:t>林业相关专业中</w:t>
            </w:r>
            <w:r>
              <w:rPr>
                <w:rFonts w:hint="eastAsia" w:ascii="宋体" w:hAnsi="宋体" w:eastAsia="宋体" w:cs="宋体"/>
                <w:color w:val="auto"/>
                <w:szCs w:val="21"/>
                <w:highlight w:val="none"/>
                <w:lang w:val="en-US" w:eastAsia="zh-CN"/>
              </w:rPr>
              <w:t>级</w:t>
            </w:r>
            <w:r>
              <w:rPr>
                <w:rFonts w:hint="eastAsia" w:ascii="宋体" w:hAnsi="宋体" w:cs="宋体"/>
                <w:color w:val="auto"/>
                <w:szCs w:val="21"/>
                <w:highlight w:val="none"/>
                <w:lang w:val="en-US" w:eastAsia="zh-CN"/>
              </w:rPr>
              <w:t>及以上</w:t>
            </w:r>
            <w:r>
              <w:rPr>
                <w:rFonts w:hint="eastAsia" w:ascii="宋体" w:hAnsi="宋体" w:eastAsia="宋体" w:cs="宋体"/>
                <w:color w:val="auto"/>
                <w:szCs w:val="21"/>
                <w:highlight w:val="none"/>
                <w:lang w:val="en-US" w:eastAsia="zh-CN"/>
              </w:rPr>
              <w:t>职称</w:t>
            </w:r>
            <w:r>
              <w:rPr>
                <w:rFonts w:hint="eastAsia" w:ascii="宋体" w:hAnsi="宋体" w:cs="宋体"/>
                <w:color w:val="auto"/>
                <w:szCs w:val="21"/>
                <w:highlight w:val="none"/>
                <w:lang w:val="en-US" w:eastAsia="zh-CN"/>
              </w:rPr>
              <w:t>的计5分，</w:t>
            </w:r>
            <w:r>
              <w:rPr>
                <w:rFonts w:hint="default" w:ascii="宋体" w:hAnsi="宋体" w:eastAsia="宋体" w:cs="宋体"/>
                <w:color w:val="auto"/>
                <w:szCs w:val="21"/>
                <w:highlight w:val="none"/>
                <w:lang w:val="en-US" w:eastAsia="zh-CN"/>
              </w:rPr>
              <w:t>未提供的不计分</w:t>
            </w:r>
            <w:r>
              <w:rPr>
                <w:rFonts w:hint="eastAsia" w:ascii="宋体" w:hAnsi="宋体" w:eastAsia="宋体" w:cs="宋体"/>
                <w:color w:val="auto"/>
                <w:szCs w:val="21"/>
                <w:highlight w:val="none"/>
                <w:lang w:val="en-US" w:eastAsia="zh-CN"/>
              </w:rPr>
              <w:t>。</w:t>
            </w:r>
          </w:p>
          <w:p w14:paraId="509E2460">
            <w:pPr>
              <w:keepNext w:val="0"/>
              <w:keepLines w:val="0"/>
              <w:widowControl/>
              <w:numPr>
                <w:ilvl w:val="0"/>
                <w:numId w:val="0"/>
              </w:numPr>
              <w:suppressLineNumbers w:val="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szCs w:val="21"/>
                <w:highlight w:val="none"/>
                <w:lang w:val="en-US" w:eastAsia="zh-CN"/>
              </w:rPr>
              <w:t>本项目</w:t>
            </w:r>
            <w:r>
              <w:rPr>
                <w:rFonts w:hint="eastAsia" w:ascii="宋体" w:hAnsi="宋体" w:cs="宋体"/>
                <w:color w:val="auto"/>
                <w:szCs w:val="21"/>
                <w:highlight w:val="none"/>
                <w:lang w:val="en-US" w:eastAsia="zh-CN"/>
              </w:rPr>
              <w:t>技术</w:t>
            </w:r>
            <w:r>
              <w:rPr>
                <w:rFonts w:hint="eastAsia" w:ascii="宋体" w:hAnsi="宋体" w:eastAsia="宋体" w:cs="宋体"/>
                <w:color w:val="auto"/>
                <w:szCs w:val="21"/>
                <w:highlight w:val="none"/>
                <w:lang w:val="en-US" w:eastAsia="zh-CN"/>
              </w:rPr>
              <w:t>负责人（</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lang w:val="en-US" w:eastAsia="zh-CN"/>
              </w:rPr>
              <w:t>分）具有</w:t>
            </w:r>
            <w:r>
              <w:rPr>
                <w:rFonts w:hint="eastAsia" w:ascii="宋体" w:hAnsi="宋体" w:cs="宋体"/>
                <w:color w:val="auto"/>
                <w:szCs w:val="21"/>
                <w:highlight w:val="none"/>
                <w:lang w:val="en-US" w:eastAsia="zh-CN"/>
              </w:rPr>
              <w:t>林业相关专业副高及以上</w:t>
            </w:r>
            <w:r>
              <w:rPr>
                <w:rFonts w:hint="eastAsia" w:ascii="宋体" w:hAnsi="宋体" w:eastAsia="宋体" w:cs="宋体"/>
                <w:color w:val="auto"/>
                <w:szCs w:val="21"/>
                <w:highlight w:val="none"/>
                <w:lang w:val="en-US" w:eastAsia="zh-CN"/>
              </w:rPr>
              <w:t>职称</w:t>
            </w:r>
            <w:r>
              <w:rPr>
                <w:rFonts w:hint="eastAsia" w:ascii="宋体" w:hAnsi="宋体" w:cs="宋体"/>
                <w:color w:val="auto"/>
                <w:szCs w:val="21"/>
                <w:highlight w:val="none"/>
                <w:lang w:val="en-US" w:eastAsia="zh-CN"/>
              </w:rPr>
              <w:t>的计10分，</w:t>
            </w:r>
            <w:r>
              <w:rPr>
                <w:rFonts w:hint="eastAsia" w:ascii="宋体" w:hAnsi="宋体" w:eastAsia="宋体" w:cs="宋体"/>
                <w:color w:val="auto"/>
                <w:szCs w:val="21"/>
                <w:highlight w:val="none"/>
                <w:lang w:val="en-US" w:eastAsia="zh-CN"/>
              </w:rPr>
              <w:t>具有</w:t>
            </w:r>
            <w:r>
              <w:rPr>
                <w:rFonts w:hint="eastAsia" w:ascii="宋体" w:hAnsi="宋体" w:cs="宋体"/>
                <w:color w:val="auto"/>
                <w:szCs w:val="21"/>
                <w:highlight w:val="none"/>
                <w:lang w:val="en-US" w:eastAsia="zh-CN"/>
              </w:rPr>
              <w:t>林业相关专业中</w:t>
            </w:r>
            <w:r>
              <w:rPr>
                <w:rFonts w:hint="eastAsia" w:ascii="宋体" w:hAnsi="宋体" w:eastAsia="宋体" w:cs="宋体"/>
                <w:color w:val="auto"/>
                <w:szCs w:val="21"/>
                <w:highlight w:val="none"/>
                <w:lang w:val="en-US" w:eastAsia="zh-CN"/>
              </w:rPr>
              <w:t>级</w:t>
            </w:r>
            <w:r>
              <w:rPr>
                <w:rFonts w:hint="eastAsia" w:ascii="宋体" w:hAnsi="宋体" w:cs="宋体"/>
                <w:color w:val="auto"/>
                <w:szCs w:val="21"/>
                <w:highlight w:val="none"/>
                <w:lang w:val="en-US" w:eastAsia="zh-CN"/>
              </w:rPr>
              <w:t>及以上</w:t>
            </w:r>
            <w:r>
              <w:rPr>
                <w:rFonts w:hint="eastAsia" w:ascii="宋体" w:hAnsi="宋体" w:eastAsia="宋体" w:cs="宋体"/>
                <w:color w:val="auto"/>
                <w:szCs w:val="21"/>
                <w:highlight w:val="none"/>
                <w:lang w:val="en-US" w:eastAsia="zh-CN"/>
              </w:rPr>
              <w:t>职称</w:t>
            </w:r>
            <w:r>
              <w:rPr>
                <w:rFonts w:hint="eastAsia" w:ascii="宋体" w:hAnsi="宋体" w:cs="宋体"/>
                <w:color w:val="auto"/>
                <w:szCs w:val="21"/>
                <w:highlight w:val="none"/>
                <w:lang w:val="en-US" w:eastAsia="zh-CN"/>
              </w:rPr>
              <w:t>的计5分，</w:t>
            </w:r>
            <w:r>
              <w:rPr>
                <w:rFonts w:hint="default" w:ascii="宋体" w:hAnsi="宋体" w:eastAsia="宋体" w:cs="宋体"/>
                <w:color w:val="auto"/>
                <w:szCs w:val="21"/>
                <w:highlight w:val="none"/>
                <w:lang w:val="en-US" w:eastAsia="zh-CN"/>
              </w:rPr>
              <w:t>未提供的不计分</w:t>
            </w:r>
            <w:r>
              <w:rPr>
                <w:rFonts w:hint="eastAsia" w:ascii="宋体" w:hAnsi="宋体" w:eastAsia="宋体" w:cs="宋体"/>
                <w:color w:val="auto"/>
                <w:szCs w:val="21"/>
                <w:highlight w:val="none"/>
                <w:lang w:val="en-US" w:eastAsia="zh-CN"/>
              </w:rPr>
              <w:t>。</w:t>
            </w:r>
          </w:p>
          <w:p w14:paraId="3F68228A">
            <w:pPr>
              <w:keepNext w:val="0"/>
              <w:keepLines w:val="0"/>
              <w:widowControl/>
              <w:suppressLineNumbers w:val="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、本项目</w:t>
            </w:r>
            <w:r>
              <w:rPr>
                <w:rFonts w:hint="default"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lang w:val="en-US" w:eastAsia="zh-CN"/>
              </w:rPr>
              <w:t>组</w:t>
            </w:r>
            <w:r>
              <w:rPr>
                <w:rFonts w:hint="default" w:ascii="宋体" w:hAnsi="宋体" w:eastAsia="宋体" w:cs="宋体"/>
                <w:color w:val="auto"/>
                <w:szCs w:val="21"/>
                <w:highlight w:val="none"/>
                <w:lang w:val="en-US" w:eastAsia="zh-CN"/>
              </w:rPr>
              <w:t>成员（</w:t>
            </w:r>
            <w:r>
              <w:rPr>
                <w:rFonts w:hint="eastAsia" w:ascii="宋体" w:hAnsi="宋体" w:cs="宋体"/>
                <w:color w:val="auto"/>
                <w:szCs w:val="21"/>
                <w:highlight w:val="none"/>
                <w:lang w:val="en-US" w:eastAsia="zh-CN"/>
              </w:rPr>
              <w:t>20</w:t>
            </w:r>
            <w:r>
              <w:rPr>
                <w:rFonts w:hint="default" w:ascii="宋体" w:hAnsi="宋体" w:eastAsia="宋体" w:cs="宋体"/>
                <w:color w:val="auto"/>
                <w:szCs w:val="21"/>
                <w:highlight w:val="none"/>
                <w:lang w:val="en-US" w:eastAsia="zh-CN"/>
              </w:rPr>
              <w:t>分）基础要求：项目</w:t>
            </w:r>
            <w:r>
              <w:rPr>
                <w:rFonts w:hint="eastAsia" w:ascii="宋体" w:hAnsi="宋体" w:eastAsia="宋体" w:cs="宋体"/>
                <w:color w:val="auto"/>
                <w:szCs w:val="21"/>
                <w:highlight w:val="none"/>
                <w:lang w:val="en-US" w:eastAsia="zh-CN"/>
              </w:rPr>
              <w:t>组</w:t>
            </w:r>
            <w:r>
              <w:rPr>
                <w:rFonts w:hint="default" w:ascii="宋体" w:hAnsi="宋体" w:eastAsia="宋体" w:cs="宋体"/>
                <w:color w:val="auto"/>
                <w:szCs w:val="21"/>
                <w:highlight w:val="none"/>
                <w:lang w:val="en-US" w:eastAsia="zh-CN"/>
              </w:rPr>
              <w:t>成员总人数 ≥10人，其中至少5</w:t>
            </w:r>
            <w:r>
              <w:rPr>
                <w:rFonts w:hint="eastAsia" w:ascii="宋体" w:hAnsi="宋体" w:cs="宋体"/>
                <w:color w:val="auto"/>
                <w:szCs w:val="21"/>
                <w:highlight w:val="none"/>
                <w:lang w:val="en-US" w:eastAsia="zh-CN"/>
              </w:rPr>
              <w:t>名（含5名）</w:t>
            </w:r>
            <w:r>
              <w:rPr>
                <w:rFonts w:hint="default" w:ascii="宋体" w:hAnsi="宋体" w:eastAsia="宋体" w:cs="宋体"/>
                <w:color w:val="auto"/>
                <w:szCs w:val="21"/>
                <w:highlight w:val="none"/>
                <w:lang w:val="en-US" w:eastAsia="zh-CN"/>
              </w:rPr>
              <w:t>为</w:t>
            </w:r>
            <w:r>
              <w:rPr>
                <w:rFonts w:hint="eastAsia" w:ascii="宋体" w:hAnsi="宋体" w:cs="宋体"/>
                <w:color w:val="auto"/>
                <w:szCs w:val="21"/>
                <w:highlight w:val="none"/>
                <w:lang w:val="en-US" w:eastAsia="zh-CN"/>
              </w:rPr>
              <w:t>林业</w:t>
            </w:r>
            <w:r>
              <w:rPr>
                <w:rFonts w:hint="default" w:ascii="宋体" w:hAnsi="宋体" w:eastAsia="宋体" w:cs="宋体"/>
                <w:color w:val="auto"/>
                <w:szCs w:val="21"/>
                <w:highlight w:val="none"/>
                <w:lang w:val="en-US" w:eastAsia="zh-CN"/>
              </w:rPr>
              <w:t>相关专业中级及以上职称成员，满足此条件得 10分；不满足项目</w:t>
            </w:r>
            <w:r>
              <w:rPr>
                <w:rFonts w:hint="eastAsia" w:ascii="宋体" w:hAnsi="宋体" w:eastAsia="宋体" w:cs="宋体"/>
                <w:color w:val="auto"/>
                <w:szCs w:val="21"/>
                <w:highlight w:val="none"/>
                <w:lang w:val="en-US" w:eastAsia="zh-CN"/>
              </w:rPr>
              <w:t>组</w:t>
            </w:r>
            <w:r>
              <w:rPr>
                <w:rFonts w:hint="default" w:ascii="宋体" w:hAnsi="宋体" w:eastAsia="宋体" w:cs="宋体"/>
                <w:color w:val="auto"/>
                <w:szCs w:val="21"/>
                <w:highlight w:val="none"/>
                <w:lang w:val="en-US" w:eastAsia="zh-CN"/>
              </w:rPr>
              <w:t>成员（＜10人）或</w:t>
            </w:r>
            <w:r>
              <w:rPr>
                <w:rFonts w:hint="eastAsia" w:ascii="宋体" w:hAnsi="宋体" w:cs="宋体"/>
                <w:color w:val="auto"/>
                <w:szCs w:val="21"/>
                <w:highlight w:val="none"/>
                <w:lang w:val="en-US" w:eastAsia="zh-CN"/>
              </w:rPr>
              <w:t>林业</w:t>
            </w:r>
            <w:r>
              <w:rPr>
                <w:rFonts w:hint="default" w:ascii="宋体" w:hAnsi="宋体" w:eastAsia="宋体" w:cs="宋体"/>
                <w:color w:val="auto"/>
                <w:szCs w:val="21"/>
                <w:highlight w:val="none"/>
                <w:lang w:val="en-US" w:eastAsia="zh-CN"/>
              </w:rPr>
              <w:t>相关专业中级及以上职称人数不足（＜5人），本项得 0分。在满足基础要求的前提下</w:t>
            </w:r>
            <w:r>
              <w:rPr>
                <w:rFonts w:hint="eastAsia" w:ascii="宋体" w:hAnsi="宋体" w:cs="宋体"/>
                <w:color w:val="auto"/>
                <w:szCs w:val="21"/>
                <w:highlight w:val="none"/>
                <w:lang w:val="en-US" w:eastAsia="zh-CN"/>
              </w:rPr>
              <w:t>，</w:t>
            </w:r>
            <w:r>
              <w:rPr>
                <w:rFonts w:hint="default" w:ascii="宋体" w:hAnsi="宋体" w:eastAsia="宋体" w:cs="宋体"/>
                <w:color w:val="auto"/>
                <w:szCs w:val="21"/>
                <w:highlight w:val="none"/>
                <w:lang w:val="en-US" w:eastAsia="zh-CN"/>
              </w:rPr>
              <w:t>每增加1名</w:t>
            </w:r>
            <w:r>
              <w:rPr>
                <w:rFonts w:hint="eastAsia" w:ascii="宋体" w:hAnsi="宋体" w:cs="宋体"/>
                <w:color w:val="auto"/>
                <w:szCs w:val="21"/>
                <w:highlight w:val="none"/>
                <w:lang w:val="en-US" w:eastAsia="zh-CN"/>
              </w:rPr>
              <w:t>林业</w:t>
            </w:r>
            <w:r>
              <w:rPr>
                <w:rFonts w:hint="default" w:ascii="宋体" w:hAnsi="宋体" w:eastAsia="宋体" w:cs="宋体"/>
                <w:color w:val="auto"/>
                <w:szCs w:val="21"/>
                <w:highlight w:val="none"/>
                <w:lang w:val="en-US" w:eastAsia="zh-CN"/>
              </w:rPr>
              <w:t>相关专业中级及以上职称成员，加2分；每</w:t>
            </w:r>
            <w:r>
              <w:rPr>
                <w:rFonts w:hint="eastAsia" w:ascii="宋体" w:hAnsi="宋体" w:cs="宋体"/>
                <w:color w:val="auto"/>
                <w:szCs w:val="21"/>
                <w:highlight w:val="none"/>
                <w:lang w:val="en-US" w:eastAsia="zh-CN"/>
              </w:rPr>
              <w:t>增加</w:t>
            </w:r>
            <w:r>
              <w:rPr>
                <w:rFonts w:hint="default" w:ascii="宋体" w:hAnsi="宋体" w:eastAsia="宋体" w:cs="宋体"/>
                <w:color w:val="auto"/>
                <w:szCs w:val="21"/>
                <w:highlight w:val="none"/>
                <w:lang w:val="en-US" w:eastAsia="zh-CN"/>
              </w:rPr>
              <w:t>1名</w:t>
            </w:r>
            <w:r>
              <w:rPr>
                <w:rFonts w:hint="eastAsia" w:ascii="宋体" w:hAnsi="宋体" w:cs="宋体"/>
                <w:color w:val="auto"/>
                <w:szCs w:val="21"/>
                <w:highlight w:val="none"/>
                <w:lang w:val="en-US" w:eastAsia="zh-CN"/>
              </w:rPr>
              <w:t>林业</w:t>
            </w:r>
            <w:r>
              <w:rPr>
                <w:rFonts w:hint="default" w:ascii="宋体" w:hAnsi="宋体" w:eastAsia="宋体" w:cs="宋体"/>
                <w:color w:val="auto"/>
                <w:szCs w:val="21"/>
                <w:highlight w:val="none"/>
                <w:lang w:val="en-US" w:eastAsia="zh-CN"/>
              </w:rPr>
              <w:t>相关专业初级及以上职称成员，加1分；本项最高累计不超过20分。</w:t>
            </w:r>
          </w:p>
          <w:p w14:paraId="4E592E47">
            <w:pPr>
              <w:keepNext w:val="0"/>
              <w:keepLines w:val="0"/>
              <w:widowControl/>
              <w:suppressLineNumbers w:val="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注：</w:t>
            </w:r>
            <w:r>
              <w:rPr>
                <w:rFonts w:hint="eastAsia" w:ascii="宋体" w:hAnsi="宋体" w:cs="宋体"/>
                <w:color w:val="auto"/>
                <w:szCs w:val="21"/>
                <w:highlight w:val="none"/>
                <w:lang w:val="en-US" w:eastAsia="zh-CN"/>
              </w:rPr>
              <w:t>项目</w:t>
            </w:r>
            <w:r>
              <w:rPr>
                <w:rFonts w:hint="eastAsia" w:ascii="宋体" w:hAnsi="宋体" w:eastAsia="宋体" w:cs="宋体"/>
                <w:color w:val="auto"/>
                <w:szCs w:val="21"/>
                <w:highlight w:val="none"/>
                <w:lang w:val="en-US" w:eastAsia="zh-CN"/>
              </w:rPr>
              <w:t>负责人</w:t>
            </w:r>
            <w:r>
              <w:rPr>
                <w:rFonts w:hint="eastAsia" w:ascii="宋体" w:hAnsi="宋体" w:cs="宋体"/>
                <w:color w:val="auto"/>
                <w:szCs w:val="21"/>
                <w:highlight w:val="none"/>
                <w:lang w:val="en-US" w:eastAsia="zh-CN"/>
              </w:rPr>
              <w:t>、</w:t>
            </w:r>
            <w:r>
              <w:rPr>
                <w:rFonts w:hint="default" w:ascii="宋体" w:hAnsi="宋体" w:eastAsia="宋体" w:cs="宋体"/>
                <w:color w:val="auto"/>
                <w:szCs w:val="21"/>
                <w:highlight w:val="none"/>
                <w:lang w:val="en-US" w:eastAsia="zh-CN"/>
              </w:rPr>
              <w:t>技术负责人、</w:t>
            </w:r>
            <w:r>
              <w:rPr>
                <w:rFonts w:hint="eastAsia" w:ascii="宋体" w:hAnsi="宋体" w:eastAsia="宋体" w:cs="宋体"/>
                <w:color w:val="auto"/>
                <w:szCs w:val="21"/>
                <w:highlight w:val="none"/>
                <w:lang w:val="en-US" w:eastAsia="zh-CN"/>
              </w:rPr>
              <w:t>项目组成员</w:t>
            </w:r>
            <w:r>
              <w:rPr>
                <w:rFonts w:hint="default" w:ascii="宋体" w:hAnsi="宋体" w:eastAsia="宋体" w:cs="宋体"/>
                <w:color w:val="auto"/>
                <w:szCs w:val="21"/>
                <w:highlight w:val="none"/>
                <w:lang w:val="en-US" w:eastAsia="zh-CN"/>
              </w:rPr>
              <w:t>不计入</w:t>
            </w:r>
            <w:r>
              <w:rPr>
                <w:rFonts w:hint="eastAsia" w:ascii="宋体" w:hAnsi="宋体" w:cs="宋体"/>
                <w:color w:val="auto"/>
                <w:szCs w:val="21"/>
                <w:highlight w:val="none"/>
                <w:lang w:val="en-US" w:eastAsia="zh-CN"/>
              </w:rPr>
              <w:t>人员配置</w:t>
            </w:r>
            <w:r>
              <w:rPr>
                <w:rFonts w:hint="default" w:ascii="宋体" w:hAnsi="宋体" w:eastAsia="宋体" w:cs="宋体"/>
                <w:color w:val="auto"/>
                <w:szCs w:val="21"/>
                <w:highlight w:val="none"/>
                <w:lang w:val="en-US" w:eastAsia="zh-CN"/>
              </w:rPr>
              <w:t>重复得分。</w:t>
            </w:r>
          </w:p>
          <w:p w14:paraId="59A5A120">
            <w:pPr>
              <w:keepNext w:val="0"/>
              <w:keepLines w:val="0"/>
              <w:widowControl/>
              <w:suppressLineNumbers w:val="0"/>
              <w:jc w:val="left"/>
              <w:rPr>
                <w:rFonts w:hint="default" w:ascii="宋体" w:hAnsi="宋体" w:cs="宋体"/>
                <w:color w:val="auto"/>
                <w:kern w:val="2"/>
                <w:sz w:val="21"/>
                <w:szCs w:val="21"/>
                <w:highlight w:val="none"/>
                <w:lang w:val="en-US" w:eastAsia="zh-CN" w:bidi="ar-SA"/>
              </w:rPr>
            </w:pPr>
            <w:r>
              <w:rPr>
                <w:rFonts w:hint="default" w:ascii="宋体" w:hAnsi="宋体" w:eastAsia="宋体" w:cs="宋体"/>
                <w:color w:val="auto"/>
                <w:szCs w:val="21"/>
                <w:highlight w:val="none"/>
                <w:lang w:val="en-US" w:eastAsia="zh-CN"/>
              </w:rPr>
              <w:t>（提供团队名单</w:t>
            </w:r>
            <w:r>
              <w:rPr>
                <w:rFonts w:hint="eastAsia" w:ascii="宋体" w:hAnsi="宋体" w:cs="宋体"/>
                <w:color w:val="auto"/>
                <w:szCs w:val="21"/>
                <w:highlight w:val="none"/>
                <w:lang w:val="en-US" w:eastAsia="zh-CN"/>
              </w:rPr>
              <w:t>，</w:t>
            </w:r>
            <w:r>
              <w:rPr>
                <w:rFonts w:hint="default" w:ascii="宋体" w:hAnsi="宋体" w:eastAsia="宋体" w:cs="宋体"/>
                <w:color w:val="auto"/>
                <w:szCs w:val="21"/>
                <w:highlight w:val="none"/>
                <w:lang w:val="en-US" w:eastAsia="zh-CN"/>
              </w:rPr>
              <w:t>表</w:t>
            </w:r>
            <w:r>
              <w:rPr>
                <w:rFonts w:hint="eastAsia" w:ascii="宋体" w:hAnsi="宋体" w:eastAsia="宋体" w:cs="宋体"/>
                <w:color w:val="auto"/>
                <w:szCs w:val="21"/>
                <w:highlight w:val="none"/>
                <w:lang w:val="en-US" w:eastAsia="zh-CN"/>
              </w:rPr>
              <w:t>格式自拟</w:t>
            </w:r>
            <w:r>
              <w:rPr>
                <w:rFonts w:hint="default" w:ascii="宋体" w:hAnsi="宋体" w:eastAsia="宋体" w:cs="宋体"/>
                <w:color w:val="auto"/>
                <w:szCs w:val="21"/>
                <w:highlight w:val="none"/>
                <w:lang w:val="en-US" w:eastAsia="zh-CN"/>
              </w:rPr>
              <w:t>（明确分工且均为本单位在职人员）、加盖单位公章的职称证书复印件以及投标人本单位为其缴纳的社保证明材料，缴纳期限为</w:t>
            </w:r>
            <w:r>
              <w:rPr>
                <w:rFonts w:ascii="宋体" w:hAnsi="宋体" w:eastAsia="宋体" w:cs="宋体"/>
                <w:color w:val="auto"/>
                <w:highlight w:val="none"/>
              </w:rPr>
              <w:t>开标截止日前</w:t>
            </w:r>
            <w:r>
              <w:rPr>
                <w:rFonts w:hint="default" w:ascii="宋体" w:hAnsi="宋体" w:eastAsia="宋体" w:cs="宋体"/>
                <w:color w:val="auto"/>
                <w:szCs w:val="21"/>
                <w:highlight w:val="none"/>
                <w:lang w:val="en-US" w:eastAsia="zh-CN"/>
              </w:rPr>
              <w:t>近三个月的社保缴纳证明，否则不得分。）</w:t>
            </w:r>
          </w:p>
        </w:tc>
      </w:tr>
      <w:tr w14:paraId="0D82A077">
        <w:tblPrEx>
          <w:tblCellMar>
            <w:top w:w="0" w:type="dxa"/>
            <w:left w:w="0" w:type="dxa"/>
            <w:bottom w:w="0" w:type="dxa"/>
            <w:right w:w="0" w:type="dxa"/>
          </w:tblCellMar>
        </w:tblPrEx>
        <w:trPr>
          <w:jc w:val="center"/>
        </w:trPr>
        <w:tc>
          <w:tcPr>
            <w:tcW w:w="626" w:type="dxa"/>
            <w:vMerge w:val="continue"/>
            <w:tcBorders>
              <w:left w:val="single" w:color="000000" w:sz="6" w:space="0"/>
              <w:right w:val="single" w:color="000000" w:sz="6" w:space="0"/>
            </w:tcBorders>
            <w:tcMar>
              <w:top w:w="0" w:type="dxa"/>
              <w:left w:w="0" w:type="dxa"/>
              <w:bottom w:w="0" w:type="dxa"/>
              <w:right w:w="0" w:type="dxa"/>
            </w:tcMar>
            <w:vAlign w:val="center"/>
          </w:tcPr>
          <w:p w14:paraId="764EDCD5">
            <w:pPr>
              <w:widowControl/>
              <w:spacing w:line="360" w:lineRule="exact"/>
              <w:jc w:val="left"/>
              <w:rPr>
                <w:rFonts w:hint="eastAsia" w:ascii="宋体" w:hAnsi="宋体" w:eastAsia="宋体" w:cs="宋体"/>
                <w:color w:val="auto"/>
                <w:kern w:val="0"/>
                <w:szCs w:val="21"/>
                <w:highlight w:val="none"/>
              </w:rPr>
            </w:pPr>
          </w:p>
        </w:tc>
        <w:tc>
          <w:tcPr>
            <w:tcW w:w="136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1A2FA6D">
            <w:pPr>
              <w:jc w:val="center"/>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en-US"/>
              </w:rPr>
              <w:t>设备保障</w:t>
            </w:r>
          </w:p>
        </w:tc>
        <w:tc>
          <w:tcPr>
            <w:tcW w:w="7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C0D2B4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 w:val="21"/>
                <w:szCs w:val="21"/>
                <w:highlight w:val="none"/>
                <w:lang w:val="en-US" w:eastAsia="en-US"/>
              </w:rPr>
            </w:pPr>
          </w:p>
          <w:p w14:paraId="260C04F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en-US"/>
              </w:rPr>
              <w:t>分</w:t>
            </w:r>
          </w:p>
        </w:tc>
        <w:tc>
          <w:tcPr>
            <w:tcW w:w="624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top"/>
          </w:tcPr>
          <w:p w14:paraId="051A7065">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供应商拟投入</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en-US"/>
              </w:rPr>
              <w:t>台及以上</w:t>
            </w:r>
            <w:r>
              <w:rPr>
                <w:rFonts w:hint="eastAsia" w:ascii="宋体" w:hAnsi="宋体" w:cs="宋体"/>
                <w:color w:val="auto"/>
                <w:sz w:val="21"/>
                <w:szCs w:val="21"/>
                <w:highlight w:val="none"/>
                <w:lang w:val="en-US" w:eastAsia="zh-CN"/>
              </w:rPr>
              <w:t>RTK或GPS</w:t>
            </w:r>
            <w:r>
              <w:rPr>
                <w:rFonts w:hint="eastAsia" w:ascii="宋体" w:hAnsi="宋体" w:eastAsia="宋体" w:cs="宋体"/>
                <w:color w:val="auto"/>
                <w:sz w:val="21"/>
                <w:szCs w:val="21"/>
                <w:highlight w:val="none"/>
                <w:lang w:val="en-US" w:eastAsia="en-US"/>
              </w:rPr>
              <w:t>的计</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en-US"/>
              </w:rPr>
              <w:t>分；供应商拟投入</w:t>
            </w:r>
            <w:r>
              <w:rPr>
                <w:rFonts w:hint="eastAsia" w:ascii="宋体" w:hAnsi="宋体" w:cs="宋体"/>
                <w:color w:val="auto"/>
                <w:sz w:val="21"/>
                <w:szCs w:val="21"/>
                <w:highlight w:val="none"/>
                <w:lang w:val="en-US" w:eastAsia="zh-CN"/>
              </w:rPr>
              <w:t>9台-5</w:t>
            </w:r>
            <w:r>
              <w:rPr>
                <w:rFonts w:hint="eastAsia" w:ascii="宋体" w:hAnsi="宋体" w:eastAsia="宋体" w:cs="宋体"/>
                <w:color w:val="auto"/>
                <w:sz w:val="21"/>
                <w:szCs w:val="21"/>
                <w:highlight w:val="none"/>
                <w:lang w:val="en-US" w:eastAsia="en-US"/>
              </w:rPr>
              <w:t>台</w:t>
            </w:r>
            <w:r>
              <w:rPr>
                <w:rFonts w:hint="eastAsia" w:ascii="宋体" w:hAnsi="宋体" w:cs="宋体"/>
                <w:color w:val="auto"/>
                <w:sz w:val="21"/>
                <w:szCs w:val="21"/>
                <w:highlight w:val="none"/>
                <w:lang w:val="en-US" w:eastAsia="zh-CN"/>
              </w:rPr>
              <w:t>（含5台）</w:t>
            </w:r>
            <w:r>
              <w:rPr>
                <w:rFonts w:hint="eastAsia" w:ascii="宋体" w:hAnsi="宋体" w:eastAsia="宋体" w:cs="宋体"/>
                <w:color w:val="auto"/>
                <w:sz w:val="21"/>
                <w:szCs w:val="21"/>
                <w:highlight w:val="none"/>
                <w:lang w:val="en-US" w:eastAsia="en-US"/>
              </w:rPr>
              <w:t>的</w:t>
            </w:r>
            <w:r>
              <w:rPr>
                <w:rFonts w:hint="eastAsia" w:ascii="宋体" w:hAnsi="宋体" w:cs="宋体"/>
                <w:color w:val="auto"/>
                <w:sz w:val="21"/>
                <w:szCs w:val="21"/>
                <w:highlight w:val="none"/>
                <w:lang w:val="en-US" w:eastAsia="zh-CN"/>
              </w:rPr>
              <w:t>RTK或GPS</w:t>
            </w:r>
            <w:r>
              <w:rPr>
                <w:rFonts w:hint="eastAsia" w:ascii="宋体" w:hAnsi="宋体" w:eastAsia="宋体" w:cs="宋体"/>
                <w:color w:val="auto"/>
                <w:sz w:val="21"/>
                <w:szCs w:val="21"/>
                <w:highlight w:val="none"/>
                <w:lang w:val="en-US" w:eastAsia="en-US"/>
              </w:rPr>
              <w:t>计</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en-US"/>
              </w:rPr>
              <w:t>分；供应商拟投入</w:t>
            </w:r>
            <w:r>
              <w:rPr>
                <w:rFonts w:hint="eastAsia" w:ascii="宋体" w:hAnsi="宋体" w:cs="宋体"/>
                <w:color w:val="auto"/>
                <w:sz w:val="21"/>
                <w:szCs w:val="21"/>
                <w:highlight w:val="none"/>
                <w:lang w:val="en-US" w:eastAsia="zh-CN"/>
              </w:rPr>
              <w:t>1台-4</w:t>
            </w:r>
            <w:r>
              <w:rPr>
                <w:rFonts w:hint="eastAsia" w:ascii="宋体" w:hAnsi="宋体" w:eastAsia="宋体" w:cs="宋体"/>
                <w:color w:val="auto"/>
                <w:sz w:val="21"/>
                <w:szCs w:val="21"/>
                <w:highlight w:val="none"/>
                <w:lang w:val="en-US" w:eastAsia="en-US"/>
              </w:rPr>
              <w:t>台</w:t>
            </w:r>
            <w:r>
              <w:rPr>
                <w:rFonts w:hint="eastAsia" w:ascii="宋体" w:hAnsi="宋体" w:cs="宋体"/>
                <w:color w:val="auto"/>
                <w:sz w:val="21"/>
                <w:szCs w:val="21"/>
                <w:highlight w:val="none"/>
                <w:lang w:val="en-US" w:eastAsia="zh-CN"/>
              </w:rPr>
              <w:t>（含4台）</w:t>
            </w:r>
            <w:r>
              <w:rPr>
                <w:rFonts w:hint="eastAsia" w:ascii="宋体" w:hAnsi="宋体" w:eastAsia="宋体" w:cs="宋体"/>
                <w:color w:val="auto"/>
                <w:sz w:val="21"/>
                <w:szCs w:val="21"/>
                <w:highlight w:val="none"/>
                <w:lang w:val="en-US" w:eastAsia="en-US"/>
              </w:rPr>
              <w:t>的</w:t>
            </w:r>
            <w:r>
              <w:rPr>
                <w:rFonts w:hint="eastAsia" w:ascii="宋体" w:hAnsi="宋体" w:cs="宋体"/>
                <w:color w:val="auto"/>
                <w:sz w:val="21"/>
                <w:szCs w:val="21"/>
                <w:highlight w:val="none"/>
                <w:lang w:val="en-US" w:eastAsia="zh-CN"/>
              </w:rPr>
              <w:t>RTK或GPS</w:t>
            </w:r>
            <w:r>
              <w:rPr>
                <w:rFonts w:hint="eastAsia" w:ascii="宋体" w:hAnsi="宋体" w:eastAsia="宋体" w:cs="宋体"/>
                <w:color w:val="auto"/>
                <w:sz w:val="21"/>
                <w:szCs w:val="21"/>
                <w:highlight w:val="none"/>
                <w:lang w:val="en-US" w:eastAsia="en-US"/>
              </w:rPr>
              <w:t>计</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en-US"/>
              </w:rPr>
              <w:t>分</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 xml:space="preserve">没有的不计分。 </w:t>
            </w:r>
          </w:p>
          <w:p w14:paraId="785E65FF">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en-US"/>
              </w:rPr>
              <w:t>注：供应商自有</w:t>
            </w:r>
            <w:r>
              <w:rPr>
                <w:rFonts w:hint="eastAsia" w:ascii="宋体" w:hAnsi="宋体" w:cs="宋体"/>
                <w:color w:val="auto"/>
                <w:sz w:val="21"/>
                <w:szCs w:val="21"/>
                <w:highlight w:val="none"/>
                <w:lang w:val="en-US" w:eastAsia="zh-CN"/>
              </w:rPr>
              <w:t>RTK或GPS</w:t>
            </w:r>
            <w:r>
              <w:rPr>
                <w:rFonts w:hint="eastAsia" w:ascii="宋体" w:hAnsi="宋体" w:eastAsia="宋体" w:cs="宋体"/>
                <w:color w:val="auto"/>
                <w:sz w:val="21"/>
                <w:szCs w:val="21"/>
                <w:highlight w:val="none"/>
                <w:lang w:val="en-US" w:eastAsia="en-US"/>
              </w:rPr>
              <w:t>的需提供购买发票；租赁的需提供租赁合同，无提供或提供不全不得分。</w:t>
            </w:r>
          </w:p>
        </w:tc>
      </w:tr>
      <w:tr w14:paraId="3AEFC3A8">
        <w:tblPrEx>
          <w:tblCellMar>
            <w:top w:w="0" w:type="dxa"/>
            <w:left w:w="0" w:type="dxa"/>
            <w:bottom w:w="0" w:type="dxa"/>
            <w:right w:w="0" w:type="dxa"/>
          </w:tblCellMar>
        </w:tblPrEx>
        <w:trPr>
          <w:jc w:val="center"/>
        </w:trPr>
        <w:tc>
          <w:tcPr>
            <w:tcW w:w="626" w:type="dxa"/>
            <w:vMerge w:val="continue"/>
            <w:tcBorders>
              <w:left w:val="single" w:color="000000" w:sz="6" w:space="0"/>
              <w:bottom w:val="single" w:color="000000" w:sz="6" w:space="0"/>
              <w:right w:val="single" w:color="000000" w:sz="6" w:space="0"/>
            </w:tcBorders>
            <w:vAlign w:val="center"/>
          </w:tcPr>
          <w:p w14:paraId="0316DA1B">
            <w:pPr>
              <w:widowControl/>
              <w:spacing w:line="360" w:lineRule="exact"/>
              <w:jc w:val="left"/>
              <w:rPr>
                <w:rFonts w:hint="eastAsia" w:ascii="宋体" w:hAnsi="宋体" w:eastAsia="宋体" w:cs="宋体"/>
                <w:color w:val="auto"/>
                <w:kern w:val="0"/>
                <w:szCs w:val="21"/>
                <w:highlight w:val="none"/>
              </w:rPr>
            </w:pPr>
          </w:p>
        </w:tc>
        <w:tc>
          <w:tcPr>
            <w:tcW w:w="1364" w:type="dxa"/>
            <w:tcBorders>
              <w:top w:val="single" w:color="000000" w:sz="6" w:space="0"/>
              <w:left w:val="single" w:color="000000" w:sz="6" w:space="0"/>
              <w:bottom w:val="single" w:color="000000" w:sz="6" w:space="0"/>
              <w:right w:val="single" w:color="000000" w:sz="6" w:space="0"/>
            </w:tcBorders>
            <w:vAlign w:val="center"/>
          </w:tcPr>
          <w:p w14:paraId="3434123C">
            <w:pPr>
              <w:spacing w:line="300" w:lineRule="exact"/>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1"/>
                <w:highlight w:val="none"/>
              </w:rPr>
              <w:t>类似业绩</w:t>
            </w:r>
          </w:p>
        </w:tc>
        <w:tc>
          <w:tcPr>
            <w:tcW w:w="7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988CF1C">
            <w:pPr>
              <w:spacing w:line="300" w:lineRule="exact"/>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1"/>
                <w:highlight w:val="none"/>
                <w:lang w:val="en-US" w:eastAsia="zh-CN"/>
              </w:rPr>
              <w:t>45</w:t>
            </w:r>
            <w:r>
              <w:rPr>
                <w:rFonts w:hint="eastAsia" w:ascii="宋体" w:hAnsi="宋体" w:eastAsia="宋体" w:cs="宋体"/>
                <w:b w:val="0"/>
                <w:bCs w:val="0"/>
                <w:color w:val="auto"/>
                <w:kern w:val="1"/>
                <w:highlight w:val="none"/>
              </w:rPr>
              <w:t>分</w:t>
            </w:r>
          </w:p>
        </w:tc>
        <w:tc>
          <w:tcPr>
            <w:tcW w:w="624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19771FD">
            <w:pPr>
              <w:spacing w:line="3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eastAsia="zh-CN"/>
              </w:rPr>
              <w:t>投标人</w:t>
            </w:r>
            <w:r>
              <w:rPr>
                <w:rFonts w:hint="eastAsia" w:ascii="宋体" w:hAnsi="宋体" w:eastAsia="宋体" w:cs="宋体"/>
                <w:color w:val="auto"/>
                <w:szCs w:val="21"/>
                <w:highlight w:val="none"/>
              </w:rPr>
              <w:t>提供</w:t>
            </w:r>
            <w:r>
              <w:rPr>
                <w:rFonts w:ascii="宋体" w:hAnsi="宋体" w:eastAsia="宋体" w:cs="宋体"/>
                <w:color w:val="auto"/>
                <w:highlight w:val="none"/>
              </w:rPr>
              <w:t>自 202</w:t>
            </w:r>
            <w:r>
              <w:rPr>
                <w:rFonts w:hint="eastAsia" w:ascii="宋体" w:hAnsi="宋体" w:cs="宋体"/>
                <w:color w:val="auto"/>
                <w:highlight w:val="none"/>
                <w:lang w:val="en-US" w:eastAsia="zh-CN"/>
              </w:rPr>
              <w:t>2</w:t>
            </w:r>
            <w:r>
              <w:rPr>
                <w:rFonts w:ascii="宋体" w:hAnsi="宋体" w:eastAsia="宋体" w:cs="宋体"/>
                <w:color w:val="auto"/>
                <w:highlight w:val="none"/>
              </w:rPr>
              <w:t xml:space="preserve">年 </w:t>
            </w:r>
            <w:r>
              <w:rPr>
                <w:rFonts w:hint="eastAsia" w:ascii="宋体" w:hAnsi="宋体" w:cs="宋体"/>
                <w:color w:val="auto"/>
                <w:highlight w:val="none"/>
                <w:lang w:val="en-US" w:eastAsia="zh-CN"/>
              </w:rPr>
              <w:t>2</w:t>
            </w:r>
            <w:r>
              <w:rPr>
                <w:rFonts w:ascii="宋体" w:hAnsi="宋体" w:eastAsia="宋体" w:cs="宋体"/>
                <w:color w:val="auto"/>
                <w:highlight w:val="none"/>
              </w:rPr>
              <w:t>月 1 日（以合同签订时间</w:t>
            </w:r>
            <w:r>
              <w:rPr>
                <w:rFonts w:hint="eastAsia" w:ascii="宋体" w:hAnsi="宋体" w:eastAsia="宋体" w:cs="宋体"/>
                <w:color w:val="auto"/>
                <w:highlight w:val="none"/>
                <w:lang w:val="en-US" w:eastAsia="zh-CN"/>
              </w:rPr>
              <w:t>或中标通知书</w:t>
            </w:r>
            <w:r>
              <w:rPr>
                <w:rFonts w:ascii="宋体" w:hAnsi="宋体" w:eastAsia="宋体" w:cs="宋体"/>
                <w:color w:val="auto"/>
                <w:highlight w:val="none"/>
              </w:rPr>
              <w:t>签订时间为准）起至今（开标截止日前）</w:t>
            </w:r>
            <w:r>
              <w:rPr>
                <w:rFonts w:hint="eastAsia" w:ascii="宋体" w:hAnsi="宋体" w:eastAsia="宋体" w:cs="宋体"/>
                <w:color w:val="auto"/>
                <w:szCs w:val="21"/>
                <w:highlight w:val="none"/>
              </w:rPr>
              <w:t>类似业绩</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营造林作业设计类或生态环境修复设计</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的，每提供一个业绩计</w:t>
            </w:r>
            <w:r>
              <w:rPr>
                <w:rFonts w:hint="eastAsia" w:ascii="宋体" w:hAnsi="宋体" w:cs="宋体"/>
                <w:color w:val="auto"/>
                <w:szCs w:val="21"/>
                <w:highlight w:val="none"/>
                <w:lang w:val="en-US" w:eastAsia="zh-CN"/>
              </w:rPr>
              <w:t>15</w:t>
            </w:r>
            <w:r>
              <w:rPr>
                <w:rFonts w:hint="eastAsia" w:ascii="宋体" w:hAnsi="宋体" w:eastAsia="宋体" w:cs="宋体"/>
                <w:color w:val="auto"/>
                <w:szCs w:val="21"/>
                <w:highlight w:val="none"/>
              </w:rPr>
              <w:t>分，最多</w:t>
            </w:r>
            <w:r>
              <w:rPr>
                <w:rFonts w:hint="eastAsia" w:ascii="宋体" w:hAnsi="宋体" w:eastAsia="宋体" w:cs="宋体"/>
                <w:color w:val="auto"/>
                <w:szCs w:val="21"/>
                <w:highlight w:val="none"/>
                <w:lang w:eastAsia="zh-CN"/>
              </w:rPr>
              <w:t>计</w:t>
            </w:r>
            <w:r>
              <w:rPr>
                <w:rFonts w:hint="eastAsia" w:ascii="宋体" w:hAnsi="宋体" w:cs="宋体"/>
                <w:color w:val="auto"/>
                <w:szCs w:val="21"/>
                <w:highlight w:val="none"/>
                <w:lang w:val="en-US" w:eastAsia="zh-CN"/>
              </w:rPr>
              <w:t>45</w:t>
            </w:r>
            <w:r>
              <w:rPr>
                <w:rFonts w:hint="eastAsia" w:ascii="宋体" w:hAnsi="宋体" w:eastAsia="宋体" w:cs="宋体"/>
                <w:color w:val="auto"/>
                <w:szCs w:val="21"/>
                <w:highlight w:val="none"/>
              </w:rPr>
              <w:t>分。必须提供中标【成交】通知书</w:t>
            </w:r>
            <w:r>
              <w:rPr>
                <w:rFonts w:hint="eastAsia" w:ascii="宋体" w:hAnsi="宋体" w:cs="宋体"/>
                <w:color w:val="auto"/>
                <w:szCs w:val="21"/>
                <w:highlight w:val="none"/>
                <w:lang w:val="en-US" w:eastAsia="zh-CN"/>
              </w:rPr>
              <w:t>或</w:t>
            </w:r>
            <w:r>
              <w:rPr>
                <w:rFonts w:hint="eastAsia" w:ascii="宋体" w:hAnsi="宋体" w:eastAsia="宋体" w:cs="宋体"/>
                <w:color w:val="auto"/>
                <w:szCs w:val="21"/>
                <w:highlight w:val="none"/>
              </w:rPr>
              <w:t>合同复印件，否则</w:t>
            </w:r>
            <w:r>
              <w:rPr>
                <w:rFonts w:hint="eastAsia" w:ascii="宋体" w:hAnsi="宋体" w:eastAsia="宋体" w:cs="宋体"/>
                <w:color w:val="auto"/>
                <w:szCs w:val="21"/>
                <w:highlight w:val="none"/>
                <w:lang w:eastAsia="zh-CN"/>
              </w:rPr>
              <w:t>不计分</w:t>
            </w:r>
            <w:r>
              <w:rPr>
                <w:rFonts w:hint="eastAsia" w:ascii="宋体" w:hAnsi="宋体" w:eastAsia="宋体" w:cs="宋体"/>
                <w:color w:val="auto"/>
                <w:szCs w:val="21"/>
                <w:highlight w:val="none"/>
              </w:rPr>
              <w:t>。</w:t>
            </w:r>
          </w:p>
        </w:tc>
      </w:tr>
      <w:tr w14:paraId="049C3528">
        <w:tblPrEx>
          <w:tblCellMar>
            <w:top w:w="0" w:type="dxa"/>
            <w:left w:w="0" w:type="dxa"/>
            <w:bottom w:w="0" w:type="dxa"/>
            <w:right w:w="0" w:type="dxa"/>
          </w:tblCellMar>
        </w:tblPrEx>
        <w:trPr>
          <w:jc w:val="center"/>
        </w:trPr>
        <w:tc>
          <w:tcPr>
            <w:tcW w:w="626" w:type="dxa"/>
            <w:vMerge w:val="restart"/>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B6D95D1">
            <w:pPr>
              <w:widowControl/>
              <w:spacing w:line="360" w:lineRule="exact"/>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价格部分</w:t>
            </w:r>
            <w:r>
              <w:rPr>
                <w:rFonts w:hint="eastAsia" w:ascii="宋体" w:hAnsi="宋体" w:eastAsia="宋体" w:cs="宋体"/>
                <w:color w:val="auto"/>
                <w:kern w:val="0"/>
                <w:szCs w:val="21"/>
                <w:highlight w:val="none"/>
                <w:lang w:val="en-US" w:eastAsia="zh-CN"/>
              </w:rPr>
              <w:t>100分</w:t>
            </w:r>
          </w:p>
        </w:tc>
        <w:tc>
          <w:tcPr>
            <w:tcW w:w="136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DC5ADBA">
            <w:pPr>
              <w:widowControl/>
              <w:spacing w:line="36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w:t>
            </w:r>
          </w:p>
        </w:tc>
        <w:tc>
          <w:tcPr>
            <w:tcW w:w="7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A3598E5">
            <w:pPr>
              <w:widowControl/>
              <w:spacing w:line="36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w:t>
            </w:r>
            <w:r>
              <w:rPr>
                <w:rFonts w:hint="eastAsia" w:ascii="宋体" w:hAnsi="宋体" w:cs="宋体"/>
                <w:color w:val="auto"/>
                <w:kern w:val="0"/>
                <w:szCs w:val="21"/>
                <w:highlight w:val="none"/>
                <w:lang w:eastAsia="zh-CN"/>
              </w:rPr>
              <w:t>分</w:t>
            </w:r>
            <w:r>
              <w:rPr>
                <w:rFonts w:hint="eastAsia" w:ascii="宋体" w:hAnsi="宋体" w:eastAsia="宋体" w:cs="宋体"/>
                <w:color w:val="auto"/>
                <w:kern w:val="0"/>
                <w:szCs w:val="21"/>
                <w:highlight w:val="none"/>
              </w:rPr>
              <w:t xml:space="preserve"> </w:t>
            </w:r>
          </w:p>
        </w:tc>
        <w:tc>
          <w:tcPr>
            <w:tcW w:w="624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F261B6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投标报价评价：价格分应当采用低价优先法计算，即满足招标文件要求且投标价格最低的投标报价为评标基准价，其价格分为满分。其他投标人的价格分统一按照下列公式计算：</w:t>
            </w:r>
          </w:p>
          <w:p w14:paraId="1388D70F">
            <w:pPr>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投标报价得分=（评标基准价</w:t>
            </w:r>
            <w:r>
              <w:rPr>
                <w:rFonts w:hint="eastAsia" w:ascii="宋体" w:hAnsi="宋体" w:eastAsia="宋体" w:cs="宋体"/>
                <w:color w:val="auto"/>
                <w:sz w:val="21"/>
                <w:szCs w:val="21"/>
                <w:highlight w:val="none"/>
                <w:vertAlign w:val="subscript"/>
              </w:rPr>
              <w:t>修正或调整</w:t>
            </w:r>
            <w:r>
              <w:rPr>
                <w:rFonts w:hint="eastAsia" w:ascii="宋体" w:hAnsi="宋体" w:eastAsia="宋体" w:cs="宋体"/>
                <w:color w:val="auto"/>
                <w:sz w:val="21"/>
                <w:szCs w:val="21"/>
                <w:highlight w:val="none"/>
              </w:rPr>
              <w:t>／投标报价</w:t>
            </w:r>
            <w:r>
              <w:rPr>
                <w:rFonts w:hint="eastAsia" w:ascii="宋体" w:hAnsi="宋体" w:eastAsia="宋体" w:cs="宋体"/>
                <w:color w:val="auto"/>
                <w:sz w:val="21"/>
                <w:szCs w:val="21"/>
                <w:highlight w:val="none"/>
                <w:vertAlign w:val="subscript"/>
              </w:rPr>
              <w:t>修正或调整</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0%</w:t>
            </w:r>
          </w:p>
          <w:p w14:paraId="4752418D">
            <w:pPr>
              <w:widowControl/>
              <w:spacing w:line="360" w:lineRule="exact"/>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 w:val="21"/>
                <w:szCs w:val="21"/>
                <w:highlight w:val="none"/>
                <w:lang w:eastAsia="zh-CN"/>
              </w:rPr>
              <w:t>价格评审优惠：详见本章</w:t>
            </w:r>
            <w:r>
              <w:rPr>
                <w:rFonts w:hint="eastAsia" w:ascii="宋体" w:hAnsi="宋体" w:eastAsia="宋体" w:cs="宋体"/>
                <w:color w:val="auto"/>
                <w:sz w:val="21"/>
                <w:szCs w:val="21"/>
                <w:highlight w:val="none"/>
              </w:rPr>
              <w:t>第一节评标方法及标准前附表</w:t>
            </w:r>
            <w:r>
              <w:rPr>
                <w:rFonts w:hint="eastAsia" w:ascii="宋体" w:hAnsi="宋体" w:cs="宋体"/>
                <w:color w:val="auto"/>
                <w:sz w:val="21"/>
                <w:szCs w:val="21"/>
                <w:highlight w:val="none"/>
                <w:lang w:eastAsia="zh-CN"/>
              </w:rPr>
              <w:t>。</w:t>
            </w:r>
          </w:p>
        </w:tc>
      </w:tr>
      <w:tr w14:paraId="0DF9E82A">
        <w:tblPrEx>
          <w:tblCellMar>
            <w:top w:w="0" w:type="dxa"/>
            <w:left w:w="0" w:type="dxa"/>
            <w:bottom w:w="0" w:type="dxa"/>
            <w:right w:w="0" w:type="dxa"/>
          </w:tblCellMar>
        </w:tblPrEx>
        <w:trPr>
          <w:jc w:val="center"/>
        </w:trPr>
        <w:tc>
          <w:tcPr>
            <w:tcW w:w="626" w:type="dxa"/>
            <w:vMerge w:val="continue"/>
            <w:tcBorders>
              <w:top w:val="single" w:color="000000" w:sz="6" w:space="0"/>
              <w:left w:val="single" w:color="000000" w:sz="6" w:space="0"/>
              <w:bottom w:val="single" w:color="000000" w:sz="6" w:space="0"/>
              <w:right w:val="single" w:color="000000" w:sz="6" w:space="0"/>
            </w:tcBorders>
            <w:vAlign w:val="center"/>
          </w:tcPr>
          <w:p w14:paraId="52A81D60">
            <w:pPr>
              <w:widowControl/>
              <w:spacing w:line="360" w:lineRule="exact"/>
              <w:jc w:val="left"/>
              <w:rPr>
                <w:rFonts w:hint="eastAsia" w:ascii="宋体" w:hAnsi="宋体" w:eastAsia="宋体" w:cs="宋体"/>
                <w:color w:val="auto"/>
                <w:kern w:val="0"/>
                <w:szCs w:val="21"/>
                <w:highlight w:val="none"/>
              </w:rPr>
            </w:pPr>
          </w:p>
        </w:tc>
        <w:tc>
          <w:tcPr>
            <w:tcW w:w="8319" w:type="dxa"/>
            <w:gridSpan w:val="3"/>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0186ADB">
            <w:pPr>
              <w:widowControl/>
              <w:spacing w:line="360" w:lineRule="exact"/>
              <w:rPr>
                <w:rFonts w:hint="eastAsia" w:ascii="宋体" w:hAnsi="宋体" w:eastAsia="宋体" w:cs="宋体"/>
                <w:color w:val="auto"/>
                <w:kern w:val="0"/>
                <w:szCs w:val="21"/>
                <w:highlight w:val="none"/>
              </w:rPr>
            </w:pPr>
          </w:p>
        </w:tc>
      </w:tr>
    </w:tbl>
    <w:p w14:paraId="4F3757D9">
      <w:pPr>
        <w:widowControl/>
        <w:jc w:val="left"/>
        <w:rPr>
          <w:rFonts w:hint="eastAsia" w:ascii="宋体" w:hAnsi="宋体" w:eastAsia="宋体" w:cs="宋体"/>
          <w:b/>
          <w:bCs/>
          <w:color w:val="auto"/>
          <w:sz w:val="32"/>
          <w:szCs w:val="32"/>
          <w:highlight w:val="none"/>
        </w:rPr>
      </w:pPr>
      <w:r>
        <w:rPr>
          <w:rFonts w:hint="eastAsia" w:ascii="宋体" w:hAnsi="宋体" w:eastAsia="宋体" w:cs="宋体"/>
          <w:b/>
          <w:color w:val="auto"/>
          <w:sz w:val="28"/>
          <w:szCs w:val="28"/>
          <w:highlight w:val="none"/>
        </w:rPr>
        <w:br w:type="page"/>
      </w:r>
    </w:p>
    <w:p w14:paraId="719BBD46">
      <w:pPr>
        <w:pStyle w:val="2"/>
        <w:keepNext w:val="0"/>
        <w:adjustRightInd w:val="0"/>
        <w:snapToGrid w:val="0"/>
        <w:spacing w:before="156" w:beforeLines="50" w:line="360" w:lineRule="auto"/>
        <w:rPr>
          <w:rFonts w:hint="eastAsia" w:ascii="宋体" w:hAnsi="宋体" w:eastAsia="宋体" w:cs="宋体"/>
          <w:color w:val="auto"/>
          <w:sz w:val="32"/>
          <w:szCs w:val="32"/>
          <w:highlight w:val="none"/>
        </w:rPr>
      </w:pPr>
      <w:bookmarkStart w:id="205" w:name="_Toc14082"/>
      <w:bookmarkStart w:id="206" w:name="_Toc22482"/>
      <w:bookmarkStart w:id="207" w:name="_Toc29913941"/>
      <w:r>
        <w:rPr>
          <w:rFonts w:hint="eastAsia" w:ascii="宋体" w:hAnsi="宋体" w:eastAsia="宋体" w:cs="宋体"/>
          <w:color w:val="auto"/>
          <w:sz w:val="32"/>
          <w:szCs w:val="32"/>
          <w:highlight w:val="none"/>
        </w:rPr>
        <w:t>第五章 采购需求</w:t>
      </w:r>
      <w:bookmarkEnd w:id="205"/>
      <w:bookmarkEnd w:id="206"/>
      <w:bookmarkEnd w:id="207"/>
    </w:p>
    <w:p w14:paraId="2C3386CB">
      <w:pPr>
        <w:pStyle w:val="3"/>
        <w:adjustRightInd w:val="0"/>
        <w:snapToGrid w:val="0"/>
        <w:spacing w:before="156" w:beforeLines="50"/>
        <w:jc w:val="center"/>
        <w:rPr>
          <w:rFonts w:hint="eastAsia" w:ascii="宋体" w:hAnsi="宋体" w:eastAsia="宋体" w:cs="宋体"/>
          <w:color w:val="auto"/>
          <w:sz w:val="28"/>
          <w:szCs w:val="28"/>
          <w:highlight w:val="none"/>
        </w:rPr>
      </w:pPr>
      <w:bookmarkStart w:id="208" w:name="_Toc12779"/>
      <w:bookmarkStart w:id="209" w:name="_Toc6162"/>
      <w:bookmarkStart w:id="210" w:name="_Toc23928"/>
      <w:r>
        <w:rPr>
          <w:rFonts w:hint="eastAsia" w:ascii="宋体" w:hAnsi="宋体" w:eastAsia="宋体" w:cs="宋体"/>
          <w:color w:val="auto"/>
          <w:sz w:val="28"/>
          <w:szCs w:val="28"/>
          <w:highlight w:val="none"/>
        </w:rPr>
        <w:t>第</w:t>
      </w:r>
      <w:r>
        <w:rPr>
          <w:rFonts w:hint="eastAsia" w:ascii="宋体" w:hAnsi="宋体" w:cs="宋体"/>
          <w:color w:val="auto"/>
          <w:sz w:val="28"/>
          <w:szCs w:val="28"/>
          <w:highlight w:val="none"/>
          <w:lang w:val="en-US" w:eastAsia="zh-CN"/>
        </w:rPr>
        <w:t>一</w:t>
      </w:r>
      <w:r>
        <w:rPr>
          <w:rFonts w:hint="eastAsia" w:ascii="宋体" w:hAnsi="宋体" w:eastAsia="宋体" w:cs="宋体"/>
          <w:color w:val="auto"/>
          <w:sz w:val="28"/>
          <w:szCs w:val="28"/>
          <w:highlight w:val="none"/>
        </w:rPr>
        <w:t>节 技术要求</w:t>
      </w:r>
      <w:bookmarkEnd w:id="208"/>
      <w:bookmarkEnd w:id="209"/>
      <w:bookmarkEnd w:id="210"/>
    </w:p>
    <w:p w14:paraId="250E70E6">
      <w:pPr>
        <w:keepNext/>
        <w:keepLines/>
        <w:numPr>
          <w:ilvl w:val="0"/>
          <w:numId w:val="0"/>
        </w:numPr>
        <w:spacing w:line="578" w:lineRule="auto"/>
        <w:ind w:left="0" w:leftChars="0" w:firstLine="0" w:firstLineChars="0"/>
        <w:outlineLvl w:val="0"/>
        <w:rPr>
          <w:rFonts w:hint="eastAsia" w:asciiTheme="minorEastAsia" w:hAnsiTheme="minorEastAsia" w:eastAsiaTheme="minorEastAsia" w:cstheme="minorEastAsia"/>
          <w:b/>
          <w:bCs/>
          <w:color w:val="auto"/>
          <w:kern w:val="44"/>
          <w:sz w:val="28"/>
          <w:szCs w:val="28"/>
          <w:highlight w:val="none"/>
        </w:rPr>
      </w:pPr>
      <w:bookmarkStart w:id="211" w:name="_Toc32328"/>
      <w:bookmarkStart w:id="212" w:name="_Toc12981"/>
      <w:bookmarkStart w:id="213" w:name="_Toc29913944"/>
      <w:r>
        <w:rPr>
          <w:rFonts w:hint="eastAsia" w:asciiTheme="minorEastAsia" w:hAnsiTheme="minorEastAsia" w:eastAsiaTheme="minorEastAsia" w:cstheme="minorEastAsia"/>
          <w:b/>
          <w:bCs/>
          <w:color w:val="auto"/>
          <w:kern w:val="44"/>
          <w:sz w:val="28"/>
          <w:szCs w:val="28"/>
          <w:highlight w:val="none"/>
          <w:lang w:val="en-US" w:eastAsia="zh-CN" w:bidi="ar-SA"/>
        </w:rPr>
        <w:t>一、</w:t>
      </w:r>
      <w:r>
        <w:rPr>
          <w:rFonts w:hint="eastAsia" w:asciiTheme="minorEastAsia" w:hAnsiTheme="minorEastAsia" w:eastAsiaTheme="minorEastAsia" w:cstheme="minorEastAsia"/>
          <w:b/>
          <w:bCs/>
          <w:color w:val="auto"/>
          <w:kern w:val="44"/>
          <w:sz w:val="28"/>
          <w:szCs w:val="28"/>
          <w:highlight w:val="none"/>
        </w:rPr>
        <w:t>项目名称</w:t>
      </w:r>
      <w:r>
        <w:rPr>
          <w:rFonts w:hint="eastAsia" w:asciiTheme="minorEastAsia" w:hAnsiTheme="minorEastAsia" w:eastAsiaTheme="minorEastAsia" w:cstheme="minorEastAsia"/>
          <w:b/>
          <w:bCs/>
          <w:color w:val="auto"/>
          <w:kern w:val="44"/>
          <w:sz w:val="28"/>
          <w:szCs w:val="28"/>
          <w:highlight w:val="none"/>
          <w:lang w:eastAsia="zh-CN"/>
        </w:rPr>
        <w:t>：</w:t>
      </w:r>
      <w:r>
        <w:rPr>
          <w:rFonts w:hint="eastAsia" w:asciiTheme="minorEastAsia" w:hAnsiTheme="minorEastAsia" w:eastAsiaTheme="minorEastAsia" w:cstheme="minorEastAsia"/>
          <w:color w:val="auto"/>
          <w:sz w:val="28"/>
          <w:szCs w:val="28"/>
          <w:highlight w:val="none"/>
          <w:lang w:eastAsia="zh-CN"/>
        </w:rPr>
        <w:t>湖南省南岭山地—湘江上游中央财政国土绿化示范项目郴州市九县（市）作业设计技术服务</w:t>
      </w:r>
      <w:bookmarkEnd w:id="211"/>
    </w:p>
    <w:p w14:paraId="24349827">
      <w:pPr>
        <w:keepNext/>
        <w:keepLines/>
        <w:numPr>
          <w:ilvl w:val="0"/>
          <w:numId w:val="0"/>
        </w:numPr>
        <w:spacing w:line="578" w:lineRule="auto"/>
        <w:ind w:left="0" w:leftChars="0" w:firstLine="0" w:firstLineChars="0"/>
        <w:outlineLvl w:val="0"/>
        <w:rPr>
          <w:rFonts w:hint="eastAsia" w:asciiTheme="minorEastAsia" w:hAnsiTheme="minorEastAsia" w:eastAsiaTheme="minorEastAsia" w:cstheme="minorEastAsia"/>
          <w:color w:val="auto"/>
          <w:sz w:val="28"/>
          <w:szCs w:val="28"/>
          <w:highlight w:val="none"/>
          <w:lang w:val="en-US" w:eastAsia="zh-CN" w:bidi="ar"/>
        </w:rPr>
      </w:pPr>
      <w:bookmarkStart w:id="214" w:name="_Toc31008"/>
      <w:r>
        <w:rPr>
          <w:rFonts w:hint="eastAsia" w:asciiTheme="minorEastAsia" w:hAnsiTheme="minorEastAsia" w:eastAsiaTheme="minorEastAsia" w:cstheme="minorEastAsia"/>
          <w:color w:val="auto"/>
          <w:kern w:val="2"/>
          <w:sz w:val="28"/>
          <w:szCs w:val="28"/>
          <w:highlight w:val="none"/>
          <w:lang w:val="en-US" w:eastAsia="zh-CN" w:bidi="ar"/>
        </w:rPr>
        <w:t>二、</w:t>
      </w:r>
      <w:r>
        <w:rPr>
          <w:rFonts w:hint="eastAsia" w:asciiTheme="minorEastAsia" w:hAnsiTheme="minorEastAsia" w:eastAsiaTheme="minorEastAsia" w:cstheme="minorEastAsia"/>
          <w:b/>
          <w:bCs/>
          <w:color w:val="auto"/>
          <w:kern w:val="44"/>
          <w:sz w:val="28"/>
          <w:szCs w:val="28"/>
          <w:highlight w:val="none"/>
        </w:rPr>
        <w:t>服务范围</w:t>
      </w:r>
      <w:r>
        <w:rPr>
          <w:rFonts w:hint="eastAsia" w:asciiTheme="minorEastAsia" w:hAnsiTheme="minorEastAsia" w:eastAsiaTheme="minorEastAsia" w:cstheme="minorEastAsia"/>
          <w:b/>
          <w:bCs/>
          <w:color w:val="auto"/>
          <w:kern w:val="44"/>
          <w:sz w:val="28"/>
          <w:szCs w:val="28"/>
          <w:highlight w:val="none"/>
          <w:lang w:eastAsia="zh-CN"/>
        </w:rPr>
        <w:t>：</w:t>
      </w:r>
      <w:bookmarkEnd w:id="214"/>
    </w:p>
    <w:p w14:paraId="6F3630A2">
      <w:pPr>
        <w:keepNext/>
        <w:keepLines/>
        <w:numPr>
          <w:ilvl w:val="0"/>
          <w:numId w:val="0"/>
        </w:numPr>
        <w:spacing w:line="578" w:lineRule="auto"/>
        <w:ind w:left="0" w:leftChars="0" w:firstLine="0" w:firstLineChars="0"/>
        <w:outlineLvl w:val="0"/>
        <w:rPr>
          <w:rFonts w:hint="eastAsia" w:asciiTheme="minorEastAsia" w:hAnsiTheme="minorEastAsia" w:eastAsiaTheme="minorEastAsia" w:cstheme="minorEastAsia"/>
          <w:b w:val="0"/>
          <w:bCs w:val="0"/>
          <w:color w:val="auto"/>
          <w:kern w:val="44"/>
          <w:sz w:val="28"/>
          <w:szCs w:val="28"/>
          <w:highlight w:val="none"/>
          <w:lang w:val="en-US" w:eastAsia="zh-CN"/>
        </w:rPr>
      </w:pPr>
      <w:bookmarkStart w:id="215" w:name="_Toc8159"/>
      <w:r>
        <w:rPr>
          <w:rFonts w:hint="eastAsia" w:asciiTheme="minorEastAsia" w:hAnsiTheme="minorEastAsia" w:eastAsiaTheme="minorEastAsia" w:cstheme="minorEastAsia"/>
          <w:b w:val="0"/>
          <w:bCs w:val="0"/>
          <w:color w:val="auto"/>
          <w:kern w:val="44"/>
          <w:sz w:val="28"/>
          <w:szCs w:val="28"/>
          <w:highlight w:val="none"/>
          <w:lang w:val="en-US" w:eastAsia="zh-CN"/>
        </w:rPr>
        <w:t>包1：资兴市建设规模：87609.8亩。投资估算：15706万元。</w:t>
      </w:r>
      <w:bookmarkEnd w:id="215"/>
    </w:p>
    <w:p w14:paraId="2DB1DADA">
      <w:pPr>
        <w:keepNext/>
        <w:keepLines/>
        <w:numPr>
          <w:ilvl w:val="0"/>
          <w:numId w:val="0"/>
        </w:numPr>
        <w:spacing w:line="578" w:lineRule="auto"/>
        <w:ind w:left="0" w:leftChars="0" w:firstLine="0" w:firstLineChars="0"/>
        <w:outlineLvl w:val="0"/>
        <w:rPr>
          <w:rFonts w:hint="eastAsia" w:asciiTheme="minorEastAsia" w:hAnsiTheme="minorEastAsia" w:eastAsiaTheme="minorEastAsia" w:cstheme="minorEastAsia"/>
          <w:b w:val="0"/>
          <w:bCs w:val="0"/>
          <w:color w:val="auto"/>
          <w:kern w:val="44"/>
          <w:sz w:val="28"/>
          <w:szCs w:val="28"/>
          <w:highlight w:val="none"/>
          <w:lang w:val="en-US" w:eastAsia="zh-CN"/>
        </w:rPr>
      </w:pPr>
      <w:bookmarkStart w:id="216" w:name="_Toc12158"/>
      <w:r>
        <w:rPr>
          <w:rFonts w:hint="eastAsia" w:asciiTheme="minorEastAsia" w:hAnsiTheme="minorEastAsia" w:eastAsiaTheme="minorEastAsia" w:cstheme="minorEastAsia"/>
          <w:b w:val="0"/>
          <w:bCs w:val="0"/>
          <w:color w:val="auto"/>
          <w:kern w:val="44"/>
          <w:sz w:val="28"/>
          <w:szCs w:val="28"/>
          <w:highlight w:val="none"/>
          <w:lang w:val="en-US" w:eastAsia="zh-CN"/>
        </w:rPr>
        <w:t>包2：永兴县、安仁县建设规模：67908.8亩。投资估算：12686万元</w:t>
      </w:r>
      <w:bookmarkEnd w:id="216"/>
    </w:p>
    <w:p w14:paraId="3BF4756D">
      <w:pPr>
        <w:keepNext/>
        <w:keepLines/>
        <w:numPr>
          <w:ilvl w:val="0"/>
          <w:numId w:val="0"/>
        </w:numPr>
        <w:spacing w:line="578" w:lineRule="auto"/>
        <w:ind w:left="0" w:leftChars="0" w:firstLine="0" w:firstLineChars="0"/>
        <w:outlineLvl w:val="0"/>
        <w:rPr>
          <w:rFonts w:hint="eastAsia" w:asciiTheme="minorEastAsia" w:hAnsiTheme="minorEastAsia" w:eastAsiaTheme="minorEastAsia" w:cstheme="minorEastAsia"/>
          <w:b w:val="0"/>
          <w:bCs w:val="0"/>
          <w:color w:val="auto"/>
          <w:kern w:val="44"/>
          <w:sz w:val="28"/>
          <w:szCs w:val="28"/>
          <w:highlight w:val="none"/>
          <w:lang w:val="en-US" w:eastAsia="zh-CN"/>
        </w:rPr>
      </w:pPr>
      <w:bookmarkStart w:id="217" w:name="_Toc22525"/>
      <w:r>
        <w:rPr>
          <w:rFonts w:hint="eastAsia" w:asciiTheme="minorEastAsia" w:hAnsiTheme="minorEastAsia" w:eastAsiaTheme="minorEastAsia" w:cstheme="minorEastAsia"/>
          <w:b w:val="0"/>
          <w:bCs w:val="0"/>
          <w:color w:val="auto"/>
          <w:kern w:val="44"/>
          <w:sz w:val="28"/>
          <w:szCs w:val="28"/>
          <w:highlight w:val="none"/>
          <w:lang w:val="en-US" w:eastAsia="zh-CN"/>
        </w:rPr>
        <w:t>包3：桂阳县、宜章县、嘉禾县建设规模：58313.7亩。投资估算：11233万元。</w:t>
      </w:r>
      <w:bookmarkEnd w:id="217"/>
    </w:p>
    <w:p w14:paraId="5A795D99">
      <w:pPr>
        <w:keepNext/>
        <w:keepLines/>
        <w:numPr>
          <w:ilvl w:val="0"/>
          <w:numId w:val="0"/>
        </w:numPr>
        <w:spacing w:line="578" w:lineRule="auto"/>
        <w:ind w:left="0" w:leftChars="0" w:firstLine="0" w:firstLineChars="0"/>
        <w:outlineLvl w:val="0"/>
        <w:rPr>
          <w:rFonts w:hint="eastAsia" w:asciiTheme="minorEastAsia" w:hAnsiTheme="minorEastAsia" w:eastAsiaTheme="minorEastAsia" w:cstheme="minorEastAsia"/>
          <w:b w:val="0"/>
          <w:bCs w:val="0"/>
          <w:color w:val="auto"/>
          <w:kern w:val="44"/>
          <w:sz w:val="28"/>
          <w:szCs w:val="28"/>
          <w:highlight w:val="none"/>
          <w:lang w:val="en-US" w:eastAsia="zh-CN"/>
        </w:rPr>
      </w:pPr>
      <w:bookmarkStart w:id="218" w:name="_Toc28573"/>
      <w:r>
        <w:rPr>
          <w:rFonts w:hint="eastAsia" w:asciiTheme="minorEastAsia" w:hAnsiTheme="minorEastAsia" w:eastAsiaTheme="minorEastAsia" w:cstheme="minorEastAsia"/>
          <w:b w:val="0"/>
          <w:bCs w:val="0"/>
          <w:color w:val="auto"/>
          <w:kern w:val="44"/>
          <w:sz w:val="28"/>
          <w:szCs w:val="28"/>
          <w:highlight w:val="none"/>
          <w:lang w:val="en-US" w:eastAsia="zh-CN"/>
        </w:rPr>
        <w:t>包4：临武县、汝城县、桂东县建设规模：63901.5亩。投资估算：11968万元。</w:t>
      </w:r>
      <w:bookmarkEnd w:id="218"/>
    </w:p>
    <w:p w14:paraId="329FC107">
      <w:pPr>
        <w:keepNext/>
        <w:keepLines/>
        <w:numPr>
          <w:ilvl w:val="0"/>
          <w:numId w:val="0"/>
        </w:numPr>
        <w:spacing w:line="578" w:lineRule="auto"/>
        <w:ind w:left="0" w:leftChars="0" w:firstLine="0" w:firstLineChars="0"/>
        <w:outlineLvl w:val="0"/>
        <w:rPr>
          <w:rFonts w:hint="eastAsia" w:asciiTheme="minorEastAsia" w:hAnsiTheme="minorEastAsia" w:eastAsiaTheme="minorEastAsia" w:cstheme="minorEastAsia"/>
          <w:b/>
          <w:bCs/>
          <w:color w:val="auto"/>
          <w:kern w:val="44"/>
          <w:sz w:val="28"/>
          <w:szCs w:val="28"/>
          <w:highlight w:val="none"/>
          <w:lang w:eastAsia="zh-CN"/>
        </w:rPr>
      </w:pPr>
      <w:bookmarkStart w:id="219" w:name="_Toc28632"/>
      <w:r>
        <w:rPr>
          <w:rFonts w:hint="eastAsia" w:asciiTheme="minorEastAsia" w:hAnsiTheme="minorEastAsia" w:eastAsiaTheme="minorEastAsia" w:cstheme="minorEastAsia"/>
          <w:b/>
          <w:bCs/>
          <w:color w:val="auto"/>
          <w:kern w:val="44"/>
          <w:sz w:val="28"/>
          <w:szCs w:val="28"/>
          <w:highlight w:val="none"/>
          <w:lang w:val="en-US" w:eastAsia="zh-CN" w:bidi="ar-SA"/>
        </w:rPr>
        <w:t>三、</w:t>
      </w:r>
      <w:r>
        <w:rPr>
          <w:rFonts w:hint="eastAsia" w:asciiTheme="minorEastAsia" w:hAnsiTheme="minorEastAsia" w:eastAsiaTheme="minorEastAsia" w:cstheme="minorEastAsia"/>
          <w:b/>
          <w:bCs/>
          <w:color w:val="auto"/>
          <w:kern w:val="44"/>
          <w:sz w:val="28"/>
          <w:szCs w:val="28"/>
          <w:highlight w:val="none"/>
        </w:rPr>
        <w:t>服务内容</w:t>
      </w:r>
      <w:bookmarkEnd w:id="219"/>
      <w:r>
        <w:rPr>
          <w:rFonts w:hint="eastAsia" w:asciiTheme="minorEastAsia" w:hAnsiTheme="minorEastAsia" w:eastAsiaTheme="minorEastAsia" w:cstheme="minorEastAsia"/>
          <w:b/>
          <w:bCs/>
          <w:color w:val="auto"/>
          <w:kern w:val="44"/>
          <w:sz w:val="28"/>
          <w:szCs w:val="28"/>
          <w:highlight w:val="none"/>
          <w:lang w:eastAsia="zh-CN"/>
        </w:rPr>
        <w:t>：</w:t>
      </w:r>
    </w:p>
    <w:p w14:paraId="70178780">
      <w:pPr>
        <w:adjustRightInd w:val="0"/>
        <w:spacing w:line="360" w:lineRule="auto"/>
        <w:ind w:firstLine="562" w:firstLineChars="200"/>
        <w:jc w:val="left"/>
        <w:textAlignment w:val="baseline"/>
        <w:outlineLvl w:val="1"/>
        <w:rPr>
          <w:rFonts w:hint="eastAsia" w:asciiTheme="minorEastAsia" w:hAnsiTheme="minorEastAsia" w:eastAsiaTheme="minorEastAsia" w:cstheme="minorEastAsia"/>
          <w:b/>
          <w:bCs/>
          <w:color w:val="auto"/>
          <w:sz w:val="28"/>
          <w:szCs w:val="28"/>
          <w:highlight w:val="none"/>
        </w:rPr>
      </w:pPr>
      <w:bookmarkStart w:id="220" w:name="_Toc27265"/>
      <w:r>
        <w:rPr>
          <w:rFonts w:hint="eastAsia" w:asciiTheme="minorEastAsia" w:hAnsiTheme="minorEastAsia" w:eastAsiaTheme="minorEastAsia" w:cstheme="minorEastAsia"/>
          <w:b/>
          <w:bCs/>
          <w:color w:val="auto"/>
          <w:sz w:val="28"/>
          <w:szCs w:val="28"/>
          <w:highlight w:val="none"/>
          <w:lang w:val="en-US" w:eastAsia="zh-CN"/>
        </w:rPr>
        <w:t>1</w:t>
      </w:r>
      <w:r>
        <w:rPr>
          <w:rFonts w:hint="eastAsia" w:asciiTheme="minorEastAsia" w:hAnsiTheme="minorEastAsia" w:eastAsiaTheme="minorEastAsia" w:cstheme="minorEastAsia"/>
          <w:b/>
          <w:bCs/>
          <w:color w:val="auto"/>
          <w:sz w:val="28"/>
          <w:szCs w:val="28"/>
          <w:highlight w:val="none"/>
        </w:rPr>
        <w:t>、设计思路</w:t>
      </w:r>
      <w:bookmarkEnd w:id="220"/>
    </w:p>
    <w:p w14:paraId="4008FEFC">
      <w:pPr>
        <w:adjustRightInd w:val="0"/>
        <w:spacing w:line="360" w:lineRule="auto"/>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作业设计依据《林草生态保护和修复重点工程作业设计要点》、《造林作业设计规程》与《</w:t>
      </w:r>
      <w:r>
        <w:rPr>
          <w:rFonts w:hint="eastAsia" w:asciiTheme="minorEastAsia" w:hAnsiTheme="minorEastAsia" w:eastAsiaTheme="minorEastAsia" w:cstheme="minorEastAsia"/>
          <w:color w:val="auto"/>
          <w:sz w:val="28"/>
          <w:szCs w:val="28"/>
          <w:highlight w:val="none"/>
          <w:lang w:val="en-US" w:eastAsia="zh-CN"/>
        </w:rPr>
        <w:t>湖南省南岭山地—湘江上游中央财政国土绿化示范项目实施方案</w:t>
      </w:r>
      <w:r>
        <w:rPr>
          <w:rFonts w:hint="eastAsia" w:asciiTheme="minorEastAsia" w:hAnsiTheme="minorEastAsia" w:eastAsiaTheme="minorEastAsia" w:cstheme="minorEastAsia"/>
          <w:color w:val="auto"/>
          <w:sz w:val="28"/>
          <w:szCs w:val="28"/>
          <w:highlight w:val="none"/>
        </w:rPr>
        <w:t>》等要求，作业设计以小班为单位，要将项目任务落实到山头地块，按实施方案及资金文件等完成</w:t>
      </w:r>
      <w:r>
        <w:rPr>
          <w:rFonts w:hint="eastAsia" w:asciiTheme="minorEastAsia" w:hAnsiTheme="minorEastAsia" w:eastAsiaTheme="minorEastAsia" w:cstheme="minorEastAsia"/>
          <w:color w:val="auto"/>
          <w:sz w:val="28"/>
          <w:szCs w:val="28"/>
          <w:highlight w:val="none"/>
          <w:lang w:val="en-US" w:eastAsia="zh-CN"/>
        </w:rPr>
        <w:t>三</w:t>
      </w:r>
      <w:r>
        <w:rPr>
          <w:rFonts w:hint="eastAsia" w:asciiTheme="minorEastAsia" w:hAnsiTheme="minorEastAsia" w:eastAsiaTheme="minorEastAsia" w:cstheme="minorEastAsia"/>
          <w:color w:val="auto"/>
          <w:sz w:val="28"/>
          <w:szCs w:val="28"/>
          <w:highlight w:val="none"/>
        </w:rPr>
        <w:t>年建设任务。该项目坚持生态优先、因地制宜、分类施策的原则，以</w:t>
      </w:r>
      <w:r>
        <w:rPr>
          <w:rFonts w:hint="eastAsia" w:asciiTheme="minorEastAsia" w:hAnsiTheme="minorEastAsia" w:eastAsiaTheme="minorEastAsia" w:cstheme="minorEastAsia"/>
          <w:color w:val="auto"/>
          <w:sz w:val="28"/>
          <w:szCs w:val="28"/>
          <w:highlight w:val="none"/>
          <w:lang w:val="en-US" w:eastAsia="zh-CN"/>
        </w:rPr>
        <w:t>森林质量精准提升</w:t>
      </w:r>
      <w:r>
        <w:rPr>
          <w:rFonts w:hint="eastAsia" w:asciiTheme="minorEastAsia" w:hAnsiTheme="minorEastAsia" w:eastAsiaTheme="minorEastAsia" w:cstheme="minorEastAsia"/>
          <w:color w:val="auto"/>
          <w:sz w:val="28"/>
          <w:szCs w:val="28"/>
          <w:highlight w:val="none"/>
        </w:rPr>
        <w:t>为重点，因地制宜进行差异化小班设计、根据工程量和市场调查的经济指标进行投资概算、建设项目示范点，</w:t>
      </w:r>
      <w:r>
        <w:rPr>
          <w:rFonts w:hint="eastAsia" w:asciiTheme="minorEastAsia" w:hAnsiTheme="minorEastAsia" w:eastAsiaTheme="minorEastAsia" w:cstheme="minorEastAsia"/>
          <w:color w:val="auto"/>
          <w:sz w:val="28"/>
          <w:szCs w:val="28"/>
          <w:highlight w:val="none"/>
          <w:lang w:val="en-US" w:eastAsia="zh-CN"/>
        </w:rPr>
        <w:t>构建结构稳定、生态功能完善、景观效果优越、生物多样性丰富的森林生态系统。</w:t>
      </w:r>
    </w:p>
    <w:p w14:paraId="5A7867B7">
      <w:pPr>
        <w:adjustRightInd w:val="0"/>
        <w:spacing w:line="360" w:lineRule="auto"/>
        <w:ind w:firstLine="562" w:firstLineChars="200"/>
        <w:jc w:val="left"/>
        <w:textAlignment w:val="baseline"/>
        <w:outlineLvl w:val="1"/>
        <w:rPr>
          <w:rFonts w:hint="eastAsia" w:asciiTheme="minorEastAsia" w:hAnsiTheme="minorEastAsia" w:eastAsiaTheme="minorEastAsia" w:cstheme="minorEastAsia"/>
          <w:b/>
          <w:bCs/>
          <w:color w:val="auto"/>
          <w:sz w:val="28"/>
          <w:szCs w:val="28"/>
          <w:highlight w:val="none"/>
        </w:rPr>
      </w:pPr>
      <w:bookmarkStart w:id="221" w:name="_Toc22118"/>
      <w:r>
        <w:rPr>
          <w:rFonts w:hint="eastAsia" w:asciiTheme="minorEastAsia" w:hAnsiTheme="minorEastAsia" w:eastAsiaTheme="minorEastAsia" w:cstheme="minorEastAsia"/>
          <w:b/>
          <w:bCs/>
          <w:color w:val="auto"/>
          <w:sz w:val="28"/>
          <w:szCs w:val="28"/>
          <w:highlight w:val="none"/>
          <w:lang w:val="en-US" w:eastAsia="zh-CN"/>
        </w:rPr>
        <w:t>2</w:t>
      </w:r>
      <w:r>
        <w:rPr>
          <w:rFonts w:hint="eastAsia" w:asciiTheme="minorEastAsia" w:hAnsiTheme="minorEastAsia" w:eastAsiaTheme="minorEastAsia" w:cstheme="minorEastAsia"/>
          <w:b/>
          <w:bCs/>
          <w:color w:val="auto"/>
          <w:sz w:val="28"/>
          <w:szCs w:val="28"/>
          <w:highlight w:val="none"/>
        </w:rPr>
        <w:t>、设计原则</w:t>
      </w:r>
      <w:bookmarkEnd w:id="221"/>
    </w:p>
    <w:p w14:paraId="521576AF">
      <w:pPr>
        <w:adjustRightInd w:val="0"/>
        <w:spacing w:line="360" w:lineRule="auto"/>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（1）坚持生态优先，科学布局的原则</w:t>
      </w:r>
    </w:p>
    <w:p w14:paraId="036108E3">
      <w:pPr>
        <w:adjustRightInd w:val="0"/>
        <w:spacing w:line="360" w:lineRule="auto"/>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（2）坚持因地制宜，分类施策的原则</w:t>
      </w:r>
    </w:p>
    <w:p w14:paraId="7A639D78">
      <w:pPr>
        <w:adjustRightInd w:val="0"/>
        <w:spacing w:line="360" w:lineRule="auto"/>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（3）坚持科技创新、注重效益的原则</w:t>
      </w:r>
    </w:p>
    <w:p w14:paraId="5DC4F1B7">
      <w:pPr>
        <w:adjustRightInd w:val="0"/>
        <w:spacing w:line="360" w:lineRule="auto"/>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（4）坚持企业为依托、尊重农户意愿的原则</w:t>
      </w:r>
    </w:p>
    <w:p w14:paraId="31A2BA5D">
      <w:pPr>
        <w:adjustRightInd w:val="0"/>
        <w:spacing w:line="360" w:lineRule="auto"/>
        <w:ind w:firstLine="562" w:firstLineChars="200"/>
        <w:jc w:val="left"/>
        <w:textAlignment w:val="baseline"/>
        <w:outlineLvl w:val="1"/>
        <w:rPr>
          <w:rFonts w:hint="eastAsia" w:asciiTheme="minorEastAsia" w:hAnsiTheme="minorEastAsia" w:eastAsiaTheme="minorEastAsia" w:cstheme="minorEastAsia"/>
          <w:b/>
          <w:bCs/>
          <w:color w:val="auto"/>
          <w:sz w:val="28"/>
          <w:szCs w:val="28"/>
          <w:highlight w:val="none"/>
          <w:lang w:val="en-US" w:eastAsia="zh-CN"/>
        </w:rPr>
      </w:pPr>
    </w:p>
    <w:p w14:paraId="58A5874A">
      <w:pPr>
        <w:adjustRightInd w:val="0"/>
        <w:spacing w:line="360" w:lineRule="auto"/>
        <w:ind w:firstLine="562" w:firstLineChars="200"/>
        <w:jc w:val="left"/>
        <w:textAlignment w:val="baseline"/>
        <w:outlineLvl w:val="1"/>
        <w:rPr>
          <w:rFonts w:hint="eastAsia" w:asciiTheme="minorEastAsia" w:hAnsiTheme="minorEastAsia" w:eastAsiaTheme="minorEastAsia" w:cstheme="minorEastAsia"/>
          <w:b/>
          <w:bCs/>
          <w:color w:val="auto"/>
          <w:sz w:val="28"/>
          <w:szCs w:val="28"/>
          <w:highlight w:val="none"/>
          <w:lang w:eastAsia="zh-CN"/>
        </w:rPr>
      </w:pPr>
      <w:bookmarkStart w:id="222" w:name="_Toc21832"/>
      <w:r>
        <w:rPr>
          <w:rFonts w:hint="eastAsia" w:asciiTheme="minorEastAsia" w:hAnsiTheme="minorEastAsia" w:eastAsiaTheme="minorEastAsia" w:cstheme="minorEastAsia"/>
          <w:b/>
          <w:bCs/>
          <w:color w:val="auto"/>
          <w:sz w:val="28"/>
          <w:szCs w:val="28"/>
          <w:highlight w:val="none"/>
          <w:lang w:val="en-US" w:eastAsia="zh-CN"/>
        </w:rPr>
        <w:t>3</w:t>
      </w:r>
      <w:r>
        <w:rPr>
          <w:rFonts w:hint="eastAsia" w:asciiTheme="minorEastAsia" w:hAnsiTheme="minorEastAsia" w:eastAsiaTheme="minorEastAsia" w:cstheme="minorEastAsia"/>
          <w:b/>
          <w:bCs/>
          <w:color w:val="auto"/>
          <w:sz w:val="28"/>
          <w:szCs w:val="28"/>
          <w:highlight w:val="none"/>
        </w:rPr>
        <w:t>、任务规模</w:t>
      </w:r>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lang w:val="en-US" w:eastAsia="zh-CN"/>
        </w:rPr>
        <w:t>如图表所示</w:t>
      </w:r>
      <w:r>
        <w:rPr>
          <w:rFonts w:hint="eastAsia" w:asciiTheme="minorEastAsia" w:hAnsiTheme="minorEastAsia" w:eastAsiaTheme="minorEastAsia" w:cstheme="minorEastAsia"/>
          <w:b/>
          <w:bCs/>
          <w:color w:val="auto"/>
          <w:sz w:val="28"/>
          <w:szCs w:val="28"/>
          <w:highlight w:val="none"/>
          <w:lang w:eastAsia="zh-CN"/>
        </w:rPr>
        <w:t>）</w:t>
      </w:r>
      <w:bookmarkEnd w:id="222"/>
    </w:p>
    <w:p w14:paraId="26A4F0CB">
      <w:pPr>
        <w:pStyle w:val="13"/>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drawing>
          <wp:inline distT="0" distB="0" distL="114300" distR="114300">
            <wp:extent cx="6324600" cy="2661285"/>
            <wp:effectExtent l="0" t="0" r="0"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5"/>
                    <a:stretch>
                      <a:fillRect/>
                    </a:stretch>
                  </pic:blipFill>
                  <pic:spPr>
                    <a:xfrm>
                      <a:off x="0" y="0"/>
                      <a:ext cx="6324600" cy="2661285"/>
                    </a:xfrm>
                    <a:prstGeom prst="rect">
                      <a:avLst/>
                    </a:prstGeom>
                    <a:noFill/>
                    <a:ln>
                      <a:noFill/>
                    </a:ln>
                  </pic:spPr>
                </pic:pic>
              </a:graphicData>
            </a:graphic>
          </wp:inline>
        </w:drawing>
      </w:r>
    </w:p>
    <w:p w14:paraId="3F4EEDAB">
      <w:pPr>
        <w:pStyle w:val="38"/>
        <w:keepNext w:val="0"/>
        <w:keepLines w:val="0"/>
        <w:widowControl/>
        <w:suppressLineNumbers w:val="0"/>
        <w:shd w:val="clear" w:fill="FFFFFF"/>
        <w:spacing w:after="0" w:afterAutospacing="0" w:line="24" w:lineRule="atLeast"/>
        <w:ind w:left="0" w:right="0" w:firstLine="562" w:firstLineChars="200"/>
        <w:jc w:val="left"/>
        <w:rPr>
          <w:rFonts w:hint="default" w:asciiTheme="minorEastAsia" w:hAnsiTheme="minorEastAsia" w:eastAsiaTheme="minorEastAsia" w:cstheme="minorEastAsia"/>
          <w:b/>
          <w:bCs/>
          <w:color w:val="auto"/>
          <w:kern w:val="2"/>
          <w:sz w:val="28"/>
          <w:szCs w:val="28"/>
          <w:highlight w:val="none"/>
          <w:lang w:val="en-US" w:eastAsia="zh-CN" w:bidi="ar-SA"/>
        </w:rPr>
      </w:pPr>
      <w:r>
        <w:rPr>
          <w:rFonts w:hint="eastAsia" w:asciiTheme="minorEastAsia" w:hAnsiTheme="minorEastAsia" w:eastAsiaTheme="minorEastAsia" w:cstheme="minorEastAsia"/>
          <w:b/>
          <w:bCs/>
          <w:color w:val="auto"/>
          <w:kern w:val="2"/>
          <w:sz w:val="28"/>
          <w:szCs w:val="28"/>
          <w:highlight w:val="none"/>
          <w:lang w:val="en-US" w:eastAsia="zh-CN" w:bidi="ar-SA"/>
        </w:rPr>
        <w:t>4、</w:t>
      </w:r>
      <w:r>
        <w:rPr>
          <w:rFonts w:hint="default" w:asciiTheme="minorEastAsia" w:hAnsiTheme="minorEastAsia" w:eastAsiaTheme="minorEastAsia" w:cstheme="minorEastAsia"/>
          <w:b/>
          <w:bCs/>
          <w:color w:val="auto"/>
          <w:kern w:val="2"/>
          <w:sz w:val="28"/>
          <w:szCs w:val="28"/>
          <w:highlight w:val="none"/>
          <w:lang w:val="en-US" w:eastAsia="zh-CN" w:bidi="ar-SA"/>
        </w:rPr>
        <w:t>采伐</w:t>
      </w:r>
      <w:r>
        <w:rPr>
          <w:rFonts w:hint="eastAsia" w:asciiTheme="minorEastAsia" w:hAnsiTheme="minorEastAsia" w:eastAsiaTheme="minorEastAsia" w:cstheme="minorEastAsia"/>
          <w:b/>
          <w:bCs/>
          <w:color w:val="auto"/>
          <w:kern w:val="2"/>
          <w:sz w:val="28"/>
          <w:szCs w:val="28"/>
          <w:highlight w:val="none"/>
          <w:lang w:val="en-US" w:eastAsia="zh-CN" w:bidi="ar-SA"/>
        </w:rPr>
        <w:t>伐区作业设计</w:t>
      </w:r>
      <w:r>
        <w:rPr>
          <w:rFonts w:hint="default" w:asciiTheme="minorEastAsia" w:hAnsiTheme="minorEastAsia" w:eastAsiaTheme="minorEastAsia" w:cstheme="minorEastAsia"/>
          <w:b/>
          <w:bCs/>
          <w:color w:val="auto"/>
          <w:kern w:val="2"/>
          <w:sz w:val="28"/>
          <w:szCs w:val="28"/>
          <w:highlight w:val="none"/>
          <w:lang w:val="en-US" w:eastAsia="zh-CN" w:bidi="ar-SA"/>
        </w:rPr>
        <w:t>要求</w:t>
      </w:r>
      <w:r>
        <w:rPr>
          <w:rFonts w:hint="eastAsia" w:asciiTheme="minorEastAsia" w:hAnsiTheme="minorEastAsia" w:eastAsiaTheme="minorEastAsia" w:cstheme="minorEastAsia"/>
          <w:b/>
          <w:bCs/>
          <w:color w:val="auto"/>
          <w:kern w:val="2"/>
          <w:sz w:val="28"/>
          <w:szCs w:val="28"/>
          <w:highlight w:val="none"/>
          <w:lang w:val="en-US" w:eastAsia="zh-CN" w:bidi="ar-SA"/>
        </w:rPr>
        <w:t>：按《湖南省林业局办公室关于印发&lt;湖南省森林质量精准提升建设导则&gt;的通知》（湘林造函〔2022〕17 号）；《湖南省林业厅印发《湖南省林木采伐伐区调查设计技术规定》的通知》（湘林资〔2017〕16 号）执行。</w:t>
      </w:r>
    </w:p>
    <w:p w14:paraId="48554B8B">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jc w:val="left"/>
        <w:textAlignment w:val="baseline"/>
        <w:outlineLvl w:val="1"/>
        <w:rPr>
          <w:rFonts w:hint="eastAsia"/>
          <w:color w:val="auto"/>
          <w:highlight w:val="none"/>
        </w:rPr>
      </w:pPr>
      <w:bookmarkStart w:id="223" w:name="_Toc2446"/>
      <w:r>
        <w:rPr>
          <w:rFonts w:hint="eastAsia" w:asciiTheme="minorEastAsia" w:hAnsiTheme="minorEastAsia" w:eastAsiaTheme="minorEastAsia" w:cstheme="minorEastAsia"/>
          <w:b/>
          <w:bCs/>
          <w:color w:val="auto"/>
          <w:sz w:val="28"/>
          <w:szCs w:val="28"/>
          <w:highlight w:val="none"/>
          <w:lang w:val="en-US" w:eastAsia="zh-CN"/>
        </w:rPr>
        <w:t>5</w:t>
      </w:r>
      <w:r>
        <w:rPr>
          <w:rFonts w:hint="eastAsia" w:asciiTheme="minorEastAsia" w:hAnsiTheme="minorEastAsia" w:eastAsiaTheme="minorEastAsia" w:cstheme="minorEastAsia"/>
          <w:b/>
          <w:bCs/>
          <w:color w:val="auto"/>
          <w:sz w:val="28"/>
          <w:szCs w:val="28"/>
          <w:highlight w:val="none"/>
        </w:rPr>
        <w:t>、</w:t>
      </w:r>
      <w:r>
        <w:rPr>
          <w:rFonts w:hint="eastAsia" w:asciiTheme="minorEastAsia" w:hAnsiTheme="minorEastAsia" w:eastAsiaTheme="minorEastAsia" w:cstheme="minorEastAsia"/>
          <w:b/>
          <w:bCs/>
          <w:color w:val="auto"/>
          <w:sz w:val="28"/>
          <w:szCs w:val="28"/>
          <w:highlight w:val="none"/>
          <w:lang w:val="en-US" w:eastAsia="zh-CN"/>
        </w:rPr>
        <w:t>三类</w:t>
      </w:r>
      <w:r>
        <w:rPr>
          <w:rFonts w:hint="eastAsia" w:asciiTheme="minorEastAsia" w:hAnsiTheme="minorEastAsia" w:eastAsiaTheme="minorEastAsia" w:cstheme="minorEastAsia"/>
          <w:b/>
          <w:bCs/>
          <w:color w:val="auto"/>
          <w:sz w:val="28"/>
          <w:szCs w:val="28"/>
          <w:highlight w:val="none"/>
        </w:rPr>
        <w:t>调查</w:t>
      </w:r>
      <w:bookmarkEnd w:id="223"/>
    </w:p>
    <w:p w14:paraId="7A9F4AE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设计单位在接受作业设计任务后，应收集项目相关文件和技术资料，做好移动设备、仪器工具、图形材料、调查用表、作业设计用品等准备，对参加调查设计人员进行技术培训，统一技术标准、调查方法和成果资料编制要求，开展小班区划和小班调查。三类调查(作业设计调查)</w:t>
      </w:r>
      <w:r>
        <w:rPr>
          <w:rFonts w:hint="eastAsia" w:asciiTheme="minorEastAsia" w:hAnsiTheme="minorEastAsia" w:eastAsiaTheme="minorEastAsia" w:cstheme="minorEastAsia"/>
          <w:color w:val="auto"/>
          <w:sz w:val="28"/>
          <w:szCs w:val="28"/>
          <w:highlight w:val="none"/>
          <w:lang w:val="en-US" w:eastAsia="zh-CN"/>
        </w:rPr>
        <w:t>需</w:t>
      </w:r>
      <w:r>
        <w:rPr>
          <w:rFonts w:hint="eastAsia" w:asciiTheme="minorEastAsia" w:hAnsiTheme="minorEastAsia" w:eastAsiaTheme="minorEastAsia" w:cstheme="minorEastAsia"/>
          <w:color w:val="auto"/>
          <w:sz w:val="28"/>
          <w:szCs w:val="28"/>
          <w:highlight w:val="none"/>
        </w:rPr>
        <w:t>满足造林设计</w:t>
      </w:r>
      <w:r>
        <w:rPr>
          <w:rFonts w:hint="eastAsia" w:asciiTheme="minorEastAsia" w:hAnsiTheme="minorEastAsia" w:eastAsiaTheme="minorEastAsia" w:cstheme="minorEastAsia"/>
          <w:color w:val="auto"/>
          <w:sz w:val="28"/>
          <w:szCs w:val="28"/>
          <w:highlight w:val="none"/>
          <w:lang w:val="en-US" w:eastAsia="zh-CN"/>
        </w:rPr>
        <w:t>要求</w:t>
      </w:r>
      <w:r>
        <w:rPr>
          <w:rFonts w:hint="eastAsia" w:asciiTheme="minorEastAsia" w:hAnsiTheme="minorEastAsia" w:eastAsiaTheme="minorEastAsia" w:cstheme="minorEastAsia"/>
          <w:color w:val="auto"/>
          <w:sz w:val="28"/>
          <w:szCs w:val="28"/>
          <w:highlight w:val="none"/>
        </w:rPr>
        <w:t>。</w:t>
      </w:r>
    </w:p>
    <w:p w14:paraId="55CC7B3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1</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小班调查。包括环境因子(地形、立地、土壤、植被等)，林分因子(权属、林种、起源、郁闭度、平均年龄、平均胸径、平均树高、亩株数、蓄积量、树种组成、幼苗幼树、灾害情况等)、退化原因、退化程度等。</w:t>
      </w:r>
    </w:p>
    <w:p w14:paraId="0BEA7F1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标准地。根据森林质量精准提升小班资源分布和生长发育状况，选择有代表性的地段布设标准地，每个标准地面积为1亩，标准地数量不小于作业设计小班面积的1%，即100亩设置1个，100-200亩设置2个，200-300亩设置3个，依次类推，每个小班应当至少设置一块标准地。</w:t>
      </w:r>
      <w:r>
        <w:rPr>
          <w:rFonts w:hint="eastAsia" w:asciiTheme="minorEastAsia" w:hAnsiTheme="minorEastAsia" w:eastAsiaTheme="minorEastAsia" w:cstheme="minorEastAsia"/>
          <w:color w:val="auto"/>
          <w:sz w:val="28"/>
          <w:szCs w:val="28"/>
          <w:highlight w:val="none"/>
        </w:rPr>
        <w:t>每个小班拍摄近景、远景照片各1张</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rPr>
        <w:t>要求带坐标信息。</w:t>
      </w:r>
    </w:p>
    <w:p w14:paraId="47A9B82D">
      <w:pPr>
        <w:adjustRightInd w:val="0"/>
        <w:spacing w:line="360" w:lineRule="auto"/>
        <w:ind w:firstLine="562" w:firstLineChars="200"/>
        <w:jc w:val="left"/>
        <w:textAlignment w:val="baseline"/>
        <w:outlineLvl w:val="1"/>
        <w:rPr>
          <w:rFonts w:hint="eastAsia" w:asciiTheme="minorEastAsia" w:hAnsiTheme="minorEastAsia" w:eastAsiaTheme="minorEastAsia" w:cstheme="minorEastAsia"/>
          <w:b/>
          <w:bCs/>
          <w:color w:val="auto"/>
          <w:sz w:val="28"/>
          <w:szCs w:val="28"/>
          <w:highlight w:val="none"/>
        </w:rPr>
      </w:pPr>
      <w:bookmarkStart w:id="224" w:name="_Toc3475"/>
      <w:r>
        <w:rPr>
          <w:rFonts w:hint="eastAsia" w:asciiTheme="minorEastAsia" w:hAnsiTheme="minorEastAsia" w:eastAsiaTheme="minorEastAsia" w:cstheme="minorEastAsia"/>
          <w:b/>
          <w:bCs/>
          <w:color w:val="auto"/>
          <w:sz w:val="28"/>
          <w:szCs w:val="28"/>
          <w:highlight w:val="none"/>
          <w:lang w:val="en-US" w:eastAsia="zh-CN"/>
        </w:rPr>
        <w:t>6</w:t>
      </w:r>
      <w:r>
        <w:rPr>
          <w:rFonts w:hint="eastAsia" w:asciiTheme="minorEastAsia" w:hAnsiTheme="minorEastAsia" w:eastAsiaTheme="minorEastAsia" w:cstheme="minorEastAsia"/>
          <w:b/>
          <w:bCs/>
          <w:color w:val="auto"/>
          <w:sz w:val="28"/>
          <w:szCs w:val="28"/>
          <w:highlight w:val="none"/>
        </w:rPr>
        <w:t>、内业设计</w:t>
      </w:r>
      <w:bookmarkEnd w:id="224"/>
    </w:p>
    <w:p w14:paraId="7FBAE90A">
      <w:pPr>
        <w:adjustRightInd w:val="0"/>
        <w:spacing w:line="360" w:lineRule="auto"/>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以小班为单元，对</w:t>
      </w:r>
      <w:r>
        <w:rPr>
          <w:rFonts w:hint="eastAsia" w:asciiTheme="minorEastAsia" w:hAnsiTheme="minorEastAsia" w:eastAsiaTheme="minorEastAsia" w:cstheme="minorEastAsia"/>
          <w:color w:val="auto"/>
          <w:sz w:val="28"/>
          <w:szCs w:val="28"/>
          <w:highlight w:val="none"/>
          <w:lang w:val="en-US" w:eastAsia="zh-CN"/>
        </w:rPr>
        <w:t>中幼林抚育、退化林修复、人工造乔木林</w:t>
      </w:r>
      <w:r>
        <w:rPr>
          <w:rFonts w:hint="eastAsia" w:asciiTheme="minorEastAsia" w:hAnsiTheme="minorEastAsia" w:eastAsiaTheme="minorEastAsia" w:cstheme="minorEastAsia"/>
          <w:color w:val="auto"/>
          <w:sz w:val="28"/>
          <w:szCs w:val="28"/>
          <w:highlight w:val="none"/>
        </w:rPr>
        <w:t>等每个作业小班提出具体技术措施，用于施工。包括小班选择、品种选择、主要技术措施设计、投资概算、编写作业设计文件、绘制作业设计图等。</w:t>
      </w:r>
    </w:p>
    <w:p w14:paraId="25D36AC4">
      <w:pPr>
        <w:adjustRightInd w:val="0"/>
        <w:spacing w:line="360" w:lineRule="auto"/>
        <w:ind w:firstLine="562" w:firstLineChars="200"/>
        <w:jc w:val="left"/>
        <w:textAlignment w:val="baseline"/>
        <w:outlineLvl w:val="1"/>
        <w:rPr>
          <w:rFonts w:hint="eastAsia" w:asciiTheme="minorEastAsia" w:hAnsiTheme="minorEastAsia" w:eastAsiaTheme="minorEastAsia" w:cstheme="minorEastAsia"/>
          <w:b/>
          <w:bCs/>
          <w:color w:val="auto"/>
          <w:sz w:val="28"/>
          <w:szCs w:val="28"/>
          <w:highlight w:val="none"/>
        </w:rPr>
      </w:pPr>
      <w:bookmarkStart w:id="225" w:name="_Toc9733"/>
      <w:r>
        <w:rPr>
          <w:rFonts w:hint="eastAsia" w:asciiTheme="minorEastAsia" w:hAnsiTheme="minorEastAsia" w:eastAsiaTheme="minorEastAsia" w:cstheme="minorEastAsia"/>
          <w:b/>
          <w:bCs/>
          <w:color w:val="auto"/>
          <w:sz w:val="28"/>
          <w:szCs w:val="28"/>
          <w:highlight w:val="none"/>
          <w:lang w:val="en-US" w:eastAsia="zh-CN"/>
        </w:rPr>
        <w:t>7</w:t>
      </w:r>
      <w:r>
        <w:rPr>
          <w:rFonts w:hint="eastAsia" w:asciiTheme="minorEastAsia" w:hAnsiTheme="minorEastAsia" w:eastAsiaTheme="minorEastAsia" w:cstheme="minorEastAsia"/>
          <w:b/>
          <w:bCs/>
          <w:color w:val="auto"/>
          <w:sz w:val="28"/>
          <w:szCs w:val="28"/>
          <w:highlight w:val="none"/>
        </w:rPr>
        <w:t>、成果文件组成</w:t>
      </w:r>
      <w:bookmarkEnd w:id="225"/>
    </w:p>
    <w:p w14:paraId="59C3D847">
      <w:pPr>
        <w:spacing w:line="360" w:lineRule="auto"/>
        <w:ind w:firstLine="560" w:firstLineChars="200"/>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作业设计成果文件包括</w:t>
      </w:r>
      <w:r>
        <w:rPr>
          <w:rFonts w:hint="eastAsia" w:asciiTheme="minorEastAsia" w:hAnsiTheme="minorEastAsia" w:eastAsiaTheme="minorEastAsia" w:cstheme="minorEastAsia"/>
          <w:color w:val="auto"/>
          <w:sz w:val="28"/>
          <w:szCs w:val="28"/>
          <w:highlight w:val="none"/>
          <w:lang w:val="en-US" w:eastAsia="zh-CN"/>
        </w:rPr>
        <w:t>但不限于</w:t>
      </w:r>
      <w:r>
        <w:rPr>
          <w:rFonts w:hint="eastAsia" w:asciiTheme="minorEastAsia" w:hAnsiTheme="minorEastAsia" w:eastAsiaTheme="minorEastAsia" w:cstheme="minorEastAsia"/>
          <w:color w:val="auto"/>
          <w:sz w:val="28"/>
          <w:szCs w:val="28"/>
          <w:highlight w:val="none"/>
        </w:rPr>
        <w:t>：作业设计说明书、作业设计概算书、逐小班作业设计说明、作业设计图</w:t>
      </w:r>
      <w:r>
        <w:rPr>
          <w:rFonts w:hint="eastAsia" w:asciiTheme="minorEastAsia" w:hAnsiTheme="minorEastAsia" w:eastAsiaTheme="minorEastAsia" w:cstheme="minorEastAsia"/>
          <w:color w:val="auto"/>
          <w:sz w:val="28"/>
          <w:szCs w:val="28"/>
          <w:highlight w:val="none"/>
          <w:lang w:val="en-US" w:eastAsia="zh-CN"/>
        </w:rPr>
        <w:t>集</w:t>
      </w:r>
      <w:r>
        <w:rPr>
          <w:rFonts w:hint="eastAsia" w:asciiTheme="minorEastAsia" w:hAnsiTheme="minorEastAsia" w:eastAsiaTheme="minorEastAsia" w:cstheme="minorEastAsia"/>
          <w:color w:val="auto"/>
          <w:sz w:val="28"/>
          <w:szCs w:val="28"/>
          <w:highlight w:val="none"/>
        </w:rPr>
        <w:t>等。作业设计文件（含施工图、苗木清单、投资估算）GIS空间分析图（标注修复区域、树种分布）合规性证明文件（地类审核、生态红线避让说明）</w:t>
      </w:r>
      <w:r>
        <w:rPr>
          <w:rFonts w:hint="eastAsia" w:asciiTheme="minorEastAsia" w:hAnsiTheme="minorEastAsia" w:eastAsiaTheme="minorEastAsia" w:cstheme="minorEastAsia"/>
          <w:color w:val="auto"/>
          <w:sz w:val="28"/>
          <w:szCs w:val="28"/>
          <w:highlight w:val="none"/>
          <w:lang w:val="en-US" w:eastAsia="zh-CN"/>
        </w:rPr>
        <w:t>包含项目实施区域的采伐伐区作业设计</w:t>
      </w:r>
    </w:p>
    <w:p w14:paraId="7B1469D1">
      <w:pPr>
        <w:adjustRightInd w:val="0"/>
        <w:spacing w:line="360" w:lineRule="auto"/>
        <w:ind w:firstLine="562" w:firstLineChars="200"/>
        <w:jc w:val="left"/>
        <w:textAlignment w:val="baseline"/>
        <w:outlineLvl w:val="1"/>
        <w:rPr>
          <w:rFonts w:hint="eastAsia" w:asciiTheme="minorEastAsia" w:hAnsiTheme="minorEastAsia" w:eastAsiaTheme="minorEastAsia" w:cstheme="minorEastAsia"/>
          <w:b/>
          <w:bCs/>
          <w:color w:val="auto"/>
          <w:sz w:val="28"/>
          <w:szCs w:val="28"/>
          <w:highlight w:val="none"/>
          <w:lang w:val="en-US" w:eastAsia="zh-CN"/>
        </w:rPr>
      </w:pPr>
    </w:p>
    <w:p w14:paraId="13711F2E">
      <w:pPr>
        <w:adjustRightInd w:val="0"/>
        <w:spacing w:line="360" w:lineRule="auto"/>
        <w:ind w:firstLine="562" w:firstLineChars="200"/>
        <w:jc w:val="left"/>
        <w:textAlignment w:val="baseline"/>
        <w:outlineLvl w:val="1"/>
        <w:rPr>
          <w:rFonts w:hint="eastAsia" w:asciiTheme="minorEastAsia" w:hAnsiTheme="minorEastAsia" w:eastAsiaTheme="minorEastAsia" w:cstheme="minorEastAsia"/>
          <w:b/>
          <w:bCs/>
          <w:color w:val="auto"/>
          <w:sz w:val="28"/>
          <w:szCs w:val="28"/>
          <w:highlight w:val="none"/>
          <w:lang w:val="en-US" w:eastAsia="zh-CN"/>
        </w:rPr>
      </w:pPr>
      <w:bookmarkStart w:id="226" w:name="_Toc24475"/>
      <w:r>
        <w:rPr>
          <w:rFonts w:hint="eastAsia" w:asciiTheme="minorEastAsia" w:hAnsiTheme="minorEastAsia" w:eastAsiaTheme="minorEastAsia" w:cstheme="minorEastAsia"/>
          <w:b/>
          <w:bCs/>
          <w:color w:val="auto"/>
          <w:sz w:val="28"/>
          <w:szCs w:val="28"/>
          <w:highlight w:val="none"/>
          <w:lang w:val="en-US" w:eastAsia="zh-CN"/>
        </w:rPr>
        <w:t>8、其他要求</w:t>
      </w:r>
      <w:bookmarkEnd w:id="226"/>
    </w:p>
    <w:p w14:paraId="5B99A3FC">
      <w:pPr>
        <w:spacing w:line="360" w:lineRule="auto"/>
        <w:ind w:firstLine="560" w:firstLineChars="20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1.供应商在本项目中的项目负责人和技术负责人应具有林业相关专业中级及以上职称，项目组成员应具有林业相关专业初级及以上职称。</w:t>
      </w:r>
    </w:p>
    <w:p w14:paraId="1AACBC62">
      <w:pPr>
        <w:spacing w:line="360" w:lineRule="auto"/>
        <w:ind w:firstLine="560" w:firstLineChars="20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2.供应商需提供服务所需的RTK或GPS、软件等一系列所需的设备及耗材劳保用品及药品等。</w:t>
      </w:r>
    </w:p>
    <w:p w14:paraId="010F3A50">
      <w:pPr>
        <w:pStyle w:val="13"/>
        <w:rPr>
          <w:rFonts w:hint="default"/>
          <w:color w:val="auto"/>
          <w:highlight w:val="none"/>
          <w:lang w:val="en-US"/>
        </w:rPr>
      </w:pPr>
    </w:p>
    <w:p w14:paraId="383C9A31">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3C898197">
      <w:pPr>
        <w:pStyle w:val="3"/>
        <w:adjustRightInd w:val="0"/>
        <w:snapToGrid w:val="0"/>
        <w:spacing w:before="156" w:beforeLines="50"/>
        <w:jc w:val="center"/>
        <w:rPr>
          <w:rFonts w:hint="eastAsia" w:ascii="宋体" w:hAnsi="宋体" w:eastAsia="宋体" w:cs="宋体"/>
          <w:color w:val="auto"/>
          <w:sz w:val="28"/>
          <w:szCs w:val="28"/>
          <w:highlight w:val="none"/>
        </w:rPr>
      </w:pPr>
      <w:bookmarkStart w:id="227" w:name="_Toc6342"/>
      <w:r>
        <w:rPr>
          <w:rFonts w:hint="eastAsia" w:ascii="宋体" w:hAnsi="宋体" w:eastAsia="宋体" w:cs="宋体"/>
          <w:color w:val="auto"/>
          <w:sz w:val="28"/>
          <w:szCs w:val="28"/>
          <w:highlight w:val="none"/>
        </w:rPr>
        <w:t xml:space="preserve">第二节 </w:t>
      </w:r>
      <w:r>
        <w:rPr>
          <w:rFonts w:hint="eastAsia" w:ascii="宋体" w:hAnsi="宋体" w:cs="宋体"/>
          <w:color w:val="auto"/>
          <w:sz w:val="28"/>
          <w:szCs w:val="28"/>
          <w:highlight w:val="none"/>
          <w:lang w:val="en-US" w:eastAsia="zh-CN"/>
        </w:rPr>
        <w:t>商务</w:t>
      </w:r>
      <w:r>
        <w:rPr>
          <w:rFonts w:hint="eastAsia" w:ascii="宋体" w:hAnsi="宋体" w:eastAsia="宋体" w:cs="宋体"/>
          <w:color w:val="auto"/>
          <w:sz w:val="28"/>
          <w:szCs w:val="28"/>
          <w:highlight w:val="none"/>
        </w:rPr>
        <w:t>要求</w:t>
      </w:r>
      <w:bookmarkEnd w:id="227"/>
    </w:p>
    <w:p w14:paraId="302507C8">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1、作业设计周期：</w:t>
      </w:r>
    </w:p>
    <w:p w14:paraId="11688B04">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自合同生效之日起，</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天内完成</w:t>
      </w:r>
      <w:r>
        <w:rPr>
          <w:rFonts w:hint="eastAsia" w:ascii="宋体" w:hAnsi="宋体" w:cs="宋体"/>
          <w:color w:val="auto"/>
          <w:sz w:val="24"/>
          <w:szCs w:val="24"/>
          <w:highlight w:val="none"/>
          <w:lang w:val="en-US" w:eastAsia="zh-CN"/>
        </w:rPr>
        <w:t>湖南省南岭山地—湘江上游中央财政国土绿化示范项目郴州市九县（市）作业设计技术服务</w:t>
      </w:r>
      <w:r>
        <w:rPr>
          <w:rFonts w:hint="eastAsia" w:ascii="宋体" w:hAnsi="宋体" w:eastAsia="宋体" w:cs="宋体"/>
          <w:color w:val="auto"/>
          <w:sz w:val="24"/>
          <w:szCs w:val="24"/>
          <w:highlight w:val="none"/>
          <w:lang w:val="en-US" w:eastAsia="zh-CN"/>
        </w:rPr>
        <w:t>成果送审稿交付采购人指定地点。后续设计成果根据工作进度要求按时完成。如需要设计变更，应及时根据工作要求和实际情况进行设计变更。</w:t>
      </w:r>
    </w:p>
    <w:p w14:paraId="3D5DD237">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3、付款方式</w:t>
      </w:r>
    </w:p>
    <w:p w14:paraId="0443EC0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1、采购人在合同签订后10个工作日向</w:t>
      </w:r>
      <w:r>
        <w:rPr>
          <w:rFonts w:hint="eastAsia" w:ascii="宋体" w:hAnsi="宋体" w:cs="宋体"/>
          <w:color w:val="auto"/>
          <w:sz w:val="24"/>
          <w:szCs w:val="24"/>
          <w:highlight w:val="none"/>
          <w:lang w:val="en-US" w:eastAsia="zh-CN"/>
        </w:rPr>
        <w:t>中标供应商</w:t>
      </w:r>
      <w:r>
        <w:rPr>
          <w:rFonts w:hint="eastAsia" w:ascii="宋体" w:hAnsi="宋体" w:eastAsia="宋体" w:cs="宋体"/>
          <w:color w:val="auto"/>
          <w:sz w:val="24"/>
          <w:szCs w:val="24"/>
          <w:highlight w:val="none"/>
          <w:lang w:val="en-US" w:eastAsia="zh-CN"/>
        </w:rPr>
        <w:t>支付合同总价的30%；</w:t>
      </w:r>
    </w:p>
    <w:p w14:paraId="3731C19A">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2、采购人在</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lang w:val="en-US" w:eastAsia="zh-CN"/>
        </w:rPr>
        <w:t>供应商完成作业设计成果并通过评审、获得主管部门批复后的15个工作日内支付项目尾款。（具体内容合同中约定）</w:t>
      </w:r>
      <w:r>
        <w:rPr>
          <w:rFonts w:hint="default" w:ascii="宋体" w:hAnsi="宋体" w:eastAsia="宋体" w:cs="宋体"/>
          <w:color w:val="auto"/>
          <w:sz w:val="24"/>
          <w:szCs w:val="24"/>
          <w:highlight w:val="none"/>
          <w:lang w:val="en-US" w:eastAsia="zh-CN"/>
        </w:rPr>
        <w:t>。</w:t>
      </w:r>
    </w:p>
    <w:p w14:paraId="4049629F">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4、质量标准及验收要求 </w:t>
      </w:r>
    </w:p>
    <w:p w14:paraId="2B70CAA6">
      <w:pPr>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作业</w:t>
      </w:r>
      <w:r>
        <w:rPr>
          <w:rFonts w:hint="eastAsia" w:ascii="宋体" w:hAnsi="宋体" w:eastAsia="宋体" w:cs="宋体"/>
          <w:color w:val="auto"/>
          <w:sz w:val="24"/>
          <w:szCs w:val="24"/>
          <w:highlight w:val="none"/>
          <w:lang w:val="en-US" w:eastAsia="zh-CN"/>
        </w:rPr>
        <w:t>设计要求的质量标准：</w:t>
      </w:r>
      <w:r>
        <w:rPr>
          <w:rFonts w:hint="eastAsia" w:ascii="宋体" w:hAnsi="宋体" w:cs="宋体"/>
          <w:color w:val="auto"/>
          <w:sz w:val="24"/>
          <w:szCs w:val="24"/>
          <w:highlight w:val="none"/>
          <w:lang w:val="en-US" w:eastAsia="zh-CN"/>
        </w:rPr>
        <w:t>作业</w:t>
      </w:r>
      <w:r>
        <w:rPr>
          <w:rFonts w:hint="eastAsia" w:ascii="宋体" w:hAnsi="宋体" w:eastAsia="宋体" w:cs="宋体"/>
          <w:color w:val="auto"/>
          <w:sz w:val="24"/>
          <w:szCs w:val="24"/>
          <w:highlight w:val="none"/>
          <w:lang w:val="en-US" w:eastAsia="zh-CN"/>
        </w:rPr>
        <w:t xml:space="preserve">设计技术成果符合相关规范、国家政策、法规和本项目实施方案的要求，最终通过林业行政主管部门的审查。 </w:t>
      </w:r>
    </w:p>
    <w:p w14:paraId="2D3299AB">
      <w:pPr>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、验收要求：由有关部门及专家严格按照国家颁布的工程设计规范要求和质量标准，结合本项目相关验收管理办法、评价验收规范以及项目实施方案等，确保项目质量达标。 </w:t>
      </w:r>
    </w:p>
    <w:p w14:paraId="4C8B4356">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（一）供应商需接受</w:t>
      </w:r>
      <w:r>
        <w:rPr>
          <w:rFonts w:hint="eastAsia" w:ascii="宋体" w:hAnsi="宋体" w:cs="宋体"/>
          <w:color w:val="auto"/>
          <w:sz w:val="24"/>
          <w:szCs w:val="24"/>
          <w:highlight w:val="none"/>
          <w:lang w:val="en-US" w:eastAsia="zh-CN"/>
        </w:rPr>
        <w:t>郴州</w:t>
      </w:r>
      <w:r>
        <w:rPr>
          <w:rFonts w:hint="eastAsia" w:ascii="宋体" w:hAnsi="宋体" w:eastAsia="宋体" w:cs="宋体"/>
          <w:color w:val="auto"/>
          <w:sz w:val="24"/>
          <w:szCs w:val="24"/>
          <w:highlight w:val="none"/>
          <w:lang w:val="en-US" w:eastAsia="zh-CN"/>
        </w:rPr>
        <w:t xml:space="preserve">市林业局对成果质量和工作进度的全程跟踪监督和检查，相应的调查成果需在规定时间内通过相关核查。 </w:t>
      </w:r>
    </w:p>
    <w:p w14:paraId="572D3785">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（二）项目核查不合格的，由中标供应商返工直至合格，有关返工、再行核查，以及给采购人造成的损失等费用由中标供应商承担。在规定的时间内修改一直验收不合格的，所造成的一切后果由中标供应商承担。</w:t>
      </w:r>
    </w:p>
    <w:p w14:paraId="404AA8EF">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5、其它需要说明的事项 </w:t>
      </w:r>
    </w:p>
    <w:p w14:paraId="099BCFC4">
      <w:pPr>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报价组成：本项目报价须包括所有供应商人工工资、福利待遇、差旅费、住宿费、验收费、办公费、管理费、税金、参与政府采购活动相关费用以及与项目有关的其他开支等所有费用，除采购文件另有约定外，本项目相关所有费用均已包含在总报价中，如有缺漏，由成交单位自行承担。 </w:t>
      </w:r>
    </w:p>
    <w:p w14:paraId="435B5AAE">
      <w:pPr>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、从事本项目的所有人员在服务期间发生任何人身伤亡、人身疾病及财产损失或涉及其他法律问题，与采购人无关，均由供应商承担全部责任并自行负责解决，采购人不承担任何法律责任和费用。 </w:t>
      </w:r>
    </w:p>
    <w:p w14:paraId="3644AFD3">
      <w:pPr>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、投标人在投标前，如需踏勘现场，有关费用自理，踏勘期间发生的意外自负。 </w:t>
      </w:r>
    </w:p>
    <w:p w14:paraId="7818B60D">
      <w:pPr>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 xml:space="preserve">、投标人中标后因自身原因无法履行合同规定的义务的，采购人有权终止合同，同时采购人不支付任何费用。招标人有权以相关法律法规追究未能履行合同义务的中标人，并报相关行政监督管理部门。 </w:t>
      </w:r>
    </w:p>
    <w:p w14:paraId="4E8D827E">
      <w:pPr>
        <w:spacing w:line="360" w:lineRule="auto"/>
        <w:ind w:firstLine="480" w:firstLineChars="200"/>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、其他未尽事宜按国家相关法律及行业标准执行。</w:t>
      </w:r>
    </w:p>
    <w:p w14:paraId="02CF1BAD">
      <w:pPr>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投标人必需在响应文件中对采购需求进行响应，对服务及要求的真实性负责，并提供承诺书原件加盖公章，且该承诺书将做为签订合同的依据和履约的标准，如投标人未能按照承诺书要求履行合同或无法满足采购文件中的采购需求的服务要求，可视为虚假响应，报政府采购监督管理部门处理，并由成交(中标）方承担一切后果和损失。甲方有权取消其成交资格，可确定排名第二的成交人成交。</w:t>
      </w:r>
    </w:p>
    <w:p w14:paraId="4E355F7E">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1C40A58B">
      <w:pPr>
        <w:pStyle w:val="23"/>
        <w:adjustRightInd w:val="0"/>
        <w:snapToGrid w:val="0"/>
        <w:spacing w:line="360" w:lineRule="auto"/>
        <w:jc w:val="center"/>
        <w:outlineLvl w:val="0"/>
        <w:rPr>
          <w:rFonts w:hint="eastAsia" w:ascii="宋体" w:hAnsi="宋体" w:eastAsia="宋体" w:cs="宋体"/>
          <w:b/>
          <w:color w:val="auto"/>
          <w:sz w:val="32"/>
          <w:szCs w:val="32"/>
          <w:highlight w:val="none"/>
        </w:rPr>
      </w:pPr>
      <w:bookmarkStart w:id="228" w:name="_Toc12144"/>
      <w:r>
        <w:rPr>
          <w:rFonts w:hint="eastAsia" w:ascii="宋体" w:hAnsi="宋体" w:eastAsia="宋体" w:cs="宋体"/>
          <w:b/>
          <w:color w:val="auto"/>
          <w:sz w:val="32"/>
          <w:szCs w:val="32"/>
          <w:highlight w:val="none"/>
        </w:rPr>
        <w:t>第六章 政府采购合同</w:t>
      </w:r>
      <w:bookmarkEnd w:id="212"/>
      <w:bookmarkEnd w:id="213"/>
      <w:bookmarkEnd w:id="228"/>
    </w:p>
    <w:p w14:paraId="439D7338">
      <w:pPr>
        <w:widowControl/>
        <w:jc w:val="left"/>
        <w:rPr>
          <w:color w:val="auto"/>
          <w:highlight w:val="none"/>
        </w:rPr>
      </w:pPr>
      <w:bookmarkStart w:id="229" w:name="_Toc1441"/>
      <w:bookmarkStart w:id="230" w:name="_Toc29913945"/>
      <w:bookmarkStart w:id="231" w:name="_Toc27385"/>
      <w:r>
        <w:rPr>
          <w:rFonts w:ascii="仿宋" w:hAnsi="仿宋" w:eastAsia="仿宋" w:cs="仿宋"/>
          <w:color w:val="auto"/>
          <w:kern w:val="0"/>
          <w:sz w:val="24"/>
          <w:highlight w:val="none"/>
        </w:rPr>
        <w:t>（请按照《中华人民共和国民法典》及本采购项目特点自行拟定特定文本确定合同格</w:t>
      </w:r>
      <w:r>
        <w:rPr>
          <w:rFonts w:hint="eastAsia" w:ascii="仿宋" w:hAnsi="仿宋" w:eastAsia="仿宋" w:cs="仿宋"/>
          <w:color w:val="auto"/>
          <w:kern w:val="0"/>
          <w:sz w:val="24"/>
          <w:highlight w:val="none"/>
        </w:rPr>
        <w:t>式，本协议书仅供参考，不作限制）</w:t>
      </w:r>
    </w:p>
    <w:p w14:paraId="29BDEF09">
      <w:pPr>
        <w:pStyle w:val="3"/>
        <w:adjustRightInd w:val="0"/>
        <w:snapToGrid w:val="0"/>
        <w:jc w:val="center"/>
        <w:rPr>
          <w:rFonts w:hint="eastAsia" w:ascii="宋体" w:hAnsi="宋体" w:eastAsia="宋体" w:cs="宋体"/>
          <w:color w:val="auto"/>
          <w:sz w:val="28"/>
          <w:szCs w:val="28"/>
          <w:highlight w:val="none"/>
        </w:rPr>
      </w:pPr>
      <w:bookmarkStart w:id="232" w:name="_Toc2336"/>
      <w:r>
        <w:rPr>
          <w:rFonts w:hint="eastAsia" w:ascii="宋体" w:hAnsi="宋体" w:eastAsia="宋体" w:cs="宋体"/>
          <w:color w:val="auto"/>
          <w:sz w:val="28"/>
          <w:szCs w:val="28"/>
          <w:highlight w:val="none"/>
        </w:rPr>
        <w:t>第一节 政府采购合同协议书</w:t>
      </w:r>
      <w:bookmarkEnd w:id="229"/>
      <w:bookmarkEnd w:id="230"/>
      <w:bookmarkEnd w:id="231"/>
      <w:bookmarkEnd w:id="232"/>
    </w:p>
    <w:p w14:paraId="7A44B124">
      <w:pPr>
        <w:adjustRightInd w:val="0"/>
        <w:snapToGrid w:val="0"/>
        <w:spacing w:before="156" w:beforeLines="50" w:line="360" w:lineRule="auto"/>
        <w:ind w:firstLine="5460" w:firstLineChars="26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采购合同编号：</w:t>
      </w:r>
      <w:r>
        <w:rPr>
          <w:rFonts w:hint="eastAsia" w:ascii="宋体" w:hAnsi="宋体" w:eastAsia="宋体" w:cs="宋体"/>
          <w:color w:val="auto"/>
          <w:szCs w:val="21"/>
          <w:highlight w:val="none"/>
          <w:u w:val="single"/>
        </w:rPr>
        <w:t xml:space="preserve">                 </w:t>
      </w:r>
    </w:p>
    <w:p w14:paraId="0A084D75">
      <w:pPr>
        <w:adjustRightInd w:val="0"/>
        <w:snapToGrid w:val="0"/>
        <w:spacing w:before="156" w:beforeLines="50" w:line="360" w:lineRule="auto"/>
        <w:jc w:val="center"/>
        <w:rPr>
          <w:rFonts w:hint="eastAsia" w:ascii="宋体" w:hAnsi="宋体" w:eastAsia="宋体" w:cs="宋体"/>
          <w:b/>
          <w:color w:val="auto"/>
          <w:szCs w:val="21"/>
          <w:highlight w:val="none"/>
        </w:rPr>
      </w:pPr>
    </w:p>
    <w:p w14:paraId="16E1FA43">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（甲方）</w:t>
      </w:r>
    </w:p>
    <w:p w14:paraId="737DECF5">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（乙方）</w:t>
      </w:r>
    </w:p>
    <w:p w14:paraId="33939479">
      <w:pPr>
        <w:pStyle w:val="18"/>
        <w:adjustRightInd w:val="0"/>
        <w:snapToGrid w:val="0"/>
        <w:spacing w:before="156" w:beforeLines="50" w:after="0" w:line="360" w:lineRule="auto"/>
        <w:rPr>
          <w:rFonts w:hint="eastAsia" w:ascii="宋体" w:hAnsi="宋体" w:eastAsia="宋体" w:cs="宋体"/>
          <w:color w:val="auto"/>
          <w:szCs w:val="21"/>
          <w:highlight w:val="none"/>
        </w:rPr>
      </w:pPr>
    </w:p>
    <w:p w14:paraId="6F077FFA">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为了保护甲、乙双方合法权益，根据《中华人民共和国民法典》、《中华人民共和国政府采购法》及其他有关法律、法规、规章，双方签订本合同协议书。</w:t>
      </w:r>
    </w:p>
    <w:p w14:paraId="463D3D1C">
      <w:pPr>
        <w:adjustRightInd w:val="0"/>
        <w:snapToGrid w:val="0"/>
        <w:spacing w:before="156" w:beforeLines="50"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1.项目信息</w:t>
      </w:r>
    </w:p>
    <w:p w14:paraId="70AA7D9C">
      <w:pPr>
        <w:adjustRightInd w:val="0"/>
        <w:snapToGrid w:val="0"/>
        <w:spacing w:before="156" w:beforeLines="50"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（1）采购项目名称：</w:t>
      </w:r>
      <w:r>
        <w:rPr>
          <w:rFonts w:hint="eastAsia" w:ascii="宋体" w:hAnsi="宋体" w:eastAsia="宋体" w:cs="宋体"/>
          <w:color w:val="auto"/>
          <w:szCs w:val="21"/>
          <w:highlight w:val="none"/>
          <w:u w:val="single"/>
        </w:rPr>
        <w:t xml:space="preserve">                                          </w:t>
      </w:r>
    </w:p>
    <w:p w14:paraId="4DFF8F0E">
      <w:pPr>
        <w:adjustRightInd w:val="0"/>
        <w:snapToGrid w:val="0"/>
        <w:spacing w:before="156" w:beforeLines="50" w:line="360" w:lineRule="auto"/>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cs="宋体"/>
          <w:color w:val="auto"/>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EC434D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（3）项目内容：</w:t>
      </w:r>
      <w:r>
        <w:rPr>
          <w:rFonts w:hint="eastAsia" w:ascii="宋体" w:hAnsi="宋体" w:eastAsia="宋体" w:cs="宋体"/>
          <w:color w:val="auto"/>
          <w:szCs w:val="21"/>
          <w:highlight w:val="none"/>
          <w:u w:val="single"/>
        </w:rPr>
        <w:t xml:space="preserve">                             </w:t>
      </w:r>
    </w:p>
    <w:p w14:paraId="5B99C9AC">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（4）是否分包：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2B9CC24">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C0E2D55">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7C54E6C">
      <w:pPr>
        <w:adjustRightInd w:val="0"/>
        <w:snapToGrid w:val="0"/>
        <w:spacing w:before="156" w:beforeLines="50" w:line="360" w:lineRule="auto"/>
        <w:ind w:firstLine="413" w:firstLineChars="19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2.合同金额</w:t>
      </w:r>
    </w:p>
    <w:p w14:paraId="4A719E3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（1）合同金额小写：</w:t>
      </w:r>
      <w:r>
        <w:rPr>
          <w:rFonts w:hint="eastAsia" w:ascii="宋体" w:hAnsi="宋体" w:eastAsia="宋体" w:cs="宋体"/>
          <w:color w:val="auto"/>
          <w:szCs w:val="21"/>
          <w:highlight w:val="none"/>
          <w:u w:val="single"/>
        </w:rPr>
        <w:t xml:space="preserve">                      </w:t>
      </w:r>
    </w:p>
    <w:p w14:paraId="47CB7E91">
      <w:pPr>
        <w:adjustRightInd w:val="0"/>
        <w:snapToGrid w:val="0"/>
        <w:spacing w:before="156" w:beforeLines="50" w:line="360" w:lineRule="auto"/>
        <w:ind w:firstLine="1260" w:firstLineChars="6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p>
    <w:p w14:paraId="54FB4D31">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（2）具体标的见附件。</w:t>
      </w:r>
    </w:p>
    <w:p w14:paraId="660A47A5">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（3）合同定价方式：</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固定总价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固定单价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 xml:space="preserve">成本补偿 </w:t>
      </w:r>
      <w:r>
        <w:rPr>
          <w:rFonts w:hint="eastAsia" w:ascii="宋体" w:hAnsi="宋体" w:eastAsia="宋体" w:cs="宋体"/>
          <w:iCs/>
          <w:color w:val="auto"/>
          <w:szCs w:val="21"/>
          <w:highlight w:val="none"/>
        </w:rPr>
        <w:sym w:font="Wingdings" w:char="00A8"/>
      </w:r>
      <w:r>
        <w:rPr>
          <w:rFonts w:hint="eastAsia" w:ascii="宋体" w:hAnsi="宋体" w:eastAsia="宋体" w:cs="宋体"/>
          <w:iCs/>
          <w:color w:val="auto"/>
          <w:szCs w:val="21"/>
          <w:highlight w:val="none"/>
        </w:rPr>
        <w:t>绩效激励</w:t>
      </w:r>
    </w:p>
    <w:p w14:paraId="6FF2736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（4）付款方式（按项目实际勾选填写）：</w:t>
      </w:r>
    </w:p>
    <w:p w14:paraId="001185EE">
      <w:pPr>
        <w:adjustRightInd w:val="0"/>
        <w:snapToGrid w:val="0"/>
        <w:spacing w:before="156" w:beforeLines="50" w:line="360" w:lineRule="auto"/>
        <w:ind w:firstLine="630" w:firstLineChars="3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全额付款：</w:t>
      </w:r>
      <w:r>
        <w:rPr>
          <w:rFonts w:hint="eastAsia" w:ascii="宋体" w:hAnsi="宋体" w:eastAsia="宋体" w:cs="宋体"/>
          <w:color w:val="auto"/>
          <w:szCs w:val="21"/>
          <w:highlight w:val="none"/>
          <w:u w:val="single"/>
        </w:rPr>
        <w:t xml:space="preserve">     （应一次性支付全部合同款项）                    </w:t>
      </w:r>
    </w:p>
    <w:p w14:paraId="7C0199EA">
      <w:pPr>
        <w:adjustRightInd w:val="0"/>
        <w:snapToGrid w:val="0"/>
        <w:spacing w:before="156" w:beforeLines="50" w:line="360" w:lineRule="auto"/>
        <w:ind w:firstLine="630" w:firstLineChars="3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预付款：</w:t>
      </w:r>
      <w:r>
        <w:rPr>
          <w:rFonts w:hint="eastAsia" w:ascii="宋体" w:hAnsi="宋体" w:eastAsia="宋体" w:cs="宋体"/>
          <w:color w:val="auto"/>
          <w:szCs w:val="21"/>
          <w:highlight w:val="none"/>
          <w:u w:val="single"/>
        </w:rPr>
        <w:t xml:space="preserve">    （应明确预付款的支付比例和支付条件）               </w:t>
      </w:r>
    </w:p>
    <w:p w14:paraId="4E05EE2B">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分期付款：</w:t>
      </w:r>
      <w:r>
        <w:rPr>
          <w:rFonts w:hint="eastAsia" w:ascii="宋体" w:hAnsi="宋体" w:eastAsia="宋体" w:cs="宋体"/>
          <w:color w:val="auto"/>
          <w:szCs w:val="21"/>
          <w:highlight w:val="none"/>
          <w:u w:val="single"/>
        </w:rPr>
        <w:t xml:space="preserve">     （应按照季度分期支付合同款项）                   </w:t>
      </w:r>
    </w:p>
    <w:p w14:paraId="7972CA49">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成本补偿：</w:t>
      </w:r>
      <w:r>
        <w:rPr>
          <w:rFonts w:hint="eastAsia" w:ascii="宋体" w:hAnsi="宋体" w:eastAsia="宋体" w:cs="宋体"/>
          <w:color w:val="auto"/>
          <w:szCs w:val="21"/>
          <w:highlight w:val="none"/>
          <w:u w:val="single"/>
        </w:rPr>
        <w:t xml:space="preserve">      （应明确按照成本补偿方式的支付方式和支付条件）   </w:t>
      </w:r>
    </w:p>
    <w:p w14:paraId="7BDE45AC">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绩效激励：</w:t>
      </w:r>
      <w:r>
        <w:rPr>
          <w:rFonts w:hint="eastAsia" w:ascii="宋体" w:hAnsi="宋体" w:eastAsia="宋体" w:cs="宋体"/>
          <w:color w:val="auto"/>
          <w:szCs w:val="21"/>
          <w:highlight w:val="none"/>
          <w:u w:val="single"/>
        </w:rPr>
        <w:t xml:space="preserve">      （应明确按照绩效激励方式的支付方式和支付条件）   </w:t>
      </w:r>
    </w:p>
    <w:p w14:paraId="67B1AE11">
      <w:pPr>
        <w:adjustRightInd w:val="0"/>
        <w:snapToGrid w:val="0"/>
        <w:spacing w:before="156" w:beforeLines="50" w:line="360" w:lineRule="auto"/>
        <w:ind w:firstLine="422" w:firstLineChars="200"/>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3.合同履行</w:t>
      </w:r>
    </w:p>
    <w:p w14:paraId="68AB725F">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w:t>
      </w:r>
    </w:p>
    <w:p w14:paraId="3F9B1D73">
      <w:pPr>
        <w:adjustRightInd w:val="0"/>
        <w:snapToGrid w:val="0"/>
        <w:spacing w:before="156" w:beforeLines="50"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（2）地点</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u w:val="single"/>
        </w:rPr>
        <w:t xml:space="preserve">                             </w:t>
      </w:r>
    </w:p>
    <w:p w14:paraId="37958271">
      <w:pPr>
        <w:adjustRightInd w:val="0"/>
        <w:snapToGrid w:val="0"/>
        <w:spacing w:before="156" w:beforeLines="50"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（3）方式：</w:t>
      </w:r>
      <w:r>
        <w:rPr>
          <w:rFonts w:hint="eastAsia" w:ascii="宋体" w:hAnsi="宋体" w:eastAsia="宋体" w:cs="宋体"/>
          <w:color w:val="auto"/>
          <w:szCs w:val="21"/>
          <w:highlight w:val="none"/>
          <w:u w:val="single"/>
        </w:rPr>
        <w:t xml:space="preserve">                             </w:t>
      </w:r>
    </w:p>
    <w:p w14:paraId="5D51E6D8">
      <w:pPr>
        <w:adjustRightInd w:val="0"/>
        <w:snapToGrid w:val="0"/>
        <w:spacing w:before="156" w:before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（3）质量保证金：</w:t>
      </w:r>
      <w:r>
        <w:rPr>
          <w:rFonts w:hint="eastAsia" w:ascii="宋体" w:hAnsi="宋体" w:eastAsia="宋体" w:cs="宋体"/>
          <w:bCs/>
          <w:color w:val="auto"/>
          <w:szCs w:val="21"/>
          <w:highlight w:val="none"/>
          <w:u w:val="single"/>
        </w:rPr>
        <w:t>质量保证金的金额、形式和期限要求</w:t>
      </w:r>
      <w:r>
        <w:rPr>
          <w:rFonts w:hint="eastAsia" w:ascii="宋体" w:hAnsi="宋体" w:eastAsia="宋体" w:cs="宋体"/>
          <w:bCs/>
          <w:color w:val="auto"/>
          <w:szCs w:val="21"/>
          <w:highlight w:val="none"/>
        </w:rPr>
        <w:t>。</w:t>
      </w:r>
    </w:p>
    <w:p w14:paraId="712C55FA">
      <w:pPr>
        <w:adjustRightInd w:val="0"/>
        <w:snapToGrid w:val="0"/>
        <w:spacing w:before="156" w:beforeLines="50"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4.合同验收</w:t>
      </w:r>
    </w:p>
    <w:p w14:paraId="4812B1C0">
      <w:pPr>
        <w:adjustRightInd w:val="0"/>
        <w:snapToGrid w:val="0"/>
        <w:spacing w:before="156" w:before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（1）验收主体：</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2E1A5B8A">
      <w:pPr>
        <w:adjustRightInd w:val="0"/>
        <w:snapToGrid w:val="0"/>
        <w:spacing w:before="156" w:before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（2）验收方式：</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32A3B3BC">
      <w:pPr>
        <w:adjustRightInd w:val="0"/>
        <w:snapToGrid w:val="0"/>
        <w:spacing w:before="156" w:beforeLines="50"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（3）验收标准：</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w:t>
      </w:r>
    </w:p>
    <w:p w14:paraId="538D65E1">
      <w:pPr>
        <w:adjustRightInd w:val="0"/>
        <w:snapToGrid w:val="0"/>
        <w:spacing w:before="156" w:beforeLines="50"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5.组成合同的文件</w:t>
      </w:r>
    </w:p>
    <w:p w14:paraId="4AF846AA">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本协议书与下列文件一起构成合同文件，如下述文件之间有任何抵触、矛盾或歧义，应按以下顺序解释：</w:t>
      </w:r>
    </w:p>
    <w:p w14:paraId="1E05B86A">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（1）在采购或合同履行过程中乙方作出的承诺以及双方协商达成的变更或补充协议</w:t>
      </w:r>
      <w:r>
        <w:rPr>
          <w:rFonts w:hint="eastAsia" w:ascii="宋体" w:hAnsi="宋体" w:eastAsia="宋体" w:cs="宋体"/>
          <w:color w:val="auto"/>
          <w:szCs w:val="21"/>
          <w:highlight w:val="none"/>
          <w:lang w:eastAsia="zh-CN"/>
        </w:rPr>
        <w:t>；</w:t>
      </w:r>
    </w:p>
    <w:p w14:paraId="1D78B667">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（2）本合同协议书</w:t>
      </w:r>
      <w:r>
        <w:rPr>
          <w:rFonts w:hint="eastAsia" w:ascii="宋体" w:hAnsi="宋体" w:eastAsia="宋体" w:cs="宋体"/>
          <w:color w:val="auto"/>
          <w:szCs w:val="21"/>
          <w:highlight w:val="none"/>
          <w:lang w:eastAsia="zh-CN"/>
        </w:rPr>
        <w:t>；</w:t>
      </w:r>
    </w:p>
    <w:p w14:paraId="0C9FB98C">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中标</w:t>
      </w:r>
      <w:r>
        <w:rPr>
          <w:rFonts w:hint="eastAsia" w:ascii="宋体" w:hAnsi="宋体" w:eastAsia="宋体" w:cs="宋体"/>
          <w:color w:val="auto"/>
          <w:szCs w:val="21"/>
          <w:highlight w:val="none"/>
        </w:rPr>
        <w:t>通知书</w:t>
      </w:r>
      <w:r>
        <w:rPr>
          <w:rFonts w:hint="eastAsia" w:ascii="宋体" w:hAnsi="宋体" w:eastAsia="宋体" w:cs="宋体"/>
          <w:color w:val="auto"/>
          <w:szCs w:val="21"/>
          <w:highlight w:val="none"/>
          <w:lang w:eastAsia="zh-CN"/>
        </w:rPr>
        <w:t>；</w:t>
      </w:r>
    </w:p>
    <w:p w14:paraId="6B4D0297">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eastAsia="zh-CN"/>
        </w:rPr>
        <w:t>投标</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eastAsia="zh-CN"/>
        </w:rPr>
        <w:t>；</w:t>
      </w:r>
    </w:p>
    <w:p w14:paraId="4CA47376">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（5）政府采购合同专用条款</w:t>
      </w:r>
      <w:r>
        <w:rPr>
          <w:rFonts w:hint="eastAsia" w:ascii="宋体" w:hAnsi="宋体" w:eastAsia="宋体" w:cs="宋体"/>
          <w:color w:val="auto"/>
          <w:szCs w:val="21"/>
          <w:highlight w:val="none"/>
          <w:lang w:eastAsia="zh-CN"/>
        </w:rPr>
        <w:t>；</w:t>
      </w:r>
    </w:p>
    <w:p w14:paraId="7D75BFD7">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（6）政府采购合同通用条款</w:t>
      </w:r>
      <w:r>
        <w:rPr>
          <w:rFonts w:hint="eastAsia" w:ascii="宋体" w:hAnsi="宋体" w:eastAsia="宋体" w:cs="宋体"/>
          <w:color w:val="auto"/>
          <w:szCs w:val="21"/>
          <w:highlight w:val="none"/>
          <w:lang w:eastAsia="zh-CN"/>
        </w:rPr>
        <w:t>；</w:t>
      </w:r>
    </w:p>
    <w:p w14:paraId="51778FF0">
      <w:pPr>
        <w:adjustRightInd w:val="0"/>
        <w:snapToGrid w:val="0"/>
        <w:spacing w:before="156" w:beforeLines="50"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（7）标准、规范及有关技术文件，图纸</w:t>
      </w:r>
      <w:r>
        <w:rPr>
          <w:rFonts w:hint="eastAsia" w:ascii="宋体" w:hAnsi="宋体" w:eastAsia="宋体" w:cs="宋体"/>
          <w:color w:val="auto"/>
          <w:szCs w:val="21"/>
          <w:highlight w:val="none"/>
          <w:lang w:eastAsia="zh-CN"/>
        </w:rPr>
        <w:t>；</w:t>
      </w:r>
    </w:p>
    <w:p w14:paraId="570B0717">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61CC228E">
      <w:pPr>
        <w:adjustRightInd w:val="0"/>
        <w:snapToGrid w:val="0"/>
        <w:spacing w:before="156" w:beforeLines="50" w:line="360" w:lineRule="auto"/>
        <w:ind w:firstLine="310" w:firstLineChars="14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6.合同生效</w:t>
      </w:r>
    </w:p>
    <w:p w14:paraId="04637E4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生效。</w:t>
      </w:r>
    </w:p>
    <w:p w14:paraId="4E73118E">
      <w:pPr>
        <w:adjustRightInd w:val="0"/>
        <w:snapToGrid w:val="0"/>
        <w:spacing w:before="156" w:beforeLines="50" w:line="360" w:lineRule="auto"/>
        <w:ind w:firstLine="310" w:firstLineChars="14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7.合同份数</w:t>
      </w:r>
    </w:p>
    <w:p w14:paraId="6EE47D03">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份，采购人执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r>
        <w:rPr>
          <w:rFonts w:hint="eastAsia" w:ascii="宋体" w:hAnsi="宋体" w:eastAsia="宋体" w:cs="宋体"/>
          <w:color w:val="auto"/>
          <w:szCs w:val="21"/>
          <w:highlight w:val="none"/>
          <w:lang w:eastAsia="zh-CN"/>
        </w:rPr>
        <w:t>供应</w:t>
      </w:r>
      <w:r>
        <w:rPr>
          <w:rFonts w:hint="eastAsia" w:ascii="宋体" w:hAnsi="宋体" w:eastAsia="宋体" w:cs="宋体"/>
          <w:color w:val="auto"/>
          <w:szCs w:val="21"/>
          <w:highlight w:val="none"/>
        </w:rPr>
        <w:t>商执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份，均具有同等法律效力。</w:t>
      </w:r>
    </w:p>
    <w:p w14:paraId="26F51659">
      <w:pPr>
        <w:adjustRightInd w:val="0"/>
        <w:snapToGrid w:val="0"/>
        <w:spacing w:before="156" w:beforeLines="50" w:line="360" w:lineRule="auto"/>
        <w:rPr>
          <w:rFonts w:hint="eastAsia" w:ascii="宋体" w:hAnsi="宋体" w:eastAsia="宋体" w:cs="宋体"/>
          <w:color w:val="auto"/>
          <w:szCs w:val="21"/>
          <w:highlight w:val="none"/>
        </w:rPr>
      </w:pPr>
    </w:p>
    <w:p w14:paraId="132630F4">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合同订立时间：</w:t>
      </w:r>
      <w:r>
        <w:rPr>
          <w:rFonts w:hint="eastAsia" w:ascii="宋体" w:hAnsi="宋体" w:eastAsia="宋体" w:cs="宋体"/>
          <w:color w:val="auto"/>
          <w:szCs w:val="21"/>
          <w:highlight w:val="none"/>
          <w:u w:val="single"/>
        </w:rPr>
        <w:t xml:space="preserve">      年  月  日</w:t>
      </w:r>
    </w:p>
    <w:p w14:paraId="2347975F">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合同订立地点：</w:t>
      </w:r>
      <w:r>
        <w:rPr>
          <w:rFonts w:hint="eastAsia" w:ascii="宋体" w:hAnsi="宋体" w:eastAsia="宋体" w:cs="宋体"/>
          <w:color w:val="auto"/>
          <w:szCs w:val="21"/>
          <w:highlight w:val="none"/>
          <w:u w:val="single"/>
        </w:rPr>
        <w:t xml:space="preserve">                           </w:t>
      </w:r>
    </w:p>
    <w:p w14:paraId="4E361D62">
      <w:pPr>
        <w:adjustRightInd w:val="0"/>
        <w:snapToGrid w:val="0"/>
        <w:spacing w:before="156" w:beforeLines="50"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附件：具体标的明细、分包合同等。</w:t>
      </w:r>
    </w:p>
    <w:p w14:paraId="7C097B5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0CA42648">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      方：（公章）                     乙      方：（公章）</w:t>
      </w:r>
    </w:p>
    <w:p w14:paraId="5012F6B5">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p>
    <w:p w14:paraId="761F258B">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授权代表人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授权代表人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368531F9">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69E33EAC">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p>
    <w:p w14:paraId="11C8E94A">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开 户 银 行：</w:t>
      </w:r>
      <w:r>
        <w:rPr>
          <w:rFonts w:hint="eastAsia" w:ascii="宋体" w:hAnsi="宋体" w:eastAsia="宋体" w:cs="宋体"/>
          <w:color w:val="auto"/>
          <w:szCs w:val="21"/>
          <w:highlight w:val="none"/>
          <w:u w:val="single"/>
        </w:rPr>
        <w:t xml:space="preserve">                   </w:t>
      </w:r>
    </w:p>
    <w:p w14:paraId="2ADE3810">
      <w:pPr>
        <w:adjustRightInd w:val="0"/>
        <w:snapToGrid w:val="0"/>
        <w:spacing w:before="156" w:beforeLines="50" w:line="36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账</w:t>
      </w:r>
      <w:r>
        <w:rPr>
          <w:rFonts w:hint="eastAsia" w:ascii="宋体" w:hAnsi="宋体" w:eastAsia="宋体" w:cs="宋体"/>
          <w:color w:val="auto"/>
          <w:szCs w:val="21"/>
          <w:highlight w:val="none"/>
        </w:rPr>
        <w:t xml:space="preserve">       号：</w:t>
      </w:r>
      <w:r>
        <w:rPr>
          <w:rFonts w:hint="eastAsia" w:ascii="宋体" w:hAnsi="宋体" w:eastAsia="宋体" w:cs="宋体"/>
          <w:color w:val="auto"/>
          <w:szCs w:val="21"/>
          <w:highlight w:val="none"/>
          <w:u w:val="single"/>
        </w:rPr>
        <w:t xml:space="preserve">                 </w:t>
      </w:r>
    </w:p>
    <w:p w14:paraId="256ADCED">
      <w:pPr>
        <w:autoSpaceDE w:val="0"/>
        <w:autoSpaceDN w:val="0"/>
        <w:adjustRightInd w:val="0"/>
        <w:snapToGrid w:val="0"/>
        <w:spacing w:before="50" w:line="360" w:lineRule="auto"/>
        <w:ind w:firstLine="420" w:firstLineChars="200"/>
        <w:jc w:val="left"/>
        <w:rPr>
          <w:rFonts w:hint="eastAsia" w:ascii="宋体" w:hAnsi="宋体" w:eastAsia="宋体" w:cs="宋体"/>
          <w:b/>
          <w:bCs/>
          <w:color w:val="auto"/>
          <w:sz w:val="32"/>
          <w:highlight w:val="none"/>
        </w:rPr>
      </w:pPr>
      <w:r>
        <w:rPr>
          <w:rFonts w:hint="eastAsia" w:ascii="宋体" w:hAnsi="宋体" w:eastAsia="宋体" w:cs="宋体"/>
          <w:color w:val="auto"/>
          <w:szCs w:val="21"/>
          <w:highlight w:val="none"/>
          <w:u w:val="single"/>
        </w:rPr>
        <w:br w:type="page"/>
      </w:r>
    </w:p>
    <w:p w14:paraId="2C3AFB01">
      <w:pPr>
        <w:pStyle w:val="3"/>
        <w:adjustRightInd w:val="0"/>
        <w:snapToGrid w:val="0"/>
        <w:spacing w:before="156" w:beforeLines="50"/>
        <w:jc w:val="center"/>
        <w:rPr>
          <w:rFonts w:hint="eastAsia" w:ascii="宋体" w:hAnsi="宋体" w:eastAsia="宋体" w:cs="宋体"/>
          <w:color w:val="auto"/>
          <w:sz w:val="44"/>
          <w:szCs w:val="44"/>
          <w:highlight w:val="none"/>
        </w:rPr>
      </w:pPr>
      <w:bookmarkStart w:id="233" w:name="_Toc18102"/>
      <w:bookmarkStart w:id="234" w:name="_Toc29332"/>
      <w:bookmarkStart w:id="235" w:name="_Toc13941"/>
      <w:bookmarkStart w:id="236" w:name="_Toc29913947"/>
      <w:r>
        <w:rPr>
          <w:rFonts w:hint="eastAsia" w:ascii="宋体" w:hAnsi="宋体" w:eastAsia="宋体" w:cs="宋体"/>
          <w:color w:val="auto"/>
          <w:sz w:val="28"/>
          <w:szCs w:val="28"/>
          <w:highlight w:val="none"/>
        </w:rPr>
        <w:t>第二节 政府采购合同通用条款</w:t>
      </w:r>
      <w:bookmarkEnd w:id="233"/>
      <w:bookmarkEnd w:id="234"/>
      <w:bookmarkEnd w:id="235"/>
    </w:p>
    <w:p w14:paraId="486BE727">
      <w:pPr>
        <w:tabs>
          <w:tab w:val="left" w:pos="8820"/>
          <w:tab w:val="left" w:pos="9345"/>
          <w:tab w:val="left" w:pos="9765"/>
        </w:tabs>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bCs/>
          <w:color w:val="auto"/>
          <w:sz w:val="24"/>
          <w:highlight w:val="none"/>
        </w:rPr>
        <w:t>定义</w:t>
      </w:r>
    </w:p>
    <w:p w14:paraId="2D27341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1.1合同当事人</w:t>
      </w:r>
    </w:p>
    <w:p w14:paraId="0622711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（1）采购人（以下称甲方）是指使用财政性资金，通过政府采购程序向供应商购买货物、服务的国家机关、事业单位、团体组织。本次采购的甲方名称、地址见</w:t>
      </w:r>
      <w:r>
        <w:rPr>
          <w:rFonts w:hint="eastAsia" w:ascii="宋体" w:hAnsi="宋体" w:eastAsia="宋体" w:cs="宋体"/>
          <w:b/>
          <w:color w:val="auto"/>
          <w:szCs w:val="21"/>
          <w:highlight w:val="none"/>
        </w:rPr>
        <w:t>【政府采购合同专用条款】。</w:t>
      </w:r>
    </w:p>
    <w:p w14:paraId="45934FEE">
      <w:pPr>
        <w:autoSpaceDE w:val="0"/>
        <w:autoSpaceDN w:val="0"/>
        <w:adjustRightInd w:val="0"/>
        <w:snapToGrid w:val="0"/>
        <w:spacing w:before="50"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（2）供应商（以下称乙方）是指参加政府采购活动而取得中标结果，并向采购人提供货物、服务的法人、其他组织或者自然人。</w:t>
      </w:r>
    </w:p>
    <w:p w14:paraId="61C9E951">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6A44D867">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（1）“合同”系指甲乙双方签署的、政府采购合同协议书中载明的甲乙双方所达成的协议，包括所有的附件、附录和上述文件所提到的构成合同的所有文件。</w:t>
      </w:r>
    </w:p>
    <w:p w14:paraId="64999555">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（2）“合同价”系指根据本合同规定乙方在正确地完全履行合同义务后甲方应支付给乙方的价款。</w:t>
      </w:r>
    </w:p>
    <w:p w14:paraId="5C7FD633">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（3）“货物”系指乙方根据本合同规定须向甲方提供的各种形态和种类的物品，包括原材料、设备、产品（包括软件）及相关的其备品备件、工具、手册及其它技术资料和材料。</w:t>
      </w:r>
    </w:p>
    <w:p w14:paraId="0EDDECF0">
      <w:pPr>
        <w:tabs>
          <w:tab w:val="left" w:pos="570"/>
          <w:tab w:val="left" w:pos="888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服务”系指根据合同规定，乙方应提供的技术、管理和其它服务，包括但不限于：管理和质量保证、运输、保险、检验、现场准备、安装、集成、调试、培训、维修、技术支持等以及合同中规定乙方应承担的其它义务。</w:t>
      </w:r>
    </w:p>
    <w:p w14:paraId="0876AFE5">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（5）“合同条款”系指本合同条款。</w:t>
      </w:r>
    </w:p>
    <w:p w14:paraId="57872618">
      <w:pPr>
        <w:tabs>
          <w:tab w:val="left" w:pos="570"/>
          <w:tab w:val="left" w:pos="9240"/>
          <w:tab w:val="left" w:pos="9555"/>
        </w:tabs>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（6）“项目现场”系指本合同项下货物安装、运行的现场，其名称见</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w:t>
      </w:r>
    </w:p>
    <w:p w14:paraId="41581F29">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2.合同的适用范围</w:t>
      </w:r>
    </w:p>
    <w:p w14:paraId="02E2B13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 本合同条款适用于没有被本合同其他部分的条款所取代的范围。</w:t>
      </w:r>
    </w:p>
    <w:p w14:paraId="7C55E0B0">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 合同内容根据招标文件、投标文件而确定。</w:t>
      </w:r>
    </w:p>
    <w:p w14:paraId="780F8B20">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color w:val="auto"/>
          <w:sz w:val="24"/>
          <w:highlight w:val="none"/>
        </w:rPr>
        <w:t>合同标的及金额</w:t>
      </w:r>
    </w:p>
    <w:p w14:paraId="2C5376A7">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合同标的及金额应与中标结果一致。</w:t>
      </w:r>
    </w:p>
    <w:p w14:paraId="5D178C32">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w:t>
      </w:r>
      <w:r>
        <w:rPr>
          <w:rFonts w:hint="eastAsia" w:ascii="宋体" w:hAnsi="宋体" w:eastAsia="宋体" w:cs="宋体"/>
          <w:b/>
          <w:color w:val="auto"/>
          <w:sz w:val="24"/>
          <w:highlight w:val="none"/>
        </w:rPr>
        <w:t>合同价款</w:t>
      </w:r>
    </w:p>
    <w:p w14:paraId="3DDE5080">
      <w:pPr>
        <w:adjustRightInd w:val="0"/>
        <w:snapToGrid w:val="0"/>
        <w:spacing w:before="50" w:line="360" w:lineRule="auto"/>
        <w:ind w:firstLine="420" w:firstLineChars="20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rPr>
        <w:t>4.1具体合同价款见本合同第3.1条。乙方为履行本合同而发生的所有费用均应包含在合同价款中，甲方不再另行支付其它任何费用。</w:t>
      </w:r>
    </w:p>
    <w:p w14:paraId="7AE86650">
      <w:pPr>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5.履行合同的时间、地点和方式</w:t>
      </w:r>
    </w:p>
    <w:p w14:paraId="3086C19B">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乙方应当在甲方确定的时间、指定的地点履行合同，具体的服务时间、地点和方式见</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w:t>
      </w:r>
    </w:p>
    <w:p w14:paraId="79B2D8B2">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 乙方提供服务的应当在甲方指定的地点完成服务项目。</w:t>
      </w:r>
    </w:p>
    <w:p w14:paraId="4D21B33C">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6.服务</w:t>
      </w:r>
      <w:r>
        <w:rPr>
          <w:rFonts w:hint="eastAsia" w:ascii="宋体" w:hAnsi="宋体" w:eastAsia="宋体" w:cs="宋体"/>
          <w:b/>
          <w:color w:val="auto"/>
          <w:sz w:val="24"/>
          <w:highlight w:val="none"/>
        </w:rPr>
        <w:t>的验收</w:t>
      </w:r>
    </w:p>
    <w:p w14:paraId="3BD7DC9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6.1乙方提供的服务由甲方或者甲方的最终用户负责验收。</w:t>
      </w:r>
    </w:p>
    <w:p w14:paraId="05A78083">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6.2甲方或者甲方的最终用户应当按照采购合同规定的技术、服务等要求组织对乙方履约的验收，并出具验收书。验收书应当包括每一项技术、服务等要求的履约情况。</w:t>
      </w:r>
    </w:p>
    <w:p w14:paraId="72D541A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6.3 在验收过程中发现数量不足或有质量、安全、技术等问题，乙方应负责按照甲方的要求采取补足、更换等处理措施，并承担由此发生的一切费用和损失。</w:t>
      </w:r>
    </w:p>
    <w:p w14:paraId="72F896B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6.4 甲方在乙方按合同规定提交服务或安装、调试后，无正当理由而拖延接收、验收或拒绝接收、验收的，应承担因此给乙方造成的直接损失。</w:t>
      </w:r>
    </w:p>
    <w:p w14:paraId="5098435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6.5大型或者复杂的项目，应当邀请国家认可的质量检测机构参加验收，并由其出具验收报告单。</w:t>
      </w:r>
    </w:p>
    <w:p w14:paraId="30B3E96E">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6.6政府向社会公众提供的公共服务项目，验收时应当邀请服务对象参与并出具意见，验收结果应当向社会公告。</w:t>
      </w:r>
    </w:p>
    <w:p w14:paraId="3CB862D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6.7 乙方提供的进口产品，乙方应出示中华人民共和国进出口商品检验部门出具的检验证书（招标文件第五章采购需求另有约定的除外）。</w:t>
      </w:r>
    </w:p>
    <w:p w14:paraId="2B067F23">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7.货物包装要求</w:t>
      </w:r>
    </w:p>
    <w:p w14:paraId="21909035">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28C2CB9E">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每一个包装箱内应附一份详细装箱单、质量证书和保修保养证书。</w:t>
      </w:r>
    </w:p>
    <w:p w14:paraId="0613A898">
      <w:pPr>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8.运输和保险</w:t>
      </w:r>
    </w:p>
    <w:p w14:paraId="1D97E869">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8.1乙方负责办理将货物运抵本合同第5.1条规定的交货地点的一切运输事项，相关费用应包括在合同总价中。</w:t>
      </w:r>
    </w:p>
    <w:p w14:paraId="0057289C">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8.2乙方应向保险公司投保以甲方为受益人的发运合同货物发票金额的110％运输一切险。</w:t>
      </w:r>
    </w:p>
    <w:p w14:paraId="4C94F0AB">
      <w:pPr>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9.质量标准和保证</w:t>
      </w:r>
    </w:p>
    <w:p w14:paraId="73560BF8">
      <w:pPr>
        <w:pStyle w:val="23"/>
        <w:adjustRightInd w:val="0"/>
        <w:snapToGrid w:val="0"/>
        <w:spacing w:before="50" w:line="360" w:lineRule="auto"/>
        <w:ind w:firstLine="42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rPr>
        <w:t>9.1 质量标准</w:t>
      </w:r>
    </w:p>
    <w:p w14:paraId="3C0C152D">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（1）本合同下交付的服务应符合招标文件第四章“技术规格、参数与要求”所述的标准。如果没有提及适用标准，则应符合中华人民共和国有关机构发布的最新版本的标准。</w:t>
      </w:r>
    </w:p>
    <w:p w14:paraId="0A5E0D2C">
      <w:pPr>
        <w:pStyle w:val="23"/>
        <w:adjustRightInd w:val="0"/>
        <w:snapToGrid w:val="0"/>
        <w:spacing w:before="50"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56A639A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（3）乙方所提供的服务还应符合国家有关安全、环保、卫生等规定。</w:t>
      </w:r>
    </w:p>
    <w:p w14:paraId="6BB78DD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9.2 保证</w:t>
      </w:r>
    </w:p>
    <w:p w14:paraId="23ED089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规定或乙方承诺（两者以较长的为准）的质量保证期内，本保证保持有效。</w:t>
      </w:r>
    </w:p>
    <w:p w14:paraId="4ADAFBF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0F0D61F7">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450520F6">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（4）在质量保证期内，如果货物的质量或规格与合同不符，或证实货物是有缺陷的，包括潜在的缺陷或使用不符合要求的材料等，甲方可以根据本合同第15.1条规定以书面形式向乙方提出补救措施或索赔。</w:t>
      </w:r>
    </w:p>
    <w:p w14:paraId="55134DE8">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（5）乙方在约定的时间内未能弥补缺陷，甲方可采取必要的补救措施，但其风险和费用将由乙方承担，甲方根据合同规定对乙方行使的其他权利不受影响。</w:t>
      </w:r>
    </w:p>
    <w:p w14:paraId="58B5EF9E">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10.权利瑕疵担保</w:t>
      </w:r>
    </w:p>
    <w:p w14:paraId="0B62B4E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乙方保证对其出售的服务享有合法的权利。</w:t>
      </w:r>
    </w:p>
    <w:p w14:paraId="2923837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10.2 乙方保证在其出售的服务上不存在任何未曾向甲方透露的担保物权，如抵押权、质押权、留置权等。</w:t>
      </w:r>
    </w:p>
    <w:p w14:paraId="1621A073">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 如甲方使用该服务构成上述侵权的，则由乙方承担全部责任。</w:t>
      </w:r>
    </w:p>
    <w:p w14:paraId="545F97B7">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11.知识产权保护</w:t>
      </w:r>
    </w:p>
    <w:p w14:paraId="78B8435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乙方对其所提供的服务应当享有知识产权或经权利人合法授权，保证没有侵犯任何第三人的知识产权和商业秘密等权利。</w:t>
      </w:r>
    </w:p>
    <w:p w14:paraId="23539E8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甲方使用乙方提供的服务对第三人构成侵权的，应当由乙方承担全部法律责任，给甲方造成损害的，乙方应当承担赔偿责任。</w:t>
      </w:r>
    </w:p>
    <w:p w14:paraId="0516EED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甲方委托乙方开发的产品，甲方享有知识产权，未经甲方许可不得转让任何第三人。</w:t>
      </w:r>
    </w:p>
    <w:p w14:paraId="2C3BAFAE">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12.保密义务</w:t>
      </w:r>
    </w:p>
    <w:p w14:paraId="5D412F9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甲、乙双方在采购和履行合同过程中所获悉的对方属于保密的内容，双方均有保密义务。</w:t>
      </w:r>
    </w:p>
    <w:p w14:paraId="7E8A55BE">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13.合同价款支付</w:t>
      </w:r>
    </w:p>
    <w:p w14:paraId="684A3E18">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13.1验收合格后，乙方出具正规发票给甲方，凭甲方开具的《政府采购合同验收报告单》办理合同价</w:t>
      </w:r>
      <w:r>
        <w:rPr>
          <w:rFonts w:hint="eastAsia" w:ascii="宋体" w:hAnsi="宋体" w:eastAsia="宋体" w:cs="宋体"/>
          <w:bCs/>
          <w:color w:val="auto"/>
          <w:szCs w:val="21"/>
          <w:highlight w:val="none"/>
        </w:rPr>
        <w:t>款</w:t>
      </w:r>
      <w:r>
        <w:rPr>
          <w:rFonts w:hint="eastAsia" w:ascii="宋体" w:hAnsi="宋体" w:eastAsia="宋体" w:cs="宋体"/>
          <w:color w:val="auto"/>
          <w:szCs w:val="21"/>
          <w:highlight w:val="none"/>
        </w:rPr>
        <w:t>结算手续。</w:t>
      </w:r>
    </w:p>
    <w:p w14:paraId="5DB54DB1">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合同价款构成中应当由财政支付的部分，甲方应当在货物验收合格后的十五个工作日内向国库管理部门申请支付，经国库管理部门审核后直接支付给乙方。</w:t>
      </w:r>
    </w:p>
    <w:p w14:paraId="5A5EED24">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合同价款构成中应当由甲方自行支付的部分，甲方应当在货物验收合格后十五个工作内支付。</w:t>
      </w:r>
    </w:p>
    <w:p w14:paraId="27EFF2B2">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13.4支付合同价</w:t>
      </w:r>
      <w:r>
        <w:rPr>
          <w:rFonts w:hint="eastAsia" w:ascii="宋体" w:hAnsi="宋体" w:eastAsia="宋体" w:cs="宋体"/>
          <w:bCs/>
          <w:color w:val="auto"/>
          <w:szCs w:val="21"/>
          <w:highlight w:val="none"/>
        </w:rPr>
        <w:t>款</w:t>
      </w:r>
      <w:r>
        <w:rPr>
          <w:rFonts w:hint="eastAsia" w:ascii="宋体" w:hAnsi="宋体" w:eastAsia="宋体" w:cs="宋体"/>
          <w:color w:val="auto"/>
          <w:szCs w:val="21"/>
          <w:highlight w:val="none"/>
        </w:rPr>
        <w:t>时，一律不向乙方以外的任何第三方办理付款手续。开户行和账号以签订的政府采购合同为准，如果乙方要求变更，则乙方必须提供加盖了财务专用章、法定代表人签字的证明文件，报经甲方审查同意。</w:t>
      </w:r>
    </w:p>
    <w:p w14:paraId="59FC353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13.5 合同价款支付方式</w:t>
      </w:r>
      <w:r>
        <w:rPr>
          <w:rFonts w:hint="eastAsia" w:ascii="宋体" w:hAnsi="宋体" w:eastAsia="宋体" w:cs="宋体"/>
          <w:bCs/>
          <w:color w:val="auto"/>
          <w:szCs w:val="21"/>
          <w:highlight w:val="none"/>
        </w:rPr>
        <w:t>和条件在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中另有规定。</w:t>
      </w:r>
    </w:p>
    <w:p w14:paraId="3FA9940D">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14.</w:t>
      </w:r>
      <w:r>
        <w:rPr>
          <w:rFonts w:hint="eastAsia" w:ascii="宋体" w:hAnsi="宋体" w:eastAsia="宋体" w:cs="宋体"/>
          <w:b/>
          <w:color w:val="auto"/>
          <w:sz w:val="24"/>
          <w:highlight w:val="none"/>
        </w:rPr>
        <w:t>乙方应提供的服务</w:t>
      </w:r>
    </w:p>
    <w:p w14:paraId="1BE425F9">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乙方应向甲方提交所提供货物的技术文件，包括相应的中文技术文件，如：产品目录、图纸、操作手册、使用说明、维护手册或服务指南。这些文件应包装好随同货物一起发运。</w:t>
      </w:r>
    </w:p>
    <w:p w14:paraId="762B53C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乙方还应提供下列服务：</w:t>
      </w:r>
    </w:p>
    <w:p w14:paraId="25E27871">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220BF5C2">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6C937D8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（3）在合同各方商定的一定期限内对所有的货物实施运行监督、维修，但前提条件是该服务并不能免除乙方在质量保证期内所承担的义务；</w:t>
      </w:r>
    </w:p>
    <w:p w14:paraId="2CA48A3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（4）在制造商或项目现场就货物的安装、启动、运营、维护对甲方操作人员进行培训；</w:t>
      </w:r>
    </w:p>
    <w:p w14:paraId="4C07EF9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54C5B06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 乙方提供的服务的费用应包含在合同价款中，甲方不再另行支付。</w:t>
      </w:r>
    </w:p>
    <w:p w14:paraId="2B3A40A1">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15.违约责任</w:t>
      </w:r>
    </w:p>
    <w:p w14:paraId="14F3AC2F">
      <w:pPr>
        <w:adjustRightInd w:val="0"/>
        <w:snapToGrid w:val="0"/>
        <w:spacing w:before="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15.1质量瑕疵的补救措施和索赔</w:t>
      </w:r>
    </w:p>
    <w:p w14:paraId="3F22687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如果乙方提供的服务或产品不符合质量标准或存在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76A6D666">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①乙方同意退货并将货款退还给甲方，由此发生的一切费用和损失由乙方承担。</w:t>
      </w:r>
    </w:p>
    <w:p w14:paraId="52E728D3">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②根据货物的质量状况以及甲方所遭受的损失，经过甲乙双方商定降低货物的价格。</w:t>
      </w:r>
    </w:p>
    <w:p w14:paraId="091714AD">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3B38E65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如不足以弥补甲方损失的，甲方有权进一步要求乙方赔偿。</w:t>
      </w:r>
    </w:p>
    <w:p w14:paraId="4F24BEE8">
      <w:pPr>
        <w:autoSpaceDE w:val="0"/>
        <w:autoSpaceDN w:val="0"/>
        <w:adjustRightInd w:val="0"/>
        <w:snapToGrid w:val="0"/>
        <w:spacing w:before="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迟延交付服务的违约责任</w:t>
      </w:r>
    </w:p>
    <w:p w14:paraId="4C6AE322">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1A66E443">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（2）除本合同</w:t>
      </w:r>
      <w:r>
        <w:rPr>
          <w:rFonts w:hint="eastAsia" w:ascii="宋体" w:hAnsi="宋体" w:eastAsia="宋体" w:cs="宋体"/>
          <w:bCs/>
          <w:color w:val="auto"/>
          <w:szCs w:val="21"/>
          <w:highlight w:val="none"/>
        </w:rPr>
        <w:t>第20条</w:t>
      </w:r>
      <w:r>
        <w:rPr>
          <w:rFonts w:hint="eastAsia" w:ascii="宋体" w:hAnsi="宋体" w:eastAsia="宋体" w:cs="宋体"/>
          <w:color w:val="auto"/>
          <w:szCs w:val="21"/>
          <w:highlight w:val="none"/>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1C45E2B0">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0FF2600F">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16.合同的变更</w:t>
      </w:r>
    </w:p>
    <w:p w14:paraId="27C94707">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在合同履行过程中，甲、乙双方可就合同履行的时间、地点和方式等协商进行变更。协商一致后，双方应签订书面的补充协议。</w:t>
      </w:r>
    </w:p>
    <w:p w14:paraId="3F1A345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在不改变合同其他条款的前提下，甲方有权在合同价款百分之十的范围内追加与合同标的相同的货物或服务，并就此与乙方签订补充合同，乙方不得拒绝。</w:t>
      </w:r>
    </w:p>
    <w:p w14:paraId="790503E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 除双方签署书面协议，并成为合同不可分割的一部分外，本合同条件不得有任何变更。</w:t>
      </w:r>
    </w:p>
    <w:p w14:paraId="773AB107">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17.合同中止与终止</w:t>
      </w:r>
    </w:p>
    <w:p w14:paraId="31A80387">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17.1合同的中止</w:t>
      </w:r>
    </w:p>
    <w:p w14:paraId="3769C4A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（1）合同在履行过程中，因采购计划调整，甲方可以要求中止履行，待计划确定后继续履行；</w:t>
      </w:r>
    </w:p>
    <w:p w14:paraId="28912B05">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（2）合同履行过程中因供应商就采购过程或结果提起投诉的，甲方认为有必要或财政部门责令中止的，应当中止合同的履行。</w:t>
      </w:r>
    </w:p>
    <w:p w14:paraId="021CAC87">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17.2合同的终止</w:t>
      </w:r>
    </w:p>
    <w:p w14:paraId="39FE6181">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31C44ED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（2）乙方未能依照本合同约定条件履行合同，已构成根本性违约的，甲方有权终止本合同，并追究乙方的违约责任。</w:t>
      </w:r>
    </w:p>
    <w:p w14:paraId="586F2178">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（3）如果乙方丧失履约能力或被宣告破产，甲方可在任何时候以书面形式通知乙方终止合同而不给乙方补偿。</w:t>
      </w:r>
    </w:p>
    <w:p w14:paraId="29B4BAE9">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（4）如果乙方在履行合同过程中有不正当竞争行为，甲方有权解除合同，并按《中华人民共和国反不正当竞争法》规定由有关部门追究其法律责任。</w:t>
      </w:r>
    </w:p>
    <w:p w14:paraId="5970AFB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（5）如果合同的履行将损害国家利益或社会公共利益，甲方有权终止合同的履行，给乙方造成损失的予以相应补偿。</w:t>
      </w:r>
    </w:p>
    <w:p w14:paraId="016BA8D3">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18.合同转让和分包</w:t>
      </w:r>
    </w:p>
    <w:p w14:paraId="52A416D4">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乙方不得以任何形式将合同转包。</w:t>
      </w:r>
    </w:p>
    <w:p w14:paraId="196CA18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 乙方未在投标文件中说明，不得将</w:t>
      </w:r>
      <w:r>
        <w:rPr>
          <w:rFonts w:hint="eastAsia" w:ascii="宋体" w:hAnsi="宋体" w:eastAsia="宋体" w:cs="宋体"/>
          <w:bCs/>
          <w:color w:val="auto"/>
          <w:szCs w:val="21"/>
          <w:highlight w:val="none"/>
        </w:rPr>
        <w:t>合同</w:t>
      </w:r>
      <w:r>
        <w:rPr>
          <w:rFonts w:hint="eastAsia" w:ascii="宋体" w:hAnsi="宋体" w:eastAsia="宋体" w:cs="宋体"/>
          <w:color w:val="auto"/>
          <w:szCs w:val="21"/>
          <w:highlight w:val="none"/>
        </w:rPr>
        <w:t>的非主体、非关键性工作分包给他人。</w:t>
      </w:r>
    </w:p>
    <w:p w14:paraId="639D1668">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19.不可抗力</w:t>
      </w:r>
    </w:p>
    <w:p w14:paraId="1A7800F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 不可抗力是指合同双方不可预见、不可避免、不可克服的自然灾害和社会事件。</w:t>
      </w:r>
    </w:p>
    <w:p w14:paraId="74C77595">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 任何一方对由于不可抗力造成的部分或全部不能履行合同不承担违约责任。但迟延履行后发生不可抗力的，不能免除责任。</w:t>
      </w:r>
    </w:p>
    <w:p w14:paraId="08EA8951">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 遇有不可抗力的一方，应在三日内将事件的情况以书面形式通知另一方，并在事件发生后十日内，向另一方提交合同不能履行或部分不能履行或需要延期履行理由的报告。</w:t>
      </w:r>
    </w:p>
    <w:p w14:paraId="2F71C14E">
      <w:pPr>
        <w:autoSpaceDE w:val="0"/>
        <w:autoSpaceDN w:val="0"/>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20.解决争议的方法</w:t>
      </w:r>
    </w:p>
    <w:p w14:paraId="74EB2899">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 合同各方应通过友好协商，解决在执行合同过程中所发生的或与合同有关的一切争端。如从协商开始后十日内仍不能解决，可以向财政部门提请调解。</w:t>
      </w:r>
    </w:p>
    <w:p w14:paraId="51F2E6AF">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调解不成可以按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中约定中规定下列方式之一提起仲裁或诉讼：</w:t>
      </w:r>
    </w:p>
    <w:p w14:paraId="62A821A5">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（1）向甲方所在地仲裁机构提起仲裁；</w:t>
      </w:r>
    </w:p>
    <w:p w14:paraId="2F0DD740">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（2）向甲方所在地人民法院提起诉讼。</w:t>
      </w:r>
    </w:p>
    <w:p w14:paraId="0A80EC5A">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 如仲裁或诉讼事项不影响合同其它部分的履行，则在仲裁或诉讼期间，除正在进行仲裁或诉讼的部分外，合同的其它部分应继续执行。</w:t>
      </w:r>
    </w:p>
    <w:p w14:paraId="20C439FB">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21.法律适用</w:t>
      </w:r>
    </w:p>
    <w:p w14:paraId="07242BCC">
      <w:pPr>
        <w:autoSpaceDE w:val="0"/>
        <w:autoSpaceDN w:val="0"/>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本合同适用中华人民共和国现行法律、行政法规和规章，如合同条款与法律、行政法规和规章不一致的，按照法律、行政法规和规章修改本合同。</w:t>
      </w:r>
    </w:p>
    <w:p w14:paraId="05E591F1">
      <w:pPr>
        <w:autoSpaceDE w:val="0"/>
        <w:autoSpaceDN w:val="0"/>
        <w:adjustRightInd w:val="0"/>
        <w:snapToGrid w:val="0"/>
        <w:spacing w:before="50"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22.</w:t>
      </w:r>
      <w:r>
        <w:rPr>
          <w:rFonts w:hint="eastAsia" w:ascii="宋体" w:hAnsi="宋体" w:eastAsia="宋体" w:cs="宋体"/>
          <w:b/>
          <w:color w:val="auto"/>
          <w:sz w:val="24"/>
          <w:highlight w:val="none"/>
        </w:rPr>
        <w:t>通知</w:t>
      </w:r>
    </w:p>
    <w:p w14:paraId="2BC6CF79">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22.1本合同一方给另一方的通知均应采用书面形式，传真或快递送到本合同中规定的对方的地址和办理签收手续，</w:t>
      </w:r>
    </w:p>
    <w:p w14:paraId="5EF4F8A2">
      <w:pPr>
        <w:adjustRightInd w:val="0"/>
        <w:snapToGrid w:val="0"/>
        <w:spacing w:before="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22.2通知以送到之日或通知书中规定的生效之日起生效，两者中以较迟之日为准。</w:t>
      </w:r>
    </w:p>
    <w:p w14:paraId="7E2D8A6B">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23. 合同未尽事项</w:t>
      </w:r>
    </w:p>
    <w:p w14:paraId="34C53B87">
      <w:pPr>
        <w:adjustRightInd w:val="0"/>
        <w:snapToGrid w:val="0"/>
        <w:spacing w:before="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23.1合同未尽事项见</w:t>
      </w:r>
      <w:r>
        <w:rPr>
          <w:rFonts w:hint="eastAsia" w:ascii="宋体" w:hAnsi="宋体" w:eastAsia="宋体" w:cs="宋体"/>
          <w:b/>
          <w:color w:val="auto"/>
          <w:szCs w:val="21"/>
          <w:highlight w:val="none"/>
        </w:rPr>
        <w:t>【政府采购合同专用条款】。</w:t>
      </w:r>
    </w:p>
    <w:p w14:paraId="49501F01">
      <w:pPr>
        <w:adjustRightInd w:val="0"/>
        <w:snapToGrid w:val="0"/>
        <w:spacing w:before="50"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24.合同生效</w:t>
      </w:r>
    </w:p>
    <w:p w14:paraId="7F919DCD">
      <w:pPr>
        <w:rPr>
          <w:rFonts w:hint="eastAsia" w:ascii="宋体" w:hAnsi="宋体" w:eastAsia="宋体" w:cs="宋体"/>
          <w:color w:val="auto"/>
          <w:highlight w:val="none"/>
        </w:rPr>
      </w:pPr>
      <w:bookmarkStart w:id="237" w:name="_Toc18579"/>
      <w:r>
        <w:rPr>
          <w:rFonts w:hint="eastAsia" w:ascii="宋体" w:hAnsi="宋体" w:eastAsia="宋体" w:cs="宋体"/>
          <w:color w:val="auto"/>
          <w:highlight w:val="none"/>
        </w:rPr>
        <w:t>24.1 本合同在合同双方签字盖章后生效。</w:t>
      </w:r>
      <w:bookmarkEnd w:id="237"/>
    </w:p>
    <w:p w14:paraId="51EA818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F4E19A4">
      <w:pPr>
        <w:pStyle w:val="3"/>
        <w:bidi w:val="0"/>
        <w:jc w:val="center"/>
        <w:rPr>
          <w:rFonts w:hint="eastAsia" w:ascii="宋体" w:hAnsi="宋体" w:eastAsia="宋体" w:cs="宋体"/>
          <w:color w:val="auto"/>
          <w:sz w:val="28"/>
          <w:szCs w:val="28"/>
          <w:highlight w:val="none"/>
        </w:rPr>
      </w:pPr>
      <w:bookmarkStart w:id="238" w:name="_Toc1269"/>
      <w:bookmarkStart w:id="239" w:name="_Toc8629"/>
      <w:r>
        <w:rPr>
          <w:rFonts w:hint="eastAsia" w:ascii="宋体" w:hAnsi="宋体" w:eastAsia="宋体" w:cs="宋体"/>
          <w:color w:val="auto"/>
          <w:sz w:val="28"/>
          <w:szCs w:val="28"/>
          <w:highlight w:val="none"/>
        </w:rPr>
        <w:t>第三节 政府采购合同专用条款</w:t>
      </w:r>
      <w:bookmarkEnd w:id="238"/>
      <w:bookmarkEnd w:id="239"/>
    </w:p>
    <w:tbl>
      <w:tblPr>
        <w:tblStyle w:val="44"/>
        <w:tblW w:w="9008"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14:paraId="439EAB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19D1E8B4">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5EAC987F">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第1.1款</w:t>
            </w:r>
          </w:p>
        </w:tc>
        <w:tc>
          <w:tcPr>
            <w:tcW w:w="1843" w:type="dxa"/>
            <w:noWrap w:val="0"/>
            <w:vAlign w:val="center"/>
          </w:tcPr>
          <w:p w14:paraId="03E7BDB1">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 xml:space="preserve">甲方名称、地址 </w:t>
            </w:r>
          </w:p>
        </w:tc>
        <w:tc>
          <w:tcPr>
            <w:tcW w:w="5464" w:type="dxa"/>
            <w:noWrap w:val="0"/>
            <w:vAlign w:val="center"/>
          </w:tcPr>
          <w:p w14:paraId="2E93D39B">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名称：</w:t>
            </w:r>
            <w:r>
              <w:rPr>
                <w:rFonts w:hint="eastAsia" w:cs="Times New Roman"/>
                <w:b w:val="0"/>
                <w:color w:val="auto"/>
                <w:kern w:val="2"/>
                <w:sz w:val="21"/>
                <w:szCs w:val="24"/>
                <w:highlight w:val="none"/>
                <w:lang w:val="en-US" w:eastAsia="zh-CN" w:bidi="ar-SA"/>
              </w:rPr>
              <w:t>湖南省南岭山地—湘江上游中央财政国土绿化示范项目郴州市九县（市）作业设计技术服务</w:t>
            </w:r>
          </w:p>
          <w:p w14:paraId="2709C8C1">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地址：采购人指定地点</w:t>
            </w:r>
          </w:p>
        </w:tc>
      </w:tr>
      <w:tr w14:paraId="60317E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7C3879E">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6195BE0E">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第1.2（6）项</w:t>
            </w:r>
          </w:p>
        </w:tc>
        <w:tc>
          <w:tcPr>
            <w:tcW w:w="1843" w:type="dxa"/>
            <w:noWrap w:val="0"/>
            <w:vAlign w:val="center"/>
          </w:tcPr>
          <w:p w14:paraId="02A43542">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项目现场</w:t>
            </w:r>
          </w:p>
        </w:tc>
        <w:tc>
          <w:tcPr>
            <w:tcW w:w="5464" w:type="dxa"/>
            <w:noWrap w:val="0"/>
            <w:vAlign w:val="center"/>
          </w:tcPr>
          <w:p w14:paraId="5E684F15">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采购人指定地点</w:t>
            </w:r>
          </w:p>
        </w:tc>
      </w:tr>
      <w:tr w14:paraId="7F898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14EA47BF">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72B2124A">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第5.1款</w:t>
            </w:r>
          </w:p>
        </w:tc>
        <w:tc>
          <w:tcPr>
            <w:tcW w:w="1843" w:type="dxa"/>
            <w:noWrap w:val="0"/>
            <w:vAlign w:val="center"/>
          </w:tcPr>
          <w:p w14:paraId="21FE57AD">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履行合同的时间、地点及方式</w:t>
            </w:r>
          </w:p>
        </w:tc>
        <w:tc>
          <w:tcPr>
            <w:tcW w:w="5464" w:type="dxa"/>
            <w:noWrap w:val="0"/>
            <w:vAlign w:val="center"/>
          </w:tcPr>
          <w:p w14:paraId="2FD0EEB7">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履行合同的时间：详见第五章采购需求</w:t>
            </w:r>
          </w:p>
          <w:p w14:paraId="01EE4C26">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地点及方式：详见第五章采购需求</w:t>
            </w:r>
          </w:p>
        </w:tc>
      </w:tr>
      <w:tr w14:paraId="273A7B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752496CF">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7DD7235E">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第9.2（1）项</w:t>
            </w:r>
          </w:p>
        </w:tc>
        <w:tc>
          <w:tcPr>
            <w:tcW w:w="1843" w:type="dxa"/>
            <w:noWrap w:val="0"/>
            <w:vAlign w:val="center"/>
          </w:tcPr>
          <w:p w14:paraId="32892404">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质量保证期</w:t>
            </w:r>
          </w:p>
        </w:tc>
        <w:tc>
          <w:tcPr>
            <w:tcW w:w="5464" w:type="dxa"/>
            <w:noWrap w:val="0"/>
            <w:vAlign w:val="center"/>
          </w:tcPr>
          <w:p w14:paraId="2B3D9DD4">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详见第五章采购需求。</w:t>
            </w:r>
          </w:p>
        </w:tc>
      </w:tr>
      <w:tr w14:paraId="127DF3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46443186">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132D941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第9.2（3）项</w:t>
            </w:r>
          </w:p>
        </w:tc>
        <w:tc>
          <w:tcPr>
            <w:tcW w:w="1843" w:type="dxa"/>
            <w:noWrap w:val="0"/>
            <w:vAlign w:val="center"/>
          </w:tcPr>
          <w:p w14:paraId="49555FDB">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响应时间</w:t>
            </w:r>
          </w:p>
        </w:tc>
        <w:tc>
          <w:tcPr>
            <w:tcW w:w="5464" w:type="dxa"/>
            <w:noWrap w:val="0"/>
            <w:vAlign w:val="center"/>
          </w:tcPr>
          <w:p w14:paraId="0D48F082">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详见第五章采购需求</w:t>
            </w:r>
          </w:p>
        </w:tc>
      </w:tr>
      <w:tr w14:paraId="7B9918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6A7DA7F8">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74894B35">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第13.5款</w:t>
            </w:r>
          </w:p>
        </w:tc>
        <w:tc>
          <w:tcPr>
            <w:tcW w:w="1843" w:type="dxa"/>
            <w:noWrap w:val="0"/>
            <w:vAlign w:val="center"/>
          </w:tcPr>
          <w:p w14:paraId="4AF52113">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合同价款支付方式</w:t>
            </w:r>
            <w:r>
              <w:rPr>
                <w:rFonts w:hint="eastAsia" w:ascii="宋体" w:hAnsi="宋体"/>
                <w:bCs/>
                <w:color w:val="auto"/>
                <w:szCs w:val="21"/>
                <w:highlight w:val="none"/>
              </w:rPr>
              <w:t>和条件</w:t>
            </w:r>
          </w:p>
        </w:tc>
        <w:tc>
          <w:tcPr>
            <w:tcW w:w="5464" w:type="dxa"/>
            <w:noWrap w:val="0"/>
            <w:vAlign w:val="center"/>
          </w:tcPr>
          <w:p w14:paraId="4A68C888">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详见第五章采购需求</w:t>
            </w:r>
          </w:p>
        </w:tc>
      </w:tr>
      <w:tr w14:paraId="36E0F6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6A92AC2">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26C3BE61">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第14.2（6）项</w:t>
            </w:r>
          </w:p>
        </w:tc>
        <w:tc>
          <w:tcPr>
            <w:tcW w:w="1843" w:type="dxa"/>
            <w:noWrap w:val="0"/>
            <w:vAlign w:val="center"/>
          </w:tcPr>
          <w:p w14:paraId="3746DB6E">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乙方提供的其他服务</w:t>
            </w:r>
          </w:p>
        </w:tc>
        <w:tc>
          <w:tcPr>
            <w:tcW w:w="5464" w:type="dxa"/>
            <w:noWrap w:val="0"/>
            <w:vAlign w:val="center"/>
          </w:tcPr>
          <w:p w14:paraId="57D472C1">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详见第五章采购需求。</w:t>
            </w:r>
          </w:p>
        </w:tc>
      </w:tr>
      <w:tr w14:paraId="664D75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73937B7">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6AC19263">
            <w:pPr>
              <w:adjustRightInd w:val="0"/>
              <w:snapToGrid w:val="0"/>
              <w:spacing w:line="360" w:lineRule="auto"/>
              <w:jc w:val="center"/>
              <w:rPr>
                <w:rFonts w:ascii="宋体" w:hAnsi="宋体"/>
                <w:bCs/>
                <w:color w:val="auto"/>
                <w:szCs w:val="21"/>
                <w:highlight w:val="none"/>
              </w:rPr>
            </w:pPr>
            <w:r>
              <w:rPr>
                <w:rFonts w:hint="eastAsia" w:ascii="宋体" w:hAnsi="宋体"/>
                <w:color w:val="auto"/>
                <w:szCs w:val="21"/>
                <w:highlight w:val="none"/>
              </w:rPr>
              <w:t>第20.2款</w:t>
            </w:r>
          </w:p>
        </w:tc>
        <w:tc>
          <w:tcPr>
            <w:tcW w:w="1843" w:type="dxa"/>
            <w:noWrap w:val="0"/>
            <w:vAlign w:val="center"/>
          </w:tcPr>
          <w:p w14:paraId="6854FF54">
            <w:pPr>
              <w:adjustRightInd w:val="0"/>
              <w:snapToGrid w:val="0"/>
              <w:spacing w:line="360" w:lineRule="auto"/>
              <w:jc w:val="left"/>
              <w:rPr>
                <w:rFonts w:ascii="宋体" w:hAnsi="宋体"/>
                <w:bCs/>
                <w:color w:val="auto"/>
                <w:szCs w:val="21"/>
                <w:highlight w:val="none"/>
              </w:rPr>
            </w:pPr>
            <w:r>
              <w:rPr>
                <w:rFonts w:hint="eastAsia" w:ascii="宋体" w:hAnsi="宋体"/>
                <w:color w:val="auto"/>
                <w:szCs w:val="21"/>
                <w:highlight w:val="none"/>
              </w:rPr>
              <w:t>解决争议的方式</w:t>
            </w:r>
          </w:p>
        </w:tc>
        <w:tc>
          <w:tcPr>
            <w:tcW w:w="5464" w:type="dxa"/>
            <w:noWrap w:val="0"/>
            <w:vAlign w:val="center"/>
          </w:tcPr>
          <w:p w14:paraId="788BE1F1">
            <w:pPr>
              <w:adjustRightInd w:val="0"/>
              <w:snapToGrid w:val="0"/>
              <w:spacing w:line="360" w:lineRule="auto"/>
              <w:jc w:val="left"/>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协商解决。</w:t>
            </w:r>
          </w:p>
        </w:tc>
      </w:tr>
      <w:tr w14:paraId="452EDA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noWrap w:val="0"/>
            <w:vAlign w:val="center"/>
          </w:tcPr>
          <w:p w14:paraId="058EEB3B">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本章第二节</w:t>
            </w:r>
          </w:p>
          <w:p w14:paraId="5AEC107D">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第23.1款</w:t>
            </w:r>
          </w:p>
        </w:tc>
        <w:tc>
          <w:tcPr>
            <w:tcW w:w="1843" w:type="dxa"/>
            <w:noWrap w:val="0"/>
            <w:vAlign w:val="center"/>
          </w:tcPr>
          <w:p w14:paraId="5ECCB837">
            <w:pPr>
              <w:adjustRightInd w:val="0"/>
              <w:snapToGrid w:val="0"/>
              <w:spacing w:line="360" w:lineRule="auto"/>
              <w:jc w:val="left"/>
              <w:rPr>
                <w:rFonts w:ascii="宋体" w:hAnsi="宋体"/>
                <w:color w:val="auto"/>
                <w:szCs w:val="21"/>
                <w:highlight w:val="none"/>
              </w:rPr>
            </w:pPr>
            <w:r>
              <w:rPr>
                <w:rFonts w:hint="eastAsia" w:ascii="宋体" w:hAnsi="宋体"/>
                <w:bCs/>
                <w:color w:val="auto"/>
                <w:szCs w:val="21"/>
                <w:highlight w:val="none"/>
              </w:rPr>
              <w:t>合同未尽事项</w:t>
            </w:r>
          </w:p>
        </w:tc>
        <w:tc>
          <w:tcPr>
            <w:tcW w:w="5464" w:type="dxa"/>
            <w:noWrap w:val="0"/>
            <w:vAlign w:val="center"/>
          </w:tcPr>
          <w:p w14:paraId="4FA51AE5">
            <w:pPr>
              <w:pStyle w:val="43"/>
              <w:ind w:left="0" w:leftChars="0" w:firstLine="0" w:firstLineChars="0"/>
              <w:rPr>
                <w:rFonts w:hint="eastAsia" w:ascii="Times New Roman" w:hAnsi="Times New Roman" w:eastAsia="宋体" w:cs="Times New Roman"/>
                <w:b w:val="0"/>
                <w:color w:val="auto"/>
                <w:kern w:val="2"/>
                <w:sz w:val="21"/>
                <w:szCs w:val="24"/>
                <w:highlight w:val="none"/>
                <w:lang w:val="en-US" w:eastAsia="zh-CN" w:bidi="ar-SA"/>
              </w:rPr>
            </w:pPr>
            <w:r>
              <w:rPr>
                <w:rFonts w:hint="eastAsia" w:ascii="Times New Roman" w:hAnsi="Times New Roman" w:eastAsia="宋体" w:cs="Times New Roman"/>
                <w:b w:val="0"/>
                <w:color w:val="auto"/>
                <w:kern w:val="2"/>
                <w:sz w:val="21"/>
                <w:szCs w:val="24"/>
                <w:highlight w:val="none"/>
                <w:lang w:val="en-US" w:eastAsia="zh-CN" w:bidi="ar-SA"/>
              </w:rPr>
              <w:t>合同中约定</w:t>
            </w:r>
          </w:p>
        </w:tc>
      </w:tr>
    </w:tbl>
    <w:p w14:paraId="048CE21F">
      <w:pPr>
        <w:rPr>
          <w:color w:val="auto"/>
          <w:highlight w:val="none"/>
        </w:rPr>
      </w:pPr>
      <w:r>
        <w:rPr>
          <w:rFonts w:hint="eastAsia"/>
          <w:color w:val="auto"/>
          <w:highlight w:val="none"/>
        </w:rPr>
        <w:t>本节内容详见第五章采购需求</w:t>
      </w:r>
    </w:p>
    <w:p w14:paraId="76DB2606">
      <w:pPr>
        <w:jc w:val="center"/>
        <w:rPr>
          <w:rFonts w:hint="eastAsia" w:ascii="宋体" w:hAnsi="宋体" w:eastAsia="宋体" w:cs="宋体"/>
          <w:b/>
          <w:bCs/>
          <w:color w:val="auto"/>
          <w:sz w:val="52"/>
          <w:szCs w:val="30"/>
          <w:highlight w:val="none"/>
        </w:rPr>
      </w:pPr>
      <w:r>
        <w:rPr>
          <w:rFonts w:hint="eastAsia" w:ascii="宋体" w:hAnsi="宋体" w:eastAsia="宋体" w:cs="宋体"/>
          <w:b/>
          <w:bCs/>
          <w:color w:val="auto"/>
          <w:sz w:val="28"/>
          <w:szCs w:val="28"/>
          <w:highlight w:val="none"/>
        </w:rPr>
        <w:br w:type="page"/>
      </w:r>
      <w:bookmarkEnd w:id="236"/>
    </w:p>
    <w:p w14:paraId="4FB5C801">
      <w:pPr>
        <w:rPr>
          <w:rFonts w:hint="eastAsia" w:ascii="宋体" w:hAnsi="宋体" w:eastAsia="宋体" w:cs="宋体"/>
          <w:color w:val="auto"/>
          <w:highlight w:val="none"/>
        </w:rPr>
      </w:pPr>
    </w:p>
    <w:p w14:paraId="2FF33BE2">
      <w:pPr>
        <w:pStyle w:val="23"/>
        <w:adjustRightInd w:val="0"/>
        <w:snapToGrid w:val="0"/>
        <w:spacing w:line="360" w:lineRule="auto"/>
        <w:jc w:val="center"/>
        <w:outlineLvl w:val="0"/>
        <w:rPr>
          <w:rFonts w:hint="eastAsia" w:ascii="宋体" w:hAnsi="宋体" w:eastAsia="宋体" w:cs="宋体"/>
          <w:b/>
          <w:color w:val="auto"/>
          <w:sz w:val="32"/>
          <w:szCs w:val="32"/>
          <w:highlight w:val="none"/>
        </w:rPr>
      </w:pPr>
      <w:bookmarkStart w:id="240" w:name="_Toc23469"/>
      <w:bookmarkStart w:id="241" w:name="_Toc17642"/>
      <w:bookmarkStart w:id="242" w:name="_Toc29913948"/>
      <w:r>
        <w:rPr>
          <w:rFonts w:hint="eastAsia" w:ascii="宋体" w:hAnsi="宋体" w:eastAsia="宋体" w:cs="宋体"/>
          <w:b/>
          <w:color w:val="auto"/>
          <w:sz w:val="32"/>
          <w:szCs w:val="32"/>
          <w:highlight w:val="none"/>
        </w:rPr>
        <w:t>第七章 投标文件的组成</w:t>
      </w:r>
      <w:bookmarkEnd w:id="240"/>
      <w:bookmarkEnd w:id="241"/>
      <w:bookmarkEnd w:id="242"/>
    </w:p>
    <w:p w14:paraId="1B9231B8">
      <w:pPr>
        <w:adjustRightInd w:val="0"/>
        <w:snapToGrid w:val="0"/>
        <w:spacing w:line="360" w:lineRule="auto"/>
        <w:ind w:left="-88" w:leftChars="-42"/>
        <w:jc w:val="center"/>
        <w:rPr>
          <w:rFonts w:hint="eastAsia" w:ascii="宋体" w:hAnsi="宋体" w:eastAsia="宋体" w:cs="宋体"/>
          <w:b/>
          <w:bCs/>
          <w:color w:val="auto"/>
          <w:sz w:val="32"/>
          <w:highlight w:val="none"/>
        </w:rPr>
      </w:pPr>
    </w:p>
    <w:p w14:paraId="69C437DD">
      <w:pPr>
        <w:adjustRightInd w:val="0"/>
        <w:snapToGrid w:val="0"/>
        <w:spacing w:before="156" w:beforeLines="50"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第一部分 资格证明文件</w:t>
      </w:r>
    </w:p>
    <w:p w14:paraId="5C7A9A45">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一、开标一览表</w:t>
      </w:r>
    </w:p>
    <w:p w14:paraId="6050B57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zCs w:val="21"/>
          <w:highlight w:val="none"/>
        </w:rPr>
        <w:t>身份证明</w:t>
      </w:r>
    </w:p>
    <w:p w14:paraId="1F4B571D">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rPr>
        <w:t>授权委托书</w:t>
      </w:r>
    </w:p>
    <w:p w14:paraId="7DB6F567">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rPr>
        <w:t>、投标人提供的资格证明文件</w:t>
      </w:r>
    </w:p>
    <w:p w14:paraId="44410EAF">
      <w:pPr>
        <w:adjustRightInd w:val="0"/>
        <w:snapToGrid w:val="0"/>
        <w:spacing w:before="156" w:beforeLines="50" w:line="360" w:lineRule="auto"/>
        <w:jc w:val="lef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第二部分 </w:t>
      </w:r>
      <w:r>
        <w:rPr>
          <w:rFonts w:hint="eastAsia" w:ascii="宋体" w:hAnsi="宋体" w:eastAsia="宋体" w:cs="宋体"/>
          <w:b/>
          <w:color w:val="auto"/>
          <w:szCs w:val="21"/>
          <w:highlight w:val="none"/>
          <w:lang w:eastAsia="zh-CN"/>
        </w:rPr>
        <w:t>商务和技术文件</w:t>
      </w:r>
    </w:p>
    <w:p w14:paraId="787CE7A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五</w:t>
      </w:r>
      <w:r>
        <w:rPr>
          <w:rFonts w:hint="eastAsia" w:ascii="宋体" w:hAnsi="宋体" w:eastAsia="宋体" w:cs="宋体"/>
          <w:color w:val="auto"/>
          <w:szCs w:val="21"/>
          <w:highlight w:val="none"/>
        </w:rPr>
        <w:t>、投标函</w:t>
      </w:r>
    </w:p>
    <w:p w14:paraId="0691F70C">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六</w:t>
      </w:r>
      <w:r>
        <w:rPr>
          <w:rFonts w:hint="eastAsia" w:ascii="宋体" w:hAnsi="宋体" w:eastAsia="宋体" w:cs="宋体"/>
          <w:color w:val="auto"/>
          <w:szCs w:val="21"/>
          <w:highlight w:val="none"/>
        </w:rPr>
        <w:t>、分项报价</w:t>
      </w:r>
    </w:p>
    <w:p w14:paraId="262EA2FB">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七</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采购需求响应</w:t>
      </w:r>
    </w:p>
    <w:p w14:paraId="6847009A">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八</w:t>
      </w:r>
      <w:r>
        <w:rPr>
          <w:rFonts w:hint="eastAsia" w:ascii="宋体" w:hAnsi="宋体" w:eastAsia="宋体" w:cs="宋体"/>
          <w:color w:val="auto"/>
          <w:szCs w:val="21"/>
          <w:highlight w:val="none"/>
        </w:rPr>
        <w:t>、合同条款偏离表</w:t>
      </w:r>
    </w:p>
    <w:p w14:paraId="6B831353">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九</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采购需求偏离表</w:t>
      </w:r>
    </w:p>
    <w:p w14:paraId="0851FEC1">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十</w:t>
      </w:r>
      <w:r>
        <w:rPr>
          <w:rFonts w:hint="eastAsia" w:ascii="宋体" w:hAnsi="宋体" w:eastAsia="宋体" w:cs="宋体"/>
          <w:color w:val="auto"/>
          <w:szCs w:val="21"/>
          <w:highlight w:val="none"/>
        </w:rPr>
        <w:t>、享受政府采购政策优惠的证明资料和清单表</w:t>
      </w:r>
    </w:p>
    <w:p w14:paraId="39A9F228">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十</w:t>
      </w:r>
      <w:r>
        <w:rPr>
          <w:rFonts w:hint="eastAsia" w:ascii="宋体" w:hAnsi="宋体" w:cs="宋体"/>
          <w:color w:val="auto"/>
          <w:szCs w:val="21"/>
          <w:highlight w:val="none"/>
          <w:lang w:val="en-US" w:eastAsia="zh-CN"/>
        </w:rPr>
        <w:t>一</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投标服务（含配套货物）符合招标文件规定的证明文件</w:t>
      </w:r>
    </w:p>
    <w:p w14:paraId="7DB610C0">
      <w:pPr>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ascii="宋体" w:hAnsi="宋体" w:cs="宋体"/>
          <w:color w:val="auto"/>
          <w:szCs w:val="21"/>
          <w:highlight w:val="none"/>
          <w:lang w:val="en-US" w:eastAsia="zh-CN"/>
        </w:rPr>
        <w:t>二</w:t>
      </w:r>
      <w:r>
        <w:rPr>
          <w:rFonts w:hint="eastAsia" w:ascii="宋体" w:hAnsi="宋体" w:eastAsia="宋体" w:cs="宋体"/>
          <w:color w:val="auto"/>
          <w:szCs w:val="21"/>
          <w:highlight w:val="none"/>
        </w:rPr>
        <w:t>、投标人认为需提供的其他资料</w:t>
      </w:r>
    </w:p>
    <w:p w14:paraId="014F95F7">
      <w:pPr>
        <w:adjustRightInd w:val="0"/>
        <w:snapToGrid w:val="0"/>
        <w:spacing w:before="156" w:beforeLines="50"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注：1、投标人应按照电子招标文件格式及投标工具编制资格证明文件，不得将其编制到商务和技术文件中。否则，由于编制失误所产生的后果，由投标人自行承担。</w:t>
      </w:r>
    </w:p>
    <w:p w14:paraId="1DFE622E">
      <w:pPr>
        <w:adjustRightInd w:val="0"/>
        <w:snapToGrid w:val="0"/>
        <w:spacing w:before="156" w:beforeLines="50" w:line="360" w:lineRule="auto"/>
        <w:ind w:firstLine="422" w:firstLineChars="200"/>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2、投标人应按照电子招标文件格式及投标工具编制商务和技术及综合评分表相关资料。否则，由于编制失误所产生的后果，由投标人自行承担。</w:t>
      </w:r>
    </w:p>
    <w:p w14:paraId="23E49034">
      <w:pPr>
        <w:numPr>
          <w:ilvl w:val="0"/>
          <w:numId w:val="0"/>
        </w:numPr>
        <w:adjustRightInd w:val="0"/>
        <w:snapToGrid w:val="0"/>
        <w:spacing w:before="156" w:beforeLines="50" w:line="360" w:lineRule="auto"/>
        <w:ind w:leftChars="0" w:firstLine="422" w:firstLineChars="200"/>
        <w:jc w:val="left"/>
        <w:rPr>
          <w:rFonts w:ascii="宋体" w:hAnsi="宋体"/>
          <w:b/>
          <w:color w:val="auto"/>
          <w:szCs w:val="21"/>
          <w:highlight w:val="none"/>
        </w:rPr>
      </w:pPr>
      <w:r>
        <w:rPr>
          <w:rFonts w:hint="eastAsia" w:ascii="宋体" w:hAnsi="宋体"/>
          <w:b/>
          <w:color w:val="auto"/>
          <w:szCs w:val="21"/>
          <w:highlight w:val="none"/>
        </w:rPr>
        <w:t>3</w:t>
      </w:r>
      <w:r>
        <w:rPr>
          <w:rFonts w:hint="eastAsia" w:ascii="宋体" w:hAnsi="宋体"/>
          <w:b/>
          <w:color w:val="auto"/>
          <w:szCs w:val="21"/>
          <w:highlight w:val="none"/>
          <w:lang w:eastAsia="zh-CN"/>
        </w:rPr>
        <w:t>、</w:t>
      </w:r>
      <w:r>
        <w:rPr>
          <w:rFonts w:hint="eastAsia" w:ascii="宋体" w:hAnsi="宋体"/>
          <w:b/>
          <w:color w:val="auto"/>
          <w:szCs w:val="21"/>
          <w:highlight w:val="none"/>
        </w:rPr>
        <w:t>如系统里的投标文件格式与招标文件中格式不一致处以招标文件为准。</w:t>
      </w:r>
    </w:p>
    <w:p w14:paraId="1137BDB7">
      <w:pPr>
        <w:adjustRightInd w:val="0"/>
        <w:snapToGrid w:val="0"/>
        <w:spacing w:line="360" w:lineRule="auto"/>
        <w:jc w:val="center"/>
        <w:rPr>
          <w:rFonts w:hint="eastAsia" w:ascii="宋体" w:hAnsi="宋体" w:eastAsia="宋体" w:cs="宋体"/>
          <w:color w:val="auto"/>
          <w:szCs w:val="21"/>
          <w:highlight w:val="none"/>
        </w:rPr>
      </w:pPr>
    </w:p>
    <w:p w14:paraId="0C461CD1">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r>
    </w:p>
    <w:p w14:paraId="4DF208D7">
      <w:pPr>
        <w:adjustRightInd w:val="0"/>
        <w:snapToGrid w:val="0"/>
        <w:spacing w:line="360" w:lineRule="auto"/>
        <w:jc w:val="center"/>
        <w:rPr>
          <w:rFonts w:hint="eastAsia" w:ascii="宋体" w:hAnsi="宋体" w:eastAsia="宋体" w:cs="宋体"/>
          <w:color w:val="auto"/>
          <w:sz w:val="32"/>
          <w:szCs w:val="32"/>
          <w:highlight w:val="none"/>
        </w:rPr>
      </w:pPr>
    </w:p>
    <w:p w14:paraId="130B5BA3">
      <w:pPr>
        <w:adjustRightInd w:val="0"/>
        <w:snapToGrid w:val="0"/>
        <w:spacing w:line="360" w:lineRule="auto"/>
        <w:jc w:val="center"/>
        <w:rPr>
          <w:rFonts w:hint="eastAsia" w:ascii="宋体" w:hAnsi="宋体" w:eastAsia="宋体" w:cs="宋体"/>
          <w:color w:val="auto"/>
          <w:sz w:val="32"/>
          <w:szCs w:val="32"/>
          <w:highlight w:val="none"/>
        </w:rPr>
      </w:pPr>
    </w:p>
    <w:p w14:paraId="5EBF5F62">
      <w:pPr>
        <w:adjustRightInd w:val="0"/>
        <w:snapToGrid w:val="0"/>
        <w:spacing w:line="360" w:lineRule="auto"/>
        <w:jc w:val="center"/>
        <w:rPr>
          <w:rFonts w:hint="eastAsia" w:ascii="宋体" w:hAnsi="宋体" w:eastAsia="宋体" w:cs="宋体"/>
          <w:color w:val="auto"/>
          <w:sz w:val="32"/>
          <w:szCs w:val="32"/>
          <w:highlight w:val="none"/>
        </w:rPr>
      </w:pPr>
    </w:p>
    <w:p w14:paraId="3C49C938">
      <w:pPr>
        <w:pStyle w:val="23"/>
        <w:adjustRightInd w:val="0"/>
        <w:snapToGrid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政府采购</w:t>
      </w:r>
      <w:r>
        <w:rPr>
          <w:rFonts w:hint="eastAsia" w:ascii="宋体" w:hAnsi="宋体" w:eastAsia="宋体" w:cs="宋体"/>
          <w:bCs/>
          <w:color w:val="auto"/>
          <w:sz w:val="72"/>
          <w:szCs w:val="72"/>
          <w:highlight w:val="none"/>
          <w:lang w:eastAsia="zh-CN"/>
        </w:rPr>
        <w:t>【郴州电子标】</w:t>
      </w:r>
    </w:p>
    <w:p w14:paraId="0CB8A8DC">
      <w:pPr>
        <w:adjustRightInd w:val="0"/>
        <w:snapToGrid w:val="0"/>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投 标 文 件</w:t>
      </w:r>
    </w:p>
    <w:p w14:paraId="6EA26B8A">
      <w:pPr>
        <w:pStyle w:val="3"/>
        <w:adjustRightInd w:val="0"/>
        <w:snapToGrid w:val="0"/>
        <w:jc w:val="center"/>
        <w:rPr>
          <w:rFonts w:hint="eastAsia" w:ascii="宋体" w:hAnsi="宋体" w:eastAsia="宋体" w:cs="宋体"/>
          <w:color w:val="auto"/>
          <w:sz w:val="44"/>
          <w:szCs w:val="44"/>
          <w:highlight w:val="none"/>
        </w:rPr>
      </w:pPr>
      <w:bookmarkStart w:id="243" w:name="_Toc4223"/>
      <w:bookmarkStart w:id="244" w:name="_Toc13793"/>
      <w:bookmarkStart w:id="245" w:name="_Toc29913949"/>
      <w:bookmarkStart w:id="246" w:name="_Toc11918"/>
      <w:r>
        <w:rPr>
          <w:rFonts w:hint="eastAsia" w:ascii="宋体" w:hAnsi="宋体" w:eastAsia="宋体" w:cs="宋体"/>
          <w:color w:val="auto"/>
          <w:sz w:val="44"/>
          <w:szCs w:val="44"/>
          <w:highlight w:val="none"/>
        </w:rPr>
        <w:t>第一部分 资格证明文件</w:t>
      </w:r>
      <w:bookmarkEnd w:id="243"/>
      <w:bookmarkEnd w:id="244"/>
      <w:bookmarkEnd w:id="245"/>
      <w:bookmarkEnd w:id="246"/>
    </w:p>
    <w:p w14:paraId="6744C085">
      <w:pPr>
        <w:adjustRightInd w:val="0"/>
        <w:snapToGrid w:val="0"/>
        <w:spacing w:line="360" w:lineRule="auto"/>
        <w:rPr>
          <w:rFonts w:hint="eastAsia" w:ascii="宋体" w:hAnsi="宋体" w:eastAsia="宋体" w:cs="宋体"/>
          <w:b/>
          <w:color w:val="auto"/>
          <w:sz w:val="32"/>
          <w:szCs w:val="32"/>
          <w:highlight w:val="none"/>
        </w:rPr>
      </w:pPr>
    </w:p>
    <w:p w14:paraId="3D681B83">
      <w:pPr>
        <w:adjustRightInd w:val="0"/>
        <w:snapToGrid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2"/>
          <w:szCs w:val="32"/>
          <w:highlight w:val="none"/>
        </w:rPr>
        <w:t xml:space="preserve">                     </w:t>
      </w:r>
    </w:p>
    <w:p w14:paraId="47C01C9D">
      <w:pPr>
        <w:pStyle w:val="23"/>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lang w:eastAsia="zh-CN"/>
        </w:rPr>
        <w:t>采购项目名称</w:t>
      </w:r>
      <w:r>
        <w:rPr>
          <w:rFonts w:hint="eastAsia" w:ascii="宋体" w:hAnsi="宋体" w:eastAsia="宋体" w:cs="宋体"/>
          <w:b/>
          <w:bCs/>
          <w:color w:val="auto"/>
          <w:sz w:val="30"/>
          <w:szCs w:val="30"/>
          <w:highlight w:val="none"/>
        </w:rPr>
        <w:t>:</w:t>
      </w:r>
      <w:r>
        <w:rPr>
          <w:rFonts w:hint="eastAsia" w:ascii="宋体" w:hAnsi="宋体" w:eastAsia="宋体" w:cs="宋体"/>
          <w:b/>
          <w:bCs/>
          <w:color w:val="auto"/>
          <w:sz w:val="30"/>
          <w:szCs w:val="30"/>
          <w:highlight w:val="none"/>
          <w:u w:val="single"/>
        </w:rPr>
        <w:t xml:space="preserve">                       </w:t>
      </w:r>
    </w:p>
    <w:p w14:paraId="6C74CD72">
      <w:pPr>
        <w:pStyle w:val="23"/>
        <w:adjustRightInd w:val="0"/>
        <w:snapToGrid w:val="0"/>
        <w:spacing w:line="360" w:lineRule="auto"/>
        <w:ind w:firstLine="1988" w:firstLineChars="66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采   购   人：</w:t>
      </w:r>
      <w:r>
        <w:rPr>
          <w:rFonts w:hint="eastAsia" w:ascii="宋体" w:hAnsi="宋体" w:eastAsia="宋体" w:cs="宋体"/>
          <w:b/>
          <w:bCs/>
          <w:color w:val="auto"/>
          <w:sz w:val="30"/>
          <w:szCs w:val="30"/>
          <w:highlight w:val="none"/>
          <w:u w:val="single"/>
        </w:rPr>
        <w:t xml:space="preserve">                       </w:t>
      </w:r>
    </w:p>
    <w:p w14:paraId="3DA019D6">
      <w:pPr>
        <w:pStyle w:val="23"/>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hAnsi="宋体" w:cs="宋体"/>
          <w:b/>
          <w:bCs/>
          <w:color w:val="auto"/>
          <w:sz w:val="30"/>
          <w:szCs w:val="30"/>
          <w:highlight w:val="none"/>
          <w:lang w:eastAsia="zh-CN"/>
        </w:rPr>
        <w:t>政府采购计划编号</w:t>
      </w:r>
      <w:r>
        <w:rPr>
          <w:rFonts w:hint="eastAsia" w:ascii="宋体" w:hAnsi="宋体" w:eastAsia="宋体" w:cs="宋体"/>
          <w:b/>
          <w:bCs/>
          <w:color w:val="auto"/>
          <w:sz w:val="30"/>
          <w:szCs w:val="30"/>
          <w:highlight w:val="none"/>
        </w:rPr>
        <w:t>:</w:t>
      </w:r>
      <w:r>
        <w:rPr>
          <w:rFonts w:hint="eastAsia" w:ascii="宋体" w:hAnsi="宋体" w:eastAsia="宋体" w:cs="宋体"/>
          <w:b/>
          <w:bCs/>
          <w:color w:val="auto"/>
          <w:sz w:val="30"/>
          <w:szCs w:val="30"/>
          <w:highlight w:val="none"/>
          <w:u w:val="single"/>
        </w:rPr>
        <w:t xml:space="preserve">                       </w:t>
      </w:r>
    </w:p>
    <w:p w14:paraId="34D19D35">
      <w:pPr>
        <w:pStyle w:val="23"/>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采购代理机构：</w:t>
      </w:r>
      <w:r>
        <w:rPr>
          <w:rFonts w:hint="eastAsia" w:ascii="宋体" w:hAnsi="宋体" w:eastAsia="宋体" w:cs="宋体"/>
          <w:b/>
          <w:bCs/>
          <w:color w:val="auto"/>
          <w:sz w:val="30"/>
          <w:szCs w:val="30"/>
          <w:highlight w:val="none"/>
          <w:u w:val="single"/>
        </w:rPr>
        <w:t xml:space="preserve">                      </w:t>
      </w:r>
    </w:p>
    <w:p w14:paraId="5429A9B4">
      <w:pPr>
        <w:adjustRightInd w:val="0"/>
        <w:snapToGrid w:val="0"/>
        <w:spacing w:line="360" w:lineRule="auto"/>
        <w:rPr>
          <w:rFonts w:hint="eastAsia" w:ascii="宋体" w:hAnsi="宋体" w:eastAsia="宋体" w:cs="宋体"/>
          <w:color w:val="auto"/>
          <w:sz w:val="30"/>
          <w:szCs w:val="30"/>
          <w:highlight w:val="none"/>
        </w:rPr>
      </w:pPr>
    </w:p>
    <w:p w14:paraId="3FE583CC">
      <w:pPr>
        <w:adjustRightInd w:val="0"/>
        <w:snapToGrid w:val="0"/>
        <w:rPr>
          <w:rFonts w:hint="eastAsia" w:ascii="宋体" w:hAnsi="宋体" w:eastAsia="宋体" w:cs="宋体"/>
          <w:color w:val="auto"/>
          <w:sz w:val="30"/>
          <w:szCs w:val="30"/>
          <w:highlight w:val="none"/>
        </w:rPr>
      </w:pPr>
    </w:p>
    <w:p w14:paraId="1CD5EAC0">
      <w:pPr>
        <w:adjustRightInd w:val="0"/>
        <w:snapToGrid w:val="0"/>
        <w:spacing w:line="360" w:lineRule="auto"/>
        <w:ind w:firstLine="1984" w:firstLineChars="620"/>
        <w:rPr>
          <w:rFonts w:hint="eastAsia" w:ascii="宋体" w:hAnsi="宋体" w:eastAsia="宋体" w:cs="宋体"/>
          <w:color w:val="auto"/>
          <w:sz w:val="32"/>
          <w:szCs w:val="32"/>
          <w:highlight w:val="none"/>
          <w:u w:val="single"/>
          <w:lang w:eastAsia="zh-CN"/>
        </w:rPr>
      </w:pPr>
      <w:r>
        <w:rPr>
          <w:rFonts w:hint="eastAsia" w:ascii="宋体" w:hAnsi="宋体" w:eastAsia="宋体" w:cs="宋体"/>
          <w:color w:val="auto"/>
          <w:sz w:val="32"/>
          <w:szCs w:val="32"/>
          <w:highlight w:val="none"/>
        </w:rPr>
        <w:t>投标人</w:t>
      </w:r>
      <w:r>
        <w:rPr>
          <w:rFonts w:hint="eastAsia" w:ascii="宋体" w:hAnsi="宋体" w:eastAsia="宋体" w:cs="宋体"/>
          <w:color w:val="auto"/>
          <w:sz w:val="32"/>
          <w:szCs w:val="32"/>
          <w:highlight w:val="none"/>
          <w:lang w:eastAsia="zh-CN"/>
        </w:rPr>
        <w:t>名称</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eastAsia="zh-CN"/>
        </w:rPr>
        <w:t>（盖单位电子章）</w:t>
      </w:r>
    </w:p>
    <w:p w14:paraId="2CAD8EAF">
      <w:pPr>
        <w:adjustRightInd w:val="0"/>
        <w:snapToGrid w:val="0"/>
        <w:spacing w:line="36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联系人姓名、联系电话：</w:t>
      </w:r>
    </w:p>
    <w:p w14:paraId="1DAFF8E6">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32"/>
          <w:szCs w:val="32"/>
          <w:highlight w:val="none"/>
        </w:rPr>
        <w:t>年  月  日</w:t>
      </w:r>
      <w:r>
        <w:rPr>
          <w:rFonts w:hint="eastAsia" w:ascii="宋体" w:hAnsi="宋体" w:eastAsia="宋体" w:cs="宋体"/>
          <w:color w:val="auto"/>
          <w:sz w:val="32"/>
          <w:szCs w:val="32"/>
          <w:highlight w:val="none"/>
          <w:lang w:eastAsia="zh-CN"/>
        </w:rPr>
        <w:t>（应与投标截止日期一致）</w:t>
      </w:r>
      <w:r>
        <w:rPr>
          <w:rFonts w:hint="eastAsia" w:ascii="宋体" w:hAnsi="宋体" w:eastAsia="宋体" w:cs="宋体"/>
          <w:color w:val="auto"/>
          <w:sz w:val="28"/>
          <w:szCs w:val="28"/>
          <w:highlight w:val="none"/>
        </w:rPr>
        <w:br w:type="page"/>
      </w:r>
    </w:p>
    <w:p w14:paraId="3ED84F61">
      <w:pPr>
        <w:pStyle w:val="4"/>
        <w:adjustRightInd w:val="0"/>
        <w:snapToGrid w:val="0"/>
        <w:spacing w:before="0" w:after="0" w:line="360" w:lineRule="auto"/>
        <w:jc w:val="center"/>
        <w:rPr>
          <w:rFonts w:hint="eastAsia" w:ascii="宋体" w:hAnsi="宋体" w:eastAsia="宋体" w:cs="宋体"/>
          <w:color w:val="auto"/>
          <w:sz w:val="28"/>
          <w:szCs w:val="28"/>
          <w:highlight w:val="none"/>
        </w:rPr>
      </w:pPr>
      <w:bookmarkStart w:id="247" w:name="_Toc30439"/>
      <w:bookmarkStart w:id="248" w:name="_Toc14585"/>
      <w:bookmarkStart w:id="249" w:name="_Toc29913950"/>
      <w:bookmarkStart w:id="250" w:name="_Toc16153"/>
      <w:r>
        <w:rPr>
          <w:rFonts w:hint="eastAsia" w:ascii="宋体" w:hAnsi="宋体" w:eastAsia="宋体" w:cs="宋体"/>
          <w:color w:val="auto"/>
          <w:sz w:val="28"/>
          <w:szCs w:val="28"/>
          <w:highlight w:val="none"/>
        </w:rPr>
        <w:t>一、开标一览表</w:t>
      </w:r>
      <w:bookmarkEnd w:id="247"/>
      <w:bookmarkEnd w:id="248"/>
      <w:bookmarkEnd w:id="249"/>
      <w:bookmarkEnd w:id="250"/>
    </w:p>
    <w:p w14:paraId="0BF3B05F">
      <w:pPr>
        <w:adjustRightInd w:val="0"/>
        <w:snapToGrid w:val="0"/>
        <w:spacing w:line="360" w:lineRule="auto"/>
        <w:ind w:left="-88" w:leftChars="-42"/>
        <w:jc w:val="center"/>
        <w:rPr>
          <w:rFonts w:hint="eastAsia" w:ascii="宋体" w:hAnsi="宋体" w:eastAsia="宋体" w:cs="宋体"/>
          <w:color w:val="auto"/>
          <w:sz w:val="24"/>
          <w:highlight w:val="none"/>
        </w:rPr>
      </w:pPr>
    </w:p>
    <w:p w14:paraId="465038D7">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    ________</w:t>
      </w:r>
      <w:r>
        <w:rPr>
          <w:rFonts w:hint="eastAsia" w:ascii="宋体" w:hAnsi="宋体" w:eastAsia="宋体" w:cs="宋体"/>
          <w:color w:val="auto"/>
          <w:szCs w:val="21"/>
          <w:highlight w:val="none"/>
        </w:rPr>
        <w:t xml:space="preserve">               </w:t>
      </w:r>
    </w:p>
    <w:p w14:paraId="066D6DB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____            ______</w:t>
      </w:r>
      <w:r>
        <w:rPr>
          <w:rFonts w:hint="eastAsia" w:ascii="宋体" w:hAnsi="宋体" w:eastAsia="宋体" w:cs="宋体"/>
          <w:color w:val="auto"/>
          <w:szCs w:val="21"/>
          <w:highlight w:val="none"/>
        </w:rPr>
        <w:t xml:space="preserve"> </w:t>
      </w:r>
    </w:p>
    <w:p w14:paraId="69CAA93C">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包号：</w:t>
      </w:r>
      <w:r>
        <w:rPr>
          <w:rFonts w:hint="eastAsia" w:ascii="宋体" w:hAnsi="宋体" w:eastAsia="宋体" w:cs="宋体"/>
          <w:color w:val="auto"/>
          <w:szCs w:val="21"/>
          <w:highlight w:val="none"/>
          <w:u w:val="single"/>
        </w:rPr>
        <w:t>__    ________</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__    ________</w:t>
      </w:r>
    </w:p>
    <w:tbl>
      <w:tblPr>
        <w:tblStyle w:val="45"/>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214072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0EF54D04">
            <w:pPr>
              <w:adjustRightInd w:val="0"/>
              <w:snapToGrid w:val="0"/>
              <w:spacing w:line="360" w:lineRule="auto"/>
              <w:jc w:val="center"/>
              <w:rPr>
                <w:rFonts w:hint="eastAsia" w:ascii="宋体" w:hAnsi="宋体" w:eastAsia="宋体" w:cs="宋体"/>
                <w:b/>
                <w:color w:val="auto"/>
                <w:kern w:val="0"/>
                <w:sz w:val="20"/>
                <w:szCs w:val="21"/>
                <w:highlight w:val="none"/>
              </w:rPr>
            </w:pPr>
            <w:r>
              <w:rPr>
                <w:rFonts w:hint="eastAsia" w:ascii="宋体" w:hAnsi="宋体" w:eastAsia="宋体" w:cs="宋体"/>
                <w:b/>
                <w:color w:val="auto"/>
                <w:kern w:val="0"/>
                <w:szCs w:val="21"/>
                <w:highlight w:val="none"/>
              </w:rPr>
              <w:t>投标报价</w:t>
            </w:r>
          </w:p>
        </w:tc>
        <w:tc>
          <w:tcPr>
            <w:tcW w:w="3119" w:type="dxa"/>
            <w:vAlign w:val="center"/>
          </w:tcPr>
          <w:p w14:paraId="2B2C093B">
            <w:pPr>
              <w:adjustRightInd w:val="0"/>
              <w:snapToGrid w:val="0"/>
              <w:spacing w:line="360" w:lineRule="auto"/>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其他内容</w:t>
            </w:r>
          </w:p>
        </w:tc>
      </w:tr>
      <w:tr w14:paraId="561558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10E17FAC">
            <w:pPr>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小写金额：</w:t>
            </w:r>
            <w:r>
              <w:rPr>
                <w:rFonts w:hint="eastAsia" w:ascii="宋体" w:hAnsi="宋体" w:eastAsia="宋体" w:cs="宋体"/>
                <w:color w:val="auto"/>
                <w:kern w:val="0"/>
                <w:szCs w:val="21"/>
                <w:highlight w:val="none"/>
                <w:u w:val="single"/>
              </w:rPr>
              <w:t>__    _______</w:t>
            </w:r>
            <w:r>
              <w:rPr>
                <w:rFonts w:hint="eastAsia" w:ascii="宋体" w:hAnsi="宋体" w:eastAsia="宋体" w:cs="宋体"/>
                <w:color w:val="auto"/>
                <w:kern w:val="0"/>
                <w:szCs w:val="21"/>
                <w:highlight w:val="none"/>
              </w:rPr>
              <w:t>（</w:t>
            </w:r>
            <w:r>
              <w:rPr>
                <w:rFonts w:hint="eastAsia" w:ascii="宋体" w:hAnsi="宋体" w:eastAsia="宋体" w:cs="宋体"/>
                <w:color w:val="auto"/>
                <w:kern w:val="0"/>
                <w:sz w:val="20"/>
                <w:szCs w:val="21"/>
                <w:highlight w:val="none"/>
              </w:rPr>
              <w:t>人民币元</w:t>
            </w:r>
            <w:r>
              <w:rPr>
                <w:rFonts w:hint="eastAsia" w:ascii="宋体" w:hAnsi="宋体" w:eastAsia="宋体" w:cs="宋体"/>
                <w:color w:val="auto"/>
                <w:kern w:val="0"/>
                <w:szCs w:val="21"/>
                <w:highlight w:val="none"/>
              </w:rPr>
              <w:t>）</w:t>
            </w:r>
          </w:p>
          <w:p w14:paraId="5605D512">
            <w:pPr>
              <w:adjustRightInd w:val="0"/>
              <w:snapToGrid w:val="0"/>
              <w:spacing w:line="360" w:lineRule="auto"/>
              <w:jc w:val="center"/>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大写金额：</w:t>
            </w:r>
            <w:r>
              <w:rPr>
                <w:rFonts w:hint="eastAsia" w:ascii="宋体" w:hAnsi="宋体" w:eastAsia="宋体" w:cs="宋体"/>
                <w:color w:val="auto"/>
                <w:kern w:val="0"/>
                <w:szCs w:val="21"/>
                <w:highlight w:val="none"/>
                <w:u w:val="single"/>
              </w:rPr>
              <w:t>__    _______</w:t>
            </w:r>
            <w:r>
              <w:rPr>
                <w:rFonts w:hint="eastAsia" w:ascii="宋体" w:hAnsi="宋体" w:eastAsia="宋体" w:cs="宋体"/>
                <w:color w:val="auto"/>
                <w:kern w:val="0"/>
                <w:szCs w:val="21"/>
                <w:highlight w:val="none"/>
              </w:rPr>
              <w:t>（</w:t>
            </w:r>
            <w:r>
              <w:rPr>
                <w:rFonts w:hint="eastAsia" w:ascii="宋体" w:hAnsi="宋体" w:eastAsia="宋体" w:cs="宋体"/>
                <w:color w:val="auto"/>
                <w:kern w:val="0"/>
                <w:sz w:val="20"/>
                <w:szCs w:val="21"/>
                <w:highlight w:val="none"/>
              </w:rPr>
              <w:t>人民币元</w:t>
            </w:r>
            <w:r>
              <w:rPr>
                <w:rFonts w:hint="eastAsia" w:ascii="宋体" w:hAnsi="宋体" w:eastAsia="宋体" w:cs="宋体"/>
                <w:color w:val="auto"/>
                <w:kern w:val="0"/>
                <w:szCs w:val="21"/>
                <w:highlight w:val="none"/>
              </w:rPr>
              <w:t>）</w:t>
            </w:r>
          </w:p>
          <w:p w14:paraId="7A6C3903">
            <w:pPr>
              <w:adjustRightInd w:val="0"/>
              <w:snapToGrid w:val="0"/>
              <w:spacing w:line="360" w:lineRule="auto"/>
              <w:jc w:val="center"/>
              <w:rPr>
                <w:rFonts w:hint="eastAsia" w:ascii="宋体" w:hAnsi="宋体" w:eastAsia="宋体" w:cs="宋体"/>
                <w:color w:val="auto"/>
                <w:kern w:val="0"/>
                <w:sz w:val="2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kern w:val="0"/>
                <w:sz w:val="24"/>
                <w:highlight w:val="none"/>
              </w:rPr>
              <w:t>大写金额与小写金额不一致时，以大写金额为准</w:t>
            </w:r>
            <w:r>
              <w:rPr>
                <w:rFonts w:hint="eastAsia" w:ascii="宋体" w:hAnsi="宋体" w:eastAsia="宋体" w:cs="宋体"/>
                <w:color w:val="auto"/>
                <w:kern w:val="0"/>
                <w:szCs w:val="21"/>
                <w:highlight w:val="none"/>
              </w:rPr>
              <w:t>）</w:t>
            </w:r>
          </w:p>
        </w:tc>
        <w:tc>
          <w:tcPr>
            <w:tcW w:w="3119" w:type="dxa"/>
            <w:vAlign w:val="center"/>
          </w:tcPr>
          <w:p w14:paraId="76B11948">
            <w:pPr>
              <w:adjustRightInd w:val="0"/>
              <w:snapToGrid w:val="0"/>
              <w:spacing w:line="360" w:lineRule="auto"/>
              <w:jc w:val="both"/>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合同履行期限：</w:t>
            </w:r>
          </w:p>
        </w:tc>
      </w:tr>
    </w:tbl>
    <w:p w14:paraId="25D7B304">
      <w:pPr>
        <w:adjustRightInd w:val="0"/>
        <w:snapToGrid w:val="0"/>
        <w:spacing w:line="360" w:lineRule="auto"/>
        <w:rPr>
          <w:rFonts w:hint="eastAsia" w:ascii="宋体" w:hAnsi="宋体" w:eastAsia="宋体" w:cs="宋体"/>
          <w:b/>
          <w:color w:val="auto"/>
          <w:szCs w:val="21"/>
          <w:highlight w:val="none"/>
        </w:rPr>
      </w:pPr>
    </w:p>
    <w:p w14:paraId="3FF063CC">
      <w:pPr>
        <w:adjustRightInd w:val="0"/>
        <w:snapToGrid w:val="0"/>
        <w:spacing w:line="360" w:lineRule="auto"/>
        <w:rPr>
          <w:rFonts w:hint="eastAsia" w:ascii="宋体" w:hAnsi="宋体" w:eastAsia="宋体" w:cs="宋体"/>
          <w:b/>
          <w:color w:val="auto"/>
          <w:szCs w:val="21"/>
          <w:highlight w:val="none"/>
        </w:rPr>
      </w:pPr>
    </w:p>
    <w:p w14:paraId="3A879A48">
      <w:pPr>
        <w:adjustRightInd w:val="0"/>
        <w:snapToGrid w:val="0"/>
        <w:spacing w:line="360" w:lineRule="auto"/>
        <w:rPr>
          <w:rFonts w:hint="eastAsia" w:ascii="宋体" w:hAnsi="宋体" w:eastAsia="宋体" w:cs="宋体"/>
          <w:b/>
          <w:color w:val="auto"/>
          <w:szCs w:val="21"/>
          <w:highlight w:val="none"/>
        </w:rPr>
      </w:pPr>
    </w:p>
    <w:p w14:paraId="197BF416">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备注：1、本“开标一览表”所填报价应与交易平台上所填电子“开标一览表”报价一致，否则，以交易平台上所填电子“开标一览表”报价为准。</w:t>
      </w:r>
    </w:p>
    <w:p w14:paraId="5D9EBAD9">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2、本表须按包填写，一个“包号”一份。</w:t>
      </w:r>
    </w:p>
    <w:p w14:paraId="3C7B728E">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3、投标人提交两份及以上投标报价不同的“开标一览表”，且未书面说明哪个有效或以哪个为准的，其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17D3A3C7">
      <w:pPr>
        <w:adjustRightInd w:val="0"/>
        <w:snapToGrid w:val="0"/>
        <w:spacing w:line="360" w:lineRule="auto"/>
        <w:ind w:firstLine="630" w:firstLineChars="300"/>
        <w:jc w:val="left"/>
        <w:rPr>
          <w:rFonts w:hint="eastAsia" w:ascii="宋体" w:hAnsi="宋体" w:eastAsia="宋体" w:cs="宋体"/>
          <w:color w:val="auto"/>
          <w:highlight w:val="none"/>
        </w:rPr>
      </w:pPr>
      <w:r>
        <w:rPr>
          <w:rFonts w:hint="eastAsia" w:ascii="宋体" w:hAnsi="宋体" w:eastAsia="宋体" w:cs="宋体"/>
          <w:color w:val="auto"/>
          <w:szCs w:val="21"/>
          <w:highlight w:val="none"/>
        </w:rPr>
        <w:t>4、</w:t>
      </w:r>
      <w:r>
        <w:rPr>
          <w:rFonts w:hint="eastAsia" w:ascii="宋体" w:hAnsi="宋体" w:eastAsia="宋体" w:cs="宋体"/>
          <w:color w:val="auto"/>
          <w:highlight w:val="none"/>
        </w:rPr>
        <w:t>投标人在投标截止时间前修改“开标一览表”中的投标报价的，应同时修改投标文件“分项报价明细表”“享受政府采购政策优惠的证明资料”以及“联合体协议书”（如果影响）等相关内容。</w:t>
      </w:r>
    </w:p>
    <w:p w14:paraId="562092B8">
      <w:pPr>
        <w:adjustRightInd w:val="0"/>
        <w:snapToGrid w:val="0"/>
        <w:spacing w:line="360" w:lineRule="auto"/>
        <w:ind w:firstLine="420" w:firstLineChars="200"/>
        <w:rPr>
          <w:rFonts w:hint="eastAsia" w:ascii="宋体" w:hAnsi="宋体" w:eastAsia="宋体" w:cs="宋体"/>
          <w:color w:val="auto"/>
          <w:szCs w:val="21"/>
          <w:highlight w:val="none"/>
        </w:rPr>
      </w:pPr>
    </w:p>
    <w:p w14:paraId="23B9646F">
      <w:pPr>
        <w:adjustRightInd w:val="0"/>
        <w:snapToGrid w:val="0"/>
        <w:spacing w:line="360" w:lineRule="auto"/>
        <w:ind w:firstLine="420" w:firstLineChars="200"/>
        <w:rPr>
          <w:rFonts w:hint="eastAsia" w:ascii="宋体" w:hAnsi="宋体" w:eastAsia="宋体" w:cs="宋体"/>
          <w:color w:val="auto"/>
          <w:szCs w:val="21"/>
          <w:highlight w:val="none"/>
        </w:rPr>
      </w:pPr>
    </w:p>
    <w:p w14:paraId="0DCC7138">
      <w:pPr>
        <w:adjustRightInd w:val="0"/>
        <w:snapToGrid w:val="0"/>
        <w:spacing w:line="360" w:lineRule="auto"/>
        <w:rPr>
          <w:rFonts w:hint="eastAsia" w:ascii="宋体" w:hAnsi="宋体" w:eastAsia="宋体" w:cs="宋体"/>
          <w:color w:val="auto"/>
          <w:szCs w:val="21"/>
          <w:highlight w:val="none"/>
        </w:rPr>
      </w:pPr>
    </w:p>
    <w:p w14:paraId="016DCD89">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B7B4117">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5E7097F1">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2566B94">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251" w:name="_Toc29913951"/>
    </w:p>
    <w:bookmarkEnd w:id="251"/>
    <w:p w14:paraId="0A3B1524">
      <w:pPr>
        <w:pStyle w:val="4"/>
        <w:bidi w:val="0"/>
        <w:jc w:val="center"/>
        <w:rPr>
          <w:rFonts w:hint="eastAsia" w:ascii="宋体" w:hAnsi="宋体" w:eastAsia="宋体" w:cs="宋体"/>
          <w:color w:val="auto"/>
          <w:sz w:val="28"/>
          <w:szCs w:val="28"/>
          <w:highlight w:val="none"/>
        </w:rPr>
      </w:pPr>
      <w:bookmarkStart w:id="252" w:name="_Toc29913953"/>
      <w:bookmarkStart w:id="253" w:name="_Toc16450"/>
      <w:bookmarkStart w:id="254" w:name="_Toc17604"/>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法定代表人</w:t>
      </w:r>
      <w:r>
        <w:rPr>
          <w:rFonts w:hint="eastAsia" w:ascii="宋体" w:hAnsi="宋体" w:cs="宋体"/>
          <w:color w:val="auto"/>
          <w:sz w:val="28"/>
          <w:szCs w:val="28"/>
          <w:highlight w:val="none"/>
          <w:lang w:eastAsia="zh-CN"/>
        </w:rPr>
        <w:t>（单位负责人）</w:t>
      </w:r>
      <w:r>
        <w:rPr>
          <w:rFonts w:hint="eastAsia" w:ascii="宋体" w:hAnsi="宋体" w:eastAsia="宋体" w:cs="宋体"/>
          <w:color w:val="auto"/>
          <w:sz w:val="28"/>
          <w:szCs w:val="28"/>
          <w:highlight w:val="none"/>
        </w:rPr>
        <w:t>身份证明</w:t>
      </w:r>
      <w:bookmarkEnd w:id="252"/>
      <w:bookmarkEnd w:id="253"/>
      <w:bookmarkEnd w:id="254"/>
    </w:p>
    <w:p w14:paraId="57A916F6">
      <w:pPr>
        <w:tabs>
          <w:tab w:val="left" w:pos="3880"/>
        </w:tabs>
        <w:autoSpaceDE w:val="0"/>
        <w:autoSpaceDN w:val="0"/>
        <w:adjustRightInd w:val="0"/>
        <w:snapToGrid w:val="0"/>
        <w:spacing w:line="360" w:lineRule="auto"/>
        <w:ind w:left="100" w:right="-20"/>
        <w:jc w:val="left"/>
        <w:rPr>
          <w:rFonts w:hint="eastAsia" w:ascii="宋体" w:hAnsi="宋体" w:eastAsia="宋体" w:cs="宋体"/>
          <w:color w:val="auto"/>
          <w:kern w:val="0"/>
          <w:position w:val="-4"/>
          <w:szCs w:val="21"/>
          <w:highlight w:val="none"/>
        </w:rPr>
      </w:pPr>
    </w:p>
    <w:p w14:paraId="10DCD04B">
      <w:pPr>
        <w:tabs>
          <w:tab w:val="left" w:pos="3880"/>
        </w:tabs>
        <w:autoSpaceDE w:val="0"/>
        <w:autoSpaceDN w:val="0"/>
        <w:adjustRightInd w:val="0"/>
        <w:snapToGrid w:val="0"/>
        <w:spacing w:line="360" w:lineRule="auto"/>
        <w:ind w:left="100" w:right="-20"/>
        <w:jc w:val="left"/>
        <w:rPr>
          <w:rFonts w:hint="eastAsia" w:ascii="宋体" w:hAnsi="宋体" w:eastAsia="宋体" w:cs="宋体"/>
          <w:color w:val="auto"/>
          <w:kern w:val="0"/>
          <w:szCs w:val="21"/>
          <w:highlight w:val="none"/>
        </w:rPr>
      </w:pPr>
      <w:r>
        <w:rPr>
          <w:rFonts w:hint="eastAsia" w:ascii="宋体" w:hAnsi="宋体" w:eastAsia="宋体" w:cs="宋体"/>
          <w:color w:val="auto"/>
          <w:kern w:val="0"/>
          <w:position w:val="-4"/>
          <w:szCs w:val="21"/>
          <w:highlight w:val="none"/>
        </w:rPr>
        <w:t>投标</w:t>
      </w:r>
      <w:r>
        <w:rPr>
          <w:rFonts w:hint="eastAsia" w:ascii="宋体" w:hAnsi="宋体" w:eastAsia="宋体" w:cs="宋体"/>
          <w:color w:val="auto"/>
          <w:spacing w:val="-2"/>
          <w:kern w:val="0"/>
          <w:position w:val="-4"/>
          <w:szCs w:val="21"/>
          <w:highlight w:val="none"/>
        </w:rPr>
        <w:t>人</w:t>
      </w:r>
      <w:r>
        <w:rPr>
          <w:rFonts w:hint="eastAsia" w:ascii="宋体" w:hAnsi="宋体" w:eastAsia="宋体" w:cs="宋体"/>
          <w:color w:val="auto"/>
          <w:kern w:val="0"/>
          <w:position w:val="-4"/>
          <w:szCs w:val="21"/>
          <w:highlight w:val="none"/>
        </w:rPr>
        <w:t>名</w:t>
      </w:r>
      <w:r>
        <w:rPr>
          <w:rFonts w:hint="eastAsia" w:ascii="宋体" w:hAnsi="宋体" w:eastAsia="宋体" w:cs="宋体"/>
          <w:color w:val="auto"/>
          <w:spacing w:val="-2"/>
          <w:kern w:val="0"/>
          <w:position w:val="-4"/>
          <w:szCs w:val="21"/>
          <w:highlight w:val="none"/>
        </w:rPr>
        <w:t>称</w:t>
      </w:r>
      <w:r>
        <w:rPr>
          <w:rFonts w:hint="eastAsia" w:ascii="宋体" w:hAnsi="宋体" w:eastAsia="宋体" w:cs="宋体"/>
          <w:color w:val="auto"/>
          <w:kern w:val="0"/>
          <w:position w:val="-4"/>
          <w:szCs w:val="21"/>
          <w:highlight w:val="none"/>
        </w:rPr>
        <w:t>：</w:t>
      </w:r>
      <w:r>
        <w:rPr>
          <w:rFonts w:hint="eastAsia" w:ascii="宋体" w:hAnsi="宋体" w:eastAsia="宋体" w:cs="宋体"/>
          <w:color w:val="auto"/>
          <w:szCs w:val="21"/>
          <w:highlight w:val="none"/>
          <w:u w:val="single"/>
        </w:rPr>
        <w:t xml:space="preserve">                 </w:t>
      </w:r>
    </w:p>
    <w:p w14:paraId="76123A9B">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eastAsia="宋体" w:cs="宋体"/>
          <w:color w:val="auto"/>
          <w:kern w:val="0"/>
          <w:position w:val="-2"/>
          <w:szCs w:val="21"/>
          <w:highlight w:val="none"/>
        </w:rPr>
      </w:pPr>
      <w:r>
        <w:rPr>
          <w:rFonts w:hint="eastAsia" w:ascii="宋体" w:hAnsi="宋体" w:eastAsia="宋体" w:cs="宋体"/>
          <w:color w:val="auto"/>
          <w:kern w:val="0"/>
          <w:position w:val="-2"/>
          <w:szCs w:val="21"/>
          <w:highlight w:val="none"/>
        </w:rPr>
        <w:t>统一社会信用代码：</w:t>
      </w:r>
      <w:r>
        <w:rPr>
          <w:rFonts w:hint="eastAsia" w:ascii="宋体" w:hAnsi="宋体" w:eastAsia="宋体" w:cs="宋体"/>
          <w:color w:val="auto"/>
          <w:szCs w:val="21"/>
          <w:highlight w:val="none"/>
          <w:u w:val="single"/>
        </w:rPr>
        <w:t xml:space="preserve">                 </w:t>
      </w:r>
    </w:p>
    <w:p w14:paraId="75078BDC">
      <w:pPr>
        <w:tabs>
          <w:tab w:val="left" w:pos="2400"/>
          <w:tab w:val="left" w:pos="3880"/>
          <w:tab w:val="left" w:pos="5340"/>
          <w:tab w:val="left" w:pos="6820"/>
        </w:tabs>
        <w:autoSpaceDE w:val="0"/>
        <w:autoSpaceDN w:val="0"/>
        <w:adjustRightInd w:val="0"/>
        <w:snapToGrid w:val="0"/>
        <w:spacing w:line="360" w:lineRule="auto"/>
        <w:ind w:left="100" w:right="-20"/>
        <w:jc w:val="left"/>
        <w:rPr>
          <w:rFonts w:hint="eastAsia" w:ascii="宋体" w:hAnsi="宋体" w:eastAsia="宋体" w:cs="宋体"/>
          <w:color w:val="auto"/>
          <w:kern w:val="0"/>
          <w:position w:val="-2"/>
          <w:szCs w:val="21"/>
          <w:highlight w:val="none"/>
        </w:rPr>
      </w:pPr>
      <w:r>
        <w:rPr>
          <w:rFonts w:hint="eastAsia" w:ascii="宋体" w:hAnsi="宋体" w:eastAsia="宋体" w:cs="宋体"/>
          <w:color w:val="auto"/>
          <w:kern w:val="0"/>
          <w:position w:val="-2"/>
          <w:szCs w:val="21"/>
          <w:highlight w:val="none"/>
        </w:rPr>
        <w:t>注册地址：</w:t>
      </w:r>
      <w:r>
        <w:rPr>
          <w:rFonts w:hint="eastAsia" w:ascii="宋体" w:hAnsi="宋体" w:eastAsia="宋体" w:cs="宋体"/>
          <w:color w:val="auto"/>
          <w:szCs w:val="21"/>
          <w:highlight w:val="none"/>
          <w:u w:val="single"/>
        </w:rPr>
        <w:t xml:space="preserve">                 </w:t>
      </w:r>
    </w:p>
    <w:p w14:paraId="79F50DE6">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position w:val="-2"/>
          <w:szCs w:val="21"/>
          <w:highlight w:val="none"/>
        </w:rPr>
        <w:t>姓名</w:t>
      </w:r>
      <w:r>
        <w:rPr>
          <w:rFonts w:hint="eastAsia" w:ascii="宋体" w:hAnsi="宋体" w:eastAsia="宋体" w:cs="宋体"/>
          <w:color w:val="auto"/>
          <w:spacing w:val="-2"/>
          <w:kern w:val="0"/>
          <w:position w:val="-2"/>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position w:val="-2"/>
          <w:szCs w:val="21"/>
          <w:highlight w:val="none"/>
        </w:rPr>
        <w:t>性别</w:t>
      </w:r>
      <w:r>
        <w:rPr>
          <w:rFonts w:hint="eastAsia" w:ascii="宋体" w:hAnsi="宋体" w:eastAsia="宋体" w:cs="宋体"/>
          <w:color w:val="auto"/>
          <w:spacing w:val="-2"/>
          <w:kern w:val="0"/>
          <w:position w:val="-2"/>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position w:val="-2"/>
          <w:szCs w:val="21"/>
          <w:highlight w:val="none"/>
        </w:rPr>
        <w:t>年</w:t>
      </w:r>
      <w:r>
        <w:rPr>
          <w:rFonts w:hint="eastAsia" w:ascii="宋体" w:hAnsi="宋体" w:eastAsia="宋体" w:cs="宋体"/>
          <w:color w:val="auto"/>
          <w:spacing w:val="-2"/>
          <w:kern w:val="0"/>
          <w:position w:val="-2"/>
          <w:szCs w:val="21"/>
          <w:highlight w:val="none"/>
        </w:rPr>
        <w:t>龄</w:t>
      </w:r>
      <w:r>
        <w:rPr>
          <w:rFonts w:hint="eastAsia" w:ascii="宋体" w:hAnsi="宋体" w:eastAsia="宋体" w:cs="宋体"/>
          <w:color w:val="auto"/>
          <w:kern w:val="0"/>
          <w:position w:val="-2"/>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position w:val="-2"/>
          <w:szCs w:val="21"/>
          <w:highlight w:val="none"/>
        </w:rPr>
        <w:t>职</w:t>
      </w:r>
      <w:r>
        <w:rPr>
          <w:rFonts w:hint="eastAsia" w:ascii="宋体" w:hAnsi="宋体" w:eastAsia="宋体" w:cs="宋体"/>
          <w:color w:val="auto"/>
          <w:spacing w:val="-2"/>
          <w:kern w:val="0"/>
          <w:position w:val="-2"/>
          <w:szCs w:val="21"/>
          <w:highlight w:val="none"/>
        </w:rPr>
        <w:t>务</w:t>
      </w:r>
      <w:r>
        <w:rPr>
          <w:rFonts w:hint="eastAsia" w:ascii="宋体" w:hAnsi="宋体" w:eastAsia="宋体" w:cs="宋体"/>
          <w:color w:val="auto"/>
          <w:kern w:val="0"/>
          <w:position w:val="-2"/>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position w:val="-2"/>
          <w:szCs w:val="21"/>
          <w:highlight w:val="none"/>
        </w:rPr>
        <w:t>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pacing w:val="-2"/>
          <w:kern w:val="0"/>
          <w:position w:val="-2"/>
          <w:szCs w:val="21"/>
          <w:highlight w:val="none"/>
        </w:rPr>
        <w:t>（</w:t>
      </w:r>
      <w:r>
        <w:rPr>
          <w:rFonts w:hint="eastAsia" w:ascii="宋体" w:hAnsi="宋体" w:eastAsia="宋体" w:cs="宋体"/>
          <w:color w:val="auto"/>
          <w:kern w:val="0"/>
          <w:position w:val="-2"/>
          <w:szCs w:val="21"/>
          <w:highlight w:val="none"/>
        </w:rPr>
        <w:t>投</w:t>
      </w:r>
      <w:r>
        <w:rPr>
          <w:rFonts w:hint="eastAsia" w:ascii="宋体" w:hAnsi="宋体" w:eastAsia="宋体" w:cs="宋体"/>
          <w:color w:val="auto"/>
          <w:spacing w:val="-2"/>
          <w:kern w:val="0"/>
          <w:position w:val="-2"/>
          <w:szCs w:val="21"/>
          <w:highlight w:val="none"/>
        </w:rPr>
        <w:t>标</w:t>
      </w:r>
      <w:r>
        <w:rPr>
          <w:rFonts w:hint="eastAsia" w:ascii="宋体" w:hAnsi="宋体" w:eastAsia="宋体" w:cs="宋体"/>
          <w:color w:val="auto"/>
          <w:kern w:val="0"/>
          <w:position w:val="-2"/>
          <w:szCs w:val="21"/>
          <w:highlight w:val="none"/>
        </w:rPr>
        <w:t>人</w:t>
      </w:r>
      <w:r>
        <w:rPr>
          <w:rFonts w:hint="eastAsia" w:ascii="宋体" w:hAnsi="宋体" w:eastAsia="宋体" w:cs="宋体"/>
          <w:color w:val="auto"/>
          <w:spacing w:val="-2"/>
          <w:kern w:val="0"/>
          <w:position w:val="-2"/>
          <w:szCs w:val="21"/>
          <w:highlight w:val="none"/>
        </w:rPr>
        <w:t>名</w:t>
      </w:r>
      <w:r>
        <w:rPr>
          <w:rFonts w:hint="eastAsia" w:ascii="宋体" w:hAnsi="宋体" w:eastAsia="宋体" w:cs="宋体"/>
          <w:color w:val="auto"/>
          <w:kern w:val="0"/>
          <w:position w:val="-2"/>
          <w:szCs w:val="21"/>
          <w:highlight w:val="none"/>
        </w:rPr>
        <w:t>称</w:t>
      </w:r>
      <w:r>
        <w:rPr>
          <w:rFonts w:hint="eastAsia" w:ascii="宋体" w:hAnsi="宋体" w:eastAsia="宋体" w:cs="宋体"/>
          <w:color w:val="auto"/>
          <w:spacing w:val="-2"/>
          <w:kern w:val="0"/>
          <w:position w:val="-2"/>
          <w:szCs w:val="21"/>
          <w:highlight w:val="none"/>
        </w:rPr>
        <w:t>）</w:t>
      </w:r>
      <w:r>
        <w:rPr>
          <w:rFonts w:hint="eastAsia" w:ascii="宋体" w:hAnsi="宋体" w:eastAsia="宋体" w:cs="宋体"/>
          <w:color w:val="auto"/>
          <w:kern w:val="0"/>
          <w:position w:val="-2"/>
          <w:szCs w:val="21"/>
          <w:highlight w:val="none"/>
        </w:rPr>
        <w:t>的</w:t>
      </w:r>
      <w:r>
        <w:rPr>
          <w:rFonts w:hint="eastAsia" w:ascii="宋体" w:hAnsi="宋体" w:eastAsia="宋体" w:cs="宋体"/>
          <w:color w:val="auto"/>
          <w:spacing w:val="-2"/>
          <w:kern w:val="0"/>
          <w:position w:val="-2"/>
          <w:szCs w:val="21"/>
          <w:highlight w:val="none"/>
          <w:lang w:eastAsia="zh-CN"/>
        </w:rPr>
        <w:t>法定代表人</w:t>
      </w:r>
      <w:r>
        <w:rPr>
          <w:rFonts w:hint="eastAsia" w:ascii="宋体" w:hAnsi="宋体" w:cs="宋体"/>
          <w:color w:val="auto"/>
          <w:spacing w:val="-2"/>
          <w:kern w:val="0"/>
          <w:position w:val="-2"/>
          <w:szCs w:val="21"/>
          <w:highlight w:val="none"/>
          <w:lang w:eastAsia="zh-CN"/>
        </w:rPr>
        <w:t>（单位负责人）</w:t>
      </w:r>
      <w:r>
        <w:rPr>
          <w:rFonts w:hint="eastAsia" w:ascii="宋体" w:hAnsi="宋体" w:eastAsia="宋体" w:cs="宋体"/>
          <w:color w:val="auto"/>
          <w:kern w:val="0"/>
          <w:position w:val="-2"/>
          <w:szCs w:val="21"/>
          <w:highlight w:val="none"/>
        </w:rPr>
        <w:t>。</w:t>
      </w:r>
    </w:p>
    <w:p w14:paraId="61C3BC6F">
      <w:pPr>
        <w:autoSpaceDE w:val="0"/>
        <w:autoSpaceDN w:val="0"/>
        <w:adjustRightInd w:val="0"/>
        <w:snapToGrid w:val="0"/>
        <w:spacing w:line="360" w:lineRule="auto"/>
        <w:ind w:left="520" w:right="-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特此</w:t>
      </w:r>
      <w:r>
        <w:rPr>
          <w:rFonts w:hint="eastAsia" w:ascii="宋体" w:hAnsi="宋体" w:eastAsia="宋体" w:cs="宋体"/>
          <w:color w:val="auto"/>
          <w:spacing w:val="-2"/>
          <w:kern w:val="0"/>
          <w:szCs w:val="21"/>
          <w:highlight w:val="none"/>
        </w:rPr>
        <w:t>证</w:t>
      </w:r>
      <w:r>
        <w:rPr>
          <w:rFonts w:hint="eastAsia" w:ascii="宋体" w:hAnsi="宋体" w:eastAsia="宋体" w:cs="宋体"/>
          <w:color w:val="auto"/>
          <w:kern w:val="0"/>
          <w:szCs w:val="21"/>
          <w:highlight w:val="none"/>
        </w:rPr>
        <w:t>明。</w:t>
      </w:r>
    </w:p>
    <w:p w14:paraId="6AB1E9C9">
      <w:pPr>
        <w:autoSpaceDE w:val="0"/>
        <w:autoSpaceDN w:val="0"/>
        <w:adjustRightInd w:val="0"/>
        <w:snapToGrid w:val="0"/>
        <w:spacing w:line="360" w:lineRule="auto"/>
        <w:ind w:left="100" w:right="423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w:t>
      </w:r>
      <w:r>
        <w:rPr>
          <w:rFonts w:hint="eastAsia" w:ascii="宋体" w:hAnsi="宋体" w:eastAsia="宋体" w:cs="宋体"/>
          <w:color w:val="auto"/>
          <w:spacing w:val="-2"/>
          <w:kern w:val="0"/>
          <w:szCs w:val="21"/>
          <w:highlight w:val="none"/>
          <w:lang w:eastAsia="zh-CN"/>
        </w:rPr>
        <w:t>法定代表人</w:t>
      </w:r>
      <w:r>
        <w:rPr>
          <w:rFonts w:hint="eastAsia" w:ascii="宋体" w:hAnsi="宋体" w:cs="宋体"/>
          <w:color w:val="auto"/>
          <w:kern w:val="0"/>
          <w:szCs w:val="21"/>
          <w:highlight w:val="none"/>
          <w:lang w:eastAsia="zh-CN"/>
        </w:rPr>
        <w:t>（单位负责人）</w:t>
      </w:r>
      <w:r>
        <w:rPr>
          <w:rFonts w:hint="eastAsia" w:ascii="宋体" w:hAnsi="宋体" w:eastAsia="宋体" w:cs="宋体"/>
          <w:color w:val="auto"/>
          <w:kern w:val="0"/>
          <w:szCs w:val="21"/>
          <w:highlight w:val="none"/>
        </w:rPr>
        <w:t>身</w:t>
      </w:r>
      <w:r>
        <w:rPr>
          <w:rFonts w:hint="eastAsia" w:ascii="宋体" w:hAnsi="宋体" w:eastAsia="宋体" w:cs="宋体"/>
          <w:color w:val="auto"/>
          <w:spacing w:val="-2"/>
          <w:kern w:val="0"/>
          <w:szCs w:val="21"/>
          <w:highlight w:val="none"/>
        </w:rPr>
        <w:t>份</w:t>
      </w:r>
      <w:r>
        <w:rPr>
          <w:rFonts w:hint="eastAsia" w:ascii="宋体" w:hAnsi="宋体" w:eastAsia="宋体" w:cs="宋体"/>
          <w:color w:val="auto"/>
          <w:kern w:val="0"/>
          <w:szCs w:val="21"/>
          <w:highlight w:val="none"/>
        </w:rPr>
        <w:t>证</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r>
        <w:rPr>
          <w:rFonts w:hint="eastAsia" w:ascii="宋体" w:hAnsi="宋体" w:eastAsia="宋体" w:cs="宋体"/>
          <w:color w:val="auto"/>
          <w:kern w:val="0"/>
          <w:szCs w:val="21"/>
          <w:highlight w:val="none"/>
        </w:rPr>
        <w:t>。</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1F29F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1624094A">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法定代表人（单位负责人）</w:t>
            </w:r>
          </w:p>
          <w:p w14:paraId="43C4976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身份证（正面）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c>
          <w:tcPr>
            <w:tcW w:w="3899" w:type="dxa"/>
            <w:vAlign w:val="center"/>
          </w:tcPr>
          <w:p w14:paraId="0981DB23">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法定代表人（单位负责人）</w:t>
            </w:r>
          </w:p>
          <w:p w14:paraId="51312496">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身份证（反面）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r>
    </w:tbl>
    <w:p w14:paraId="37398A37">
      <w:pPr>
        <w:adjustRightInd w:val="0"/>
        <w:snapToGrid w:val="0"/>
        <w:spacing w:line="360" w:lineRule="auto"/>
        <w:rPr>
          <w:rFonts w:hint="eastAsia" w:ascii="宋体" w:hAnsi="宋体" w:eastAsia="宋体" w:cs="宋体"/>
          <w:color w:val="auto"/>
          <w:szCs w:val="21"/>
          <w:highlight w:val="none"/>
        </w:rPr>
      </w:pPr>
    </w:p>
    <w:p w14:paraId="31572F2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注：投标人代表为</w:t>
      </w:r>
      <w:r>
        <w:rPr>
          <w:rFonts w:hint="eastAsia" w:ascii="宋体" w:hAnsi="宋体" w:eastAsia="宋体" w:cs="宋体"/>
          <w:color w:val="auto"/>
          <w:szCs w:val="21"/>
          <w:highlight w:val="none"/>
          <w:lang w:eastAsia="zh-CN"/>
        </w:rPr>
        <w:t>法定代表人</w:t>
      </w:r>
      <w:r>
        <w:rPr>
          <w:rFonts w:hint="eastAsia" w:ascii="宋体" w:hAnsi="宋体" w:cs="宋体"/>
          <w:color w:val="auto"/>
          <w:spacing w:val="-2"/>
          <w:kern w:val="0"/>
          <w:position w:val="-2"/>
          <w:szCs w:val="21"/>
          <w:highlight w:val="none"/>
          <w:lang w:eastAsia="zh-CN"/>
        </w:rPr>
        <w:t>（单位负责人）</w:t>
      </w:r>
      <w:r>
        <w:rPr>
          <w:rFonts w:hint="eastAsia" w:ascii="宋体" w:hAnsi="宋体" w:eastAsia="宋体" w:cs="宋体"/>
          <w:color w:val="auto"/>
          <w:szCs w:val="21"/>
          <w:highlight w:val="none"/>
        </w:rPr>
        <w:t>的提供。自然人投标的无需提供。</w:t>
      </w:r>
    </w:p>
    <w:p w14:paraId="11B416D3">
      <w:pPr>
        <w:adjustRightInd w:val="0"/>
        <w:snapToGrid w:val="0"/>
        <w:spacing w:line="360" w:lineRule="auto"/>
        <w:rPr>
          <w:rFonts w:hint="eastAsia" w:ascii="宋体" w:hAnsi="宋体" w:eastAsia="宋体" w:cs="宋体"/>
          <w:color w:val="auto"/>
          <w:szCs w:val="21"/>
          <w:highlight w:val="none"/>
        </w:rPr>
      </w:pPr>
    </w:p>
    <w:p w14:paraId="0050C4A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（盖单位电子章）</w:t>
      </w:r>
    </w:p>
    <w:p w14:paraId="6E546C80">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43596171">
      <w:pPr>
        <w:adjustRightInd w:val="0"/>
        <w:snapToGrid w:val="0"/>
        <w:spacing w:line="360" w:lineRule="auto"/>
        <w:rPr>
          <w:rFonts w:hint="eastAsia" w:ascii="宋体" w:hAnsi="宋体" w:eastAsia="宋体" w:cs="宋体"/>
          <w:color w:val="auto"/>
          <w:highlight w:val="none"/>
        </w:rPr>
      </w:pPr>
    </w:p>
    <w:p w14:paraId="1CEA163E">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ABDF185">
      <w:pPr>
        <w:pStyle w:val="4"/>
        <w:adjustRightInd w:val="0"/>
        <w:snapToGrid w:val="0"/>
        <w:spacing w:before="0" w:after="0" w:line="360" w:lineRule="auto"/>
        <w:jc w:val="center"/>
        <w:rPr>
          <w:rFonts w:hint="eastAsia" w:ascii="宋体" w:hAnsi="宋体" w:eastAsia="宋体" w:cs="宋体"/>
          <w:color w:val="auto"/>
          <w:sz w:val="28"/>
          <w:szCs w:val="28"/>
          <w:highlight w:val="none"/>
        </w:rPr>
      </w:pPr>
      <w:bookmarkStart w:id="255" w:name="_Toc29913954"/>
      <w:bookmarkStart w:id="256" w:name="_Toc30911"/>
      <w:bookmarkStart w:id="257" w:name="_Toc7677"/>
      <w:bookmarkStart w:id="258" w:name="_Toc595"/>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、授权委托书</w:t>
      </w:r>
      <w:bookmarkEnd w:id="255"/>
      <w:bookmarkEnd w:id="256"/>
      <w:bookmarkEnd w:id="257"/>
      <w:bookmarkEnd w:id="258"/>
    </w:p>
    <w:p w14:paraId="323F11BA">
      <w:pPr>
        <w:autoSpaceDE w:val="0"/>
        <w:autoSpaceDN w:val="0"/>
        <w:adjustRightInd w:val="0"/>
        <w:snapToGrid w:val="0"/>
        <w:spacing w:line="360" w:lineRule="auto"/>
        <w:ind w:firstLine="446" w:firstLineChars="200"/>
        <w:jc w:val="left"/>
        <w:rPr>
          <w:rFonts w:hint="eastAsia" w:ascii="宋体" w:hAnsi="宋体" w:eastAsia="宋体" w:cs="宋体"/>
          <w:b/>
          <w:color w:val="auto"/>
          <w:spacing w:val="6"/>
          <w:szCs w:val="21"/>
          <w:highlight w:val="none"/>
        </w:rPr>
      </w:pPr>
    </w:p>
    <w:p w14:paraId="303AA96D">
      <w:pPr>
        <w:autoSpaceDE w:val="0"/>
        <w:autoSpaceDN w:val="0"/>
        <w:adjustRightInd w:val="0"/>
        <w:snapToGrid w:val="0"/>
        <w:spacing w:line="360" w:lineRule="auto"/>
        <w:ind w:firstLine="420" w:firstLineChars="200"/>
        <w:jc w:val="left"/>
        <w:rPr>
          <w:rFonts w:hint="eastAsia" w:ascii="宋体" w:hAnsi="宋体" w:eastAsia="宋体" w:cs="宋体"/>
          <w:color w:val="auto"/>
          <w:kern w:val="0"/>
          <w:szCs w:val="21"/>
          <w:highlight w:val="none"/>
        </w:rPr>
      </w:pPr>
    </w:p>
    <w:p w14:paraId="3FDDCBBA">
      <w:pPr>
        <w:autoSpaceDE w:val="0"/>
        <w:autoSpaceDN w:val="0"/>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（姓名、职务）系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名称）的</w:t>
      </w:r>
      <w:r>
        <w:rPr>
          <w:rFonts w:hint="eastAsia" w:ascii="宋体" w:hAnsi="宋体" w:eastAsia="宋体" w:cs="宋体"/>
          <w:color w:val="auto"/>
          <w:kern w:val="0"/>
          <w:szCs w:val="21"/>
          <w:highlight w:val="none"/>
          <w:lang w:eastAsia="zh-CN"/>
        </w:rPr>
        <w:t>法定代表人</w:t>
      </w:r>
      <w:r>
        <w:rPr>
          <w:rFonts w:hint="eastAsia" w:ascii="宋体" w:hAnsi="宋体" w:cs="宋体"/>
          <w:color w:val="auto"/>
          <w:kern w:val="0"/>
          <w:szCs w:val="21"/>
          <w:highlight w:val="none"/>
          <w:lang w:eastAsia="zh-CN"/>
        </w:rPr>
        <w:t>（单位负责人）</w:t>
      </w:r>
      <w:r>
        <w:rPr>
          <w:rFonts w:hint="eastAsia" w:ascii="宋体" w:hAnsi="宋体" w:eastAsia="宋体" w:cs="宋体"/>
          <w:color w:val="auto"/>
          <w:kern w:val="0"/>
          <w:szCs w:val="21"/>
          <w:highlight w:val="none"/>
        </w:rPr>
        <w:t>，现授权</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（姓名、职务）为我方代理人。代理人根据授权，以我方名义签署、澄清、说明、补正、递交、撤回、修改</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采购项目名称</w:t>
      </w:r>
      <w:r>
        <w:rPr>
          <w:rFonts w:hint="eastAsia" w:ascii="宋体" w:hAnsi="宋体" w:eastAsia="宋体" w:cs="宋体"/>
          <w:color w:val="auto"/>
          <w:kern w:val="0"/>
          <w:szCs w:val="21"/>
          <w:highlight w:val="none"/>
        </w:rPr>
        <w:t>）（</w:t>
      </w:r>
      <w:r>
        <w:rPr>
          <w:rFonts w:hint="eastAsia" w:ascii="宋体" w:hAnsi="宋体" w:cs="宋体"/>
          <w:color w:val="auto"/>
          <w:highlight w:val="none"/>
          <w:lang w:eastAsia="zh-CN"/>
        </w:rPr>
        <w:t>政府采购计划编号</w:t>
      </w:r>
      <w:r>
        <w:rPr>
          <w:rFonts w:hint="eastAsia" w:ascii="宋体" w:hAnsi="宋体" w:eastAsia="宋体" w:cs="宋体"/>
          <w:iCs/>
          <w:color w:val="auto"/>
          <w:highlight w:val="none"/>
        </w:rPr>
        <w:t>：</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 xml:space="preserve"> </w:t>
      </w:r>
      <w:r>
        <w:rPr>
          <w:rFonts w:hint="eastAsia" w:ascii="宋体" w:hAnsi="宋体" w:eastAsia="宋体" w:cs="宋体"/>
          <w:color w:val="auto"/>
          <w:kern w:val="0"/>
          <w:szCs w:val="21"/>
          <w:highlight w:val="none"/>
        </w:rPr>
        <w:t>）投标文件、签订合同和处理有关事宜，其法律后果由我方承担。</w:t>
      </w:r>
    </w:p>
    <w:p w14:paraId="77FF00CF">
      <w:pPr>
        <w:autoSpaceDE w:val="0"/>
        <w:autoSpaceDN w:val="0"/>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委托期限：</w:t>
      </w:r>
      <w:r>
        <w:rPr>
          <w:rFonts w:hint="eastAsia" w:ascii="宋体" w:hAnsi="宋体" w:eastAsia="宋体" w:cs="宋体"/>
          <w:color w:val="auto"/>
          <w:kern w:val="0"/>
          <w:szCs w:val="21"/>
          <w:highlight w:val="none"/>
          <w:u w:val="single"/>
        </w:rPr>
        <w:t xml:space="preserve"> </w:t>
      </w:r>
      <w:r>
        <w:rPr>
          <w:rFonts w:hint="eastAsia" w:ascii="宋体" w:hAnsi="宋体" w:cs="宋体"/>
          <w:color w:val="auto"/>
          <w:kern w:val="0"/>
          <w:szCs w:val="21"/>
          <w:highlight w:val="none"/>
          <w:u w:val="single"/>
          <w:lang w:eastAsia="zh-CN"/>
        </w:rPr>
        <w:t>自授权书签署之日至投标有效期期满</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6436F0C5">
      <w:pPr>
        <w:adjustRightInd w:val="0"/>
        <w:snapToGrid w:val="0"/>
        <w:spacing w:line="360" w:lineRule="auto"/>
        <w:ind w:firstLine="435"/>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代理人无转委托权。</w:t>
      </w:r>
    </w:p>
    <w:p w14:paraId="4C099FC0">
      <w:pPr>
        <w:adjustRightInd w:val="0"/>
        <w:snapToGrid w:val="0"/>
        <w:spacing w:line="360" w:lineRule="auto"/>
        <w:ind w:firstLine="435"/>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本授权书于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日签字生效，特此声明。</w:t>
      </w:r>
    </w:p>
    <w:tbl>
      <w:tblPr>
        <w:tblStyle w:val="45"/>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79A8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7DC4DCCF">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法定代表人（单位负责人）</w:t>
            </w:r>
          </w:p>
          <w:p w14:paraId="51106251">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身份证（正面）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c>
          <w:tcPr>
            <w:tcW w:w="3899" w:type="dxa"/>
            <w:vAlign w:val="center"/>
          </w:tcPr>
          <w:p w14:paraId="71E9C575">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法定代表人（单位负责人）</w:t>
            </w:r>
          </w:p>
          <w:p w14:paraId="7D7642D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身份证（反面）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r>
      <w:tr w14:paraId="17BF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5B67A651">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授权代表人</w:t>
            </w:r>
          </w:p>
          <w:p w14:paraId="08F0D8F7">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身份证（正面）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c>
          <w:tcPr>
            <w:tcW w:w="3899" w:type="dxa"/>
            <w:vAlign w:val="center"/>
          </w:tcPr>
          <w:p w14:paraId="1D98DCB0">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授权代表人</w:t>
            </w:r>
          </w:p>
          <w:p w14:paraId="68CEE2EE">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身份证（反面）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r>
    </w:tbl>
    <w:p w14:paraId="5769A9CA">
      <w:pPr>
        <w:adjustRightInd w:val="0"/>
        <w:snapToGrid w:val="0"/>
        <w:spacing w:line="360" w:lineRule="auto"/>
        <w:ind w:firstLine="420" w:firstLineChars="200"/>
        <w:rPr>
          <w:rFonts w:hint="eastAsia" w:ascii="宋体" w:hAnsi="宋体" w:eastAsia="宋体" w:cs="宋体"/>
          <w:color w:val="auto"/>
          <w:szCs w:val="21"/>
          <w:highlight w:val="none"/>
        </w:rPr>
      </w:pPr>
    </w:p>
    <w:p w14:paraId="0764EE75">
      <w:pPr>
        <w:adjustRightInd w:val="0"/>
        <w:snapToGrid w:val="0"/>
        <w:spacing w:line="360" w:lineRule="auto"/>
        <w:ind w:firstLine="420" w:firstLineChars="200"/>
        <w:rPr>
          <w:rFonts w:hint="eastAsia" w:ascii="宋体" w:hAnsi="宋体" w:eastAsia="宋体" w:cs="宋体"/>
          <w:color w:val="auto"/>
          <w:szCs w:val="21"/>
          <w:highlight w:val="none"/>
        </w:rPr>
      </w:pPr>
    </w:p>
    <w:p w14:paraId="22980278">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注：投标人代表不是投标人的</w:t>
      </w:r>
      <w:r>
        <w:rPr>
          <w:rFonts w:hint="eastAsia" w:ascii="宋体" w:hAnsi="宋体" w:eastAsia="宋体" w:cs="宋体"/>
          <w:color w:val="auto"/>
          <w:szCs w:val="21"/>
          <w:highlight w:val="none"/>
          <w:lang w:eastAsia="zh-CN"/>
        </w:rPr>
        <w:t>法定代表人</w:t>
      </w:r>
      <w:r>
        <w:rPr>
          <w:rFonts w:hint="eastAsia" w:ascii="宋体" w:hAnsi="宋体" w:cs="宋体"/>
          <w:color w:val="auto"/>
          <w:kern w:val="0"/>
          <w:szCs w:val="21"/>
          <w:highlight w:val="none"/>
          <w:lang w:eastAsia="zh-CN"/>
        </w:rPr>
        <w:t>（单位负责人）</w:t>
      </w:r>
      <w:r>
        <w:rPr>
          <w:rFonts w:hint="eastAsia" w:ascii="宋体" w:hAnsi="宋体" w:eastAsia="宋体" w:cs="宋体"/>
          <w:color w:val="auto"/>
          <w:szCs w:val="21"/>
          <w:highlight w:val="none"/>
        </w:rPr>
        <w:t>的提供。自然人投标的无需提供。</w:t>
      </w:r>
    </w:p>
    <w:p w14:paraId="26F42F80">
      <w:pPr>
        <w:adjustRightInd w:val="0"/>
        <w:snapToGrid w:val="0"/>
        <w:spacing w:line="360" w:lineRule="auto"/>
        <w:ind w:firstLine="420" w:firstLineChars="200"/>
        <w:rPr>
          <w:rFonts w:hint="eastAsia" w:ascii="宋体" w:hAnsi="宋体" w:eastAsia="宋体" w:cs="宋体"/>
          <w:color w:val="auto"/>
          <w:szCs w:val="21"/>
          <w:highlight w:val="none"/>
        </w:rPr>
      </w:pPr>
    </w:p>
    <w:p w14:paraId="4B7B969B">
      <w:pPr>
        <w:adjustRightInd w:val="0"/>
        <w:snapToGrid w:val="0"/>
        <w:spacing w:line="360" w:lineRule="auto"/>
        <w:ind w:firstLine="420" w:firstLineChars="200"/>
        <w:rPr>
          <w:rFonts w:hint="eastAsia" w:ascii="宋体" w:hAnsi="宋体" w:eastAsia="宋体" w:cs="宋体"/>
          <w:color w:val="auto"/>
          <w:szCs w:val="21"/>
          <w:highlight w:val="none"/>
        </w:rPr>
      </w:pPr>
    </w:p>
    <w:p w14:paraId="199C8D0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0AC9D87">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pacing w:val="-2"/>
          <w:kern w:val="0"/>
          <w:szCs w:val="21"/>
          <w:highlight w:val="none"/>
          <w:lang w:eastAsia="zh-CN"/>
        </w:rPr>
        <w:t>法定代表人</w:t>
      </w:r>
      <w:r>
        <w:rPr>
          <w:rFonts w:hint="eastAsia" w:ascii="宋体" w:hAnsi="宋体" w:cs="宋体"/>
          <w:color w:val="auto"/>
          <w:kern w:val="0"/>
          <w:szCs w:val="21"/>
          <w:highlight w:val="none"/>
          <w:lang w:eastAsia="zh-CN"/>
        </w:rPr>
        <w:t>（单位负责人）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eastAsia="zh-CN"/>
        </w:rPr>
        <w:t>（签字或签章）</w:t>
      </w:r>
    </w:p>
    <w:p w14:paraId="2FC0D9CC">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授权代表人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eastAsia="zh-CN"/>
        </w:rPr>
        <w:t>（签字或签章）</w:t>
      </w:r>
    </w:p>
    <w:p w14:paraId="352ED82C">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C6391A4">
      <w:pPr>
        <w:adjustRightInd w:val="0"/>
        <w:snapToGrid w:val="0"/>
        <w:spacing w:line="360" w:lineRule="auto"/>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r>
    </w:p>
    <w:p w14:paraId="25D8DC33">
      <w:pPr>
        <w:pStyle w:val="4"/>
        <w:adjustRightInd w:val="0"/>
        <w:snapToGrid w:val="0"/>
        <w:spacing w:before="0" w:after="0" w:line="360" w:lineRule="auto"/>
        <w:jc w:val="center"/>
        <w:rPr>
          <w:rFonts w:hint="eastAsia" w:ascii="宋体" w:hAnsi="宋体" w:eastAsia="宋体" w:cs="宋体"/>
          <w:color w:val="auto"/>
          <w:sz w:val="28"/>
          <w:szCs w:val="28"/>
          <w:highlight w:val="none"/>
        </w:rPr>
      </w:pPr>
      <w:bookmarkStart w:id="259" w:name="_Toc8345"/>
      <w:bookmarkStart w:id="260" w:name="_Toc29913955"/>
      <w:bookmarkStart w:id="261" w:name="_Toc1633"/>
      <w:bookmarkStart w:id="262" w:name="_Toc24174"/>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、投标人提供的资格证明文件</w:t>
      </w:r>
      <w:bookmarkEnd w:id="259"/>
      <w:bookmarkEnd w:id="260"/>
      <w:bookmarkEnd w:id="261"/>
      <w:bookmarkEnd w:id="262"/>
    </w:p>
    <w:p w14:paraId="14F5ACC5">
      <w:pPr>
        <w:pStyle w:val="23"/>
        <w:adjustRightInd w:val="0"/>
        <w:snapToGrid w:val="0"/>
        <w:spacing w:line="360" w:lineRule="auto"/>
        <w:jc w:val="center"/>
        <w:rPr>
          <w:rFonts w:hint="eastAsia" w:ascii="宋体" w:hAnsi="宋体" w:eastAsia="宋体" w:cs="宋体"/>
          <w:b/>
          <w:bCs/>
          <w:color w:val="auto"/>
          <w:sz w:val="24"/>
          <w:szCs w:val="24"/>
          <w:highlight w:val="none"/>
        </w:rPr>
      </w:pPr>
    </w:p>
    <w:p w14:paraId="422939C6">
      <w:pPr>
        <w:pStyle w:val="23"/>
        <w:adjustRightInd w:val="0"/>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须  知</w:t>
      </w:r>
    </w:p>
    <w:p w14:paraId="084764C1">
      <w:pPr>
        <w:tabs>
          <w:tab w:val="left" w:pos="4725"/>
        </w:tabs>
        <w:adjustRightInd w:val="0"/>
        <w:snapToGrid w:val="0"/>
        <w:spacing w:before="156" w:beforeLines="50"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1、投标人</w:t>
      </w:r>
      <w:r>
        <w:rPr>
          <w:rFonts w:hint="eastAsia" w:ascii="宋体" w:hAnsi="宋体" w:eastAsia="宋体" w:cs="宋体"/>
          <w:b/>
          <w:bCs/>
          <w:color w:val="auto"/>
          <w:szCs w:val="21"/>
          <w:highlight w:val="none"/>
        </w:rPr>
        <w:t>应按第二章第15.1款要求提供下列的证明材料</w:t>
      </w:r>
    </w:p>
    <w:p w14:paraId="733EF018">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-1 法人或者其他组织的营业执照等主体资格证明文件，自然人的身份证明</w:t>
      </w:r>
    </w:p>
    <w:p w14:paraId="5C9AF9F5">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 xml:space="preserve">-2 </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投标人资格声明(格式)</w:t>
      </w:r>
    </w:p>
    <w:p w14:paraId="592E6C2A">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 xml:space="preserve">-2 </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湖南省政府采购供应商资格承诺函(格式)</w:t>
      </w:r>
    </w:p>
    <w:p w14:paraId="4325B4DF">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信用中国、中国政府采购网等5个网站的8个截图</w:t>
      </w:r>
    </w:p>
    <w:p w14:paraId="1646D443">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-3 符合特定资格条件证明材料复印件或者情况说明</w:t>
      </w:r>
    </w:p>
    <w:p w14:paraId="07F18BFD">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附件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 xml:space="preserve">-4 </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联合体协议书（格式）（联合体形式投标的提供）</w:t>
      </w:r>
    </w:p>
    <w:p w14:paraId="399B48FF">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附件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提供“非联合体投标”书面声明</w:t>
      </w:r>
    </w:p>
    <w:p w14:paraId="35A400FB">
      <w:pPr>
        <w:tabs>
          <w:tab w:val="left" w:pos="4725"/>
        </w:tabs>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2、投标人以联合体形式投标的，除应提交联合协议书(本节附</w:t>
      </w:r>
      <w:r>
        <w:rPr>
          <w:rFonts w:hint="eastAsia" w:ascii="宋体" w:hAnsi="宋体" w:eastAsia="宋体" w:cs="宋体"/>
          <w:color w:val="auto"/>
          <w:szCs w:val="21"/>
          <w:highlight w:val="none"/>
          <w:lang w:eastAsia="zh-CN"/>
        </w:rPr>
        <w:t>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-4)外，参加联合体的各方均应提交上款资格证明材料。</w:t>
      </w:r>
    </w:p>
    <w:p w14:paraId="39AB6E46">
      <w:pPr>
        <w:tabs>
          <w:tab w:val="left" w:pos="4725"/>
        </w:tabs>
        <w:adjustRightInd w:val="0"/>
        <w:snapToGrid w:val="0"/>
        <w:spacing w:line="360" w:lineRule="auto"/>
        <w:rPr>
          <w:rFonts w:hint="eastAsia" w:ascii="宋体" w:hAnsi="宋体" w:eastAsia="宋体" w:cs="宋体"/>
          <w:color w:val="auto"/>
          <w:szCs w:val="21"/>
          <w:highlight w:val="none"/>
        </w:rPr>
      </w:pPr>
    </w:p>
    <w:p w14:paraId="38A59137">
      <w:pPr>
        <w:widowControl/>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A1D1E0F">
      <w:pPr>
        <w:pStyle w:val="5"/>
        <w:rPr>
          <w:rFonts w:hint="eastAsia" w:ascii="宋体" w:hAnsi="宋体" w:eastAsia="宋体" w:cs="宋体"/>
          <w:b w:val="0"/>
          <w:color w:val="auto"/>
          <w:sz w:val="21"/>
          <w:szCs w:val="21"/>
          <w:highlight w:val="none"/>
        </w:rPr>
      </w:pPr>
      <w:bookmarkStart w:id="263" w:name="_Toc20833"/>
      <w:bookmarkStart w:id="264" w:name="_Toc28022"/>
      <w:bookmarkStart w:id="265" w:name="_Toc18063"/>
      <w:bookmarkStart w:id="266" w:name="_Toc29913956"/>
      <w:r>
        <w:rPr>
          <w:rFonts w:hint="eastAsia" w:ascii="宋体" w:hAnsi="宋体" w:eastAsia="宋体" w:cs="宋体"/>
          <w:b w:val="0"/>
          <w:color w:val="auto"/>
          <w:sz w:val="21"/>
          <w:szCs w:val="21"/>
          <w:highlight w:val="none"/>
          <w:lang w:eastAsia="zh-CN"/>
        </w:rPr>
        <w:t>附件</w:t>
      </w:r>
      <w:r>
        <w:rPr>
          <w:rFonts w:hint="eastAsia" w:ascii="宋体" w:hAnsi="宋体" w:eastAsia="宋体" w:cs="宋体"/>
          <w:b w:val="0"/>
          <w:color w:val="auto"/>
          <w:sz w:val="21"/>
          <w:szCs w:val="21"/>
          <w:highlight w:val="none"/>
          <w:lang w:val="en-US" w:eastAsia="zh-CN"/>
        </w:rPr>
        <w:t>4</w:t>
      </w:r>
      <w:r>
        <w:rPr>
          <w:rFonts w:hint="eastAsia" w:ascii="宋体" w:hAnsi="宋体" w:eastAsia="宋体" w:cs="宋体"/>
          <w:b w:val="0"/>
          <w:color w:val="auto"/>
          <w:sz w:val="21"/>
          <w:szCs w:val="21"/>
          <w:highlight w:val="none"/>
        </w:rPr>
        <w:t>-1 法人或者其他组织的营业执照等主体资格证明文件，自然人的身份证明</w:t>
      </w:r>
      <w:bookmarkEnd w:id="263"/>
      <w:bookmarkEnd w:id="264"/>
      <w:bookmarkEnd w:id="265"/>
      <w:bookmarkEnd w:id="266"/>
    </w:p>
    <w:p w14:paraId="55B88C1A">
      <w:pPr>
        <w:widowControl/>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法人或者其他组织的营业执照等主体资格证明文件，自然人的身份证明</w:t>
      </w:r>
    </w:p>
    <w:p w14:paraId="77EE29F3">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p>
    <w:p w14:paraId="103434F5">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注：按第二章第14.1（2）项要求提供。</w:t>
      </w:r>
    </w:p>
    <w:p w14:paraId="3448FD70">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highlight w:val="none"/>
        </w:rPr>
        <w:t>投标人为法人的，应提交营业执照或法人登记证书的复印件；</w:t>
      </w:r>
    </w:p>
    <w:p w14:paraId="01071537">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highlight w:val="none"/>
        </w:rPr>
        <w:t>投标人为非法人组织的，应提交依法登记证书复印件；</w:t>
      </w:r>
    </w:p>
    <w:p w14:paraId="0C217CC5">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（3）</w:t>
      </w:r>
      <w:r>
        <w:rPr>
          <w:rFonts w:hint="eastAsia" w:ascii="宋体" w:hAnsi="宋体" w:eastAsia="宋体" w:cs="宋体"/>
          <w:color w:val="auto"/>
          <w:highlight w:val="none"/>
        </w:rPr>
        <w:t>投标人为个体工商户的，应提交个体工商户营业执照复印件；</w:t>
      </w:r>
    </w:p>
    <w:p w14:paraId="2A8919B3">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（4）</w:t>
      </w:r>
      <w:r>
        <w:rPr>
          <w:rFonts w:hint="eastAsia" w:ascii="宋体" w:hAnsi="宋体" w:eastAsia="宋体" w:cs="宋体"/>
          <w:color w:val="auto"/>
          <w:highlight w:val="none"/>
        </w:rPr>
        <w:t>投标人为自然人的，应提交自然人的身份证明复印件。</w:t>
      </w:r>
    </w:p>
    <w:p w14:paraId="1892CF3D">
      <w:pPr>
        <w:adjustRightInd w:val="0"/>
        <w:snapToGrid w:val="0"/>
        <w:spacing w:before="156" w:beforeLines="50" w:line="360" w:lineRule="auto"/>
        <w:ind w:firstLine="420" w:firstLineChars="200"/>
        <w:rPr>
          <w:rFonts w:hint="eastAsia" w:ascii="宋体" w:hAnsi="宋体" w:eastAsia="宋体" w:cs="宋体"/>
          <w:color w:val="auto"/>
          <w:highlight w:val="none"/>
        </w:rPr>
      </w:pPr>
    </w:p>
    <w:p w14:paraId="63526A04">
      <w:pPr>
        <w:widowControl/>
        <w:jc w:val="lef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br w:type="page"/>
      </w:r>
    </w:p>
    <w:p w14:paraId="6B8BFB3F">
      <w:pPr>
        <w:pStyle w:val="5"/>
        <w:adjustRightInd w:val="0"/>
        <w:snapToGrid w:val="0"/>
        <w:spacing w:before="156" w:beforeLines="50" w:after="0" w:line="360" w:lineRule="auto"/>
        <w:rPr>
          <w:rFonts w:hint="eastAsia" w:ascii="宋体" w:hAnsi="宋体" w:eastAsia="宋体" w:cs="宋体"/>
          <w:b w:val="0"/>
          <w:color w:val="auto"/>
          <w:sz w:val="21"/>
          <w:szCs w:val="21"/>
          <w:highlight w:val="none"/>
        </w:rPr>
      </w:pPr>
      <w:bookmarkStart w:id="267" w:name="_Toc20857"/>
      <w:bookmarkStart w:id="268" w:name="_Toc8752"/>
      <w:bookmarkStart w:id="269" w:name="_Toc29913957"/>
      <w:bookmarkStart w:id="270" w:name="_Toc22586"/>
      <w:r>
        <w:rPr>
          <w:rFonts w:hint="eastAsia" w:ascii="宋体" w:hAnsi="宋体" w:eastAsia="宋体" w:cs="宋体"/>
          <w:b w:val="0"/>
          <w:color w:val="auto"/>
          <w:sz w:val="21"/>
          <w:szCs w:val="21"/>
          <w:highlight w:val="none"/>
          <w:lang w:eastAsia="zh-CN"/>
        </w:rPr>
        <w:t>附件</w:t>
      </w:r>
      <w:r>
        <w:rPr>
          <w:rFonts w:hint="eastAsia" w:ascii="宋体" w:hAnsi="宋体" w:eastAsia="宋体" w:cs="宋体"/>
          <w:b w:val="0"/>
          <w:color w:val="auto"/>
          <w:sz w:val="21"/>
          <w:szCs w:val="21"/>
          <w:highlight w:val="none"/>
          <w:lang w:val="en-US" w:eastAsia="zh-CN"/>
        </w:rPr>
        <w:t>4</w:t>
      </w:r>
      <w:r>
        <w:rPr>
          <w:rFonts w:hint="eastAsia" w:ascii="宋体" w:hAnsi="宋体" w:eastAsia="宋体" w:cs="宋体"/>
          <w:b w:val="0"/>
          <w:color w:val="auto"/>
          <w:sz w:val="21"/>
          <w:szCs w:val="21"/>
          <w:highlight w:val="none"/>
        </w:rPr>
        <w:t xml:space="preserve">-2 </w:t>
      </w:r>
      <w:r>
        <w:rPr>
          <w:rFonts w:hint="eastAsia" w:ascii="宋体" w:hAnsi="宋体" w:eastAsia="宋体" w:cs="宋体"/>
          <w:b w:val="0"/>
          <w:color w:val="auto"/>
          <w:sz w:val="21"/>
          <w:szCs w:val="21"/>
          <w:highlight w:val="none"/>
          <w:lang w:eastAsia="zh-CN"/>
        </w:rPr>
        <w:t>（</w:t>
      </w:r>
      <w:r>
        <w:rPr>
          <w:rFonts w:hint="eastAsia" w:ascii="宋体" w:hAnsi="宋体" w:eastAsia="宋体" w:cs="宋体"/>
          <w:b w:val="0"/>
          <w:color w:val="auto"/>
          <w:sz w:val="21"/>
          <w:szCs w:val="21"/>
          <w:highlight w:val="none"/>
          <w:lang w:val="en-US" w:eastAsia="zh-CN"/>
        </w:rPr>
        <w:t>1</w:t>
      </w:r>
      <w:r>
        <w:rPr>
          <w:rFonts w:hint="eastAsia" w:ascii="宋体" w:hAnsi="宋体" w:eastAsia="宋体" w:cs="宋体"/>
          <w:b w:val="0"/>
          <w:color w:val="auto"/>
          <w:sz w:val="21"/>
          <w:szCs w:val="21"/>
          <w:highlight w:val="none"/>
          <w:lang w:eastAsia="zh-CN"/>
        </w:rPr>
        <w:t>）</w:t>
      </w:r>
      <w:r>
        <w:rPr>
          <w:rFonts w:hint="eastAsia" w:ascii="宋体" w:hAnsi="宋体" w:eastAsia="宋体" w:cs="宋体"/>
          <w:b w:val="0"/>
          <w:color w:val="auto"/>
          <w:sz w:val="21"/>
          <w:szCs w:val="21"/>
          <w:highlight w:val="none"/>
        </w:rPr>
        <w:t>投标人资格声明(格式)</w:t>
      </w:r>
      <w:bookmarkEnd w:id="267"/>
      <w:bookmarkEnd w:id="268"/>
      <w:bookmarkEnd w:id="269"/>
      <w:bookmarkEnd w:id="270"/>
    </w:p>
    <w:p w14:paraId="0301BFF0">
      <w:pPr>
        <w:widowControl/>
        <w:adjustRightInd w:val="0"/>
        <w:snapToGrid w:val="0"/>
        <w:spacing w:before="156" w:beforeLines="50" w:line="360" w:lineRule="auto"/>
        <w:jc w:val="center"/>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投标人资格声明(格式)</w:t>
      </w:r>
    </w:p>
    <w:p w14:paraId="06E3E99C">
      <w:pPr>
        <w:widowControl/>
        <w:adjustRightInd w:val="0"/>
        <w:snapToGrid w:val="0"/>
        <w:spacing w:before="156"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(采购人、采购代理机构)：</w:t>
      </w:r>
    </w:p>
    <w:p w14:paraId="7E2F768C">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按照《中华人民共和国政府采购法》第二十二条和招标文件的规定，我单位郑重声明如下：</w:t>
      </w:r>
    </w:p>
    <w:p w14:paraId="71245DC8">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一、我单位是按照中华人民共和国法律规定登记注册的，注册地点为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，全称为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，统一社会信用代码为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法定代表人（姓名）</w:t>
      </w:r>
      <w:r>
        <w:rPr>
          <w:rFonts w:hint="eastAsia" w:ascii="宋体" w:hAnsi="宋体" w:eastAsia="宋体" w:cs="宋体"/>
          <w:color w:val="auto"/>
          <w:szCs w:val="21"/>
          <w:highlight w:val="none"/>
        </w:rPr>
        <w:t>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，具有独立承担民事责任的能力。</w:t>
      </w:r>
    </w:p>
    <w:p w14:paraId="12C391EB">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二、我单位未被“国家企业信用信息系统”列入经营异常名录或者严重违法企业名单。</w:t>
      </w:r>
    </w:p>
    <w:p w14:paraId="21D8AAD4">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三、</w:t>
      </w:r>
      <w:r>
        <w:rPr>
          <w:rFonts w:hint="eastAsia" w:ascii="宋体" w:hAnsi="宋体" w:eastAsia="宋体" w:cs="宋体"/>
          <w:color w:val="auto"/>
          <w:szCs w:val="21"/>
          <w:highlight w:val="none"/>
        </w:rPr>
        <w:t>我单位具有良好的商业信誉和健全的财务会计制度。</w:t>
      </w:r>
    </w:p>
    <w:p w14:paraId="0EDD3532">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四、我</w:t>
      </w:r>
      <w:r>
        <w:rPr>
          <w:rFonts w:hint="eastAsia" w:ascii="宋体" w:hAnsi="宋体" w:eastAsia="宋体" w:cs="宋体"/>
          <w:color w:val="auto"/>
          <w:szCs w:val="21"/>
          <w:highlight w:val="none"/>
        </w:rPr>
        <w:t>单位</w:t>
      </w:r>
      <w:r>
        <w:rPr>
          <w:rFonts w:hint="eastAsia" w:ascii="宋体" w:hAnsi="宋体" w:eastAsia="宋体" w:cs="宋体"/>
          <w:color w:val="auto"/>
          <w:kern w:val="0"/>
          <w:szCs w:val="21"/>
          <w:highlight w:val="none"/>
        </w:rPr>
        <w:t>依法进行纳税和社会保险申报并实际履行了义务。</w:t>
      </w:r>
    </w:p>
    <w:p w14:paraId="0415058C">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五、我单位具有履行本项目采购合同所必需的设备和专业技术能力，并具有履行合同的良好记录。</w:t>
      </w:r>
    </w:p>
    <w:p w14:paraId="3228C228">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2046B507">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供应商在参加政府采购活动前3年内因违法经营被禁止在一定期限内参加政府采购活动，期限届满的，可以参加政府采购活动。</w:t>
      </w:r>
    </w:p>
    <w:p w14:paraId="45B1D187">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七、我单位具备法律、行政法规规定的其他条件。</w:t>
      </w:r>
    </w:p>
    <w:p w14:paraId="7A5E4DBB">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八、</w:t>
      </w:r>
      <w:r>
        <w:rPr>
          <w:rFonts w:hint="eastAsia" w:ascii="宋体" w:hAnsi="宋体" w:eastAsia="宋体" w:cs="宋体"/>
          <w:color w:val="auto"/>
          <w:szCs w:val="21"/>
          <w:highlight w:val="none"/>
        </w:rPr>
        <w:t>与我单位存在“单位负责人为同一人或者存在直接控股、管理关系”的其他单位信息如下（如无，填写“无”）：</w:t>
      </w:r>
    </w:p>
    <w:p w14:paraId="756E0285">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1、与我单位的</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zCs w:val="21"/>
          <w:highlight w:val="none"/>
        </w:rPr>
        <w:t>为同一人的其他单位如下：</w:t>
      </w:r>
      <w:r>
        <w:rPr>
          <w:rFonts w:hint="eastAsia" w:ascii="宋体" w:hAnsi="宋体" w:eastAsia="宋体" w:cs="宋体"/>
          <w:color w:val="auto"/>
          <w:szCs w:val="21"/>
          <w:highlight w:val="none"/>
          <w:u w:val="single"/>
        </w:rPr>
        <w:t xml:space="preserve">               </w:t>
      </w:r>
    </w:p>
    <w:p w14:paraId="03B94640">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2、我单位直接控股的其他单位如下：</w:t>
      </w:r>
      <w:r>
        <w:rPr>
          <w:rFonts w:hint="eastAsia" w:ascii="宋体" w:hAnsi="宋体" w:eastAsia="宋体" w:cs="宋体"/>
          <w:color w:val="auto"/>
          <w:szCs w:val="21"/>
          <w:highlight w:val="none"/>
          <w:u w:val="single"/>
        </w:rPr>
        <w:t xml:space="preserve">               </w:t>
      </w:r>
    </w:p>
    <w:p w14:paraId="1477ED2C">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3、与我单位存在管理关系的其他单位如下：</w:t>
      </w:r>
      <w:r>
        <w:rPr>
          <w:rFonts w:hint="eastAsia" w:ascii="宋体" w:hAnsi="宋体" w:eastAsia="宋体" w:cs="宋体"/>
          <w:color w:val="auto"/>
          <w:szCs w:val="21"/>
          <w:highlight w:val="none"/>
          <w:u w:val="single"/>
        </w:rPr>
        <w:t xml:space="preserve">               </w:t>
      </w:r>
    </w:p>
    <w:p w14:paraId="094ED42C">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九、我单位不属于为本项目提供整体设计、规范编制或者项目管理、监理、检测等服务的投标人。</w:t>
      </w:r>
    </w:p>
    <w:p w14:paraId="226C1415">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十、我单位无以下不良信用记录情形：</w:t>
      </w:r>
    </w:p>
    <w:p w14:paraId="180D8C46">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1、在“信用中国”、“信用湖南”、“信用郴州”网站被列入失信被执行人和重大税收违法案件当事人名单；</w:t>
      </w:r>
    </w:p>
    <w:p w14:paraId="5F7B79A6">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2、在“中国政府采购网”、“湖南省政府采购网”网站被列入政府采购严重违法失信行为记录名单；</w:t>
      </w:r>
    </w:p>
    <w:p w14:paraId="4F90136E">
      <w:pPr>
        <w:widowControl/>
        <w:adjustRightInd w:val="0"/>
        <w:snapToGrid w:val="0"/>
        <w:spacing w:before="156"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3、不符合《政府采购法》第二十二条规定的条件。</w:t>
      </w:r>
    </w:p>
    <w:p w14:paraId="11590B66">
      <w:pPr>
        <w:widowControl/>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我单位保证上述声明的事项都是真实的，如有虚假，我单位愿意承担相应的法律责任，并承担因此所造成的一切损失。</w:t>
      </w:r>
    </w:p>
    <w:p w14:paraId="1B2D34C6">
      <w:pPr>
        <w:widowControl/>
        <w:adjustRightInd w:val="0"/>
        <w:snapToGrid w:val="0"/>
        <w:spacing w:before="156" w:beforeLines="50" w:line="360" w:lineRule="auto"/>
        <w:jc w:val="left"/>
        <w:rPr>
          <w:rFonts w:hint="eastAsia" w:ascii="宋体" w:hAnsi="宋体" w:eastAsia="宋体" w:cs="宋体"/>
          <w:color w:val="auto"/>
          <w:szCs w:val="21"/>
          <w:highlight w:val="none"/>
        </w:rPr>
      </w:pPr>
    </w:p>
    <w:p w14:paraId="1C4A7885">
      <w:pPr>
        <w:widowControl/>
        <w:adjustRightInd w:val="0"/>
        <w:snapToGrid w:val="0"/>
        <w:spacing w:before="156"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注：第三条“良好的商业信誉”是指投标人经营状况良好，无本资格声明第十条情形。</w:t>
      </w:r>
    </w:p>
    <w:p w14:paraId="215826A8">
      <w:pPr>
        <w:widowControl/>
        <w:adjustRightInd w:val="0"/>
        <w:snapToGrid w:val="0"/>
        <w:spacing w:before="156" w:beforeLines="50" w:line="360" w:lineRule="auto"/>
        <w:jc w:val="left"/>
        <w:rPr>
          <w:rFonts w:hint="eastAsia" w:ascii="宋体" w:hAnsi="宋体" w:eastAsia="宋体" w:cs="宋体"/>
          <w:color w:val="auto"/>
          <w:szCs w:val="21"/>
          <w:highlight w:val="none"/>
        </w:rPr>
      </w:pPr>
    </w:p>
    <w:p w14:paraId="5A940EE4">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DACB203">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204F957F">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3F29E40">
      <w:pPr>
        <w:widowControl/>
        <w:adjustRightInd w:val="0"/>
        <w:snapToGrid w:val="0"/>
        <w:spacing w:line="360" w:lineRule="auto"/>
        <w:jc w:val="left"/>
        <w:rPr>
          <w:rFonts w:hint="eastAsia" w:ascii="宋体" w:hAnsi="宋体" w:eastAsia="宋体" w:cs="宋体"/>
          <w:color w:val="auto"/>
          <w:szCs w:val="21"/>
          <w:highlight w:val="none"/>
        </w:rPr>
      </w:pPr>
    </w:p>
    <w:p w14:paraId="5688B6C5">
      <w:pPr>
        <w:rPr>
          <w:rFonts w:hint="eastAsia"/>
          <w:color w:val="auto"/>
          <w:highlight w:val="none"/>
          <w:lang w:eastAsia="zh-CN"/>
        </w:rPr>
      </w:pPr>
      <w:r>
        <w:rPr>
          <w:rFonts w:hint="eastAsia" w:ascii="宋体" w:hAnsi="宋体" w:eastAsia="宋体" w:cs="宋体"/>
          <w:b/>
          <w:color w:val="auto"/>
          <w:szCs w:val="21"/>
          <w:highlight w:val="none"/>
        </w:rPr>
        <w:br w:type="page"/>
      </w:r>
    </w:p>
    <w:p w14:paraId="700240AB">
      <w:pPr>
        <w:pStyle w:val="5"/>
        <w:adjustRightInd w:val="0"/>
        <w:snapToGrid w:val="0"/>
        <w:spacing w:before="156" w:beforeLines="50" w:after="0" w:line="360" w:lineRule="auto"/>
        <w:rPr>
          <w:rFonts w:hint="eastAsia" w:ascii="宋体" w:hAnsi="宋体" w:eastAsia="宋体" w:cs="宋体"/>
          <w:b w:val="0"/>
          <w:color w:val="auto"/>
          <w:sz w:val="21"/>
          <w:szCs w:val="21"/>
          <w:highlight w:val="none"/>
          <w:lang w:eastAsia="zh-CN"/>
        </w:rPr>
      </w:pPr>
    </w:p>
    <w:p w14:paraId="677F6B19">
      <w:pPr>
        <w:pStyle w:val="5"/>
        <w:adjustRightInd w:val="0"/>
        <w:snapToGrid w:val="0"/>
        <w:spacing w:before="156" w:beforeLines="50" w:after="0" w:line="360" w:lineRule="auto"/>
        <w:rPr>
          <w:rFonts w:hint="eastAsia" w:ascii="宋体" w:hAnsi="宋体" w:eastAsia="宋体" w:cs="宋体"/>
          <w:b w:val="0"/>
          <w:color w:val="auto"/>
          <w:sz w:val="21"/>
          <w:szCs w:val="21"/>
          <w:highlight w:val="none"/>
        </w:rPr>
      </w:pPr>
      <w:bookmarkStart w:id="271" w:name="_Toc15112"/>
      <w:r>
        <w:rPr>
          <w:rFonts w:hint="eastAsia" w:ascii="宋体" w:hAnsi="宋体" w:eastAsia="宋体" w:cs="宋体"/>
          <w:b w:val="0"/>
          <w:color w:val="auto"/>
          <w:sz w:val="21"/>
          <w:szCs w:val="21"/>
          <w:highlight w:val="none"/>
          <w:lang w:eastAsia="zh-CN"/>
        </w:rPr>
        <w:t>附件</w:t>
      </w:r>
      <w:r>
        <w:rPr>
          <w:rFonts w:hint="eastAsia" w:ascii="宋体" w:hAnsi="宋体" w:eastAsia="宋体" w:cs="宋体"/>
          <w:b w:val="0"/>
          <w:color w:val="auto"/>
          <w:sz w:val="21"/>
          <w:szCs w:val="21"/>
          <w:highlight w:val="none"/>
          <w:lang w:val="en-US" w:eastAsia="zh-CN"/>
        </w:rPr>
        <w:t>4</w:t>
      </w:r>
      <w:r>
        <w:rPr>
          <w:rFonts w:hint="eastAsia" w:ascii="宋体" w:hAnsi="宋体" w:eastAsia="宋体" w:cs="宋体"/>
          <w:b w:val="0"/>
          <w:color w:val="auto"/>
          <w:sz w:val="21"/>
          <w:szCs w:val="21"/>
          <w:highlight w:val="none"/>
        </w:rPr>
        <w:t>-</w:t>
      </w:r>
      <w:r>
        <w:rPr>
          <w:rFonts w:hint="eastAsia" w:ascii="宋体" w:hAnsi="宋体" w:eastAsia="宋体" w:cs="宋体"/>
          <w:b w:val="0"/>
          <w:color w:val="auto"/>
          <w:sz w:val="21"/>
          <w:szCs w:val="21"/>
          <w:highlight w:val="none"/>
          <w:lang w:val="en-US" w:eastAsia="zh-CN"/>
        </w:rPr>
        <w:t>2（2）</w:t>
      </w:r>
      <w:r>
        <w:rPr>
          <w:rFonts w:hint="eastAsia" w:ascii="宋体" w:hAnsi="宋体" w:eastAsia="宋体" w:cs="宋体"/>
          <w:b w:val="0"/>
          <w:color w:val="auto"/>
          <w:sz w:val="21"/>
          <w:szCs w:val="21"/>
          <w:highlight w:val="none"/>
        </w:rPr>
        <w:t xml:space="preserve"> 湖南省政府采购</w:t>
      </w:r>
      <w:r>
        <w:rPr>
          <w:rFonts w:hint="eastAsia" w:ascii="宋体" w:hAnsi="宋体" w:eastAsia="宋体" w:cs="宋体"/>
          <w:b w:val="0"/>
          <w:color w:val="auto"/>
          <w:sz w:val="21"/>
          <w:szCs w:val="21"/>
          <w:highlight w:val="none"/>
          <w:lang w:eastAsia="zh-CN"/>
        </w:rPr>
        <w:t>供应商资格承诺函</w:t>
      </w:r>
      <w:r>
        <w:rPr>
          <w:rFonts w:hint="eastAsia" w:ascii="宋体" w:hAnsi="宋体" w:eastAsia="宋体" w:cs="宋体"/>
          <w:b w:val="0"/>
          <w:color w:val="auto"/>
          <w:sz w:val="21"/>
          <w:szCs w:val="21"/>
          <w:highlight w:val="none"/>
        </w:rPr>
        <w:t>(格式)</w:t>
      </w:r>
      <w:bookmarkEnd w:id="271"/>
    </w:p>
    <w:p w14:paraId="499685C6">
      <w:pPr>
        <w:widowControl/>
        <w:adjustRightInd w:val="0"/>
        <w:snapToGrid w:val="0"/>
        <w:spacing w:before="468" w:beforeLines="150" w:line="360" w:lineRule="auto"/>
        <w:jc w:val="center"/>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湖南省政府采购</w:t>
      </w:r>
      <w:r>
        <w:rPr>
          <w:rFonts w:hint="eastAsia" w:ascii="宋体" w:hAnsi="宋体" w:eastAsia="宋体" w:cs="宋体"/>
          <w:b/>
          <w:color w:val="auto"/>
          <w:sz w:val="28"/>
          <w:szCs w:val="28"/>
          <w:highlight w:val="none"/>
          <w:lang w:eastAsia="zh-CN"/>
        </w:rPr>
        <w:t>供应商资格承诺函</w:t>
      </w:r>
      <w:r>
        <w:rPr>
          <w:rFonts w:hint="eastAsia" w:ascii="宋体" w:hAnsi="宋体" w:eastAsia="宋体" w:cs="宋体"/>
          <w:b/>
          <w:color w:val="auto"/>
          <w:sz w:val="28"/>
          <w:szCs w:val="28"/>
          <w:highlight w:val="none"/>
        </w:rPr>
        <w:t>(格式)</w:t>
      </w:r>
    </w:p>
    <w:p w14:paraId="4E73510F">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本公司</w:t>
      </w:r>
      <w:r>
        <w:rPr>
          <w:rFonts w:hint="eastAsia" w:ascii="宋体" w:hAnsi="宋体" w:eastAsia="宋体" w:cs="宋体"/>
          <w:color w:val="auto"/>
          <w:szCs w:val="21"/>
          <w:highlight w:val="none"/>
          <w:lang w:eastAsia="zh-CN"/>
        </w:rPr>
        <w:t>（单位）</w:t>
      </w:r>
      <w:r>
        <w:rPr>
          <w:rFonts w:hint="eastAsia" w:ascii="宋体" w:hAnsi="宋体" w:eastAsia="宋体" w:cs="宋体"/>
          <w:color w:val="auto"/>
          <w:szCs w:val="21"/>
          <w:highlight w:val="none"/>
        </w:rPr>
        <w:t>独立承担民事责任、具有良好的商业信誉和健全的财务会计制度、依法缴纳税收和社会保障资金</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在前三年的经营活动中无重大违法记录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未列入严重失信行为名单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符合</w:t>
      </w:r>
      <w:r>
        <w:rPr>
          <w:rFonts w:hint="eastAsia" w:ascii="宋体" w:hAnsi="宋体" w:eastAsia="宋体" w:cs="宋体"/>
          <w:color w:val="auto"/>
          <w:szCs w:val="21"/>
          <w:highlight w:val="none"/>
          <w:lang w:eastAsia="zh-CN"/>
        </w:rPr>
        <w:t>政府采购供应商</w:t>
      </w:r>
      <w:r>
        <w:rPr>
          <w:rFonts w:hint="eastAsia" w:ascii="宋体" w:hAnsi="宋体" w:eastAsia="宋体" w:cs="宋体"/>
          <w:color w:val="auto"/>
          <w:szCs w:val="21"/>
          <w:highlight w:val="none"/>
        </w:rPr>
        <w:t>的基本资格要求。</w:t>
      </w:r>
    </w:p>
    <w:p w14:paraId="079DE070">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按照《政府采购促进中小企业发展管理办法》(财库〔2020〕46号)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本公司</w:t>
      </w:r>
      <w:r>
        <w:rPr>
          <w:rFonts w:hint="eastAsia" w:ascii="宋体" w:hAnsi="宋体" w:eastAsia="宋体" w:cs="宋体"/>
          <w:color w:val="auto"/>
          <w:szCs w:val="21"/>
          <w:highlight w:val="none"/>
          <w:lang w:eastAsia="zh-CN"/>
        </w:rPr>
        <w:t>（单位）</w:t>
      </w:r>
      <w:r>
        <w:rPr>
          <w:rFonts w:hint="eastAsia" w:ascii="宋体" w:hAnsi="宋体" w:eastAsia="宋体" w:cs="宋体"/>
          <w:color w:val="auto"/>
          <w:szCs w:val="21"/>
          <w:highlight w:val="none"/>
        </w:rPr>
        <w:t>企业规模为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大型□</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中型□</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小型□</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微型□。</w:t>
      </w:r>
    </w:p>
    <w:p w14:paraId="3851871E">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□本公司</w:t>
      </w:r>
      <w:r>
        <w:rPr>
          <w:rFonts w:hint="eastAsia" w:ascii="宋体" w:hAnsi="宋体" w:eastAsia="宋体" w:cs="宋体"/>
          <w:color w:val="auto"/>
          <w:szCs w:val="21"/>
          <w:highlight w:val="none"/>
          <w:lang w:eastAsia="zh-CN"/>
        </w:rPr>
        <w:t>（单位）</w:t>
      </w:r>
      <w:r>
        <w:rPr>
          <w:rFonts w:hint="eastAsia" w:ascii="宋体" w:hAnsi="宋体" w:eastAsia="宋体" w:cs="宋体"/>
          <w:color w:val="auto"/>
          <w:szCs w:val="21"/>
          <w:highlight w:val="none"/>
        </w:rPr>
        <w:t>自愿入驻湖南省政府采购电子卖场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遵守《湖南省政府采购电子卖场管理办法》(湘财购〔2019〕27号)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如违反承诺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同意金融机构将增信保证划缴国库(非电子卖场采购活动项目不需勾选)。</w:t>
      </w:r>
    </w:p>
    <w:p w14:paraId="1DFC1072">
      <w:pPr>
        <w:widowControl/>
        <w:spacing w:before="156" w:beforeLines="50" w:line="24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公司(单位)名称：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eastAsia="zh-CN"/>
        </w:rPr>
        <w:t>（盖单位电子章）</w:t>
      </w:r>
      <w:r>
        <w:rPr>
          <w:rFonts w:hint="eastAsia" w:ascii="宋体" w:hAnsi="宋体" w:eastAsia="宋体" w:cs="宋体"/>
          <w:color w:val="auto"/>
          <w:szCs w:val="21"/>
          <w:highlight w:val="none"/>
          <w:lang w:val="en-US" w:eastAsia="zh-CN"/>
        </w:rPr>
        <w:t xml:space="preserve"> </w:t>
      </w:r>
    </w:p>
    <w:p w14:paraId="6A5904DF">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机构代码：</w:t>
      </w:r>
      <w:r>
        <w:rPr>
          <w:rFonts w:hint="eastAsia" w:ascii="宋体" w:hAnsi="宋体" w:eastAsia="宋体" w:cs="宋体"/>
          <w:color w:val="auto"/>
          <w:szCs w:val="21"/>
          <w:highlight w:val="none"/>
          <w:u w:val="single"/>
        </w:rPr>
        <w:t xml:space="preserve">            </w:t>
      </w:r>
    </w:p>
    <w:p w14:paraId="3C596D69">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注册登记机构：</w:t>
      </w:r>
      <w:r>
        <w:rPr>
          <w:rFonts w:hint="eastAsia" w:ascii="宋体" w:hAnsi="宋体" w:eastAsia="宋体" w:cs="宋体"/>
          <w:color w:val="auto"/>
          <w:szCs w:val="21"/>
          <w:highlight w:val="none"/>
          <w:u w:val="single"/>
        </w:rPr>
        <w:t xml:space="preserve">            </w:t>
      </w:r>
    </w:p>
    <w:p w14:paraId="242188EF">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p>
    <w:p w14:paraId="782B430F">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w:t>
      </w:r>
      <w:r>
        <w:rPr>
          <w:rFonts w:hint="eastAsia" w:ascii="宋体" w:hAnsi="宋体" w:eastAsia="宋体" w:cs="宋体"/>
          <w:color w:val="auto"/>
          <w:szCs w:val="21"/>
          <w:highlight w:val="none"/>
          <w:u w:val="single"/>
        </w:rPr>
        <w:t xml:space="preserve">            </w:t>
      </w:r>
    </w:p>
    <w:p w14:paraId="75942D41">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注册资本：</w:t>
      </w:r>
      <w:r>
        <w:rPr>
          <w:rFonts w:hint="eastAsia" w:ascii="宋体" w:hAnsi="宋体" w:eastAsia="宋体" w:cs="宋体"/>
          <w:color w:val="auto"/>
          <w:szCs w:val="21"/>
          <w:highlight w:val="none"/>
          <w:u w:val="single"/>
        </w:rPr>
        <w:t xml:space="preserve">            </w:t>
      </w:r>
    </w:p>
    <w:p w14:paraId="78910269">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06F23AC3">
      <w:pPr>
        <w:widowControl/>
        <w:spacing w:before="156" w:beforeLines="50" w:line="24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经济行业：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（注：根据</w:t>
      </w:r>
      <w:r>
        <w:rPr>
          <w:rFonts w:hint="eastAsia" w:ascii="宋体" w:hAnsi="宋体" w:cs="宋体"/>
          <w:color w:val="auto"/>
          <w:szCs w:val="21"/>
          <w:highlight w:val="none"/>
          <w:u w:val="single"/>
          <w:lang w:val="en-US" w:eastAsia="zh-CN"/>
        </w:rPr>
        <w:t>招标文件</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u w:val="single"/>
          <w:lang w:eastAsia="zh-CN"/>
        </w:rPr>
        <w:t>本项目对应的中小企业划分标准所属行业</w:t>
      </w:r>
      <w:r>
        <w:rPr>
          <w:rFonts w:hint="eastAsia" w:ascii="宋体" w:hAnsi="宋体" w:cs="宋体"/>
          <w:color w:val="auto"/>
          <w:szCs w:val="21"/>
          <w:highlight w:val="none"/>
          <w:u w:val="single"/>
          <w:lang w:eastAsia="zh-CN"/>
        </w:rPr>
        <w:t>”</w:t>
      </w:r>
      <w:r>
        <w:rPr>
          <w:rFonts w:hint="eastAsia" w:ascii="宋体" w:hAnsi="宋体" w:eastAsia="宋体" w:cs="宋体"/>
          <w:color w:val="auto"/>
          <w:szCs w:val="21"/>
          <w:highlight w:val="none"/>
          <w:u w:val="single"/>
          <w:lang w:eastAsia="zh-CN"/>
        </w:rPr>
        <w:t>内容填写）</w:t>
      </w:r>
      <w:r>
        <w:rPr>
          <w:rFonts w:hint="eastAsia" w:ascii="宋体" w:hAnsi="宋体" w:eastAsia="宋体" w:cs="宋体"/>
          <w:color w:val="auto"/>
          <w:szCs w:val="21"/>
          <w:highlight w:val="none"/>
          <w:u w:val="single"/>
        </w:rPr>
        <w:t xml:space="preserve"> </w:t>
      </w:r>
    </w:p>
    <w:p w14:paraId="05DECC0B">
      <w:pPr>
        <w:widowControl/>
        <w:spacing w:before="156" w:beforeLines="50" w:line="24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经济性质：</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（注：填写营业执照的“类型”；如果是事业单位的则填写“事业单位”）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eastAsia="zh-CN"/>
        </w:rPr>
        <w:t>。</w:t>
      </w:r>
    </w:p>
    <w:p w14:paraId="1D4C7C99">
      <w:pPr>
        <w:widowControl/>
        <w:spacing w:before="156" w:beforeLines="50" w:line="24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法定代表人(负责人)姓名</w:t>
      </w:r>
      <w:r>
        <w:rPr>
          <w:rFonts w:hint="eastAsia" w:ascii="宋体" w:hAnsi="宋体" w:eastAsia="宋体" w:cs="宋体"/>
          <w:color w:val="auto"/>
          <w:szCs w:val="21"/>
          <w:highlight w:val="none"/>
          <w:lang w:eastAsia="zh-CN"/>
        </w:rPr>
        <w:t>（电子签章）</w:t>
      </w: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lang w:eastAsia="zh-CN"/>
        </w:rPr>
        <w:t>手机号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5E1902E4">
      <w:pPr>
        <w:widowControl/>
        <w:spacing w:before="156" w:beforeLines="50" w:line="24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授权代表人姓名</w:t>
      </w:r>
      <w:r>
        <w:rPr>
          <w:rFonts w:hint="eastAsia" w:ascii="宋体" w:hAnsi="宋体" w:eastAsia="宋体" w:cs="宋体"/>
          <w:color w:val="auto"/>
          <w:szCs w:val="21"/>
          <w:highlight w:val="none"/>
          <w:lang w:eastAsia="zh-CN"/>
        </w:rPr>
        <w:t>（电子签章）</w:t>
      </w: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lang w:eastAsia="zh-CN"/>
        </w:rPr>
        <w:t>手机号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134317DE">
      <w:pP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 xml:space="preserve">                                          年     月    日</w:t>
      </w:r>
    </w:p>
    <w:p w14:paraId="0714B4CC">
      <w:pPr>
        <w:widowControl/>
        <w:jc w:val="left"/>
        <w:rPr>
          <w:rFonts w:hint="eastAsia" w:ascii="宋体" w:hAnsi="宋体" w:eastAsia="宋体" w:cs="宋体"/>
          <w:bCs/>
          <w:color w:val="auto"/>
          <w:szCs w:val="21"/>
          <w:highlight w:val="none"/>
        </w:rPr>
      </w:pPr>
    </w:p>
    <w:p w14:paraId="080861DF">
      <w:pPr>
        <w:tabs>
          <w:tab w:val="left" w:pos="4725"/>
        </w:tabs>
        <w:adjustRightInd w:val="0"/>
        <w:snapToGrid w:val="0"/>
        <w:spacing w:before="156" w:beforeLines="50" w:line="360" w:lineRule="auto"/>
        <w:ind w:firstLine="735" w:firstLineChars="350"/>
        <w:rPr>
          <w:rFonts w:hint="eastAsia" w:ascii="宋体" w:hAnsi="宋体" w:eastAsia="宋体" w:cs="宋体"/>
          <w:color w:val="auto"/>
          <w:szCs w:val="21"/>
          <w:highlight w:val="none"/>
        </w:rPr>
      </w:pPr>
      <w:bookmarkStart w:id="272" w:name="_Toc29913958"/>
      <w:bookmarkStart w:id="273" w:name="_Toc390"/>
      <w:bookmarkStart w:id="274" w:name="_Toc26565"/>
      <w:r>
        <w:rPr>
          <w:rFonts w:hint="eastAsia" w:ascii="宋体" w:hAnsi="宋体" w:eastAsia="宋体" w:cs="宋体"/>
          <w:b w:val="0"/>
          <w:color w:val="auto"/>
          <w:sz w:val="21"/>
          <w:szCs w:val="21"/>
          <w:highlight w:val="none"/>
          <w:lang w:eastAsia="zh-CN"/>
        </w:rPr>
        <w:br w:type="page"/>
      </w:r>
      <w:r>
        <w:rPr>
          <w:rFonts w:hint="eastAsia" w:ascii="宋体" w:hAnsi="宋体" w:eastAsia="宋体" w:cs="宋体"/>
          <w:color w:val="auto"/>
          <w:szCs w:val="21"/>
          <w:highlight w:val="none"/>
          <w:lang w:eastAsia="zh-CN"/>
        </w:rPr>
        <w:t>附件</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信用中国、中国政府采购网等5个网站的8个截图</w:t>
      </w:r>
    </w:p>
    <w:p w14:paraId="3296591C">
      <w:pPr>
        <w:rPr>
          <w:rFonts w:hint="eastAsia" w:ascii="宋体" w:hAnsi="宋体" w:eastAsia="宋体" w:cs="宋体"/>
          <w:b w:val="0"/>
          <w:color w:val="auto"/>
          <w:sz w:val="21"/>
          <w:szCs w:val="21"/>
          <w:highlight w:val="none"/>
          <w:lang w:eastAsia="zh-CN"/>
        </w:rPr>
      </w:pPr>
    </w:p>
    <w:p w14:paraId="4E360BD4">
      <w:pPr>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br w:type="page"/>
      </w:r>
    </w:p>
    <w:p w14:paraId="0C40E76A">
      <w:pPr>
        <w:pStyle w:val="5"/>
        <w:rPr>
          <w:rFonts w:hint="eastAsia" w:ascii="宋体" w:hAnsi="宋体" w:eastAsia="宋体" w:cs="宋体"/>
          <w:b w:val="0"/>
          <w:color w:val="auto"/>
          <w:sz w:val="21"/>
          <w:szCs w:val="21"/>
          <w:highlight w:val="none"/>
        </w:rPr>
      </w:pPr>
      <w:bookmarkStart w:id="275" w:name="_Toc11419"/>
      <w:r>
        <w:rPr>
          <w:rFonts w:hint="eastAsia" w:ascii="宋体" w:hAnsi="宋体" w:eastAsia="宋体" w:cs="宋体"/>
          <w:b w:val="0"/>
          <w:color w:val="auto"/>
          <w:sz w:val="21"/>
          <w:szCs w:val="21"/>
          <w:highlight w:val="none"/>
          <w:lang w:eastAsia="zh-CN"/>
        </w:rPr>
        <w:t>附件</w:t>
      </w:r>
      <w:r>
        <w:rPr>
          <w:rFonts w:hint="eastAsia" w:ascii="宋体" w:hAnsi="宋体" w:eastAsia="宋体" w:cs="宋体"/>
          <w:b w:val="0"/>
          <w:color w:val="auto"/>
          <w:sz w:val="21"/>
          <w:szCs w:val="21"/>
          <w:highlight w:val="none"/>
          <w:lang w:val="en-US" w:eastAsia="zh-CN"/>
        </w:rPr>
        <w:t>4</w:t>
      </w:r>
      <w:r>
        <w:rPr>
          <w:rFonts w:hint="eastAsia" w:ascii="宋体" w:hAnsi="宋体" w:eastAsia="宋体" w:cs="宋体"/>
          <w:b w:val="0"/>
          <w:color w:val="auto"/>
          <w:sz w:val="21"/>
          <w:szCs w:val="21"/>
          <w:highlight w:val="none"/>
        </w:rPr>
        <w:t>-3 符合特定资格条件证明材料复印件或者情况说明</w:t>
      </w:r>
      <w:bookmarkEnd w:id="272"/>
      <w:bookmarkEnd w:id="273"/>
      <w:bookmarkEnd w:id="274"/>
      <w:bookmarkEnd w:id="275"/>
    </w:p>
    <w:p w14:paraId="2F2E5776">
      <w:pPr>
        <w:widowControl/>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符合特定资格条件证明材料复印件或者情况说明</w:t>
      </w:r>
    </w:p>
    <w:p w14:paraId="3ECBBCAB">
      <w:pPr>
        <w:widowControl/>
        <w:adjustRightInd w:val="0"/>
        <w:snapToGrid w:val="0"/>
        <w:spacing w:line="360" w:lineRule="auto"/>
        <w:ind w:firstLine="560" w:firstLineChars="200"/>
        <w:jc w:val="left"/>
        <w:rPr>
          <w:rFonts w:hint="eastAsia" w:ascii="宋体" w:hAnsi="宋体" w:eastAsia="宋体" w:cs="宋体"/>
          <w:color w:val="auto"/>
          <w:sz w:val="28"/>
          <w:szCs w:val="28"/>
          <w:highlight w:val="none"/>
        </w:rPr>
      </w:pPr>
    </w:p>
    <w:p w14:paraId="6344D375">
      <w:pPr>
        <w:widowControl/>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注：按第二章第14.1（3）项要求提供。</w:t>
      </w:r>
    </w:p>
    <w:p w14:paraId="08936474">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03D032A">
      <w:pPr>
        <w:pStyle w:val="5"/>
        <w:rPr>
          <w:rFonts w:hint="eastAsia" w:ascii="宋体" w:hAnsi="宋体" w:eastAsia="宋体" w:cs="宋体"/>
          <w:b w:val="0"/>
          <w:color w:val="auto"/>
          <w:kern w:val="0"/>
          <w:sz w:val="21"/>
          <w:szCs w:val="21"/>
          <w:highlight w:val="none"/>
        </w:rPr>
      </w:pPr>
      <w:bookmarkStart w:id="276" w:name="_Toc16380"/>
      <w:bookmarkStart w:id="277" w:name="_Toc29913959"/>
      <w:bookmarkStart w:id="278" w:name="_Toc14195"/>
      <w:bookmarkStart w:id="279" w:name="_Toc30025"/>
      <w:r>
        <w:rPr>
          <w:rFonts w:hint="eastAsia" w:ascii="宋体" w:hAnsi="宋体" w:eastAsia="宋体" w:cs="宋体"/>
          <w:b w:val="0"/>
          <w:color w:val="auto"/>
          <w:sz w:val="21"/>
          <w:szCs w:val="21"/>
          <w:highlight w:val="none"/>
          <w:lang w:eastAsia="zh-CN"/>
        </w:rPr>
        <w:t>附件</w:t>
      </w:r>
      <w:r>
        <w:rPr>
          <w:rFonts w:hint="eastAsia" w:ascii="宋体" w:hAnsi="宋体" w:eastAsia="宋体" w:cs="宋体"/>
          <w:b w:val="0"/>
          <w:color w:val="auto"/>
          <w:sz w:val="21"/>
          <w:szCs w:val="21"/>
          <w:highlight w:val="none"/>
          <w:lang w:val="en-US" w:eastAsia="zh-CN"/>
        </w:rPr>
        <w:t>4</w:t>
      </w:r>
      <w:r>
        <w:rPr>
          <w:rFonts w:hint="eastAsia" w:ascii="宋体" w:hAnsi="宋体" w:eastAsia="宋体" w:cs="宋体"/>
          <w:b w:val="0"/>
          <w:color w:val="auto"/>
          <w:sz w:val="21"/>
          <w:szCs w:val="21"/>
          <w:highlight w:val="none"/>
        </w:rPr>
        <w:t xml:space="preserve">-4 </w:t>
      </w:r>
      <w:r>
        <w:rPr>
          <w:rFonts w:hint="eastAsia" w:ascii="宋体" w:hAnsi="宋体" w:eastAsia="宋体" w:cs="宋体"/>
          <w:b w:val="0"/>
          <w:color w:val="auto"/>
          <w:sz w:val="21"/>
          <w:szCs w:val="21"/>
          <w:highlight w:val="none"/>
          <w:lang w:eastAsia="zh-CN"/>
        </w:rPr>
        <w:t>（</w:t>
      </w:r>
      <w:r>
        <w:rPr>
          <w:rFonts w:hint="eastAsia" w:ascii="宋体" w:hAnsi="宋体" w:eastAsia="宋体" w:cs="宋体"/>
          <w:b w:val="0"/>
          <w:color w:val="auto"/>
          <w:sz w:val="21"/>
          <w:szCs w:val="21"/>
          <w:highlight w:val="none"/>
          <w:lang w:val="en-US" w:eastAsia="zh-CN"/>
        </w:rPr>
        <w:t>1</w:t>
      </w:r>
      <w:r>
        <w:rPr>
          <w:rFonts w:hint="eastAsia" w:ascii="宋体" w:hAnsi="宋体" w:eastAsia="宋体" w:cs="宋体"/>
          <w:b w:val="0"/>
          <w:color w:val="auto"/>
          <w:sz w:val="21"/>
          <w:szCs w:val="21"/>
          <w:highlight w:val="none"/>
          <w:lang w:eastAsia="zh-CN"/>
        </w:rPr>
        <w:t>）</w:t>
      </w:r>
      <w:r>
        <w:rPr>
          <w:rFonts w:hint="eastAsia" w:ascii="宋体" w:hAnsi="宋体" w:eastAsia="宋体" w:cs="宋体"/>
          <w:b w:val="0"/>
          <w:color w:val="auto"/>
          <w:sz w:val="21"/>
          <w:szCs w:val="21"/>
          <w:highlight w:val="none"/>
        </w:rPr>
        <w:t>联合体协议书（格式）</w:t>
      </w:r>
      <w:bookmarkEnd w:id="276"/>
      <w:bookmarkEnd w:id="277"/>
      <w:bookmarkEnd w:id="278"/>
      <w:bookmarkEnd w:id="279"/>
    </w:p>
    <w:p w14:paraId="60A3E861">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 w:val="28"/>
          <w:szCs w:val="28"/>
          <w:highlight w:val="none"/>
        </w:rPr>
        <w:t>联合体协议书（格式）</w:t>
      </w:r>
    </w:p>
    <w:p w14:paraId="1CC8E157">
      <w:pPr>
        <w:adjustRightInd w:val="0"/>
        <w:snapToGrid w:val="0"/>
        <w:spacing w:line="360" w:lineRule="auto"/>
        <w:rPr>
          <w:rFonts w:hint="eastAsia" w:ascii="宋体" w:hAnsi="宋体" w:eastAsia="宋体" w:cs="宋体"/>
          <w:color w:val="auto"/>
          <w:szCs w:val="21"/>
          <w:highlight w:val="none"/>
        </w:rPr>
      </w:pPr>
    </w:p>
    <w:p w14:paraId="6F182AD0">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（采购人、采购代理机构）：</w:t>
      </w:r>
    </w:p>
    <w:p w14:paraId="6CF9AAD6">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经研究，我们决定自愿组成联合体共同参加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）项目的投标。现就联合体投标事宜订立如下协议：</w:t>
      </w:r>
    </w:p>
    <w:p w14:paraId="732FBF34">
      <w:pPr>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一、联合体基本信息：</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（各方公司名称、地址、注册资金、营业执照、</w:t>
      </w:r>
      <w:r>
        <w:rPr>
          <w:rFonts w:hint="eastAsia" w:ascii="宋体" w:hAnsi="宋体" w:eastAsia="宋体" w:cs="宋体"/>
          <w:color w:val="auto"/>
          <w:spacing w:val="-2"/>
          <w:kern w:val="0"/>
          <w:szCs w:val="21"/>
          <w:highlight w:val="none"/>
          <w:lang w:eastAsia="zh-CN"/>
        </w:rPr>
        <w:t>法定代表人</w:t>
      </w:r>
      <w:r>
        <w:rPr>
          <w:rFonts w:hint="eastAsia" w:ascii="宋体" w:hAnsi="宋体" w:eastAsia="宋体" w:cs="宋体"/>
          <w:color w:val="auto"/>
          <w:szCs w:val="21"/>
          <w:highlight w:val="none"/>
        </w:rPr>
        <w:t>姓名）</w:t>
      </w:r>
    </w:p>
    <w:p w14:paraId="3E973167">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（某成员单位名称）为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（联合体名称）牵头人。</w:t>
      </w:r>
    </w:p>
    <w:p w14:paraId="39C11A4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088A3AB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四．联合体将严格按照招标文件的各项要求，递交投标文件，参加投标，履行中标义务和中标后的合同，并向采购人承担连带责任。</w:t>
      </w:r>
    </w:p>
    <w:p w14:paraId="6CACD7A4">
      <w:pPr>
        <w:adjustRightInd w:val="0"/>
        <w:snapToGrid w:val="0"/>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五、联合体各成员单位内部的职责分工如下：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。按照本条上述分工，联合体各成员的协议合同金额占联合体协议合同总金额比例如下：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E47156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六、本协议书自签署之日起生效，合同履行完毕后自动失效。</w:t>
      </w:r>
    </w:p>
    <w:p w14:paraId="2520E91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七、本协议书一式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份，联合体成员和采购人各执一份。</w:t>
      </w:r>
    </w:p>
    <w:p w14:paraId="0CB8FFA2">
      <w:pPr>
        <w:adjustRightInd w:val="0"/>
        <w:snapToGrid w:val="0"/>
        <w:spacing w:line="360" w:lineRule="auto"/>
        <w:rPr>
          <w:rFonts w:hint="eastAsia" w:ascii="宋体" w:hAnsi="宋体" w:eastAsia="宋体" w:cs="宋体"/>
          <w:color w:val="auto"/>
          <w:szCs w:val="21"/>
          <w:highlight w:val="none"/>
        </w:rPr>
      </w:pPr>
    </w:p>
    <w:p w14:paraId="40F9D15C">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牵头人名称（盖单位电子章）：</w:t>
      </w:r>
    </w:p>
    <w:p w14:paraId="29B15EE0">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7A9EAA75">
      <w:pPr>
        <w:adjustRightInd w:val="0"/>
        <w:snapToGrid w:val="0"/>
        <w:spacing w:line="360" w:lineRule="auto"/>
        <w:rPr>
          <w:rFonts w:hint="eastAsia" w:ascii="宋体" w:hAnsi="宋体" w:eastAsia="宋体" w:cs="宋体"/>
          <w:color w:val="auto"/>
          <w:szCs w:val="21"/>
          <w:highlight w:val="none"/>
        </w:rPr>
      </w:pPr>
    </w:p>
    <w:p w14:paraId="1379955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成员1名称（盖单位电子章）：</w:t>
      </w:r>
    </w:p>
    <w:p w14:paraId="58E8B8DC">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530E7785">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成员2名称（盖单位电子章）：</w:t>
      </w:r>
    </w:p>
    <w:p w14:paraId="28EF3DC6">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789C389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0D38649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p>
    <w:p w14:paraId="2033DD4E">
      <w:pPr>
        <w:widowControl/>
        <w:adjustRightInd w:val="0"/>
        <w:snapToGrid w:val="0"/>
        <w:spacing w:line="360" w:lineRule="auto"/>
        <w:ind w:firstLine="422" w:firstLineChars="200"/>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注</w:t>
      </w:r>
      <w:r>
        <w:rPr>
          <w:rFonts w:hint="eastAsia" w:ascii="宋体" w:hAnsi="宋体" w:eastAsia="宋体" w:cs="宋体"/>
          <w:color w:val="auto"/>
          <w:szCs w:val="21"/>
          <w:highlight w:val="none"/>
        </w:rPr>
        <w:t>：1、本协议书由</w:t>
      </w:r>
      <w:r>
        <w:rPr>
          <w:rFonts w:hint="eastAsia" w:ascii="宋体" w:hAnsi="宋体" w:eastAsia="宋体" w:cs="宋体"/>
          <w:color w:val="auto"/>
          <w:szCs w:val="21"/>
          <w:highlight w:val="none"/>
          <w:lang w:eastAsia="zh-CN"/>
        </w:rPr>
        <w:t>授权代表人</w:t>
      </w:r>
      <w:r>
        <w:rPr>
          <w:rFonts w:hint="eastAsia" w:ascii="宋体" w:hAnsi="宋体" w:eastAsia="宋体" w:cs="宋体"/>
          <w:color w:val="auto"/>
          <w:szCs w:val="21"/>
          <w:highlight w:val="none"/>
        </w:rPr>
        <w:t>签字的，应附</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zCs w:val="21"/>
          <w:highlight w:val="none"/>
        </w:rPr>
        <w:t>授权委托书。</w:t>
      </w:r>
    </w:p>
    <w:p w14:paraId="1F289883">
      <w:pPr>
        <w:widowControl/>
        <w:numPr>
          <w:ilvl w:val="0"/>
          <w:numId w:val="6"/>
        </w:num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投标人在提交投标文件的截止时间前修改“开标一览表”中的投标报价，影响本协议书第五条的，应同时修改本协议书第五条。否则，评审时价格评审优惠不予以考虑。</w:t>
      </w:r>
    </w:p>
    <w:p w14:paraId="69688029">
      <w:pPr>
        <w:widowControl/>
        <w:numPr>
          <w:ilvl w:val="0"/>
          <w:numId w:val="0"/>
        </w:numPr>
        <w:adjustRightInd w:val="0"/>
        <w:snapToGrid w:val="0"/>
        <w:spacing w:line="360" w:lineRule="auto"/>
        <w:jc w:val="left"/>
        <w:rPr>
          <w:rFonts w:hint="eastAsia" w:ascii="宋体" w:hAnsi="宋体" w:eastAsia="宋体" w:cs="宋体"/>
          <w:color w:val="auto"/>
          <w:sz w:val="32"/>
          <w:szCs w:val="32"/>
          <w:highlight w:val="none"/>
        </w:rPr>
      </w:pPr>
    </w:p>
    <w:p w14:paraId="568F14D3">
      <w:pPr>
        <w:pStyle w:val="58"/>
        <w:rPr>
          <w:rFonts w:hint="eastAsia" w:ascii="宋体" w:hAnsi="宋体" w:eastAsia="宋体" w:cs="宋体"/>
          <w:color w:val="auto"/>
          <w:highlight w:val="none"/>
        </w:rPr>
      </w:pPr>
    </w:p>
    <w:p w14:paraId="7FE2EBBF">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bookmarkStart w:id="280" w:name="_Toc27988"/>
      <w:bookmarkStart w:id="281" w:name="_Toc3964"/>
      <w:r>
        <w:rPr>
          <w:rFonts w:hint="eastAsia" w:ascii="宋体" w:hAnsi="宋体" w:eastAsia="宋体" w:cs="宋体"/>
          <w:color w:val="auto"/>
          <w:kern w:val="0"/>
          <w:szCs w:val="21"/>
          <w:highlight w:val="none"/>
        </w:rPr>
        <w:t>附件</w:t>
      </w: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val="en-US" w:eastAsia="zh-CN"/>
        </w:rPr>
        <w:t>-</w:t>
      </w:r>
      <w:r>
        <w:rPr>
          <w:rFonts w:hint="eastAsia" w:ascii="宋体" w:hAnsi="宋体" w:cs="宋体"/>
          <w:color w:val="auto"/>
          <w:kern w:val="0"/>
          <w:szCs w:val="21"/>
          <w:highlight w:val="none"/>
          <w:lang w:val="en-US" w:eastAsia="zh-CN"/>
        </w:rPr>
        <w:t>4（2）</w:t>
      </w:r>
      <w:r>
        <w:rPr>
          <w:rFonts w:hint="eastAsia" w:ascii="宋体" w:hAnsi="宋体" w:eastAsia="宋体" w:cs="宋体"/>
          <w:color w:val="auto"/>
          <w:kern w:val="0"/>
          <w:szCs w:val="21"/>
          <w:highlight w:val="none"/>
        </w:rPr>
        <w:t>提供“非联合体</w:t>
      </w:r>
      <w:r>
        <w:rPr>
          <w:rFonts w:hint="eastAsia" w:ascii="宋体" w:hAnsi="宋体" w:eastAsia="宋体" w:cs="宋体"/>
          <w:color w:val="auto"/>
          <w:kern w:val="0"/>
          <w:szCs w:val="21"/>
          <w:highlight w:val="none"/>
          <w:lang w:eastAsia="zh-CN"/>
        </w:rPr>
        <w:t>投标</w:t>
      </w:r>
      <w:r>
        <w:rPr>
          <w:rFonts w:hint="eastAsia" w:ascii="宋体" w:hAnsi="宋体" w:eastAsia="宋体" w:cs="宋体"/>
          <w:color w:val="auto"/>
          <w:kern w:val="0"/>
          <w:szCs w:val="21"/>
          <w:highlight w:val="none"/>
        </w:rPr>
        <w:t>”书面声明</w:t>
      </w:r>
    </w:p>
    <w:p w14:paraId="7B7D90F7">
      <w:pPr>
        <w:pStyle w:val="58"/>
        <w:ind w:firstLine="840" w:firstLineChars="400"/>
        <w:rPr>
          <w:rFonts w:hint="eastAsia" w:ascii="宋体" w:hAnsi="宋体" w:eastAsia="宋体" w:cs="宋体"/>
          <w:color w:val="auto"/>
          <w:kern w:val="0"/>
          <w:highlight w:val="none"/>
        </w:rPr>
      </w:pPr>
    </w:p>
    <w:p w14:paraId="34C3749F">
      <w:pPr>
        <w:pStyle w:val="95"/>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rPr>
        <w:t>“非联合体</w:t>
      </w:r>
      <w:r>
        <w:rPr>
          <w:rFonts w:hint="eastAsia" w:ascii="宋体" w:hAnsi="宋体" w:eastAsia="宋体" w:cs="宋体"/>
          <w:color w:val="auto"/>
          <w:sz w:val="28"/>
          <w:szCs w:val="28"/>
          <w:highlight w:val="none"/>
          <w:lang w:eastAsia="zh-CN"/>
        </w:rPr>
        <w:t>投标</w:t>
      </w:r>
      <w:r>
        <w:rPr>
          <w:rFonts w:hint="eastAsia" w:ascii="宋体" w:hAnsi="宋体" w:eastAsia="宋体" w:cs="宋体"/>
          <w:color w:val="auto"/>
          <w:sz w:val="28"/>
          <w:szCs w:val="28"/>
          <w:highlight w:val="none"/>
        </w:rPr>
        <w:t>”书面声明</w:t>
      </w:r>
    </w:p>
    <w:p w14:paraId="01F7AFEA">
      <w:pPr>
        <w:rPr>
          <w:rFonts w:hint="eastAsia" w:ascii="宋体" w:hAnsi="宋体" w:eastAsia="宋体" w:cs="宋体"/>
          <w:color w:val="auto"/>
          <w:kern w:val="0"/>
          <w:szCs w:val="21"/>
          <w:highlight w:val="none"/>
        </w:rPr>
      </w:pPr>
    </w:p>
    <w:p w14:paraId="3AC20255">
      <w:pPr>
        <w:pStyle w:val="1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（采购人、采购代理机构）</w:t>
      </w:r>
    </w:p>
    <w:p w14:paraId="1B7571CE">
      <w:pPr>
        <w:pStyle w:val="95"/>
        <w:rPr>
          <w:rFonts w:hint="eastAsia" w:ascii="宋体" w:hAnsi="宋体" w:eastAsia="宋体" w:cs="宋体"/>
          <w:color w:val="auto"/>
          <w:szCs w:val="21"/>
          <w:highlight w:val="none"/>
        </w:rPr>
      </w:pPr>
    </w:p>
    <w:p w14:paraId="05C3EADE">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经研究，我单位确认参加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（采购项目名称、</w:t>
      </w:r>
      <w:r>
        <w:rPr>
          <w:rFonts w:hint="eastAsia" w:ascii="宋体" w:hAnsi="宋体" w:cs="宋体"/>
          <w:color w:val="auto"/>
          <w:szCs w:val="21"/>
          <w:highlight w:val="none"/>
          <w:lang w:eastAsia="zh-CN"/>
        </w:rPr>
        <w:t>政府采购计划编号</w:t>
      </w:r>
      <w:r>
        <w:rPr>
          <w:rFonts w:hint="eastAsia" w:ascii="宋体" w:hAnsi="宋体" w:eastAsia="宋体" w:cs="宋体"/>
          <w:color w:val="auto"/>
          <w:szCs w:val="21"/>
          <w:highlight w:val="none"/>
        </w:rPr>
        <w:t>）项目的采购活动</w:t>
      </w:r>
      <w:r>
        <w:rPr>
          <w:rFonts w:hint="eastAsia" w:ascii="宋体" w:hAnsi="宋体" w:eastAsia="宋体" w:cs="宋体"/>
          <w:color w:val="auto"/>
          <w:kern w:val="0"/>
          <w:szCs w:val="21"/>
          <w:highlight w:val="none"/>
        </w:rPr>
        <w:t>，在此书面声明：我单位系独立</w:t>
      </w:r>
      <w:r>
        <w:rPr>
          <w:rFonts w:hint="eastAsia" w:ascii="宋体" w:hAnsi="宋体" w:eastAsia="宋体" w:cs="宋体"/>
          <w:color w:val="auto"/>
          <w:kern w:val="0"/>
          <w:szCs w:val="21"/>
          <w:highlight w:val="none"/>
          <w:lang w:eastAsia="zh-CN"/>
        </w:rPr>
        <w:t>投标人</w:t>
      </w:r>
      <w:r>
        <w:rPr>
          <w:rFonts w:hint="eastAsia" w:ascii="宋体" w:hAnsi="宋体" w:eastAsia="宋体" w:cs="宋体"/>
          <w:color w:val="auto"/>
          <w:kern w:val="0"/>
          <w:szCs w:val="21"/>
          <w:highlight w:val="none"/>
        </w:rPr>
        <w:t>，具有独立承担民事责任的能力，非联合体</w:t>
      </w:r>
      <w:r>
        <w:rPr>
          <w:rFonts w:hint="eastAsia" w:ascii="宋体" w:hAnsi="宋体" w:eastAsia="宋体" w:cs="宋体"/>
          <w:color w:val="auto"/>
          <w:kern w:val="0"/>
          <w:szCs w:val="21"/>
          <w:highlight w:val="none"/>
          <w:lang w:eastAsia="zh-CN"/>
        </w:rPr>
        <w:t>投标</w:t>
      </w:r>
      <w:r>
        <w:rPr>
          <w:rFonts w:hint="eastAsia" w:ascii="宋体" w:hAnsi="宋体" w:eastAsia="宋体" w:cs="宋体"/>
          <w:color w:val="auto"/>
          <w:kern w:val="0"/>
          <w:szCs w:val="21"/>
          <w:highlight w:val="none"/>
        </w:rPr>
        <w:t>。</w:t>
      </w:r>
    </w:p>
    <w:p w14:paraId="453BD177">
      <w:pPr>
        <w:pStyle w:val="13"/>
        <w:ind w:firstLine="420"/>
        <w:rPr>
          <w:rFonts w:hint="eastAsia" w:ascii="宋体" w:hAnsi="宋体" w:eastAsia="宋体" w:cs="宋体"/>
          <w:color w:val="auto"/>
          <w:highlight w:val="none"/>
        </w:rPr>
      </w:pPr>
    </w:p>
    <w:p w14:paraId="7C47BBFB">
      <w:pPr>
        <w:pStyle w:val="95"/>
        <w:ind w:left="0"/>
        <w:rPr>
          <w:rFonts w:hint="eastAsia" w:ascii="宋体" w:hAnsi="宋体" w:eastAsia="宋体" w:cs="宋体"/>
          <w:color w:val="auto"/>
          <w:highlight w:val="none"/>
        </w:rPr>
      </w:pPr>
      <w:r>
        <w:rPr>
          <w:rFonts w:hint="eastAsia" w:ascii="宋体" w:hAnsi="宋体" w:eastAsia="宋体" w:cs="宋体"/>
          <w:color w:val="auto"/>
          <w:highlight w:val="none"/>
        </w:rPr>
        <w:t xml:space="preserve">    特此声明！</w:t>
      </w:r>
    </w:p>
    <w:p w14:paraId="1782AF98">
      <w:pPr>
        <w:pStyle w:val="95"/>
        <w:spacing w:line="360" w:lineRule="auto"/>
        <w:rPr>
          <w:rFonts w:hint="eastAsia" w:ascii="宋体" w:hAnsi="宋体" w:eastAsia="宋体" w:cs="宋体"/>
          <w:color w:val="auto"/>
          <w:sz w:val="21"/>
          <w:szCs w:val="21"/>
          <w:highlight w:val="none"/>
        </w:rPr>
      </w:pPr>
    </w:p>
    <w:p w14:paraId="4C55293F">
      <w:pPr>
        <w:spacing w:line="360" w:lineRule="auto"/>
        <w:rPr>
          <w:rFonts w:hint="eastAsia" w:ascii="宋体" w:hAnsi="宋体" w:eastAsia="宋体" w:cs="宋体"/>
          <w:color w:val="auto"/>
          <w:sz w:val="21"/>
          <w:szCs w:val="21"/>
          <w:highlight w:val="none"/>
        </w:rPr>
      </w:pPr>
    </w:p>
    <w:p w14:paraId="3E8D0432">
      <w:pPr>
        <w:widowControl/>
        <w:adjustRightInd w:val="0"/>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eastAsia="zh-CN"/>
        </w:rPr>
        <w:t>单位电子</w:t>
      </w:r>
      <w:r>
        <w:rPr>
          <w:rFonts w:hint="eastAsia" w:ascii="宋体" w:hAnsi="宋体" w:eastAsia="宋体" w:cs="宋体"/>
          <w:color w:val="auto"/>
          <w:sz w:val="21"/>
          <w:szCs w:val="21"/>
          <w:highlight w:val="none"/>
        </w:rPr>
        <w:t>章）</w:t>
      </w:r>
    </w:p>
    <w:p w14:paraId="65AA3E7A">
      <w:pPr>
        <w:widowControl/>
        <w:adjustRightInd w:val="0"/>
        <w:snapToGrid w:val="0"/>
        <w:spacing w:line="360" w:lineRule="auto"/>
        <w:jc w:val="left"/>
        <w:rPr>
          <w:rFonts w:hint="eastAsia" w:ascii="宋体" w:hAnsi="宋体" w:eastAsia="宋体" w:cs="宋体"/>
          <w:color w:val="auto"/>
          <w:sz w:val="21"/>
          <w:szCs w:val="21"/>
          <w:highlight w:val="none"/>
        </w:rPr>
      </w:pPr>
      <w:r>
        <w:rPr>
          <w:rFonts w:hint="eastAsia" w:ascii="宋体" w:hAnsi="宋体" w:cs="宋体"/>
          <w:color w:val="auto"/>
          <w:spacing w:val="-2"/>
          <w:kern w:val="0"/>
          <w:sz w:val="21"/>
          <w:szCs w:val="21"/>
          <w:highlight w:val="none"/>
          <w:lang w:eastAsia="zh-CN"/>
        </w:rPr>
        <w:t>法定代表人（单位负责人）或授权代表人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（签字或印章）</w:t>
      </w:r>
    </w:p>
    <w:p w14:paraId="076244B8">
      <w:pPr>
        <w:pStyle w:val="5"/>
        <w:adjustRightInd w:val="0"/>
        <w:snapToGrid w:val="0"/>
        <w:spacing w:before="156" w:beforeLines="50" w:after="0" w:line="360" w:lineRule="auto"/>
        <w:rPr>
          <w:rFonts w:hint="eastAsia" w:ascii="宋体" w:hAnsi="宋体" w:eastAsia="宋体" w:cs="宋体"/>
          <w:b w:val="0"/>
          <w:bCs w:val="0"/>
          <w:color w:val="auto"/>
          <w:sz w:val="21"/>
          <w:szCs w:val="21"/>
          <w:highlight w:val="none"/>
          <w:lang w:eastAsia="zh-CN"/>
        </w:rPr>
      </w:pPr>
      <w:bookmarkStart w:id="282" w:name="_Toc14394"/>
      <w:r>
        <w:rPr>
          <w:rFonts w:hint="eastAsia" w:ascii="宋体" w:hAnsi="宋体" w:eastAsia="宋体" w:cs="宋体"/>
          <w:b w:val="0"/>
          <w:bCs w:val="0"/>
          <w:color w:val="auto"/>
          <w:sz w:val="21"/>
          <w:szCs w:val="21"/>
          <w:highlight w:val="none"/>
        </w:rPr>
        <w:t>日期：  年  月  日</w:t>
      </w:r>
      <w:bookmarkEnd w:id="282"/>
    </w:p>
    <w:p w14:paraId="7E387D5A">
      <w:pPr>
        <w:pStyle w:val="5"/>
        <w:adjustRightInd w:val="0"/>
        <w:snapToGrid w:val="0"/>
        <w:spacing w:before="156" w:beforeLines="50" w:after="0" w:line="360" w:lineRule="auto"/>
        <w:rPr>
          <w:rFonts w:hint="eastAsia" w:ascii="宋体" w:hAnsi="宋体" w:eastAsia="宋体" w:cs="宋体"/>
          <w:b w:val="0"/>
          <w:color w:val="auto"/>
          <w:sz w:val="21"/>
          <w:szCs w:val="21"/>
          <w:highlight w:val="none"/>
          <w:lang w:eastAsia="zh-CN"/>
        </w:rPr>
      </w:pPr>
    </w:p>
    <w:p w14:paraId="26AC7595">
      <w:pPr>
        <w:pStyle w:val="5"/>
        <w:adjustRightInd w:val="0"/>
        <w:snapToGrid w:val="0"/>
        <w:spacing w:before="156" w:beforeLines="50" w:after="0" w:line="360" w:lineRule="auto"/>
        <w:rPr>
          <w:rFonts w:hint="eastAsia" w:ascii="宋体" w:hAnsi="宋体" w:eastAsia="宋体" w:cs="宋体"/>
          <w:b w:val="0"/>
          <w:color w:val="auto"/>
          <w:sz w:val="21"/>
          <w:szCs w:val="21"/>
          <w:highlight w:val="none"/>
          <w:lang w:eastAsia="zh-CN"/>
        </w:rPr>
        <w:sectPr>
          <w:pgSz w:w="11906" w:h="16838"/>
          <w:pgMar w:top="1474" w:right="1474" w:bottom="1474" w:left="1588" w:header="851" w:footer="992" w:gutter="0"/>
          <w:pgNumType w:fmt="decimal"/>
          <w:cols w:space="720" w:num="1"/>
          <w:docGrid w:type="lines" w:linePitch="312" w:charSpace="0"/>
        </w:sectPr>
      </w:pPr>
    </w:p>
    <w:bookmarkEnd w:id="280"/>
    <w:bookmarkEnd w:id="281"/>
    <w:p w14:paraId="0E7A072B">
      <w:pPr>
        <w:adjustRightInd w:val="0"/>
        <w:snapToGrid w:val="0"/>
        <w:spacing w:line="360" w:lineRule="auto"/>
        <w:jc w:val="center"/>
        <w:rPr>
          <w:rFonts w:hint="eastAsia" w:ascii="宋体" w:hAnsi="宋体" w:eastAsia="宋体" w:cs="宋体"/>
          <w:color w:val="auto"/>
          <w:sz w:val="32"/>
          <w:szCs w:val="32"/>
          <w:highlight w:val="none"/>
        </w:rPr>
      </w:pPr>
    </w:p>
    <w:p w14:paraId="707BDB6C">
      <w:pPr>
        <w:adjustRightInd w:val="0"/>
        <w:snapToGrid w:val="0"/>
        <w:spacing w:line="360" w:lineRule="auto"/>
        <w:jc w:val="center"/>
        <w:rPr>
          <w:rFonts w:hint="eastAsia" w:ascii="宋体" w:hAnsi="宋体" w:eastAsia="宋体" w:cs="宋体"/>
          <w:color w:val="auto"/>
          <w:sz w:val="32"/>
          <w:szCs w:val="32"/>
          <w:highlight w:val="none"/>
        </w:rPr>
      </w:pPr>
    </w:p>
    <w:p w14:paraId="2861F948">
      <w:pPr>
        <w:adjustRightInd w:val="0"/>
        <w:snapToGrid w:val="0"/>
        <w:spacing w:line="360" w:lineRule="auto"/>
        <w:jc w:val="center"/>
        <w:rPr>
          <w:rFonts w:hint="eastAsia" w:ascii="宋体" w:hAnsi="宋体" w:eastAsia="宋体" w:cs="宋体"/>
          <w:bCs/>
          <w:color w:val="auto"/>
          <w:sz w:val="72"/>
          <w:szCs w:val="72"/>
          <w:highlight w:val="none"/>
          <w:lang w:eastAsia="zh-CN"/>
        </w:rPr>
      </w:pPr>
      <w:r>
        <w:rPr>
          <w:rFonts w:hint="eastAsia" w:ascii="宋体" w:hAnsi="宋体" w:eastAsia="宋体" w:cs="宋体"/>
          <w:bCs/>
          <w:color w:val="auto"/>
          <w:sz w:val="72"/>
          <w:szCs w:val="72"/>
          <w:highlight w:val="none"/>
          <w:lang w:eastAsia="zh-CN"/>
        </w:rPr>
        <w:t>政府采购【郴州电子标】</w:t>
      </w:r>
    </w:p>
    <w:p w14:paraId="6E522733">
      <w:pPr>
        <w:adjustRightInd w:val="0"/>
        <w:snapToGrid w:val="0"/>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投 标 文 件</w:t>
      </w:r>
    </w:p>
    <w:p w14:paraId="23FE3F89">
      <w:pPr>
        <w:pStyle w:val="3"/>
        <w:adjustRightInd w:val="0"/>
        <w:snapToGrid w:val="0"/>
        <w:jc w:val="center"/>
        <w:rPr>
          <w:rFonts w:hint="eastAsia" w:ascii="宋体" w:hAnsi="宋体" w:eastAsia="宋体" w:cs="宋体"/>
          <w:color w:val="auto"/>
          <w:sz w:val="44"/>
          <w:szCs w:val="44"/>
          <w:highlight w:val="none"/>
          <w:lang w:eastAsia="zh-CN"/>
        </w:rPr>
      </w:pPr>
      <w:bookmarkStart w:id="283" w:name="_Toc29913960"/>
      <w:bookmarkStart w:id="284" w:name="_Toc10663"/>
      <w:bookmarkStart w:id="285" w:name="_Toc14417"/>
      <w:bookmarkStart w:id="286" w:name="_Toc31429"/>
      <w:r>
        <w:rPr>
          <w:rFonts w:hint="eastAsia" w:ascii="宋体" w:hAnsi="宋体" w:eastAsia="宋体" w:cs="宋体"/>
          <w:color w:val="auto"/>
          <w:sz w:val="44"/>
          <w:szCs w:val="44"/>
          <w:highlight w:val="none"/>
        </w:rPr>
        <w:t xml:space="preserve">第二部分 </w:t>
      </w:r>
      <w:bookmarkEnd w:id="283"/>
      <w:bookmarkEnd w:id="284"/>
      <w:r>
        <w:rPr>
          <w:rFonts w:hint="eastAsia" w:ascii="宋体" w:hAnsi="宋体" w:eastAsia="宋体" w:cs="宋体"/>
          <w:color w:val="auto"/>
          <w:sz w:val="44"/>
          <w:szCs w:val="44"/>
          <w:highlight w:val="none"/>
          <w:lang w:eastAsia="zh-CN"/>
        </w:rPr>
        <w:t>商务和技术文件</w:t>
      </w:r>
      <w:bookmarkEnd w:id="285"/>
      <w:bookmarkEnd w:id="286"/>
    </w:p>
    <w:p w14:paraId="08C7B522">
      <w:pPr>
        <w:adjustRightInd w:val="0"/>
        <w:snapToGrid w:val="0"/>
        <w:spacing w:line="360" w:lineRule="auto"/>
        <w:rPr>
          <w:rFonts w:hint="eastAsia" w:ascii="宋体" w:hAnsi="宋体" w:eastAsia="宋体" w:cs="宋体"/>
          <w:color w:val="auto"/>
          <w:sz w:val="32"/>
          <w:szCs w:val="32"/>
          <w:highlight w:val="none"/>
        </w:rPr>
      </w:pPr>
    </w:p>
    <w:p w14:paraId="58AD0280">
      <w:pPr>
        <w:pStyle w:val="23"/>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lang w:eastAsia="zh-CN"/>
        </w:rPr>
        <w:t>采购项目名称</w:t>
      </w:r>
      <w:r>
        <w:rPr>
          <w:rFonts w:hint="eastAsia" w:ascii="宋体" w:hAnsi="宋体" w:eastAsia="宋体" w:cs="宋体"/>
          <w:b/>
          <w:bCs/>
          <w:color w:val="auto"/>
          <w:sz w:val="30"/>
          <w:szCs w:val="30"/>
          <w:highlight w:val="none"/>
        </w:rPr>
        <w:t>:</w:t>
      </w:r>
      <w:r>
        <w:rPr>
          <w:rFonts w:hint="eastAsia" w:ascii="宋体" w:hAnsi="宋体" w:eastAsia="宋体" w:cs="宋体"/>
          <w:b/>
          <w:bCs/>
          <w:color w:val="auto"/>
          <w:sz w:val="30"/>
          <w:szCs w:val="30"/>
          <w:highlight w:val="none"/>
          <w:u w:val="single"/>
        </w:rPr>
        <w:t xml:space="preserve">                       </w:t>
      </w:r>
    </w:p>
    <w:p w14:paraId="19E2C6A1">
      <w:pPr>
        <w:pStyle w:val="23"/>
        <w:adjustRightInd w:val="0"/>
        <w:snapToGrid w:val="0"/>
        <w:spacing w:line="360" w:lineRule="auto"/>
        <w:ind w:firstLine="1988" w:firstLineChars="66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采   购   人：</w:t>
      </w:r>
      <w:r>
        <w:rPr>
          <w:rFonts w:hint="eastAsia" w:ascii="宋体" w:hAnsi="宋体" w:eastAsia="宋体" w:cs="宋体"/>
          <w:b/>
          <w:bCs/>
          <w:color w:val="auto"/>
          <w:sz w:val="30"/>
          <w:szCs w:val="30"/>
          <w:highlight w:val="none"/>
          <w:u w:val="single"/>
        </w:rPr>
        <w:t xml:space="preserve">                       </w:t>
      </w:r>
    </w:p>
    <w:p w14:paraId="1D08CFF7">
      <w:pPr>
        <w:pStyle w:val="23"/>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hAnsi="宋体" w:cs="宋体"/>
          <w:b/>
          <w:bCs/>
          <w:color w:val="auto"/>
          <w:sz w:val="30"/>
          <w:szCs w:val="30"/>
          <w:highlight w:val="none"/>
          <w:lang w:eastAsia="zh-CN"/>
        </w:rPr>
        <w:t>政府采购计划编号</w:t>
      </w:r>
      <w:r>
        <w:rPr>
          <w:rFonts w:hint="eastAsia" w:ascii="宋体" w:hAnsi="宋体" w:eastAsia="宋体" w:cs="宋体"/>
          <w:b/>
          <w:bCs/>
          <w:color w:val="auto"/>
          <w:sz w:val="30"/>
          <w:szCs w:val="30"/>
          <w:highlight w:val="none"/>
        </w:rPr>
        <w:t>:</w:t>
      </w:r>
      <w:r>
        <w:rPr>
          <w:rFonts w:hint="eastAsia" w:ascii="宋体" w:hAnsi="宋体" w:eastAsia="宋体" w:cs="宋体"/>
          <w:b/>
          <w:bCs/>
          <w:color w:val="auto"/>
          <w:sz w:val="30"/>
          <w:szCs w:val="30"/>
          <w:highlight w:val="none"/>
          <w:u w:val="single"/>
        </w:rPr>
        <w:t xml:space="preserve">                       </w:t>
      </w:r>
    </w:p>
    <w:p w14:paraId="2FD0B19B">
      <w:pPr>
        <w:pStyle w:val="23"/>
        <w:adjustRightInd w:val="0"/>
        <w:snapToGrid w:val="0"/>
        <w:spacing w:line="360" w:lineRule="auto"/>
        <w:ind w:firstLine="1988"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采购代理机构：</w:t>
      </w:r>
      <w:r>
        <w:rPr>
          <w:rFonts w:hint="eastAsia" w:ascii="宋体" w:hAnsi="宋体" w:eastAsia="宋体" w:cs="宋体"/>
          <w:b/>
          <w:bCs/>
          <w:color w:val="auto"/>
          <w:sz w:val="30"/>
          <w:szCs w:val="30"/>
          <w:highlight w:val="none"/>
          <w:u w:val="single"/>
        </w:rPr>
        <w:t xml:space="preserve">                     </w:t>
      </w:r>
    </w:p>
    <w:p w14:paraId="1D58FFB1">
      <w:pPr>
        <w:adjustRightInd w:val="0"/>
        <w:snapToGrid w:val="0"/>
        <w:spacing w:line="360" w:lineRule="auto"/>
        <w:rPr>
          <w:rFonts w:hint="eastAsia" w:ascii="宋体" w:hAnsi="宋体" w:eastAsia="宋体" w:cs="宋体"/>
          <w:color w:val="auto"/>
          <w:sz w:val="30"/>
          <w:szCs w:val="30"/>
          <w:highlight w:val="none"/>
        </w:rPr>
      </w:pPr>
    </w:p>
    <w:p w14:paraId="6AD68444">
      <w:pPr>
        <w:adjustRightInd w:val="0"/>
        <w:snapToGrid w:val="0"/>
        <w:spacing w:line="360" w:lineRule="auto"/>
        <w:rPr>
          <w:rFonts w:hint="eastAsia" w:ascii="宋体" w:hAnsi="宋体" w:eastAsia="宋体" w:cs="宋体"/>
          <w:color w:val="auto"/>
          <w:sz w:val="30"/>
          <w:szCs w:val="30"/>
          <w:highlight w:val="none"/>
        </w:rPr>
      </w:pPr>
    </w:p>
    <w:p w14:paraId="2A30BF33">
      <w:pPr>
        <w:adjustRightInd w:val="0"/>
        <w:snapToGrid w:val="0"/>
        <w:spacing w:line="360" w:lineRule="auto"/>
        <w:ind w:firstLine="1984" w:firstLineChars="620"/>
        <w:rPr>
          <w:rFonts w:hint="eastAsia" w:ascii="宋体" w:hAnsi="宋体" w:eastAsia="宋体" w:cs="宋体"/>
          <w:color w:val="auto"/>
          <w:sz w:val="32"/>
          <w:szCs w:val="32"/>
          <w:highlight w:val="none"/>
          <w:u w:val="single"/>
          <w:lang w:eastAsia="zh-CN"/>
        </w:rPr>
      </w:pPr>
      <w:bookmarkStart w:id="287" w:name="_Toc9352"/>
      <w:bookmarkStart w:id="288" w:name="_Toc29913961"/>
      <w:r>
        <w:rPr>
          <w:rFonts w:hint="eastAsia" w:ascii="宋体" w:hAnsi="宋体" w:eastAsia="宋体" w:cs="宋体"/>
          <w:color w:val="auto"/>
          <w:sz w:val="32"/>
          <w:szCs w:val="32"/>
          <w:highlight w:val="none"/>
        </w:rPr>
        <w:t>投标人</w:t>
      </w:r>
      <w:r>
        <w:rPr>
          <w:rFonts w:hint="eastAsia" w:ascii="宋体" w:hAnsi="宋体" w:eastAsia="宋体" w:cs="宋体"/>
          <w:color w:val="auto"/>
          <w:sz w:val="32"/>
          <w:szCs w:val="32"/>
          <w:highlight w:val="none"/>
          <w:lang w:eastAsia="zh-CN"/>
        </w:rPr>
        <w:t>名称</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eastAsia="zh-CN"/>
        </w:rPr>
        <w:t>（盖单位电子章）</w:t>
      </w:r>
    </w:p>
    <w:p w14:paraId="51AFACC2">
      <w:pPr>
        <w:adjustRightInd w:val="0"/>
        <w:snapToGrid w:val="0"/>
        <w:spacing w:line="360" w:lineRule="auto"/>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联系人姓名、联系电话：</w:t>
      </w:r>
    </w:p>
    <w:p w14:paraId="3AFC69FA">
      <w:pPr>
        <w:pStyle w:val="4"/>
        <w:adjustRightInd w:val="0"/>
        <w:snapToGrid w:val="0"/>
        <w:spacing w:before="0" w:after="0" w:line="360" w:lineRule="auto"/>
        <w:jc w:val="center"/>
        <w:rPr>
          <w:rFonts w:hint="eastAsia" w:ascii="宋体" w:hAnsi="宋体" w:eastAsia="宋体" w:cs="宋体"/>
          <w:color w:val="auto"/>
          <w:sz w:val="28"/>
          <w:szCs w:val="28"/>
          <w:highlight w:val="none"/>
        </w:rPr>
      </w:pPr>
      <w:bookmarkStart w:id="289" w:name="_Toc305"/>
      <w:bookmarkStart w:id="290" w:name="_Toc15814"/>
      <w:r>
        <w:rPr>
          <w:rFonts w:hint="eastAsia" w:ascii="宋体" w:hAnsi="宋体" w:eastAsia="宋体" w:cs="宋体"/>
          <w:color w:val="auto"/>
          <w:sz w:val="32"/>
          <w:szCs w:val="32"/>
          <w:highlight w:val="none"/>
        </w:rPr>
        <w:t>年  月  日</w:t>
      </w:r>
      <w:r>
        <w:rPr>
          <w:rFonts w:hint="eastAsia" w:ascii="宋体" w:hAnsi="宋体" w:eastAsia="宋体" w:cs="宋体"/>
          <w:color w:val="auto"/>
          <w:sz w:val="32"/>
          <w:szCs w:val="32"/>
          <w:highlight w:val="none"/>
          <w:lang w:eastAsia="zh-CN"/>
        </w:rPr>
        <w:t>（应与投标截止日期一致）</w:t>
      </w:r>
      <w:bookmarkEnd w:id="289"/>
      <w:bookmarkEnd w:id="290"/>
    </w:p>
    <w:p w14:paraId="7BEE5C10">
      <w:pPr>
        <w:pStyle w:val="4"/>
        <w:adjustRightInd w:val="0"/>
        <w:snapToGrid w:val="0"/>
        <w:spacing w:before="0" w:after="0" w:line="360" w:lineRule="auto"/>
        <w:jc w:val="center"/>
        <w:rPr>
          <w:rFonts w:hint="eastAsia" w:ascii="宋体" w:hAnsi="宋体" w:eastAsia="宋体" w:cs="宋体"/>
          <w:color w:val="auto"/>
          <w:sz w:val="28"/>
          <w:szCs w:val="28"/>
          <w:highlight w:val="none"/>
        </w:rPr>
      </w:pPr>
    </w:p>
    <w:p w14:paraId="18E6E487">
      <w:pPr>
        <w:pStyle w:val="4"/>
        <w:adjustRightInd w:val="0"/>
        <w:snapToGrid w:val="0"/>
        <w:spacing w:before="0" w:after="0" w:line="360" w:lineRule="auto"/>
        <w:jc w:val="center"/>
        <w:rPr>
          <w:rFonts w:hint="eastAsia" w:ascii="宋体" w:hAnsi="宋体" w:eastAsia="宋体" w:cs="宋体"/>
          <w:color w:val="auto"/>
          <w:sz w:val="28"/>
          <w:szCs w:val="28"/>
          <w:highlight w:val="none"/>
        </w:rPr>
      </w:pPr>
    </w:p>
    <w:p w14:paraId="698445B1">
      <w:pPr>
        <w:pStyle w:val="4"/>
        <w:adjustRightInd w:val="0"/>
        <w:snapToGrid w:val="0"/>
        <w:spacing w:before="0" w:after="0" w:line="360" w:lineRule="auto"/>
        <w:jc w:val="center"/>
        <w:rPr>
          <w:rFonts w:hint="eastAsia" w:ascii="宋体" w:hAnsi="宋体" w:eastAsia="宋体" w:cs="宋体"/>
          <w:color w:val="auto"/>
          <w:sz w:val="28"/>
          <w:szCs w:val="28"/>
          <w:highlight w:val="none"/>
        </w:rPr>
      </w:pPr>
    </w:p>
    <w:p w14:paraId="28E33403">
      <w:pPr>
        <w:rPr>
          <w:rFonts w:hint="eastAsia" w:ascii="宋体" w:hAnsi="宋体" w:eastAsia="宋体" w:cs="宋体"/>
          <w:color w:val="auto"/>
          <w:sz w:val="28"/>
          <w:szCs w:val="28"/>
          <w:highlight w:val="none"/>
        </w:rPr>
      </w:pPr>
    </w:p>
    <w:p w14:paraId="248F43EB">
      <w:pPr>
        <w:pStyle w:val="58"/>
        <w:rPr>
          <w:rFonts w:hint="eastAsia" w:ascii="宋体" w:hAnsi="宋体" w:eastAsia="宋体" w:cs="宋体"/>
          <w:color w:val="auto"/>
          <w:highlight w:val="none"/>
        </w:rPr>
      </w:pPr>
    </w:p>
    <w:p w14:paraId="465EF9F7">
      <w:pPr>
        <w:pStyle w:val="4"/>
        <w:adjustRightInd w:val="0"/>
        <w:snapToGrid w:val="0"/>
        <w:spacing w:before="0" w:after="0" w:line="360" w:lineRule="auto"/>
        <w:jc w:val="center"/>
        <w:rPr>
          <w:rFonts w:hint="eastAsia" w:ascii="宋体" w:hAnsi="宋体" w:eastAsia="宋体" w:cs="宋体"/>
          <w:color w:val="auto"/>
          <w:sz w:val="28"/>
          <w:szCs w:val="28"/>
          <w:highlight w:val="none"/>
        </w:rPr>
      </w:pPr>
      <w:bookmarkStart w:id="291" w:name="_Toc22727"/>
      <w:bookmarkStart w:id="292" w:name="_Toc7082"/>
      <w:r>
        <w:rPr>
          <w:rFonts w:hint="eastAsia" w:ascii="宋体" w:hAnsi="宋体" w:cs="宋体"/>
          <w:color w:val="auto"/>
          <w:sz w:val="28"/>
          <w:szCs w:val="28"/>
          <w:highlight w:val="none"/>
          <w:lang w:val="en-US" w:eastAsia="zh-CN"/>
        </w:rPr>
        <w:t>五</w:t>
      </w:r>
      <w:r>
        <w:rPr>
          <w:rFonts w:hint="eastAsia" w:ascii="宋体" w:hAnsi="宋体" w:eastAsia="宋体" w:cs="宋体"/>
          <w:color w:val="auto"/>
          <w:sz w:val="28"/>
          <w:szCs w:val="28"/>
          <w:highlight w:val="none"/>
        </w:rPr>
        <w:t>、投标函</w:t>
      </w:r>
      <w:bookmarkEnd w:id="287"/>
      <w:bookmarkEnd w:id="288"/>
      <w:bookmarkEnd w:id="291"/>
      <w:bookmarkEnd w:id="292"/>
    </w:p>
    <w:p w14:paraId="26D7EE43">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（采购人、采购代理机构）：</w:t>
      </w:r>
    </w:p>
    <w:p w14:paraId="0DADF37C">
      <w:pPr>
        <w:adjustRightInd w:val="0"/>
        <w:snapToGrid w:val="0"/>
        <w:spacing w:before="156" w:beforeLines="50" w:line="360" w:lineRule="auto"/>
        <w:ind w:firstLine="435"/>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）的投标邀请（</w:t>
      </w:r>
      <w:r>
        <w:rPr>
          <w:rFonts w:hint="eastAsia" w:ascii="宋体" w:hAnsi="宋体" w:cs="宋体"/>
          <w:color w:val="auto"/>
          <w:highlight w:val="none"/>
          <w:lang w:eastAsia="zh-CN"/>
        </w:rPr>
        <w:t>政府采购计划编号</w:t>
      </w:r>
      <w:r>
        <w:rPr>
          <w:rFonts w:hint="eastAsia" w:ascii="宋体" w:hAnsi="宋体" w:eastAsia="宋体" w:cs="宋体"/>
          <w:iCs/>
          <w:color w:val="auto"/>
          <w:highlight w:val="none"/>
        </w:rPr>
        <w:t>：</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 xml:space="preserve"> </w:t>
      </w:r>
      <w:r>
        <w:rPr>
          <w:rFonts w:hint="eastAsia" w:ascii="宋体" w:hAnsi="宋体" w:eastAsia="宋体" w:cs="宋体"/>
          <w:color w:val="auto"/>
          <w:szCs w:val="21"/>
          <w:highlight w:val="none"/>
        </w:rPr>
        <w:t xml:space="preserve">），签字代表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（姓名、职务）经正式授权并代表投标人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（投标人名称）提交包含下述内容的电子投标文件一份至</w:t>
      </w:r>
      <w:r>
        <w:rPr>
          <w:rFonts w:hint="eastAsia" w:ascii="宋体" w:hAnsi="宋体" w:eastAsia="宋体" w:cs="宋体"/>
          <w:color w:val="auto"/>
          <w:szCs w:val="21"/>
          <w:highlight w:val="none"/>
          <w:lang w:eastAsia="zh-CN"/>
        </w:rPr>
        <w:t>郴州市</w:t>
      </w:r>
      <w:r>
        <w:rPr>
          <w:rFonts w:hint="eastAsia" w:ascii="宋体" w:hAnsi="宋体" w:eastAsia="宋体" w:cs="宋体"/>
          <w:color w:val="auto"/>
          <w:szCs w:val="21"/>
          <w:highlight w:val="none"/>
        </w:rPr>
        <w:t>公共资源交易中心政府采购电子交易系统，参加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包投标，并在此声明，所递交的投标文件内容合法、完整、真实。</w:t>
      </w:r>
    </w:p>
    <w:p w14:paraId="57F9C413">
      <w:pPr>
        <w:adjustRightInd w:val="0"/>
        <w:snapToGrid w:val="0"/>
        <w:spacing w:before="156" w:beforeLines="50"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第一部分 资格证明文件</w:t>
      </w:r>
    </w:p>
    <w:p w14:paraId="3A913A89">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一、开标一览表</w:t>
      </w:r>
    </w:p>
    <w:p w14:paraId="1E1759A3">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二</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法定代表人</w:t>
      </w:r>
      <w:r>
        <w:rPr>
          <w:rFonts w:hint="eastAsia" w:ascii="宋体" w:hAnsi="宋体" w:eastAsia="宋体" w:cs="宋体"/>
          <w:color w:val="auto"/>
          <w:szCs w:val="21"/>
          <w:highlight w:val="none"/>
        </w:rPr>
        <w:t>身份证明或授权委托书</w:t>
      </w:r>
    </w:p>
    <w:p w14:paraId="1DF95883">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、投标人提供的资格证明文件</w:t>
      </w:r>
    </w:p>
    <w:p w14:paraId="1E770B8C">
      <w:pPr>
        <w:adjustRightInd w:val="0"/>
        <w:snapToGrid w:val="0"/>
        <w:spacing w:before="156" w:beforeLines="50" w:line="360" w:lineRule="auto"/>
        <w:ind w:firstLine="422" w:firstLineChars="200"/>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第二部分 </w:t>
      </w:r>
      <w:r>
        <w:rPr>
          <w:rFonts w:hint="eastAsia" w:ascii="宋体" w:hAnsi="宋体" w:eastAsia="宋体" w:cs="宋体"/>
          <w:b/>
          <w:color w:val="auto"/>
          <w:szCs w:val="21"/>
          <w:highlight w:val="none"/>
          <w:lang w:eastAsia="zh-CN"/>
        </w:rPr>
        <w:t>商务和技术文件</w:t>
      </w:r>
    </w:p>
    <w:p w14:paraId="06482DA4">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、投标函</w:t>
      </w:r>
    </w:p>
    <w:p w14:paraId="0BEC3FB5">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rPr>
        <w:t>、分项报价</w:t>
      </w:r>
    </w:p>
    <w:p w14:paraId="2DC4CBC6">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六</w:t>
      </w:r>
      <w:r>
        <w:rPr>
          <w:rFonts w:hint="eastAsia" w:ascii="宋体" w:hAnsi="宋体" w:eastAsia="宋体" w:cs="宋体"/>
          <w:color w:val="auto"/>
          <w:szCs w:val="21"/>
          <w:highlight w:val="none"/>
        </w:rPr>
        <w:t>、采购需求响应</w:t>
      </w:r>
    </w:p>
    <w:p w14:paraId="681F3E29">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七</w:t>
      </w:r>
      <w:r>
        <w:rPr>
          <w:rFonts w:hint="eastAsia" w:ascii="宋体" w:hAnsi="宋体" w:eastAsia="宋体" w:cs="宋体"/>
          <w:color w:val="auto"/>
          <w:szCs w:val="21"/>
          <w:highlight w:val="none"/>
        </w:rPr>
        <w:t>、合同条款偏离表</w:t>
      </w:r>
    </w:p>
    <w:p w14:paraId="4ED600FF">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八</w:t>
      </w:r>
      <w:r>
        <w:rPr>
          <w:rFonts w:hint="eastAsia" w:ascii="宋体" w:hAnsi="宋体" w:eastAsia="宋体" w:cs="宋体"/>
          <w:color w:val="auto"/>
          <w:szCs w:val="21"/>
          <w:highlight w:val="none"/>
        </w:rPr>
        <w:t>、采购需求偏离表</w:t>
      </w:r>
    </w:p>
    <w:p w14:paraId="2483763F">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九</w:t>
      </w:r>
      <w:r>
        <w:rPr>
          <w:rFonts w:hint="eastAsia" w:ascii="宋体" w:hAnsi="宋体" w:eastAsia="宋体" w:cs="宋体"/>
          <w:color w:val="auto"/>
          <w:szCs w:val="21"/>
          <w:highlight w:val="none"/>
        </w:rPr>
        <w:t>、享受政府采购政策优惠的证明资料</w:t>
      </w:r>
    </w:p>
    <w:p w14:paraId="66B581CC">
      <w:pPr>
        <w:adjustRightInd w:val="0"/>
        <w:snapToGrid w:val="0"/>
        <w:spacing w:before="156" w:beforeLines="50" w:line="360" w:lineRule="auto"/>
        <w:ind w:firstLine="630" w:firstLineChars="3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eastAsia="zh-CN"/>
        </w:rPr>
        <w:t>、投标服务（含配套货物）符合招标文件规定的证明文件</w:t>
      </w:r>
    </w:p>
    <w:p w14:paraId="304F852E">
      <w:pPr>
        <w:adjustRightInd w:val="0"/>
        <w:snapToGrid w:val="0"/>
        <w:spacing w:before="156" w:beforeLines="50"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w:t>
      </w:r>
      <w:r>
        <w:rPr>
          <w:rFonts w:hint="eastAsia" w:ascii="宋体" w:hAnsi="宋体" w:eastAsia="宋体" w:cs="宋体"/>
          <w:color w:val="auto"/>
          <w:szCs w:val="21"/>
          <w:highlight w:val="none"/>
          <w:lang w:val="en-US" w:eastAsia="zh-CN"/>
        </w:rPr>
        <w:t>一</w:t>
      </w:r>
      <w:r>
        <w:rPr>
          <w:rFonts w:hint="eastAsia" w:ascii="宋体" w:hAnsi="宋体" w:eastAsia="宋体" w:cs="宋体"/>
          <w:color w:val="auto"/>
          <w:szCs w:val="21"/>
          <w:highlight w:val="none"/>
        </w:rPr>
        <w:t>、投标人认为需提供的其他资料</w:t>
      </w:r>
    </w:p>
    <w:p w14:paraId="5516DD1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在此，签字代表宣布同意如下：</w:t>
      </w:r>
    </w:p>
    <w:p w14:paraId="461A090F">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1、投标人严格按照招标文件的规定报价，见《开标一览表》</w:t>
      </w:r>
      <w:r>
        <w:rPr>
          <w:rFonts w:hint="eastAsia" w:ascii="宋体" w:hAnsi="宋体" w:eastAsia="宋体" w:cs="宋体"/>
          <w:color w:val="auto"/>
          <w:szCs w:val="21"/>
          <w:highlight w:val="none"/>
          <w:lang w:eastAsia="zh-CN"/>
        </w:rPr>
        <w:t>和《分项报价》</w:t>
      </w:r>
      <w:r>
        <w:rPr>
          <w:rFonts w:hint="eastAsia" w:ascii="宋体" w:hAnsi="宋体" w:eastAsia="宋体" w:cs="宋体"/>
          <w:color w:val="auto"/>
          <w:szCs w:val="21"/>
          <w:highlight w:val="none"/>
        </w:rPr>
        <w:t>。</w:t>
      </w:r>
    </w:p>
    <w:p w14:paraId="0A8DAE7D">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2、投标人将按招标文件的规定履行合同责任和义务。</w:t>
      </w:r>
    </w:p>
    <w:p w14:paraId="60610DE4">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3、投标人已详细审查招标文件。我们完全理解并同意放弃对这方面有不明及误解的权力。</w:t>
      </w:r>
    </w:p>
    <w:p w14:paraId="41391C50">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4、本投标有效期为自招标文件规定的提交投标文件截止之日起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个日历日。在投标有效期内，</w:t>
      </w:r>
      <w:r>
        <w:rPr>
          <w:rFonts w:hint="eastAsia" w:ascii="宋体" w:hAnsi="宋体" w:eastAsia="宋体" w:cs="宋体"/>
          <w:color w:val="auto"/>
          <w:highlight w:val="none"/>
        </w:rPr>
        <w:t>投标人同意遵守本</w:t>
      </w:r>
      <w:r>
        <w:rPr>
          <w:rFonts w:hint="eastAsia" w:ascii="宋体" w:hAnsi="宋体" w:eastAsia="宋体" w:cs="宋体"/>
          <w:color w:val="auto"/>
          <w:szCs w:val="21"/>
          <w:highlight w:val="none"/>
        </w:rPr>
        <w:t>投标</w:t>
      </w:r>
      <w:r>
        <w:rPr>
          <w:rFonts w:hint="eastAsia" w:ascii="宋体" w:hAnsi="宋体" w:eastAsia="宋体" w:cs="宋体"/>
          <w:color w:val="auto"/>
          <w:highlight w:val="none"/>
        </w:rPr>
        <w:t>文件中的承诺且在此期限期满之前</w:t>
      </w:r>
      <w:r>
        <w:rPr>
          <w:rFonts w:hint="eastAsia" w:ascii="宋体" w:hAnsi="宋体" w:eastAsia="宋体" w:cs="宋体"/>
          <w:color w:val="auto"/>
          <w:szCs w:val="21"/>
          <w:highlight w:val="none"/>
        </w:rPr>
        <w:t>投标</w:t>
      </w:r>
      <w:r>
        <w:rPr>
          <w:rFonts w:hint="eastAsia" w:ascii="宋体" w:hAnsi="宋体" w:eastAsia="宋体" w:cs="宋体"/>
          <w:color w:val="auto"/>
          <w:highlight w:val="none"/>
        </w:rPr>
        <w:t>文件</w:t>
      </w:r>
      <w:r>
        <w:rPr>
          <w:rFonts w:hint="eastAsia" w:ascii="宋体" w:hAnsi="宋体" w:eastAsia="宋体" w:cs="宋体"/>
          <w:color w:val="auto"/>
          <w:szCs w:val="21"/>
          <w:highlight w:val="none"/>
        </w:rPr>
        <w:t>对我方具有法律约束力</w:t>
      </w:r>
      <w:r>
        <w:rPr>
          <w:rFonts w:hint="eastAsia" w:ascii="宋体" w:hAnsi="宋体" w:eastAsia="宋体" w:cs="宋体"/>
          <w:color w:val="auto"/>
          <w:highlight w:val="none"/>
        </w:rPr>
        <w:t>。</w:t>
      </w:r>
    </w:p>
    <w:p w14:paraId="4C408659">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szCs w:val="21"/>
          <w:highlight w:val="none"/>
        </w:rPr>
        <w:t>同意提供贵方可能要求的与其投标有关的一切数据或资料。</w:t>
      </w:r>
    </w:p>
    <w:p w14:paraId="210B81EA">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6、与本投标有关的一切正式往来信函请寄：</w:t>
      </w:r>
    </w:p>
    <w:p w14:paraId="49EC13C0">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；邮编：</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；电子邮箱：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89AE890">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p>
    <w:p w14:paraId="443FC0AE">
      <w:pPr>
        <w:pStyle w:val="23"/>
        <w:adjustRightInd w:val="0"/>
        <w:snapToGrid w:val="0"/>
        <w:spacing w:before="156" w:beforeLines="50" w:line="360" w:lineRule="auto"/>
        <w:rPr>
          <w:rFonts w:hint="eastAsia" w:ascii="宋体" w:hAnsi="宋体" w:eastAsia="宋体" w:cs="宋体"/>
          <w:color w:val="auto"/>
          <w:highlight w:val="none"/>
        </w:rPr>
      </w:pPr>
    </w:p>
    <w:p w14:paraId="0C4115AE">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13D33772">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070E3E0E">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495B8BA9">
      <w:pPr>
        <w:adjustRightInd w:val="0"/>
        <w:snapToGrid w:val="0"/>
        <w:spacing w:before="156" w:beforeLines="5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333041A">
      <w:pPr>
        <w:pStyle w:val="4"/>
        <w:adjustRightInd w:val="0"/>
        <w:snapToGrid w:val="0"/>
        <w:spacing w:before="0" w:after="0" w:line="360" w:lineRule="auto"/>
        <w:jc w:val="center"/>
        <w:rPr>
          <w:rFonts w:hint="eastAsia" w:ascii="宋体" w:hAnsi="宋体" w:eastAsia="宋体" w:cs="宋体"/>
          <w:color w:val="auto"/>
          <w:sz w:val="28"/>
          <w:szCs w:val="28"/>
          <w:highlight w:val="none"/>
        </w:rPr>
      </w:pPr>
      <w:bookmarkStart w:id="293" w:name="_Toc30944"/>
      <w:bookmarkStart w:id="294" w:name="_Toc29913962"/>
      <w:bookmarkStart w:id="295" w:name="_Toc29793"/>
      <w:bookmarkStart w:id="296" w:name="_Toc8157"/>
      <w:r>
        <w:rPr>
          <w:rFonts w:hint="eastAsia" w:ascii="宋体" w:hAnsi="宋体" w:cs="宋体"/>
          <w:color w:val="auto"/>
          <w:sz w:val="28"/>
          <w:szCs w:val="28"/>
          <w:highlight w:val="none"/>
          <w:lang w:val="en-US" w:eastAsia="zh-CN"/>
        </w:rPr>
        <w:t>六</w:t>
      </w:r>
      <w:r>
        <w:rPr>
          <w:rFonts w:hint="eastAsia" w:ascii="宋体" w:hAnsi="宋体" w:eastAsia="宋体" w:cs="宋体"/>
          <w:color w:val="auto"/>
          <w:sz w:val="28"/>
          <w:szCs w:val="28"/>
          <w:highlight w:val="none"/>
        </w:rPr>
        <w:t>、分项报价</w:t>
      </w:r>
      <w:bookmarkEnd w:id="293"/>
      <w:bookmarkEnd w:id="294"/>
      <w:bookmarkEnd w:id="295"/>
      <w:bookmarkEnd w:id="296"/>
    </w:p>
    <w:p w14:paraId="27602FDE">
      <w:pPr>
        <w:pStyle w:val="5"/>
        <w:jc w:val="left"/>
        <w:rPr>
          <w:rFonts w:hint="eastAsia" w:ascii="宋体" w:hAnsi="宋体" w:eastAsia="宋体" w:cs="宋体"/>
          <w:b w:val="0"/>
          <w:color w:val="auto"/>
          <w:kern w:val="0"/>
          <w:sz w:val="21"/>
          <w:szCs w:val="21"/>
          <w:highlight w:val="none"/>
        </w:rPr>
      </w:pPr>
      <w:bookmarkStart w:id="297" w:name="_Toc2213"/>
      <w:bookmarkStart w:id="298" w:name="_Toc20911"/>
      <w:bookmarkStart w:id="299" w:name="_Toc30600"/>
      <w:bookmarkStart w:id="300" w:name="_Toc29913963"/>
      <w:r>
        <w:rPr>
          <w:rFonts w:hint="eastAsia" w:ascii="宋体" w:hAnsi="宋体" w:eastAsia="宋体" w:cs="宋体"/>
          <w:b w:val="0"/>
          <w:bCs w:val="0"/>
          <w:color w:val="auto"/>
          <w:spacing w:val="6"/>
          <w:kern w:val="0"/>
          <w:sz w:val="21"/>
          <w:szCs w:val="21"/>
          <w:highlight w:val="none"/>
        </w:rPr>
        <w:t>附件</w:t>
      </w:r>
      <w:r>
        <w:rPr>
          <w:rFonts w:hint="eastAsia" w:ascii="宋体" w:hAnsi="宋体" w:eastAsia="宋体" w:cs="宋体"/>
          <w:b w:val="0"/>
          <w:bCs w:val="0"/>
          <w:color w:val="auto"/>
          <w:spacing w:val="6"/>
          <w:kern w:val="0"/>
          <w:sz w:val="21"/>
          <w:szCs w:val="21"/>
          <w:highlight w:val="none"/>
          <w:lang w:val="en-US" w:eastAsia="zh-CN"/>
        </w:rPr>
        <w:t>6</w:t>
      </w:r>
      <w:r>
        <w:rPr>
          <w:rFonts w:hint="eastAsia" w:ascii="宋体" w:hAnsi="宋体" w:eastAsia="宋体" w:cs="宋体"/>
          <w:b w:val="0"/>
          <w:bCs w:val="0"/>
          <w:color w:val="auto"/>
          <w:spacing w:val="6"/>
          <w:kern w:val="0"/>
          <w:sz w:val="21"/>
          <w:szCs w:val="21"/>
          <w:highlight w:val="none"/>
        </w:rPr>
        <w:t xml:space="preserve">-1 </w:t>
      </w:r>
      <w:r>
        <w:rPr>
          <w:rFonts w:hint="eastAsia" w:ascii="宋体" w:hAnsi="宋体" w:eastAsia="宋体" w:cs="宋体"/>
          <w:b w:val="0"/>
          <w:color w:val="auto"/>
          <w:spacing w:val="-2"/>
          <w:kern w:val="0"/>
          <w:sz w:val="21"/>
          <w:szCs w:val="21"/>
          <w:highlight w:val="none"/>
        </w:rPr>
        <w:t>分</w:t>
      </w:r>
      <w:r>
        <w:rPr>
          <w:rFonts w:hint="eastAsia" w:ascii="宋体" w:hAnsi="宋体" w:eastAsia="宋体" w:cs="宋体"/>
          <w:b w:val="0"/>
          <w:color w:val="auto"/>
          <w:kern w:val="0"/>
          <w:sz w:val="21"/>
          <w:szCs w:val="21"/>
          <w:highlight w:val="none"/>
        </w:rPr>
        <w:t>项</w:t>
      </w:r>
      <w:r>
        <w:rPr>
          <w:rFonts w:hint="eastAsia" w:ascii="宋体" w:hAnsi="宋体" w:eastAsia="宋体" w:cs="宋体"/>
          <w:b w:val="0"/>
          <w:color w:val="auto"/>
          <w:spacing w:val="-2"/>
          <w:kern w:val="0"/>
          <w:sz w:val="21"/>
          <w:szCs w:val="21"/>
          <w:highlight w:val="none"/>
        </w:rPr>
        <w:t>报</w:t>
      </w:r>
      <w:r>
        <w:rPr>
          <w:rFonts w:hint="eastAsia" w:ascii="宋体" w:hAnsi="宋体" w:eastAsia="宋体" w:cs="宋体"/>
          <w:b w:val="0"/>
          <w:color w:val="auto"/>
          <w:kern w:val="0"/>
          <w:sz w:val="21"/>
          <w:szCs w:val="21"/>
          <w:highlight w:val="none"/>
        </w:rPr>
        <w:t>价说明</w:t>
      </w:r>
      <w:bookmarkEnd w:id="297"/>
      <w:bookmarkEnd w:id="298"/>
      <w:bookmarkEnd w:id="299"/>
      <w:bookmarkEnd w:id="300"/>
      <w:r>
        <w:rPr>
          <w:rFonts w:hint="eastAsia" w:ascii="宋体" w:hAnsi="宋体" w:eastAsia="宋体" w:cs="宋体"/>
          <w:b w:val="0"/>
          <w:color w:val="auto"/>
          <w:kern w:val="0"/>
          <w:sz w:val="21"/>
          <w:szCs w:val="21"/>
          <w:highlight w:val="none"/>
        </w:rPr>
        <w:t xml:space="preserve">  </w:t>
      </w:r>
    </w:p>
    <w:p w14:paraId="4B697EB6">
      <w:pPr>
        <w:autoSpaceDE w:val="0"/>
        <w:autoSpaceDN w:val="0"/>
        <w:adjustRightInd w:val="0"/>
        <w:snapToGrid w:val="0"/>
        <w:spacing w:line="360" w:lineRule="auto"/>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spacing w:val="-2"/>
          <w:kern w:val="0"/>
          <w:sz w:val="28"/>
          <w:szCs w:val="28"/>
          <w:highlight w:val="none"/>
        </w:rPr>
        <w:t>分</w:t>
      </w:r>
      <w:r>
        <w:rPr>
          <w:rFonts w:hint="eastAsia" w:ascii="宋体" w:hAnsi="宋体" w:eastAsia="宋体" w:cs="宋体"/>
          <w:b/>
          <w:color w:val="auto"/>
          <w:kern w:val="0"/>
          <w:sz w:val="28"/>
          <w:szCs w:val="28"/>
          <w:highlight w:val="none"/>
        </w:rPr>
        <w:t>项</w:t>
      </w:r>
      <w:r>
        <w:rPr>
          <w:rFonts w:hint="eastAsia" w:ascii="宋体" w:hAnsi="宋体" w:eastAsia="宋体" w:cs="宋体"/>
          <w:b/>
          <w:color w:val="auto"/>
          <w:spacing w:val="-2"/>
          <w:kern w:val="0"/>
          <w:sz w:val="28"/>
          <w:szCs w:val="28"/>
          <w:highlight w:val="none"/>
        </w:rPr>
        <w:t>报</w:t>
      </w:r>
      <w:r>
        <w:rPr>
          <w:rFonts w:hint="eastAsia" w:ascii="宋体" w:hAnsi="宋体" w:eastAsia="宋体" w:cs="宋体"/>
          <w:b/>
          <w:color w:val="auto"/>
          <w:kern w:val="0"/>
          <w:sz w:val="28"/>
          <w:szCs w:val="28"/>
          <w:highlight w:val="none"/>
        </w:rPr>
        <w:t>价说明</w:t>
      </w:r>
    </w:p>
    <w:p w14:paraId="4A351E11">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备注：投标人应按招标文件第二章相关要求，对本节</w:t>
      </w: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分项报价明细表</w:t>
      </w:r>
      <w:r>
        <w:rPr>
          <w:rFonts w:hint="eastAsia" w:ascii="宋体" w:hAnsi="宋体" w:eastAsia="宋体" w:cs="宋体"/>
          <w:bCs/>
          <w:color w:val="auto"/>
          <w:szCs w:val="21"/>
          <w:highlight w:val="none"/>
        </w:rPr>
        <w:t>”进行</w:t>
      </w:r>
      <w:r>
        <w:rPr>
          <w:rFonts w:hint="eastAsia" w:ascii="宋体" w:hAnsi="宋体" w:eastAsia="宋体" w:cs="宋体"/>
          <w:color w:val="auto"/>
          <w:kern w:val="0"/>
          <w:szCs w:val="21"/>
          <w:highlight w:val="none"/>
        </w:rPr>
        <w:t>编制，并说明。</w:t>
      </w:r>
    </w:p>
    <w:p w14:paraId="2B3827C8">
      <w:pPr>
        <w:rPr>
          <w:rFonts w:hint="eastAsia" w:ascii="宋体" w:hAnsi="宋体" w:eastAsia="宋体" w:cs="宋体"/>
          <w:color w:val="auto"/>
          <w:highlight w:val="none"/>
        </w:rPr>
      </w:pPr>
    </w:p>
    <w:p w14:paraId="36E30698">
      <w:pPr>
        <w:pStyle w:val="5"/>
        <w:spacing w:after="0" w:line="377" w:lineRule="auto"/>
        <w:jc w:val="left"/>
        <w:rPr>
          <w:rFonts w:hint="eastAsia" w:ascii="宋体" w:hAnsi="宋体" w:eastAsia="宋体" w:cs="宋体"/>
          <w:b w:val="0"/>
          <w:color w:val="auto"/>
          <w:kern w:val="0"/>
          <w:position w:val="-3"/>
          <w:sz w:val="21"/>
          <w:szCs w:val="21"/>
          <w:highlight w:val="none"/>
        </w:rPr>
      </w:pPr>
      <w:bookmarkStart w:id="301" w:name="_Toc29913964"/>
      <w:bookmarkStart w:id="302" w:name="_Toc2019"/>
      <w:bookmarkStart w:id="303" w:name="_Toc8675"/>
      <w:bookmarkStart w:id="304" w:name="_Toc9188"/>
      <w:r>
        <w:rPr>
          <w:rFonts w:hint="eastAsia" w:ascii="宋体" w:hAnsi="宋体" w:eastAsia="宋体" w:cs="宋体"/>
          <w:b w:val="0"/>
          <w:bCs w:val="0"/>
          <w:color w:val="auto"/>
          <w:spacing w:val="6"/>
          <w:kern w:val="0"/>
          <w:sz w:val="21"/>
          <w:szCs w:val="21"/>
          <w:highlight w:val="none"/>
        </w:rPr>
        <w:t>附件</w:t>
      </w:r>
      <w:r>
        <w:rPr>
          <w:rFonts w:hint="eastAsia" w:ascii="宋体" w:hAnsi="宋体" w:eastAsia="宋体" w:cs="宋体"/>
          <w:b w:val="0"/>
          <w:bCs w:val="0"/>
          <w:color w:val="auto"/>
          <w:spacing w:val="6"/>
          <w:kern w:val="0"/>
          <w:sz w:val="21"/>
          <w:szCs w:val="21"/>
          <w:highlight w:val="none"/>
          <w:lang w:val="en-US" w:eastAsia="zh-CN"/>
        </w:rPr>
        <w:t>6</w:t>
      </w:r>
      <w:r>
        <w:rPr>
          <w:rFonts w:hint="eastAsia" w:ascii="宋体" w:hAnsi="宋体" w:eastAsia="宋体" w:cs="宋体"/>
          <w:b w:val="0"/>
          <w:bCs w:val="0"/>
          <w:color w:val="auto"/>
          <w:spacing w:val="6"/>
          <w:kern w:val="0"/>
          <w:sz w:val="21"/>
          <w:szCs w:val="21"/>
          <w:highlight w:val="none"/>
        </w:rPr>
        <w:t xml:space="preserve">-2 </w:t>
      </w:r>
      <w:r>
        <w:rPr>
          <w:rFonts w:hint="eastAsia" w:ascii="宋体" w:hAnsi="宋体" w:eastAsia="宋体" w:cs="宋体"/>
          <w:b w:val="0"/>
          <w:color w:val="auto"/>
          <w:spacing w:val="-2"/>
          <w:kern w:val="0"/>
          <w:position w:val="-3"/>
          <w:sz w:val="21"/>
          <w:szCs w:val="21"/>
          <w:highlight w:val="none"/>
        </w:rPr>
        <w:t>分</w:t>
      </w:r>
      <w:r>
        <w:rPr>
          <w:rFonts w:hint="eastAsia" w:ascii="宋体" w:hAnsi="宋体" w:eastAsia="宋体" w:cs="宋体"/>
          <w:b w:val="0"/>
          <w:color w:val="auto"/>
          <w:kern w:val="0"/>
          <w:position w:val="-3"/>
          <w:sz w:val="21"/>
          <w:szCs w:val="21"/>
          <w:highlight w:val="none"/>
        </w:rPr>
        <w:t>项</w:t>
      </w:r>
      <w:r>
        <w:rPr>
          <w:rFonts w:hint="eastAsia" w:ascii="宋体" w:hAnsi="宋体" w:eastAsia="宋体" w:cs="宋体"/>
          <w:b w:val="0"/>
          <w:color w:val="auto"/>
          <w:spacing w:val="-2"/>
          <w:kern w:val="0"/>
          <w:position w:val="-3"/>
          <w:sz w:val="21"/>
          <w:szCs w:val="21"/>
          <w:highlight w:val="none"/>
        </w:rPr>
        <w:t>报</w:t>
      </w:r>
      <w:r>
        <w:rPr>
          <w:rFonts w:hint="eastAsia" w:ascii="宋体" w:hAnsi="宋体" w:eastAsia="宋体" w:cs="宋体"/>
          <w:b w:val="0"/>
          <w:color w:val="auto"/>
          <w:kern w:val="0"/>
          <w:position w:val="-3"/>
          <w:sz w:val="21"/>
          <w:szCs w:val="21"/>
          <w:highlight w:val="none"/>
        </w:rPr>
        <w:t>价明细表</w:t>
      </w:r>
      <w:bookmarkEnd w:id="301"/>
    </w:p>
    <w:p w14:paraId="333D1071">
      <w:pPr>
        <w:pStyle w:val="5"/>
        <w:spacing w:after="0" w:line="377" w:lineRule="auto"/>
        <w:jc w:val="center"/>
        <w:rPr>
          <w:rFonts w:hint="eastAsia" w:ascii="宋体" w:hAnsi="宋体" w:eastAsia="宋体" w:cs="宋体"/>
          <w:b w:val="0"/>
          <w:color w:val="auto"/>
          <w:kern w:val="0"/>
          <w:position w:val="-3"/>
          <w:highlight w:val="none"/>
        </w:rPr>
      </w:pPr>
      <w:r>
        <w:rPr>
          <w:rFonts w:hint="eastAsia" w:ascii="宋体" w:hAnsi="宋体" w:eastAsia="宋体" w:cs="宋体"/>
          <w:color w:val="auto"/>
          <w:spacing w:val="-2"/>
          <w:kern w:val="0"/>
          <w:position w:val="-3"/>
          <w:highlight w:val="none"/>
        </w:rPr>
        <w:t>分</w:t>
      </w:r>
      <w:r>
        <w:rPr>
          <w:rFonts w:hint="eastAsia" w:ascii="宋体" w:hAnsi="宋体" w:eastAsia="宋体" w:cs="宋体"/>
          <w:color w:val="auto"/>
          <w:kern w:val="0"/>
          <w:position w:val="-3"/>
          <w:highlight w:val="none"/>
        </w:rPr>
        <w:t>项</w:t>
      </w:r>
      <w:r>
        <w:rPr>
          <w:rFonts w:hint="eastAsia" w:ascii="宋体" w:hAnsi="宋体" w:eastAsia="宋体" w:cs="宋体"/>
          <w:color w:val="auto"/>
          <w:spacing w:val="-2"/>
          <w:kern w:val="0"/>
          <w:position w:val="-3"/>
          <w:highlight w:val="none"/>
        </w:rPr>
        <w:t>报</w:t>
      </w:r>
      <w:r>
        <w:rPr>
          <w:rFonts w:hint="eastAsia" w:ascii="宋体" w:hAnsi="宋体" w:eastAsia="宋体" w:cs="宋体"/>
          <w:color w:val="auto"/>
          <w:kern w:val="0"/>
          <w:position w:val="-3"/>
          <w:highlight w:val="none"/>
        </w:rPr>
        <w:t>价明细表</w:t>
      </w:r>
      <w:bookmarkEnd w:id="302"/>
      <w:bookmarkEnd w:id="303"/>
      <w:bookmarkEnd w:id="304"/>
    </w:p>
    <w:p w14:paraId="448193EC">
      <w:pPr>
        <w:adjustRightInd w:val="0"/>
        <w:snapToGrid w:val="0"/>
        <w:spacing w:line="360" w:lineRule="auto"/>
        <w:jc w:val="center"/>
        <w:rPr>
          <w:rFonts w:hint="eastAsia" w:ascii="宋体" w:hAnsi="宋体" w:eastAsia="宋体" w:cs="宋体"/>
          <w:color w:val="auto"/>
          <w:highlight w:val="none"/>
        </w:rPr>
      </w:pPr>
    </w:p>
    <w:p w14:paraId="33BEDEE9">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____            ______</w:t>
      </w:r>
      <w:r>
        <w:rPr>
          <w:rFonts w:hint="eastAsia" w:ascii="宋体" w:hAnsi="宋体" w:eastAsia="宋体" w:cs="宋体"/>
          <w:color w:val="auto"/>
          <w:szCs w:val="21"/>
          <w:highlight w:val="none"/>
        </w:rPr>
        <w:t xml:space="preserve"> </w:t>
      </w:r>
    </w:p>
    <w:p w14:paraId="51F9A32D">
      <w:pPr>
        <w:adjustRightInd w:val="0"/>
        <w:snapToGrid w:val="0"/>
        <w:spacing w:line="360" w:lineRule="auto"/>
        <w:rPr>
          <w:rFonts w:hint="eastAsia" w:ascii="宋体" w:hAnsi="宋体" w:eastAsia="宋体" w:cs="宋体"/>
          <w:color w:val="auto"/>
          <w:szCs w:val="21"/>
          <w:highlight w:val="none"/>
          <w:u w:val="single"/>
          <w:lang w:val="en-US" w:eastAsia="zh-CN"/>
        </w:rPr>
      </w:pPr>
      <w:r>
        <w:rPr>
          <w:rFonts w:hint="eastAsia" w:ascii="宋体" w:hAnsi="宋体" w:cs="宋体"/>
          <w:color w:val="auto"/>
          <w:szCs w:val="21"/>
          <w:highlight w:val="none"/>
          <w:lang w:eastAsia="zh-CN"/>
        </w:rPr>
        <w:t>政府采购计划编号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lang w:val="en-US" w:eastAsia="zh-CN"/>
        </w:rPr>
        <w:t xml:space="preserve">             </w:t>
      </w:r>
    </w:p>
    <w:p w14:paraId="77486828">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包号：</w:t>
      </w:r>
      <w:r>
        <w:rPr>
          <w:rFonts w:hint="eastAsia" w:ascii="宋体" w:hAnsi="宋体" w:eastAsia="宋体" w:cs="宋体"/>
          <w:color w:val="auto"/>
          <w:szCs w:val="21"/>
          <w:highlight w:val="none"/>
          <w:u w:val="single"/>
        </w:rPr>
        <w:t xml:space="preserve">__    ________         </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 xml:space="preserve">__    ________  </w:t>
      </w:r>
      <w:r>
        <w:rPr>
          <w:rFonts w:hint="eastAsia" w:ascii="宋体" w:hAnsi="宋体" w:eastAsia="宋体" w:cs="宋体"/>
          <w:color w:val="auto"/>
          <w:szCs w:val="21"/>
          <w:highlight w:val="none"/>
        </w:rPr>
        <w:t xml:space="preserve"> </w:t>
      </w:r>
    </w:p>
    <w:tbl>
      <w:tblPr>
        <w:tblStyle w:val="44"/>
        <w:tblW w:w="9453" w:type="dxa"/>
        <w:tblInd w:w="0" w:type="dxa"/>
        <w:tblLayout w:type="fixed"/>
        <w:tblCellMar>
          <w:top w:w="0" w:type="dxa"/>
          <w:left w:w="0" w:type="dxa"/>
          <w:bottom w:w="0" w:type="dxa"/>
          <w:right w:w="0" w:type="dxa"/>
        </w:tblCellMar>
      </w:tblPr>
      <w:tblGrid>
        <w:gridCol w:w="333"/>
        <w:gridCol w:w="1383"/>
        <w:gridCol w:w="1665"/>
        <w:gridCol w:w="2364"/>
        <w:gridCol w:w="2215"/>
        <w:gridCol w:w="1493"/>
      </w:tblGrid>
      <w:tr w14:paraId="76B9F3A6">
        <w:tblPrEx>
          <w:tblCellMar>
            <w:top w:w="0" w:type="dxa"/>
            <w:left w:w="0" w:type="dxa"/>
            <w:bottom w:w="0" w:type="dxa"/>
            <w:right w:w="0" w:type="dxa"/>
          </w:tblCellMar>
        </w:tblPrEx>
        <w:trPr>
          <w:trHeight w:val="748" w:hRule="exact"/>
        </w:trPr>
        <w:tc>
          <w:tcPr>
            <w:tcW w:w="1716" w:type="dxa"/>
            <w:gridSpan w:val="2"/>
            <w:tcBorders>
              <w:top w:val="double" w:color="auto" w:sz="4" w:space="0"/>
              <w:left w:val="double" w:color="auto" w:sz="4" w:space="0"/>
              <w:right w:val="single" w:color="auto" w:sz="6" w:space="0"/>
            </w:tcBorders>
            <w:vAlign w:val="center"/>
          </w:tcPr>
          <w:p w14:paraId="0D7A7CBB">
            <w:pPr>
              <w:pStyle w:val="23"/>
              <w:adjustRightInd w:val="0"/>
              <w:snapToGrid w:val="0"/>
              <w:spacing w:line="360" w:lineRule="auto"/>
              <w:jc w:val="center"/>
              <w:outlineLvl w:val="0"/>
              <w:rPr>
                <w:rFonts w:hint="eastAsia" w:ascii="宋体" w:hAnsi="宋体" w:eastAsia="宋体" w:cs="宋体"/>
                <w:b w:val="0"/>
                <w:bCs/>
                <w:color w:val="auto"/>
                <w:kern w:val="2"/>
                <w:sz w:val="21"/>
                <w:szCs w:val="21"/>
                <w:highlight w:val="none"/>
                <w:vertAlign w:val="baseline"/>
                <w:lang w:val="en-US" w:eastAsia="zh-CN" w:bidi="ar-SA"/>
              </w:rPr>
            </w:pPr>
            <w:bookmarkStart w:id="305" w:name="_Toc1102"/>
            <w:r>
              <w:rPr>
                <w:rFonts w:hint="eastAsia" w:hAnsi="宋体" w:cs="宋体"/>
                <w:b w:val="0"/>
                <w:bCs/>
                <w:color w:val="auto"/>
                <w:sz w:val="21"/>
                <w:szCs w:val="21"/>
                <w:highlight w:val="none"/>
                <w:vertAlign w:val="baseline"/>
                <w:lang w:eastAsia="zh-CN"/>
              </w:rPr>
              <w:t>项目</w:t>
            </w:r>
            <w:bookmarkEnd w:id="305"/>
          </w:p>
        </w:tc>
        <w:tc>
          <w:tcPr>
            <w:tcW w:w="1665" w:type="dxa"/>
            <w:tcBorders>
              <w:top w:val="double" w:color="auto" w:sz="4" w:space="0"/>
              <w:left w:val="single" w:color="auto" w:sz="6" w:space="0"/>
              <w:bottom w:val="single" w:color="auto" w:sz="6" w:space="0"/>
              <w:right w:val="single" w:color="auto" w:sz="4" w:space="0"/>
            </w:tcBorders>
            <w:vAlign w:val="center"/>
          </w:tcPr>
          <w:p w14:paraId="237CB933">
            <w:pPr>
              <w:pStyle w:val="23"/>
              <w:adjustRightInd w:val="0"/>
              <w:snapToGrid w:val="0"/>
              <w:spacing w:line="360" w:lineRule="auto"/>
              <w:jc w:val="center"/>
              <w:outlineLvl w:val="0"/>
              <w:rPr>
                <w:rFonts w:hint="default" w:ascii="宋体" w:hAnsi="宋体" w:eastAsia="宋体" w:cs="宋体"/>
                <w:b w:val="0"/>
                <w:bCs/>
                <w:color w:val="auto"/>
                <w:kern w:val="2"/>
                <w:sz w:val="21"/>
                <w:szCs w:val="21"/>
                <w:highlight w:val="none"/>
                <w:vertAlign w:val="baseline"/>
                <w:lang w:val="en-US" w:eastAsia="zh-CN" w:bidi="ar-SA"/>
              </w:rPr>
            </w:pPr>
            <w:bookmarkStart w:id="306" w:name="_Toc20301"/>
            <w:r>
              <w:rPr>
                <w:rFonts w:hint="eastAsia" w:hAnsi="宋体" w:cs="宋体"/>
                <w:b w:val="0"/>
                <w:bCs/>
                <w:color w:val="auto"/>
                <w:kern w:val="2"/>
                <w:sz w:val="21"/>
                <w:szCs w:val="21"/>
                <w:highlight w:val="none"/>
                <w:vertAlign w:val="baseline"/>
                <w:lang w:val="en-US" w:eastAsia="zh-CN" w:bidi="ar-SA"/>
              </w:rPr>
              <w:t>服务内容</w:t>
            </w:r>
            <w:bookmarkEnd w:id="306"/>
          </w:p>
        </w:tc>
        <w:tc>
          <w:tcPr>
            <w:tcW w:w="2364" w:type="dxa"/>
            <w:tcBorders>
              <w:top w:val="double" w:color="auto" w:sz="4" w:space="0"/>
              <w:left w:val="single" w:color="auto" w:sz="4" w:space="0"/>
              <w:bottom w:val="single" w:color="auto" w:sz="6" w:space="0"/>
              <w:right w:val="single" w:color="auto" w:sz="6" w:space="0"/>
            </w:tcBorders>
            <w:vAlign w:val="center"/>
          </w:tcPr>
          <w:p w14:paraId="03572EAE">
            <w:pPr>
              <w:pStyle w:val="23"/>
              <w:adjustRightInd w:val="0"/>
              <w:snapToGrid w:val="0"/>
              <w:spacing w:line="360" w:lineRule="auto"/>
              <w:jc w:val="center"/>
              <w:outlineLvl w:val="0"/>
              <w:rPr>
                <w:rFonts w:hint="default" w:ascii="宋体" w:hAnsi="宋体" w:eastAsia="宋体" w:cs="宋体"/>
                <w:b w:val="0"/>
                <w:bCs/>
                <w:color w:val="auto"/>
                <w:kern w:val="2"/>
                <w:sz w:val="21"/>
                <w:szCs w:val="21"/>
                <w:highlight w:val="none"/>
                <w:vertAlign w:val="baseline"/>
                <w:lang w:val="en-US" w:eastAsia="zh-CN" w:bidi="ar-SA"/>
              </w:rPr>
            </w:pPr>
            <w:bookmarkStart w:id="307" w:name="_Toc4990"/>
            <w:r>
              <w:rPr>
                <w:rFonts w:hint="eastAsia" w:hAnsi="宋体" w:cs="宋体"/>
                <w:b w:val="0"/>
                <w:bCs/>
                <w:color w:val="auto"/>
                <w:sz w:val="21"/>
                <w:szCs w:val="21"/>
                <w:highlight w:val="none"/>
                <w:vertAlign w:val="baseline"/>
                <w:lang w:val="en-US" w:eastAsia="zh-CN"/>
              </w:rPr>
              <w:t>服务周期</w:t>
            </w:r>
            <w:bookmarkEnd w:id="307"/>
          </w:p>
        </w:tc>
        <w:tc>
          <w:tcPr>
            <w:tcW w:w="2215" w:type="dxa"/>
            <w:tcBorders>
              <w:top w:val="double" w:color="auto" w:sz="4" w:space="0"/>
              <w:left w:val="single" w:color="auto" w:sz="6" w:space="0"/>
              <w:right w:val="single" w:color="auto" w:sz="6" w:space="0"/>
            </w:tcBorders>
            <w:vAlign w:val="center"/>
          </w:tcPr>
          <w:p w14:paraId="2D4A0B08">
            <w:pPr>
              <w:autoSpaceDE w:val="0"/>
              <w:autoSpaceDN w:val="0"/>
              <w:adjustRightInd w:val="0"/>
              <w:snapToGrid w:val="0"/>
              <w:spacing w:line="360" w:lineRule="auto"/>
              <w:ind w:right="-20"/>
              <w:jc w:val="center"/>
              <w:rPr>
                <w:rFonts w:hint="eastAsia" w:ascii="宋体" w:hAnsi="宋体" w:eastAsia="宋体" w:cs="宋体"/>
                <w:color w:val="auto"/>
                <w:kern w:val="0"/>
                <w:position w:val="-1"/>
                <w:sz w:val="21"/>
                <w:szCs w:val="21"/>
                <w:highlight w:val="none"/>
              </w:rPr>
            </w:pPr>
            <w:r>
              <w:rPr>
                <w:rFonts w:hint="eastAsia" w:hAnsi="宋体" w:cs="宋体"/>
                <w:b w:val="0"/>
                <w:bCs/>
                <w:color w:val="auto"/>
                <w:sz w:val="21"/>
                <w:szCs w:val="21"/>
                <w:highlight w:val="none"/>
                <w:vertAlign w:val="baseline"/>
                <w:lang w:eastAsia="zh-CN"/>
              </w:rPr>
              <w:t>金额（元）</w:t>
            </w:r>
          </w:p>
        </w:tc>
        <w:tc>
          <w:tcPr>
            <w:tcW w:w="1493" w:type="dxa"/>
            <w:tcBorders>
              <w:top w:val="double" w:color="auto" w:sz="4" w:space="0"/>
              <w:left w:val="single" w:color="auto" w:sz="6" w:space="0"/>
              <w:bottom w:val="single" w:color="auto" w:sz="6" w:space="0"/>
              <w:right w:val="double" w:color="auto" w:sz="4" w:space="0"/>
            </w:tcBorders>
            <w:vAlign w:val="center"/>
          </w:tcPr>
          <w:p w14:paraId="24064C14">
            <w:pPr>
              <w:autoSpaceDE w:val="0"/>
              <w:autoSpaceDN w:val="0"/>
              <w:adjustRightInd w:val="0"/>
              <w:snapToGrid w:val="0"/>
              <w:spacing w:line="360" w:lineRule="auto"/>
              <w:ind w:right="-20"/>
              <w:jc w:val="center"/>
              <w:rPr>
                <w:rFonts w:hint="eastAsia" w:ascii="宋体" w:hAnsi="宋体" w:eastAsia="宋体" w:cs="宋体"/>
                <w:color w:val="auto"/>
                <w:kern w:val="0"/>
                <w:position w:val="-1"/>
                <w:sz w:val="21"/>
                <w:szCs w:val="21"/>
                <w:highlight w:val="none"/>
              </w:rPr>
            </w:pPr>
            <w:r>
              <w:rPr>
                <w:rFonts w:hint="eastAsia" w:ascii="宋体" w:hAnsi="宋体" w:eastAsia="宋体" w:cs="宋体"/>
                <w:color w:val="auto"/>
                <w:kern w:val="0"/>
                <w:position w:val="-1"/>
                <w:sz w:val="21"/>
                <w:szCs w:val="21"/>
                <w:highlight w:val="none"/>
              </w:rPr>
              <w:t>备注</w:t>
            </w:r>
          </w:p>
        </w:tc>
      </w:tr>
      <w:tr w14:paraId="10949140">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14:paraId="538E3285">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383" w:type="dxa"/>
            <w:tcBorders>
              <w:top w:val="single" w:color="auto" w:sz="6" w:space="0"/>
              <w:left w:val="single" w:color="auto" w:sz="6" w:space="0"/>
              <w:bottom w:val="single" w:color="auto" w:sz="6" w:space="0"/>
              <w:right w:val="single" w:color="auto" w:sz="6" w:space="0"/>
            </w:tcBorders>
            <w:vAlign w:val="top"/>
          </w:tcPr>
          <w:p w14:paraId="6F7B2C4F">
            <w:pPr>
              <w:pStyle w:val="23"/>
              <w:adjustRightInd w:val="0"/>
              <w:snapToGrid w:val="0"/>
              <w:spacing w:line="360" w:lineRule="auto"/>
              <w:jc w:val="center"/>
              <w:outlineLvl w:val="0"/>
              <w:rPr>
                <w:rFonts w:hint="eastAsia" w:ascii="宋体" w:hAnsi="宋体" w:eastAsia="宋体" w:cs="宋体"/>
                <w:b w:val="0"/>
                <w:bCs/>
                <w:color w:val="auto"/>
                <w:kern w:val="2"/>
                <w:sz w:val="24"/>
                <w:szCs w:val="24"/>
                <w:highlight w:val="none"/>
                <w:vertAlign w:val="baseline"/>
                <w:lang w:val="en-US" w:eastAsia="zh-CN" w:bidi="ar-SA"/>
              </w:rPr>
            </w:pPr>
          </w:p>
        </w:tc>
        <w:tc>
          <w:tcPr>
            <w:tcW w:w="1665" w:type="dxa"/>
            <w:tcBorders>
              <w:top w:val="single" w:color="auto" w:sz="6" w:space="0"/>
              <w:left w:val="single" w:color="auto" w:sz="6" w:space="0"/>
              <w:bottom w:val="single" w:color="auto" w:sz="6" w:space="0"/>
              <w:right w:val="single" w:color="auto" w:sz="4" w:space="0"/>
            </w:tcBorders>
            <w:vAlign w:val="top"/>
          </w:tcPr>
          <w:p w14:paraId="65E6B264">
            <w:pPr>
              <w:pStyle w:val="23"/>
              <w:adjustRightInd w:val="0"/>
              <w:snapToGrid w:val="0"/>
              <w:spacing w:line="360" w:lineRule="auto"/>
              <w:jc w:val="center"/>
              <w:outlineLvl w:val="0"/>
              <w:rPr>
                <w:rFonts w:hint="eastAsia" w:ascii="宋体" w:hAnsi="宋体" w:eastAsia="宋体" w:cs="宋体"/>
                <w:b w:val="0"/>
                <w:bCs/>
                <w:color w:val="auto"/>
                <w:kern w:val="2"/>
                <w:sz w:val="24"/>
                <w:szCs w:val="24"/>
                <w:highlight w:val="none"/>
                <w:vertAlign w:val="baseline"/>
                <w:lang w:val="en-US" w:eastAsia="zh-CN" w:bidi="ar-SA"/>
              </w:rPr>
            </w:pPr>
          </w:p>
        </w:tc>
        <w:tc>
          <w:tcPr>
            <w:tcW w:w="2364" w:type="dxa"/>
            <w:tcBorders>
              <w:top w:val="single" w:color="auto" w:sz="6" w:space="0"/>
              <w:left w:val="single" w:color="auto" w:sz="4" w:space="0"/>
              <w:bottom w:val="single" w:color="auto" w:sz="6" w:space="0"/>
              <w:right w:val="single" w:color="auto" w:sz="6" w:space="0"/>
            </w:tcBorders>
            <w:vAlign w:val="top"/>
          </w:tcPr>
          <w:p w14:paraId="4B336846">
            <w:pPr>
              <w:pStyle w:val="23"/>
              <w:adjustRightInd w:val="0"/>
              <w:snapToGrid w:val="0"/>
              <w:spacing w:line="360" w:lineRule="auto"/>
              <w:jc w:val="center"/>
              <w:outlineLvl w:val="0"/>
              <w:rPr>
                <w:rFonts w:hint="eastAsia" w:ascii="宋体" w:hAnsi="宋体" w:eastAsia="宋体" w:cs="宋体"/>
                <w:b w:val="0"/>
                <w:bCs/>
                <w:color w:val="auto"/>
                <w:kern w:val="2"/>
                <w:sz w:val="24"/>
                <w:szCs w:val="24"/>
                <w:highlight w:val="none"/>
                <w:vertAlign w:val="baseline"/>
                <w:lang w:val="en-US" w:eastAsia="zh-CN" w:bidi="ar-SA"/>
              </w:rPr>
            </w:pPr>
          </w:p>
        </w:tc>
        <w:tc>
          <w:tcPr>
            <w:tcW w:w="2215" w:type="dxa"/>
            <w:tcBorders>
              <w:top w:val="single" w:color="auto" w:sz="6" w:space="0"/>
              <w:left w:val="single" w:color="auto" w:sz="6" w:space="0"/>
              <w:bottom w:val="single" w:color="auto" w:sz="6" w:space="0"/>
              <w:right w:val="single" w:color="auto" w:sz="6" w:space="0"/>
            </w:tcBorders>
            <w:vAlign w:val="top"/>
          </w:tcPr>
          <w:p w14:paraId="48B45B8B">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1493" w:type="dxa"/>
            <w:tcBorders>
              <w:top w:val="single" w:color="auto" w:sz="6" w:space="0"/>
              <w:left w:val="single" w:color="auto" w:sz="6" w:space="0"/>
              <w:bottom w:val="single" w:color="auto" w:sz="6" w:space="0"/>
              <w:right w:val="double" w:color="auto" w:sz="4" w:space="0"/>
            </w:tcBorders>
          </w:tcPr>
          <w:p w14:paraId="6356D07A">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r>
      <w:tr w14:paraId="53FABD5B">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50C107C2">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383" w:type="dxa"/>
            <w:tcBorders>
              <w:top w:val="single" w:color="auto" w:sz="6" w:space="0"/>
              <w:left w:val="single" w:color="auto" w:sz="6" w:space="0"/>
              <w:bottom w:val="single" w:color="auto" w:sz="6" w:space="0"/>
              <w:right w:val="single" w:color="auto" w:sz="6" w:space="0"/>
            </w:tcBorders>
            <w:vAlign w:val="center"/>
          </w:tcPr>
          <w:p w14:paraId="2B38E755">
            <w:pPr>
              <w:autoSpaceDE w:val="0"/>
              <w:autoSpaceDN w:val="0"/>
              <w:adjustRightInd w:val="0"/>
              <w:snapToGrid w:val="0"/>
              <w:spacing w:line="360" w:lineRule="auto"/>
              <w:jc w:val="center"/>
              <w:rPr>
                <w:rFonts w:hint="eastAsia" w:ascii="宋体" w:hAnsi="宋体" w:eastAsia="宋体" w:cs="宋体"/>
                <w:color w:val="auto"/>
                <w:kern w:val="0"/>
                <w:szCs w:val="21"/>
                <w:highlight w:val="none"/>
              </w:rPr>
            </w:pPr>
          </w:p>
        </w:tc>
        <w:tc>
          <w:tcPr>
            <w:tcW w:w="1665" w:type="dxa"/>
            <w:tcBorders>
              <w:top w:val="single" w:color="auto" w:sz="6" w:space="0"/>
              <w:left w:val="single" w:color="auto" w:sz="6" w:space="0"/>
              <w:bottom w:val="single" w:color="auto" w:sz="6" w:space="0"/>
              <w:right w:val="single" w:color="auto" w:sz="4" w:space="0"/>
            </w:tcBorders>
          </w:tcPr>
          <w:p w14:paraId="28426F70">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2364" w:type="dxa"/>
            <w:tcBorders>
              <w:top w:val="single" w:color="auto" w:sz="6" w:space="0"/>
              <w:left w:val="single" w:color="auto" w:sz="4" w:space="0"/>
              <w:bottom w:val="single" w:color="auto" w:sz="6" w:space="0"/>
              <w:right w:val="single" w:color="auto" w:sz="6" w:space="0"/>
            </w:tcBorders>
          </w:tcPr>
          <w:p w14:paraId="5CCE0269">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2215" w:type="dxa"/>
            <w:tcBorders>
              <w:top w:val="single" w:color="auto" w:sz="6" w:space="0"/>
              <w:left w:val="single" w:color="auto" w:sz="6" w:space="0"/>
              <w:bottom w:val="single" w:color="auto" w:sz="6" w:space="0"/>
              <w:right w:val="single" w:color="auto" w:sz="6" w:space="0"/>
            </w:tcBorders>
          </w:tcPr>
          <w:p w14:paraId="08DE3CD6">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1493" w:type="dxa"/>
            <w:tcBorders>
              <w:top w:val="single" w:color="auto" w:sz="6" w:space="0"/>
              <w:left w:val="single" w:color="auto" w:sz="6" w:space="0"/>
              <w:bottom w:val="single" w:color="auto" w:sz="6" w:space="0"/>
              <w:right w:val="double" w:color="auto" w:sz="4" w:space="0"/>
            </w:tcBorders>
          </w:tcPr>
          <w:p w14:paraId="33484B51">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r>
      <w:tr w14:paraId="5587D6E2">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1DC7CF19">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383" w:type="dxa"/>
            <w:tcBorders>
              <w:top w:val="single" w:color="auto" w:sz="6" w:space="0"/>
              <w:left w:val="single" w:color="auto" w:sz="6" w:space="0"/>
              <w:bottom w:val="single" w:color="auto" w:sz="6" w:space="0"/>
              <w:right w:val="single" w:color="auto" w:sz="6" w:space="0"/>
            </w:tcBorders>
            <w:vAlign w:val="center"/>
          </w:tcPr>
          <w:p w14:paraId="68377D02">
            <w:pPr>
              <w:autoSpaceDE w:val="0"/>
              <w:autoSpaceDN w:val="0"/>
              <w:adjustRightInd w:val="0"/>
              <w:snapToGrid w:val="0"/>
              <w:spacing w:line="360" w:lineRule="auto"/>
              <w:jc w:val="center"/>
              <w:rPr>
                <w:rFonts w:hint="eastAsia" w:ascii="宋体" w:hAnsi="宋体" w:eastAsia="宋体" w:cs="宋体"/>
                <w:color w:val="auto"/>
                <w:kern w:val="0"/>
                <w:szCs w:val="21"/>
                <w:highlight w:val="none"/>
              </w:rPr>
            </w:pPr>
          </w:p>
        </w:tc>
        <w:tc>
          <w:tcPr>
            <w:tcW w:w="1665" w:type="dxa"/>
            <w:tcBorders>
              <w:top w:val="single" w:color="auto" w:sz="6" w:space="0"/>
              <w:left w:val="single" w:color="auto" w:sz="6" w:space="0"/>
              <w:bottom w:val="single" w:color="auto" w:sz="6" w:space="0"/>
              <w:right w:val="single" w:color="auto" w:sz="4" w:space="0"/>
            </w:tcBorders>
          </w:tcPr>
          <w:p w14:paraId="63600685">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2364" w:type="dxa"/>
            <w:tcBorders>
              <w:top w:val="single" w:color="auto" w:sz="6" w:space="0"/>
              <w:left w:val="single" w:color="auto" w:sz="4" w:space="0"/>
              <w:bottom w:val="single" w:color="auto" w:sz="6" w:space="0"/>
              <w:right w:val="single" w:color="auto" w:sz="6" w:space="0"/>
            </w:tcBorders>
          </w:tcPr>
          <w:p w14:paraId="663B04C9">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2215" w:type="dxa"/>
            <w:tcBorders>
              <w:top w:val="single" w:color="auto" w:sz="6" w:space="0"/>
              <w:left w:val="single" w:color="auto" w:sz="6" w:space="0"/>
              <w:bottom w:val="single" w:color="auto" w:sz="6" w:space="0"/>
              <w:right w:val="single" w:color="auto" w:sz="6" w:space="0"/>
            </w:tcBorders>
          </w:tcPr>
          <w:p w14:paraId="6A009FC4">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1493" w:type="dxa"/>
            <w:tcBorders>
              <w:top w:val="single" w:color="auto" w:sz="6" w:space="0"/>
              <w:left w:val="single" w:color="auto" w:sz="6" w:space="0"/>
              <w:bottom w:val="single" w:color="auto" w:sz="6" w:space="0"/>
              <w:right w:val="double" w:color="auto" w:sz="4" w:space="0"/>
            </w:tcBorders>
          </w:tcPr>
          <w:p w14:paraId="7F372F75">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r>
      <w:tr w14:paraId="7D690FEB">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4F0E8BE4">
            <w:pPr>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383" w:type="dxa"/>
            <w:tcBorders>
              <w:top w:val="single" w:color="auto" w:sz="6" w:space="0"/>
              <w:left w:val="single" w:color="auto" w:sz="6" w:space="0"/>
              <w:bottom w:val="single" w:color="auto" w:sz="6" w:space="0"/>
              <w:right w:val="single" w:color="auto" w:sz="6" w:space="0"/>
            </w:tcBorders>
          </w:tcPr>
          <w:p w14:paraId="45D7A06E">
            <w:pPr>
              <w:autoSpaceDE w:val="0"/>
              <w:autoSpaceDN w:val="0"/>
              <w:adjustRightInd w:val="0"/>
              <w:snapToGrid w:val="0"/>
              <w:spacing w:line="360" w:lineRule="auto"/>
              <w:ind w:left="527" w:right="507"/>
              <w:jc w:val="center"/>
              <w:rPr>
                <w:rFonts w:hint="eastAsia" w:ascii="宋体" w:hAnsi="宋体" w:eastAsia="宋体" w:cs="宋体"/>
                <w:color w:val="auto"/>
                <w:kern w:val="0"/>
                <w:szCs w:val="21"/>
                <w:highlight w:val="none"/>
              </w:rPr>
            </w:pPr>
          </w:p>
        </w:tc>
        <w:tc>
          <w:tcPr>
            <w:tcW w:w="1665" w:type="dxa"/>
            <w:tcBorders>
              <w:top w:val="single" w:color="auto" w:sz="6" w:space="0"/>
              <w:left w:val="single" w:color="auto" w:sz="6" w:space="0"/>
              <w:bottom w:val="single" w:color="auto" w:sz="6" w:space="0"/>
              <w:right w:val="single" w:color="auto" w:sz="4" w:space="0"/>
            </w:tcBorders>
          </w:tcPr>
          <w:p w14:paraId="5957E4F8">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2364" w:type="dxa"/>
            <w:tcBorders>
              <w:top w:val="single" w:color="auto" w:sz="6" w:space="0"/>
              <w:left w:val="single" w:color="auto" w:sz="4" w:space="0"/>
              <w:bottom w:val="single" w:color="auto" w:sz="6" w:space="0"/>
              <w:right w:val="single" w:color="auto" w:sz="6" w:space="0"/>
            </w:tcBorders>
          </w:tcPr>
          <w:p w14:paraId="4039F5D6">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2215" w:type="dxa"/>
            <w:tcBorders>
              <w:top w:val="single" w:color="auto" w:sz="6" w:space="0"/>
              <w:left w:val="single" w:color="auto" w:sz="6" w:space="0"/>
              <w:bottom w:val="single" w:color="auto" w:sz="6" w:space="0"/>
              <w:right w:val="single" w:color="auto" w:sz="6" w:space="0"/>
            </w:tcBorders>
          </w:tcPr>
          <w:p w14:paraId="1B77DFE2">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c>
          <w:tcPr>
            <w:tcW w:w="1493" w:type="dxa"/>
            <w:tcBorders>
              <w:top w:val="single" w:color="auto" w:sz="6" w:space="0"/>
              <w:left w:val="single" w:color="auto" w:sz="6" w:space="0"/>
              <w:bottom w:val="single" w:color="auto" w:sz="6" w:space="0"/>
              <w:right w:val="double" w:color="auto" w:sz="4" w:space="0"/>
            </w:tcBorders>
          </w:tcPr>
          <w:p w14:paraId="3DDF256D">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r>
      <w:tr w14:paraId="384D23FF">
        <w:tblPrEx>
          <w:tblCellMar>
            <w:top w:w="0" w:type="dxa"/>
            <w:left w:w="0" w:type="dxa"/>
            <w:bottom w:w="0" w:type="dxa"/>
            <w:right w:w="0" w:type="dxa"/>
          </w:tblCellMar>
        </w:tblPrEx>
        <w:trPr>
          <w:trHeight w:val="415" w:hRule="exact"/>
        </w:trPr>
        <w:tc>
          <w:tcPr>
            <w:tcW w:w="7960" w:type="dxa"/>
            <w:gridSpan w:val="5"/>
            <w:tcBorders>
              <w:top w:val="single" w:color="auto" w:sz="6" w:space="0"/>
              <w:left w:val="double" w:color="auto" w:sz="4" w:space="0"/>
              <w:bottom w:val="double" w:color="auto" w:sz="4" w:space="0"/>
              <w:right w:val="single" w:color="auto" w:sz="6" w:space="0"/>
            </w:tcBorders>
            <w:vAlign w:val="center"/>
          </w:tcPr>
          <w:p w14:paraId="202D05B2">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position w:val="-1"/>
                <w:szCs w:val="21"/>
                <w:highlight w:val="none"/>
              </w:rPr>
              <w:t>投标报价（元）：</w:t>
            </w:r>
          </w:p>
        </w:tc>
        <w:tc>
          <w:tcPr>
            <w:tcW w:w="1493" w:type="dxa"/>
            <w:tcBorders>
              <w:top w:val="single" w:color="auto" w:sz="6" w:space="0"/>
              <w:left w:val="single" w:color="auto" w:sz="6" w:space="0"/>
              <w:bottom w:val="double" w:color="auto" w:sz="4" w:space="0"/>
              <w:right w:val="double" w:color="auto" w:sz="4" w:space="0"/>
            </w:tcBorders>
          </w:tcPr>
          <w:p w14:paraId="695FE63A">
            <w:pPr>
              <w:autoSpaceDE w:val="0"/>
              <w:autoSpaceDN w:val="0"/>
              <w:adjustRightInd w:val="0"/>
              <w:snapToGrid w:val="0"/>
              <w:spacing w:line="360" w:lineRule="auto"/>
              <w:jc w:val="left"/>
              <w:rPr>
                <w:rFonts w:hint="eastAsia" w:ascii="宋体" w:hAnsi="宋体" w:eastAsia="宋体" w:cs="宋体"/>
                <w:color w:val="auto"/>
                <w:kern w:val="0"/>
                <w:szCs w:val="21"/>
                <w:highlight w:val="none"/>
              </w:rPr>
            </w:pPr>
          </w:p>
        </w:tc>
      </w:tr>
    </w:tbl>
    <w:p w14:paraId="26212DB4">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w:t>
      </w:r>
      <w:r>
        <w:rPr>
          <w:rFonts w:hint="eastAsia" w:ascii="宋体" w:hAnsi="宋体" w:eastAsia="宋体" w:cs="宋体"/>
          <w:b/>
          <w:color w:val="auto"/>
          <w:szCs w:val="21"/>
          <w:highlight w:val="none"/>
        </w:rPr>
        <w:t>本表应对应</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开标一览表</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，按包填写</w:t>
      </w:r>
      <w:r>
        <w:rPr>
          <w:rFonts w:hint="eastAsia" w:ascii="宋体" w:hAnsi="宋体" w:eastAsia="宋体" w:cs="宋体"/>
          <w:color w:val="auto"/>
          <w:szCs w:val="21"/>
          <w:highlight w:val="none"/>
        </w:rPr>
        <w:t>。投标人如果不提供分项报价明细表，其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5088D0F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（2）不得填写“免费”或“赠与”，也不得进行“零”报价，否则</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05A289A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（3）如果开标一览表内容与本表内容不一致的，以开标一览表内容为准。</w:t>
      </w:r>
    </w:p>
    <w:p w14:paraId="2865FCFF">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bCs/>
          <w:color w:val="auto"/>
          <w:szCs w:val="21"/>
          <w:highlight w:val="none"/>
        </w:rPr>
        <w:t>投标人在投标截止时间前修改“开标一览表”中的投标报价的，应按第二章第13.7款规定修改本表相应内容。否则，</w:t>
      </w:r>
      <w:r>
        <w:rPr>
          <w:rFonts w:hint="eastAsia" w:ascii="宋体" w:hAnsi="宋体" w:eastAsia="宋体" w:cs="宋体"/>
          <w:color w:val="auto"/>
          <w:szCs w:val="21"/>
          <w:highlight w:val="none"/>
        </w:rPr>
        <w:t>本表相应内容按投标报价修改的相同比例进行调整。</w:t>
      </w:r>
    </w:p>
    <w:p w14:paraId="640D13A6">
      <w:pPr>
        <w:adjustRightInd w:val="0"/>
        <w:snapToGrid w:val="0"/>
        <w:spacing w:line="360" w:lineRule="auto"/>
        <w:ind w:firstLine="422" w:firstLineChars="200"/>
        <w:rPr>
          <w:rFonts w:hint="eastAsia" w:ascii="宋体" w:hAnsi="宋体" w:eastAsia="宋体" w:cs="宋体"/>
          <w:b/>
          <w:color w:val="auto"/>
          <w:szCs w:val="21"/>
          <w:highlight w:val="none"/>
        </w:rPr>
      </w:pPr>
    </w:p>
    <w:p w14:paraId="53BBA5A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63A8271B">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4DD99E2F">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A6133D6">
      <w:pPr>
        <w:adjustRightInd w:val="0"/>
        <w:snapToGrid w:val="0"/>
        <w:spacing w:line="360" w:lineRule="auto"/>
        <w:rPr>
          <w:rFonts w:hint="eastAsia" w:ascii="宋体" w:hAnsi="宋体" w:eastAsia="宋体" w:cs="宋体"/>
          <w:color w:val="auto"/>
          <w:szCs w:val="21"/>
          <w:highlight w:val="none"/>
        </w:rPr>
        <w:sectPr>
          <w:pgSz w:w="11906" w:h="16838"/>
          <w:pgMar w:top="1474" w:right="1474" w:bottom="1474" w:left="1588" w:header="851" w:footer="992" w:gutter="0"/>
          <w:pgNumType w:fmt="decimal"/>
          <w:cols w:space="720" w:num="1"/>
          <w:docGrid w:type="lines" w:linePitch="312" w:charSpace="0"/>
        </w:sectPr>
      </w:pPr>
    </w:p>
    <w:p w14:paraId="3DC5F6D8">
      <w:pPr>
        <w:adjustRightInd w:val="0"/>
        <w:snapToGrid w:val="0"/>
        <w:spacing w:line="360" w:lineRule="auto"/>
        <w:rPr>
          <w:rFonts w:hint="eastAsia" w:ascii="宋体" w:hAnsi="宋体" w:eastAsia="宋体" w:cs="宋体"/>
          <w:color w:val="auto"/>
          <w:szCs w:val="21"/>
          <w:highlight w:val="none"/>
        </w:rPr>
      </w:pPr>
    </w:p>
    <w:p w14:paraId="7B2B683D">
      <w:pPr>
        <w:pStyle w:val="4"/>
        <w:adjustRightInd w:val="0"/>
        <w:snapToGrid w:val="0"/>
        <w:spacing w:before="0" w:after="0" w:line="360" w:lineRule="auto"/>
        <w:jc w:val="center"/>
        <w:rPr>
          <w:rFonts w:hint="eastAsia" w:ascii="宋体" w:hAnsi="宋体" w:eastAsia="宋体" w:cs="宋体"/>
          <w:color w:val="auto"/>
          <w:sz w:val="44"/>
          <w:szCs w:val="44"/>
          <w:highlight w:val="none"/>
        </w:rPr>
      </w:pPr>
      <w:bookmarkStart w:id="308" w:name="_Toc28564"/>
      <w:bookmarkStart w:id="309" w:name="_Toc26002"/>
      <w:bookmarkStart w:id="310" w:name="_Toc16287"/>
      <w:bookmarkStart w:id="311" w:name="_Toc29913967"/>
      <w:r>
        <w:rPr>
          <w:rFonts w:hint="eastAsia" w:ascii="宋体" w:hAnsi="宋体" w:cs="宋体"/>
          <w:color w:val="auto"/>
          <w:sz w:val="28"/>
          <w:szCs w:val="28"/>
          <w:highlight w:val="none"/>
          <w:lang w:val="en-US" w:eastAsia="zh-CN"/>
        </w:rPr>
        <w:t>七</w:t>
      </w:r>
      <w:r>
        <w:rPr>
          <w:rFonts w:hint="eastAsia" w:ascii="宋体" w:hAnsi="宋体" w:eastAsia="宋体" w:cs="宋体"/>
          <w:color w:val="auto"/>
          <w:sz w:val="28"/>
          <w:szCs w:val="28"/>
          <w:highlight w:val="none"/>
        </w:rPr>
        <w:t>、采购需求响应</w:t>
      </w:r>
      <w:bookmarkEnd w:id="308"/>
      <w:bookmarkEnd w:id="309"/>
      <w:bookmarkEnd w:id="310"/>
    </w:p>
    <w:p w14:paraId="65B2D9B8">
      <w:pPr>
        <w:adjustRightInd w:val="0"/>
        <w:snapToGrid w:val="0"/>
        <w:spacing w:line="360" w:lineRule="auto"/>
        <w:rPr>
          <w:rFonts w:hint="eastAsia" w:ascii="宋体" w:hAnsi="宋体" w:eastAsia="宋体" w:cs="宋体"/>
          <w:b/>
          <w:color w:val="auto"/>
          <w:szCs w:val="21"/>
          <w:highlight w:val="none"/>
        </w:rPr>
      </w:pPr>
    </w:p>
    <w:p w14:paraId="49915F32">
      <w:pPr>
        <w:adjustRightInd w:val="0"/>
        <w:snapToGrid w:val="0"/>
        <w:spacing w:line="360" w:lineRule="auto"/>
        <w:rPr>
          <w:rFonts w:hint="eastAsia" w:ascii="宋体" w:hAnsi="宋体" w:eastAsia="宋体" w:cs="宋体"/>
          <w:b/>
          <w:color w:val="auto"/>
          <w:highlight w:val="none"/>
        </w:rPr>
      </w:pPr>
      <w:r>
        <w:rPr>
          <w:rFonts w:hint="eastAsia" w:ascii="宋体" w:hAnsi="宋体" w:eastAsia="宋体" w:cs="宋体"/>
          <w:b/>
          <w:color w:val="auto"/>
          <w:szCs w:val="21"/>
          <w:highlight w:val="none"/>
        </w:rPr>
        <w:t>编制说明</w:t>
      </w:r>
      <w:r>
        <w:rPr>
          <w:rFonts w:hint="eastAsia" w:ascii="宋体" w:hAnsi="宋体" w:eastAsia="宋体" w:cs="宋体"/>
          <w:bCs/>
          <w:color w:val="auto"/>
          <w:szCs w:val="21"/>
          <w:highlight w:val="none"/>
        </w:rPr>
        <w:t>：</w:t>
      </w:r>
      <w:r>
        <w:rPr>
          <w:rFonts w:hint="eastAsia" w:ascii="宋体" w:hAnsi="宋体" w:eastAsia="宋体" w:cs="宋体"/>
          <w:b/>
          <w:color w:val="auto"/>
          <w:highlight w:val="none"/>
        </w:rPr>
        <w:t>投标人应按招标文件第五章采购需求自行编写采购需求响应（其内容可包括，且不限于详细的技术指标和服务的组织及保证措施等，格式自拟）。</w:t>
      </w:r>
    </w:p>
    <w:p w14:paraId="405354C3">
      <w:pPr>
        <w:pStyle w:val="25"/>
        <w:adjustRightInd w:val="0"/>
        <w:snapToGrid w:val="0"/>
        <w:spacing w:line="360" w:lineRule="auto"/>
        <w:ind w:left="-88" w:leftChars="-42"/>
        <w:rPr>
          <w:rFonts w:hint="eastAsia" w:ascii="宋体" w:hAnsi="宋体" w:eastAsia="宋体" w:cs="宋体"/>
          <w:bCs/>
          <w:color w:val="auto"/>
          <w:sz w:val="21"/>
          <w:szCs w:val="21"/>
          <w:highlight w:val="none"/>
        </w:rPr>
      </w:pPr>
    </w:p>
    <w:p w14:paraId="106963CC">
      <w:pPr>
        <w:rPr>
          <w:rFonts w:hint="eastAsia" w:ascii="宋体" w:hAnsi="宋体" w:eastAsia="宋体" w:cs="宋体"/>
          <w:color w:val="auto"/>
          <w:highlight w:val="none"/>
        </w:rPr>
      </w:pPr>
    </w:p>
    <w:p w14:paraId="095076A5">
      <w:pPr>
        <w:rPr>
          <w:rFonts w:hint="eastAsia" w:ascii="宋体" w:hAnsi="宋体" w:eastAsia="宋体" w:cs="宋体"/>
          <w:color w:val="auto"/>
          <w:highlight w:val="none"/>
        </w:rPr>
      </w:pPr>
    </w:p>
    <w:p w14:paraId="435CA2CB">
      <w:pPr>
        <w:pStyle w:val="25"/>
        <w:tabs>
          <w:tab w:val="left" w:pos="6208"/>
        </w:tabs>
        <w:adjustRightInd w:val="0"/>
        <w:snapToGrid w:val="0"/>
        <w:spacing w:line="360" w:lineRule="auto"/>
        <w:ind w:left="-88" w:leftChars="-42"/>
        <w:rPr>
          <w:rFonts w:hint="eastAsia" w:ascii="宋体" w:hAnsi="宋体" w:eastAsia="宋体" w:cs="宋体"/>
          <w:bCs/>
          <w:color w:val="auto"/>
          <w:sz w:val="21"/>
          <w:szCs w:val="21"/>
          <w:highlight w:val="none"/>
        </w:rPr>
      </w:pPr>
    </w:p>
    <w:p w14:paraId="38E03525">
      <w:pPr>
        <w:adjustRightInd w:val="0"/>
        <w:snapToGrid w:val="0"/>
        <w:spacing w:line="360" w:lineRule="auto"/>
        <w:rPr>
          <w:rFonts w:hint="eastAsia" w:ascii="宋体" w:hAnsi="宋体" w:eastAsia="宋体" w:cs="宋体"/>
          <w:color w:val="auto"/>
          <w:szCs w:val="21"/>
          <w:highlight w:val="none"/>
        </w:rPr>
      </w:pPr>
    </w:p>
    <w:p w14:paraId="39BF200C">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EB43B64">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04867A18">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E120DF3">
      <w:pPr>
        <w:rPr>
          <w:rFonts w:hint="eastAsia" w:ascii="宋体" w:hAnsi="宋体" w:eastAsia="宋体" w:cs="宋体"/>
          <w:color w:val="auto"/>
          <w:highlight w:val="none"/>
        </w:rPr>
      </w:pPr>
    </w:p>
    <w:p w14:paraId="0937CD07">
      <w:pPr>
        <w:rPr>
          <w:rFonts w:hint="eastAsia" w:ascii="宋体" w:hAnsi="宋体" w:eastAsia="宋体" w:cs="宋体"/>
          <w:color w:val="auto"/>
          <w:highlight w:val="none"/>
        </w:rPr>
      </w:pPr>
    </w:p>
    <w:p w14:paraId="7D9B270E">
      <w:pPr>
        <w:adjustRightInd w:val="0"/>
        <w:snapToGrid w:val="0"/>
        <w:spacing w:before="156" w:beforeLines="50" w:line="360" w:lineRule="auto"/>
        <w:jc w:val="center"/>
        <w:rPr>
          <w:rFonts w:hint="eastAsia" w:ascii="宋体" w:hAnsi="宋体" w:eastAsia="宋体" w:cs="宋体"/>
          <w:b/>
          <w:bCs/>
          <w:color w:val="auto"/>
          <w:sz w:val="28"/>
          <w:szCs w:val="28"/>
          <w:highlight w:val="none"/>
        </w:rPr>
      </w:pPr>
    </w:p>
    <w:p w14:paraId="55398541">
      <w:pPr>
        <w:jc w:val="center"/>
        <w:rPr>
          <w:rFonts w:hint="eastAsia" w:ascii="宋体" w:hAnsi="宋体" w:eastAsia="宋体" w:cs="宋体"/>
          <w:color w:val="auto"/>
          <w:szCs w:val="21"/>
          <w:highlight w:val="none"/>
        </w:rPr>
      </w:pPr>
    </w:p>
    <w:p w14:paraId="36EDD26E">
      <w:pPr>
        <w:adjustRightInd w:val="0"/>
        <w:snapToGrid w:val="0"/>
        <w:spacing w:line="360" w:lineRule="auto"/>
        <w:rPr>
          <w:rFonts w:hint="eastAsia" w:ascii="宋体" w:hAnsi="宋体" w:eastAsia="宋体" w:cs="宋体"/>
          <w:color w:val="auto"/>
          <w:highlight w:val="none"/>
        </w:rPr>
      </w:pPr>
    </w:p>
    <w:p w14:paraId="7CF7C255">
      <w:pPr>
        <w:adjustRightInd w:val="0"/>
        <w:snapToGrid w:val="0"/>
        <w:spacing w:line="360" w:lineRule="auto"/>
        <w:rPr>
          <w:rFonts w:hint="eastAsia" w:ascii="宋体" w:hAnsi="宋体" w:eastAsia="宋体" w:cs="宋体"/>
          <w:color w:val="auto"/>
          <w:szCs w:val="21"/>
          <w:highlight w:val="none"/>
        </w:rPr>
      </w:pPr>
    </w:p>
    <w:p w14:paraId="41DD8CC3">
      <w:pPr>
        <w:adjustRightInd w:val="0"/>
        <w:snapToGrid w:val="0"/>
        <w:spacing w:line="360" w:lineRule="auto"/>
        <w:rPr>
          <w:rFonts w:hint="eastAsia" w:ascii="宋体" w:hAnsi="宋体" w:eastAsia="宋体" w:cs="宋体"/>
          <w:color w:val="auto"/>
          <w:szCs w:val="21"/>
          <w:highlight w:val="none"/>
        </w:rPr>
      </w:pPr>
    </w:p>
    <w:p w14:paraId="3536322E">
      <w:pPr>
        <w:adjustRightInd w:val="0"/>
        <w:snapToGrid w:val="0"/>
        <w:spacing w:line="360" w:lineRule="auto"/>
        <w:rPr>
          <w:rFonts w:hint="eastAsia" w:ascii="宋体" w:hAnsi="宋体" w:eastAsia="宋体" w:cs="宋体"/>
          <w:color w:val="auto"/>
          <w:sz w:val="28"/>
          <w:szCs w:val="28"/>
          <w:highlight w:val="none"/>
        </w:rPr>
        <w:sectPr>
          <w:headerReference r:id="rId12" w:type="first"/>
          <w:headerReference r:id="rId10" w:type="default"/>
          <w:footerReference r:id="rId13" w:type="default"/>
          <w:headerReference r:id="rId11" w:type="even"/>
          <w:pgSz w:w="11906" w:h="16838"/>
          <w:pgMar w:top="1474" w:right="1474" w:bottom="1474" w:left="1588" w:header="851" w:footer="992" w:gutter="0"/>
          <w:pgNumType w:fmt="decimal"/>
          <w:cols w:space="720" w:num="1"/>
          <w:docGrid w:type="lines" w:linePitch="312" w:charSpace="0"/>
        </w:sectPr>
      </w:pPr>
    </w:p>
    <w:p w14:paraId="71930259">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rPr>
      </w:pPr>
      <w:bookmarkStart w:id="312" w:name="_Toc10450"/>
      <w:bookmarkStart w:id="313" w:name="_Toc844"/>
      <w:bookmarkStart w:id="314" w:name="_Toc25457"/>
      <w:r>
        <w:rPr>
          <w:rFonts w:hint="eastAsia" w:ascii="宋体" w:hAnsi="宋体" w:cs="宋体"/>
          <w:color w:val="auto"/>
          <w:sz w:val="28"/>
          <w:szCs w:val="28"/>
          <w:highlight w:val="none"/>
          <w:lang w:val="en-US" w:eastAsia="zh-CN"/>
        </w:rPr>
        <w:t>八</w:t>
      </w:r>
      <w:r>
        <w:rPr>
          <w:rFonts w:hint="eastAsia" w:ascii="宋体" w:hAnsi="宋体" w:eastAsia="宋体" w:cs="宋体"/>
          <w:color w:val="auto"/>
          <w:sz w:val="28"/>
          <w:szCs w:val="28"/>
          <w:highlight w:val="none"/>
        </w:rPr>
        <w:t>、合同条款偏离表</w:t>
      </w:r>
      <w:bookmarkEnd w:id="311"/>
      <w:bookmarkEnd w:id="312"/>
      <w:bookmarkEnd w:id="313"/>
      <w:bookmarkEnd w:id="314"/>
    </w:p>
    <w:p w14:paraId="23F4C5F5">
      <w:pPr>
        <w:adjustRightInd w:val="0"/>
        <w:snapToGrid w:val="0"/>
        <w:spacing w:before="156" w:beforeLines="50" w:line="360" w:lineRule="auto"/>
        <w:rPr>
          <w:rFonts w:hint="eastAsia" w:ascii="宋体" w:hAnsi="宋体" w:eastAsia="宋体" w:cs="宋体"/>
          <w:color w:val="auto"/>
          <w:szCs w:val="21"/>
          <w:highlight w:val="none"/>
          <w:u w:val="single"/>
        </w:rPr>
      </w:pPr>
      <w:r>
        <w:rPr>
          <w:rFonts w:hint="eastAsia" w:ascii="宋体" w:hAnsi="宋体" w:cs="宋体"/>
          <w:color w:val="auto"/>
          <w:spacing w:val="28"/>
          <w:szCs w:val="21"/>
          <w:highlight w:val="none"/>
          <w:lang w:eastAsia="zh-CN"/>
        </w:rPr>
        <w:t>政府采购计划编号</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____            ______</w:t>
      </w:r>
    </w:p>
    <w:p w14:paraId="2FD2268B">
      <w:pPr>
        <w:adjustRightInd w:val="0"/>
        <w:snapToGrid w:val="0"/>
        <w:spacing w:before="5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包           号：</w:t>
      </w:r>
      <w:r>
        <w:rPr>
          <w:rFonts w:hint="eastAsia" w:ascii="宋体" w:hAnsi="宋体" w:eastAsia="宋体" w:cs="宋体"/>
          <w:color w:val="auto"/>
          <w:szCs w:val="21"/>
          <w:highlight w:val="none"/>
          <w:u w:val="single"/>
        </w:rPr>
        <w:t xml:space="preserve">__    ________          </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___          _______</w:t>
      </w:r>
    </w:p>
    <w:tbl>
      <w:tblPr>
        <w:tblStyle w:val="44"/>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163B7B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4FE7D3EE">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序</w:t>
            </w:r>
            <w:r>
              <w:rPr>
                <w:rFonts w:hint="eastAsia" w:ascii="宋体" w:hAnsi="宋体" w:eastAsia="宋体" w:cs="宋体"/>
                <w:color w:val="auto"/>
                <w:szCs w:val="21"/>
                <w:highlight w:val="none"/>
              </w:rPr>
              <w:t>号</w:t>
            </w:r>
          </w:p>
        </w:tc>
        <w:tc>
          <w:tcPr>
            <w:tcW w:w="2410" w:type="dxa"/>
            <w:vAlign w:val="center"/>
          </w:tcPr>
          <w:p w14:paraId="0FF27373">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招标文件章节</w:t>
            </w:r>
            <w:r>
              <w:rPr>
                <w:rFonts w:hint="eastAsia" w:ascii="宋体" w:hAnsi="宋体" w:eastAsia="宋体" w:cs="宋体"/>
                <w:bCs/>
                <w:color w:val="auto"/>
                <w:szCs w:val="21"/>
                <w:highlight w:val="none"/>
              </w:rPr>
              <w:t>条</w:t>
            </w:r>
            <w:r>
              <w:rPr>
                <w:rFonts w:hint="eastAsia" w:ascii="宋体" w:hAnsi="宋体" w:eastAsia="宋体" w:cs="宋体"/>
                <w:color w:val="auto"/>
                <w:szCs w:val="21"/>
                <w:highlight w:val="none"/>
              </w:rPr>
              <w:t>款号</w:t>
            </w:r>
          </w:p>
        </w:tc>
        <w:tc>
          <w:tcPr>
            <w:tcW w:w="1985" w:type="dxa"/>
            <w:vAlign w:val="center"/>
          </w:tcPr>
          <w:p w14:paraId="121175CB">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招标文件要求</w:t>
            </w:r>
          </w:p>
        </w:tc>
        <w:tc>
          <w:tcPr>
            <w:tcW w:w="2082" w:type="dxa"/>
            <w:tcBorders>
              <w:right w:val="single" w:color="auto" w:sz="4" w:space="0"/>
            </w:tcBorders>
            <w:vAlign w:val="center"/>
          </w:tcPr>
          <w:p w14:paraId="45C7D8BC">
            <w:pPr>
              <w:adjustRightInd w:val="0"/>
              <w:snapToGrid w:val="0"/>
              <w:spacing w:before="50" w:line="360" w:lineRule="auto"/>
              <w:jc w:val="center"/>
              <w:rPr>
                <w:rFonts w:hint="eastAsia" w:ascii="宋体" w:hAnsi="宋体" w:eastAsia="宋体" w:cs="宋体"/>
                <w:color w:val="auto"/>
                <w:szCs w:val="21"/>
                <w:highlight w:val="none"/>
              </w:rPr>
            </w:pPr>
            <w:r>
              <w:rPr>
                <w:rFonts w:hint="eastAsia" w:ascii="宋体" w:hAnsi="宋体" w:eastAsia="宋体" w:cs="宋体"/>
                <w:color w:val="auto"/>
                <w:highlight w:val="none"/>
              </w:rPr>
              <w:t>投标文件的应答</w:t>
            </w:r>
          </w:p>
        </w:tc>
        <w:tc>
          <w:tcPr>
            <w:tcW w:w="1942" w:type="dxa"/>
            <w:tcBorders>
              <w:left w:val="single" w:color="auto" w:sz="4" w:space="0"/>
            </w:tcBorders>
            <w:vAlign w:val="center"/>
          </w:tcPr>
          <w:p w14:paraId="57E5180C">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偏离说明</w:t>
            </w:r>
          </w:p>
        </w:tc>
      </w:tr>
      <w:tr w14:paraId="197AE5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215C59D">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5FF79207">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Pr>
          <w:p w14:paraId="0DD59D0F">
            <w:pPr>
              <w:adjustRightInd w:val="0"/>
              <w:snapToGrid w:val="0"/>
              <w:spacing w:before="50" w:line="360" w:lineRule="auto"/>
              <w:rPr>
                <w:rFonts w:hint="eastAsia" w:ascii="宋体" w:hAnsi="宋体" w:eastAsia="宋体" w:cs="宋体"/>
                <w:color w:val="auto"/>
                <w:highlight w:val="none"/>
              </w:rPr>
            </w:pPr>
          </w:p>
        </w:tc>
        <w:tc>
          <w:tcPr>
            <w:tcW w:w="2082" w:type="dxa"/>
            <w:tcBorders>
              <w:right w:val="single" w:color="auto" w:sz="4" w:space="0"/>
            </w:tcBorders>
          </w:tcPr>
          <w:p w14:paraId="770E831E">
            <w:pPr>
              <w:adjustRightInd w:val="0"/>
              <w:snapToGrid w:val="0"/>
              <w:spacing w:before="50" w:line="360" w:lineRule="auto"/>
              <w:rPr>
                <w:rFonts w:hint="eastAsia" w:ascii="宋体" w:hAnsi="宋体" w:eastAsia="宋体" w:cs="宋体"/>
                <w:color w:val="auto"/>
                <w:highlight w:val="none"/>
              </w:rPr>
            </w:pPr>
          </w:p>
        </w:tc>
        <w:tc>
          <w:tcPr>
            <w:tcW w:w="1942" w:type="dxa"/>
            <w:tcBorders>
              <w:left w:val="single" w:color="auto" w:sz="4" w:space="0"/>
            </w:tcBorders>
          </w:tcPr>
          <w:p w14:paraId="48CE9898">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3F2CDE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FCABCA4">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5B7C3C5C">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0C696EE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0CCF50F2">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31EA9097">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17726C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4FB71E7">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0B07B2DB">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37E95936">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54A4454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3F2BDDB9">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02F392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49C94A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7BB476C7">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38323378">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41278A5B">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55E0A393">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0B6A29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0B1B8B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65AC7EB6">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197C47CC">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7A7F685C">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65C2FD79">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66131C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086C7BE">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539D8387">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2673346E">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082" w:type="dxa"/>
            <w:tcBorders>
              <w:right w:val="single" w:color="auto" w:sz="4" w:space="0"/>
            </w:tcBorders>
            <w:vAlign w:val="center"/>
          </w:tcPr>
          <w:p w14:paraId="72DCB4D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42" w:type="dxa"/>
            <w:tcBorders>
              <w:left w:val="single" w:color="auto" w:sz="4" w:space="0"/>
            </w:tcBorders>
            <w:vAlign w:val="center"/>
          </w:tcPr>
          <w:p w14:paraId="2489F7A8">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60978A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B9C777E">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0373543B">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vAlign w:val="center"/>
          </w:tcPr>
          <w:p w14:paraId="0490FB66">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4024" w:type="dxa"/>
            <w:gridSpan w:val="2"/>
            <w:vAlign w:val="center"/>
          </w:tcPr>
          <w:p w14:paraId="28B100DE">
            <w:pPr>
              <w:adjustRightInd w:val="0"/>
              <w:snapToGrid w:val="0"/>
              <w:spacing w:before="50"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投标人保证：除本合同条款偏离表列出的偏离外，我单位对招标文件的其他商务、合同条款完全响应，无偏离。</w:t>
            </w:r>
          </w:p>
        </w:tc>
      </w:tr>
    </w:tbl>
    <w:p w14:paraId="2638A182">
      <w:pPr>
        <w:adjustRightInd w:val="0"/>
        <w:snapToGrid w:val="0"/>
        <w:spacing w:before="50" w:line="360" w:lineRule="auto"/>
        <w:ind w:left="-88" w:leftChars="-42"/>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备注</w:t>
      </w:r>
      <w:r>
        <w:rPr>
          <w:rFonts w:hint="eastAsia" w:ascii="宋体" w:hAnsi="宋体" w:eastAsia="宋体" w:cs="宋体"/>
          <w:color w:val="auto"/>
          <w:szCs w:val="21"/>
          <w:highlight w:val="none"/>
        </w:rPr>
        <w:t>：（1）投标人应根据招标文件第六章“政府采购合同”填写本表；</w:t>
      </w:r>
    </w:p>
    <w:p w14:paraId="450D87B1">
      <w:pPr>
        <w:adjustRightInd w:val="0"/>
        <w:snapToGrid w:val="0"/>
        <w:spacing w:before="50" w:line="360" w:lineRule="auto"/>
        <w:ind w:left="-88" w:leftChars="-42"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
          <w:color w:val="auto"/>
          <w:szCs w:val="21"/>
          <w:highlight w:val="none"/>
        </w:rPr>
        <w:t>投标人如果对招标文件第六章“政府采购合同”的响应有偏离，应将偏离条款逐条如实应答，并作出说明；</w:t>
      </w:r>
    </w:p>
    <w:p w14:paraId="6757F1AE">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（3）如不提供此表，则视为投标人不满足招标文件第六章的所有条款要求，其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4CF2C440">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78714C58">
      <w:pPr>
        <w:adjustRightInd w:val="0"/>
        <w:snapToGrid w:val="0"/>
        <w:spacing w:before="50" w:line="360" w:lineRule="auto"/>
        <w:rPr>
          <w:rFonts w:hint="eastAsia" w:ascii="宋体" w:hAnsi="宋体" w:eastAsia="宋体" w:cs="宋体"/>
          <w:color w:val="auto"/>
          <w:szCs w:val="21"/>
          <w:highlight w:val="none"/>
        </w:rPr>
      </w:pPr>
    </w:p>
    <w:p w14:paraId="00E0E939">
      <w:pPr>
        <w:adjustRightInd w:val="0"/>
        <w:snapToGrid w:val="0"/>
        <w:spacing w:before="50" w:line="360" w:lineRule="auto"/>
        <w:rPr>
          <w:rFonts w:hint="eastAsia" w:ascii="宋体" w:hAnsi="宋体" w:eastAsia="宋体" w:cs="宋体"/>
          <w:color w:val="auto"/>
          <w:szCs w:val="21"/>
          <w:highlight w:val="none"/>
        </w:rPr>
      </w:pPr>
    </w:p>
    <w:p w14:paraId="5D45C47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2CC9DE91">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3D2AD389">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260E773">
      <w:pPr>
        <w:adjustRightInd w:val="0"/>
        <w:snapToGrid w:val="0"/>
        <w:spacing w:before="5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br w:type="page"/>
      </w:r>
    </w:p>
    <w:p w14:paraId="5CA50A1D">
      <w:pPr>
        <w:pStyle w:val="4"/>
        <w:adjustRightInd w:val="0"/>
        <w:snapToGrid w:val="0"/>
        <w:spacing w:before="156" w:beforeLines="50" w:after="0" w:line="360" w:lineRule="auto"/>
        <w:jc w:val="center"/>
        <w:rPr>
          <w:rFonts w:hint="eastAsia" w:ascii="宋体" w:hAnsi="宋体" w:eastAsia="宋体" w:cs="宋体"/>
          <w:color w:val="auto"/>
          <w:sz w:val="28"/>
          <w:szCs w:val="28"/>
          <w:highlight w:val="none"/>
          <w:lang w:eastAsia="zh-CN"/>
        </w:rPr>
      </w:pPr>
      <w:bookmarkStart w:id="315" w:name="_Toc29913968"/>
      <w:bookmarkStart w:id="316" w:name="_Toc18903"/>
      <w:bookmarkStart w:id="317" w:name="_Toc24790"/>
      <w:bookmarkStart w:id="318" w:name="_Toc12877"/>
      <w:r>
        <w:rPr>
          <w:rFonts w:hint="eastAsia" w:ascii="宋体" w:hAnsi="宋体" w:cs="宋体"/>
          <w:color w:val="auto"/>
          <w:sz w:val="28"/>
          <w:szCs w:val="28"/>
          <w:highlight w:val="none"/>
          <w:lang w:val="en-US" w:eastAsia="zh-CN"/>
        </w:rPr>
        <w:t>九</w:t>
      </w:r>
      <w:r>
        <w:rPr>
          <w:rFonts w:hint="eastAsia" w:ascii="宋体" w:hAnsi="宋体" w:eastAsia="宋体" w:cs="宋体"/>
          <w:color w:val="auto"/>
          <w:sz w:val="28"/>
          <w:szCs w:val="28"/>
          <w:highlight w:val="none"/>
        </w:rPr>
        <w:t>、</w:t>
      </w:r>
      <w:bookmarkEnd w:id="315"/>
      <w:bookmarkEnd w:id="316"/>
      <w:bookmarkEnd w:id="317"/>
      <w:r>
        <w:rPr>
          <w:rFonts w:hint="eastAsia" w:ascii="宋体" w:hAnsi="宋体" w:eastAsia="宋体" w:cs="宋体"/>
          <w:color w:val="auto"/>
          <w:sz w:val="28"/>
          <w:szCs w:val="28"/>
          <w:highlight w:val="none"/>
          <w:lang w:eastAsia="zh-CN"/>
        </w:rPr>
        <w:t>采购需求偏离表</w:t>
      </w:r>
      <w:bookmarkEnd w:id="318"/>
    </w:p>
    <w:p w14:paraId="573B3B2B">
      <w:pPr>
        <w:adjustRightInd w:val="0"/>
        <w:snapToGrid w:val="0"/>
        <w:spacing w:before="156" w:beforeLines="50" w:line="360" w:lineRule="auto"/>
        <w:rPr>
          <w:rFonts w:hint="eastAsia" w:ascii="宋体" w:hAnsi="宋体" w:eastAsia="宋体" w:cs="宋体"/>
          <w:color w:val="auto"/>
          <w:szCs w:val="21"/>
          <w:highlight w:val="none"/>
          <w:u w:val="single"/>
        </w:rPr>
      </w:pPr>
      <w:r>
        <w:rPr>
          <w:rFonts w:hint="eastAsia" w:ascii="宋体" w:hAnsi="宋体" w:cs="宋体"/>
          <w:color w:val="auto"/>
          <w:spacing w:val="28"/>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____            ______</w:t>
      </w:r>
    </w:p>
    <w:p w14:paraId="4360FF7A">
      <w:pPr>
        <w:adjustRightInd w:val="0"/>
        <w:snapToGrid w:val="0"/>
        <w:spacing w:before="156" w:beforeLines="5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包           号：</w:t>
      </w:r>
      <w:r>
        <w:rPr>
          <w:rFonts w:hint="eastAsia" w:ascii="宋体" w:hAnsi="宋体" w:eastAsia="宋体" w:cs="宋体"/>
          <w:color w:val="auto"/>
          <w:szCs w:val="21"/>
          <w:highlight w:val="none"/>
          <w:u w:val="single"/>
        </w:rPr>
        <w:t xml:space="preserve">__    ________           </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___          _______</w:t>
      </w:r>
    </w:p>
    <w:tbl>
      <w:tblPr>
        <w:tblStyle w:val="44"/>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500043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6B554503">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序</w:t>
            </w:r>
            <w:r>
              <w:rPr>
                <w:rFonts w:hint="eastAsia" w:ascii="宋体" w:hAnsi="宋体" w:eastAsia="宋体" w:cs="宋体"/>
                <w:color w:val="auto"/>
                <w:szCs w:val="21"/>
                <w:highlight w:val="none"/>
              </w:rPr>
              <w:t>号</w:t>
            </w:r>
          </w:p>
        </w:tc>
        <w:tc>
          <w:tcPr>
            <w:tcW w:w="2410" w:type="dxa"/>
            <w:vAlign w:val="center"/>
          </w:tcPr>
          <w:p w14:paraId="606A04EB">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招标文件章节</w:t>
            </w:r>
            <w:r>
              <w:rPr>
                <w:rFonts w:hint="eastAsia" w:ascii="宋体" w:hAnsi="宋体" w:eastAsia="宋体" w:cs="宋体"/>
                <w:bCs/>
                <w:color w:val="auto"/>
                <w:szCs w:val="21"/>
                <w:highlight w:val="none"/>
              </w:rPr>
              <w:t>条</w:t>
            </w:r>
            <w:r>
              <w:rPr>
                <w:rFonts w:hint="eastAsia" w:ascii="宋体" w:hAnsi="宋体" w:eastAsia="宋体" w:cs="宋体"/>
                <w:color w:val="auto"/>
                <w:szCs w:val="21"/>
                <w:highlight w:val="none"/>
              </w:rPr>
              <w:t>款号</w:t>
            </w:r>
          </w:p>
        </w:tc>
        <w:tc>
          <w:tcPr>
            <w:tcW w:w="1985" w:type="dxa"/>
            <w:tcBorders>
              <w:right w:val="single" w:color="auto" w:sz="4" w:space="0"/>
            </w:tcBorders>
          </w:tcPr>
          <w:p w14:paraId="6F3F22A1">
            <w:pPr>
              <w:adjustRightInd w:val="0"/>
              <w:snapToGrid w:val="0"/>
              <w:spacing w:before="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126" w:type="dxa"/>
            <w:tcBorders>
              <w:left w:val="single" w:color="auto" w:sz="4" w:space="0"/>
            </w:tcBorders>
          </w:tcPr>
          <w:p w14:paraId="26BC1FAF">
            <w:pPr>
              <w:adjustRightInd w:val="0"/>
              <w:snapToGrid w:val="0"/>
              <w:spacing w:before="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投标文件应答</w:t>
            </w:r>
          </w:p>
        </w:tc>
        <w:tc>
          <w:tcPr>
            <w:tcW w:w="1756" w:type="dxa"/>
            <w:vAlign w:val="center"/>
          </w:tcPr>
          <w:p w14:paraId="31A82018">
            <w:pPr>
              <w:adjustRightInd w:val="0"/>
              <w:snapToGrid w:val="0"/>
              <w:spacing w:before="50" w:line="360" w:lineRule="auto"/>
              <w:ind w:left="-88" w:leftChars="-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偏离说明</w:t>
            </w:r>
          </w:p>
        </w:tc>
      </w:tr>
      <w:tr w14:paraId="21FC58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31D622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2EC74EAA">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39A35D50">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274B4E3F">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135C95A0">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16F762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419CD9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302FAC79">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18E554D8">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15E81EA6">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47CFA000">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529005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D703D99">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17352878">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76F1D12A">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118EBFB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55222C04">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069A8B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D8DF21D">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353B61AA">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347C33A9">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026A9693">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32379311">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2237E7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4A84709">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1ACAE981">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5BC48642">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126" w:type="dxa"/>
            <w:tcBorders>
              <w:left w:val="single" w:color="auto" w:sz="4" w:space="0"/>
            </w:tcBorders>
            <w:vAlign w:val="center"/>
          </w:tcPr>
          <w:p w14:paraId="785FCD8D">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756" w:type="dxa"/>
            <w:vAlign w:val="center"/>
          </w:tcPr>
          <w:p w14:paraId="5B9536E2">
            <w:pPr>
              <w:adjustRightInd w:val="0"/>
              <w:snapToGrid w:val="0"/>
              <w:spacing w:before="50" w:line="360" w:lineRule="auto"/>
              <w:ind w:left="-88" w:leftChars="-42"/>
              <w:jc w:val="center"/>
              <w:rPr>
                <w:rFonts w:hint="eastAsia" w:ascii="宋体" w:hAnsi="宋体" w:eastAsia="宋体" w:cs="宋体"/>
                <w:color w:val="auto"/>
                <w:szCs w:val="21"/>
                <w:highlight w:val="none"/>
              </w:rPr>
            </w:pPr>
          </w:p>
        </w:tc>
      </w:tr>
      <w:tr w14:paraId="7D7B46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BD0AA0C">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2410" w:type="dxa"/>
            <w:vAlign w:val="center"/>
          </w:tcPr>
          <w:p w14:paraId="17B56C7E">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1985" w:type="dxa"/>
            <w:tcBorders>
              <w:right w:val="single" w:color="auto" w:sz="4" w:space="0"/>
            </w:tcBorders>
            <w:vAlign w:val="center"/>
          </w:tcPr>
          <w:p w14:paraId="57738458">
            <w:pPr>
              <w:adjustRightInd w:val="0"/>
              <w:snapToGrid w:val="0"/>
              <w:spacing w:before="50" w:line="360" w:lineRule="auto"/>
              <w:ind w:left="-88" w:leftChars="-42"/>
              <w:jc w:val="center"/>
              <w:rPr>
                <w:rFonts w:hint="eastAsia" w:ascii="宋体" w:hAnsi="宋体" w:eastAsia="宋体" w:cs="宋体"/>
                <w:color w:val="auto"/>
                <w:szCs w:val="21"/>
                <w:highlight w:val="none"/>
              </w:rPr>
            </w:pPr>
          </w:p>
        </w:tc>
        <w:tc>
          <w:tcPr>
            <w:tcW w:w="3882" w:type="dxa"/>
            <w:gridSpan w:val="2"/>
            <w:tcBorders>
              <w:left w:val="single" w:color="auto" w:sz="4" w:space="0"/>
            </w:tcBorders>
            <w:vAlign w:val="center"/>
          </w:tcPr>
          <w:p w14:paraId="3C27EB9B">
            <w:pPr>
              <w:adjustRightInd w:val="0"/>
              <w:snapToGrid w:val="0"/>
              <w:spacing w:before="50" w:line="360" w:lineRule="auto"/>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投标人保证：除本采购需求偏离表列出的偏离外，我单位对招标文件的其他采购需求条款完全响应，无偏离。</w:t>
            </w:r>
          </w:p>
        </w:tc>
      </w:tr>
    </w:tbl>
    <w:p w14:paraId="4930B708">
      <w:pPr>
        <w:adjustRightInd w:val="0"/>
        <w:snapToGrid w:val="0"/>
        <w:spacing w:before="50" w:line="360" w:lineRule="auto"/>
        <w:ind w:left="-88" w:leftChars="-42"/>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备注</w:t>
      </w:r>
      <w:r>
        <w:rPr>
          <w:rFonts w:hint="eastAsia" w:ascii="宋体" w:hAnsi="宋体" w:eastAsia="宋体" w:cs="宋体"/>
          <w:color w:val="auto"/>
          <w:szCs w:val="21"/>
          <w:highlight w:val="none"/>
        </w:rPr>
        <w:t>：（1）投标人应根据招标文件第五章“采购需求”填写本表；</w:t>
      </w:r>
    </w:p>
    <w:p w14:paraId="3FB78841">
      <w:pPr>
        <w:adjustRightInd w:val="0"/>
        <w:snapToGrid w:val="0"/>
        <w:spacing w:before="50" w:line="360" w:lineRule="auto"/>
        <w:ind w:left="-88" w:leftChars="-42"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
          <w:color w:val="auto"/>
          <w:szCs w:val="21"/>
          <w:highlight w:val="none"/>
        </w:rPr>
        <w:t>投标人如果对招标文件第五章“采购需求”的响应有偏离，应将偏离条款逐条如实应答，并作出说明；</w:t>
      </w:r>
    </w:p>
    <w:p w14:paraId="2F4B6206">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（3）如不提供此表，则视为投标人不满足招标文件第五章的所有条款要求，其</w:t>
      </w:r>
      <w:r>
        <w:rPr>
          <w:rFonts w:hint="eastAsia" w:ascii="宋体" w:hAnsi="宋体" w:eastAsia="宋体" w:cs="宋体"/>
          <w:b/>
          <w:color w:val="auto"/>
          <w:szCs w:val="21"/>
          <w:highlight w:val="none"/>
        </w:rPr>
        <w:t>投标无效</w:t>
      </w:r>
      <w:r>
        <w:rPr>
          <w:rFonts w:hint="eastAsia" w:ascii="宋体" w:hAnsi="宋体" w:eastAsia="宋体" w:cs="宋体"/>
          <w:color w:val="auto"/>
          <w:szCs w:val="21"/>
          <w:highlight w:val="none"/>
        </w:rPr>
        <w:t>。</w:t>
      </w:r>
    </w:p>
    <w:p w14:paraId="63938B1E">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0C964055">
      <w:pPr>
        <w:adjustRightInd w:val="0"/>
        <w:snapToGrid w:val="0"/>
        <w:spacing w:before="50" w:line="360" w:lineRule="auto"/>
        <w:ind w:left="-88" w:leftChars="-42"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（5）本偏离表与本章第</w:t>
      </w:r>
      <w:r>
        <w:rPr>
          <w:rFonts w:hint="eastAsia" w:ascii="宋体" w:hAnsi="宋体" w:eastAsia="宋体" w:cs="宋体"/>
          <w:color w:val="auto"/>
          <w:szCs w:val="21"/>
          <w:highlight w:val="none"/>
          <w:lang w:eastAsia="zh-CN"/>
        </w:rPr>
        <w:t>六</w:t>
      </w:r>
      <w:r>
        <w:rPr>
          <w:rFonts w:hint="eastAsia" w:ascii="宋体" w:hAnsi="宋体" w:eastAsia="宋体" w:cs="宋体"/>
          <w:color w:val="auto"/>
          <w:szCs w:val="21"/>
          <w:highlight w:val="none"/>
        </w:rPr>
        <w:t>节“采购需求响应”不一致时，以“采购需求响应”为准。</w:t>
      </w:r>
    </w:p>
    <w:p w14:paraId="09B7AF22">
      <w:pPr>
        <w:adjustRightInd w:val="0"/>
        <w:snapToGrid w:val="0"/>
        <w:spacing w:before="50" w:line="360" w:lineRule="auto"/>
        <w:rPr>
          <w:rFonts w:hint="eastAsia" w:ascii="宋体" w:hAnsi="宋体" w:eastAsia="宋体" w:cs="宋体"/>
          <w:color w:val="auto"/>
          <w:szCs w:val="21"/>
          <w:highlight w:val="none"/>
        </w:rPr>
      </w:pPr>
    </w:p>
    <w:p w14:paraId="3094552C">
      <w:pPr>
        <w:adjustRightInd w:val="0"/>
        <w:snapToGrid w:val="0"/>
        <w:spacing w:before="50" w:line="360" w:lineRule="auto"/>
        <w:rPr>
          <w:rFonts w:hint="eastAsia" w:ascii="宋体" w:hAnsi="宋体" w:eastAsia="宋体" w:cs="宋体"/>
          <w:color w:val="auto"/>
          <w:szCs w:val="21"/>
          <w:highlight w:val="none"/>
        </w:rPr>
      </w:pPr>
    </w:p>
    <w:p w14:paraId="665EC426">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6EA6BE70">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586ADE5F">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4A6DA884">
      <w:pPr>
        <w:pStyle w:val="4"/>
        <w:adjustRightInd w:val="0"/>
        <w:snapToGrid w:val="0"/>
        <w:spacing w:before="0" w:after="0" w:line="360" w:lineRule="auto"/>
        <w:jc w:val="center"/>
        <w:rPr>
          <w:rFonts w:hint="eastAsia" w:ascii="宋体" w:hAnsi="宋体" w:eastAsia="宋体" w:cs="宋体"/>
          <w:color w:val="auto"/>
          <w:szCs w:val="21"/>
          <w:highlight w:val="none"/>
        </w:rPr>
        <w:sectPr>
          <w:pgSz w:w="11906" w:h="16838"/>
          <w:pgMar w:top="1474" w:right="1474" w:bottom="1474" w:left="1474" w:header="851" w:footer="992" w:gutter="0"/>
          <w:pgNumType w:fmt="decimal"/>
          <w:cols w:space="720" w:num="1"/>
          <w:docGrid w:type="lines" w:linePitch="312" w:charSpace="0"/>
        </w:sectPr>
      </w:pPr>
      <w:r>
        <w:rPr>
          <w:rFonts w:hint="eastAsia" w:ascii="宋体" w:hAnsi="宋体" w:eastAsia="宋体" w:cs="宋体"/>
          <w:color w:val="auto"/>
          <w:szCs w:val="21"/>
          <w:highlight w:val="none"/>
        </w:rPr>
        <w:br w:type="page"/>
      </w:r>
    </w:p>
    <w:p w14:paraId="28837A70">
      <w:pPr>
        <w:pStyle w:val="4"/>
        <w:adjustRightInd w:val="0"/>
        <w:snapToGrid w:val="0"/>
        <w:spacing w:before="0" w:after="0" w:line="360" w:lineRule="auto"/>
        <w:jc w:val="center"/>
        <w:rPr>
          <w:rFonts w:hint="eastAsia" w:ascii="宋体" w:hAnsi="宋体" w:eastAsia="宋体" w:cs="宋体"/>
          <w:color w:val="auto"/>
          <w:sz w:val="28"/>
          <w:szCs w:val="28"/>
          <w:highlight w:val="none"/>
        </w:rPr>
      </w:pPr>
      <w:bookmarkStart w:id="319" w:name="_Toc29913969"/>
      <w:bookmarkStart w:id="320" w:name="_Toc23834"/>
      <w:bookmarkStart w:id="321" w:name="_Toc32763"/>
      <w:bookmarkStart w:id="322" w:name="_Toc32500"/>
      <w:r>
        <w:rPr>
          <w:rFonts w:hint="eastAsia" w:ascii="宋体" w:hAnsi="宋体" w:cs="宋体"/>
          <w:color w:val="auto"/>
          <w:szCs w:val="21"/>
          <w:highlight w:val="none"/>
          <w:lang w:val="en-US" w:eastAsia="zh-CN"/>
        </w:rPr>
        <w:t>十</w:t>
      </w:r>
      <w:r>
        <w:rPr>
          <w:rFonts w:hint="eastAsia" w:ascii="宋体" w:hAnsi="宋体" w:eastAsia="宋体" w:cs="宋体"/>
          <w:color w:val="auto"/>
          <w:sz w:val="28"/>
          <w:szCs w:val="28"/>
          <w:highlight w:val="none"/>
        </w:rPr>
        <w:t>、享受政府采购政策优惠的证明资料</w:t>
      </w:r>
      <w:bookmarkEnd w:id="319"/>
      <w:bookmarkEnd w:id="320"/>
      <w:bookmarkEnd w:id="321"/>
      <w:bookmarkEnd w:id="322"/>
    </w:p>
    <w:p w14:paraId="5EBA2E80">
      <w:pPr>
        <w:adjustRightInd w:val="0"/>
        <w:snapToGrid w:val="0"/>
        <w:spacing w:line="360" w:lineRule="auto"/>
        <w:ind w:firstLine="444" w:firstLineChars="200"/>
        <w:rPr>
          <w:rFonts w:hint="eastAsia" w:ascii="宋体" w:hAnsi="宋体" w:eastAsia="宋体" w:cs="宋体"/>
          <w:bCs/>
          <w:color w:val="auto"/>
          <w:spacing w:val="6"/>
          <w:kern w:val="0"/>
          <w:szCs w:val="21"/>
          <w:highlight w:val="none"/>
        </w:rPr>
        <w:sectPr>
          <w:pgSz w:w="11906" w:h="16838"/>
          <w:pgMar w:top="1474" w:right="1474" w:bottom="1474" w:left="1588" w:header="851" w:footer="992" w:gutter="0"/>
          <w:pgNumType w:fmt="decimal"/>
          <w:cols w:space="720" w:num="1"/>
          <w:docGrid w:type="lines" w:linePitch="312" w:charSpace="0"/>
        </w:sectPr>
      </w:pPr>
      <w:r>
        <w:rPr>
          <w:rFonts w:hint="eastAsia" w:ascii="宋体" w:hAnsi="宋体" w:eastAsia="宋体" w:cs="宋体"/>
          <w:bCs/>
          <w:color w:val="auto"/>
          <w:spacing w:val="6"/>
          <w:kern w:val="0"/>
          <w:szCs w:val="21"/>
          <w:highlight w:val="none"/>
        </w:rPr>
        <w:t>投标人符合第二章第3</w:t>
      </w:r>
      <w:r>
        <w:rPr>
          <w:rFonts w:hint="eastAsia" w:ascii="宋体" w:hAnsi="宋体" w:eastAsia="宋体" w:cs="宋体"/>
          <w:bCs/>
          <w:color w:val="auto"/>
          <w:spacing w:val="6"/>
          <w:kern w:val="0"/>
          <w:szCs w:val="21"/>
          <w:highlight w:val="none"/>
          <w:lang w:val="en-US" w:eastAsia="zh-CN"/>
        </w:rPr>
        <w:t>0</w:t>
      </w:r>
      <w:r>
        <w:rPr>
          <w:rFonts w:hint="eastAsia" w:ascii="宋体" w:hAnsi="宋体" w:eastAsia="宋体" w:cs="宋体"/>
          <w:bCs/>
          <w:color w:val="auto"/>
          <w:spacing w:val="6"/>
          <w:kern w:val="0"/>
          <w:szCs w:val="21"/>
          <w:highlight w:val="none"/>
        </w:rPr>
        <w:t>.6款要求的，应提供下列证明资料，并填写相关数据。否则，评审时不予以考虑。</w:t>
      </w:r>
    </w:p>
    <w:p w14:paraId="09061039">
      <w:pPr>
        <w:keepNext/>
        <w:keepLines/>
        <w:spacing w:before="280" w:after="290" w:line="376" w:lineRule="auto"/>
        <w:outlineLvl w:val="3"/>
        <w:rPr>
          <w:rFonts w:ascii="黑体" w:hAnsi="华文中宋" w:eastAsia="黑体" w:cs="宋体"/>
          <w:color w:val="auto"/>
          <w:spacing w:val="6"/>
          <w:kern w:val="0"/>
          <w:szCs w:val="21"/>
          <w:highlight w:val="none"/>
        </w:rPr>
      </w:pPr>
      <w:bookmarkStart w:id="323" w:name="_Toc29443"/>
      <w:bookmarkStart w:id="324" w:name="_Toc29913970"/>
      <w:bookmarkStart w:id="325" w:name="_Toc22100"/>
      <w:bookmarkStart w:id="326" w:name="_Toc14152"/>
      <w:bookmarkStart w:id="327" w:name="_Toc1065"/>
      <w:r>
        <w:rPr>
          <w:rFonts w:hint="eastAsia" w:ascii="黑体" w:hAnsi="华文中宋" w:eastAsia="黑体" w:cs="宋体"/>
          <w:color w:val="auto"/>
          <w:spacing w:val="6"/>
          <w:kern w:val="0"/>
          <w:szCs w:val="21"/>
          <w:highlight w:val="none"/>
        </w:rPr>
        <w:t>附件10-1</w:t>
      </w:r>
      <w:bookmarkEnd w:id="323"/>
      <w:bookmarkEnd w:id="324"/>
      <w:bookmarkEnd w:id="325"/>
      <w:bookmarkEnd w:id="326"/>
      <w:r>
        <w:rPr>
          <w:rFonts w:hint="eastAsia" w:ascii="黑体" w:hAnsi="华文中宋" w:eastAsia="黑体" w:cs="宋体"/>
          <w:color w:val="auto"/>
          <w:spacing w:val="6"/>
          <w:kern w:val="0"/>
          <w:szCs w:val="21"/>
          <w:highlight w:val="none"/>
        </w:rPr>
        <w:t>中小企业声明函</w:t>
      </w:r>
      <w:bookmarkEnd w:id="327"/>
    </w:p>
    <w:p w14:paraId="0A9F902A">
      <w:pPr>
        <w:widowControl/>
        <w:spacing w:before="100" w:beforeAutospacing="1" w:after="100" w:afterAutospacing="1" w:line="435" w:lineRule="atLeast"/>
        <w:jc w:val="center"/>
        <w:rPr>
          <w:color w:val="auto"/>
          <w:szCs w:val="24"/>
          <w:highlight w:val="none"/>
        </w:rPr>
      </w:pPr>
      <w:r>
        <w:rPr>
          <w:rFonts w:hint="eastAsia" w:ascii="宋体" w:hAnsi="宋体" w:cs="宋体"/>
          <w:b/>
          <w:color w:val="auto"/>
          <w:kern w:val="0"/>
          <w:sz w:val="28"/>
          <w:szCs w:val="28"/>
          <w:highlight w:val="none"/>
          <w:lang w:bidi="ar"/>
        </w:rPr>
        <w:t>中小企业声明函（工程、服务）</w:t>
      </w:r>
    </w:p>
    <w:p w14:paraId="3864E74B">
      <w:pPr>
        <w:widowControl/>
        <w:spacing w:before="100" w:beforeAutospacing="1" w:after="100" w:afterAutospacing="1" w:line="540" w:lineRule="exact"/>
        <w:ind w:firstLine="482"/>
        <w:jc w:val="left"/>
        <w:rPr>
          <w:color w:val="auto"/>
          <w:szCs w:val="24"/>
          <w:highlight w:val="none"/>
        </w:rPr>
      </w:pPr>
      <w:r>
        <w:rPr>
          <w:rFonts w:hint="eastAsia" w:ascii="宋体" w:hAnsi="宋体" w:cs="宋体"/>
          <w:color w:val="auto"/>
          <w:kern w:val="0"/>
          <w:sz w:val="24"/>
          <w:szCs w:val="24"/>
          <w:highlight w:val="none"/>
          <w:lang w:bidi="ar"/>
        </w:rPr>
        <w:t>本公司（联合体）郑重声明，根据《政府采购促进中小企业发展管理办法》（财库﹝2020﹞46 号）的规定，本公司（联合体）参加</w:t>
      </w:r>
      <w:r>
        <w:rPr>
          <w:rFonts w:hint="eastAsia" w:ascii="宋体" w:hAnsi="宋体" w:cs="宋体"/>
          <w:color w:val="auto"/>
          <w:kern w:val="0"/>
          <w:sz w:val="24"/>
          <w:szCs w:val="24"/>
          <w:highlight w:val="none"/>
          <w:u w:val="single"/>
          <w:lang w:bidi="ar"/>
        </w:rPr>
        <w:t>    （单位名称）</w:t>
      </w:r>
      <w:r>
        <w:rPr>
          <w:rFonts w:hint="eastAsia" w:ascii="宋体" w:hAnsi="宋体" w:cs="宋体"/>
          <w:color w:val="auto"/>
          <w:kern w:val="0"/>
          <w:sz w:val="24"/>
          <w:szCs w:val="24"/>
          <w:highlight w:val="none"/>
          <w:lang w:bidi="ar"/>
        </w:rPr>
        <w:t>的</w:t>
      </w:r>
      <w:r>
        <w:rPr>
          <w:rFonts w:hint="eastAsia" w:ascii="宋体" w:hAnsi="宋体" w:cs="宋体"/>
          <w:color w:val="auto"/>
          <w:kern w:val="0"/>
          <w:sz w:val="24"/>
          <w:szCs w:val="24"/>
          <w:highlight w:val="none"/>
          <w:u w:val="single"/>
          <w:lang w:bidi="ar"/>
        </w:rPr>
        <w:t>（项目名称）</w:t>
      </w:r>
      <w:r>
        <w:rPr>
          <w:rFonts w:hint="eastAsia" w:ascii="宋体" w:hAnsi="宋体" w:cs="宋体"/>
          <w:color w:val="auto"/>
          <w:kern w:val="0"/>
          <w:sz w:val="24"/>
          <w:szCs w:val="24"/>
          <w:highlight w:val="none"/>
          <w:lang w:bidi="ar"/>
        </w:rPr>
        <w:t>采购活动，工程的施工单位全部为符合政策要求的中小企业（或者：服务全部由符合政策要求的中小企业承接）。相关企业（含联合体中的中小企业、签订分包意向协议的中小企业）的具体情况如下：</w:t>
      </w:r>
    </w:p>
    <w:p w14:paraId="05FB7441">
      <w:pPr>
        <w:widowControl/>
        <w:spacing w:before="100" w:beforeAutospacing="1" w:after="100" w:afterAutospacing="1" w:line="360" w:lineRule="auto"/>
        <w:ind w:firstLine="482"/>
        <w:rPr>
          <w:color w:val="auto"/>
          <w:szCs w:val="24"/>
          <w:highlight w:val="none"/>
        </w:rPr>
      </w:pPr>
      <w:r>
        <w:rPr>
          <w:rFonts w:hint="eastAsia" w:ascii="宋体" w:hAnsi="宋体" w:cs="宋体"/>
          <w:color w:val="auto"/>
          <w:kern w:val="0"/>
          <w:sz w:val="24"/>
          <w:szCs w:val="24"/>
          <w:highlight w:val="none"/>
          <w:u w:val="single"/>
          <w:lang w:bidi="ar"/>
        </w:rPr>
        <w:t>1.   （标的名称）</w:t>
      </w:r>
      <w:r>
        <w:rPr>
          <w:rFonts w:hint="eastAsia" w:ascii="宋体" w:hAnsi="宋体" w:cs="宋体"/>
          <w:color w:val="auto"/>
          <w:kern w:val="0"/>
          <w:sz w:val="24"/>
          <w:szCs w:val="24"/>
          <w:highlight w:val="none"/>
          <w:lang w:bidi="ar"/>
        </w:rPr>
        <w:t>，属于</w:t>
      </w:r>
      <w:r>
        <w:rPr>
          <w:rFonts w:hint="eastAsia" w:ascii="宋体" w:hAnsi="宋体" w:cs="宋体"/>
          <w:color w:val="auto"/>
          <w:kern w:val="0"/>
          <w:sz w:val="24"/>
          <w:szCs w:val="24"/>
          <w:highlight w:val="none"/>
          <w:u w:val="single"/>
          <w:lang w:bidi="ar"/>
        </w:rPr>
        <w:t>    （采购文件中明确的所属行业）</w:t>
      </w:r>
      <w:r>
        <w:rPr>
          <w:rFonts w:hint="eastAsia" w:ascii="宋体" w:hAnsi="宋体" w:cs="宋体"/>
          <w:color w:val="auto"/>
          <w:kern w:val="0"/>
          <w:sz w:val="24"/>
          <w:szCs w:val="24"/>
          <w:highlight w:val="none"/>
          <w:lang w:bidi="ar"/>
        </w:rPr>
        <w:t>；承建（承接）企业为</w:t>
      </w:r>
      <w:r>
        <w:rPr>
          <w:rFonts w:hint="eastAsia" w:ascii="宋体" w:hAnsi="宋体" w:cs="宋体"/>
          <w:color w:val="auto"/>
          <w:kern w:val="0"/>
          <w:sz w:val="24"/>
          <w:szCs w:val="24"/>
          <w:highlight w:val="none"/>
          <w:u w:val="single"/>
          <w:lang w:bidi="ar"/>
        </w:rPr>
        <w:t>    （企业名称）</w:t>
      </w:r>
      <w:r>
        <w:rPr>
          <w:rFonts w:hint="eastAsia" w:ascii="宋体" w:hAnsi="宋体" w:cs="宋体"/>
          <w:color w:val="auto"/>
          <w:kern w:val="0"/>
          <w:sz w:val="24"/>
          <w:szCs w:val="24"/>
          <w:highlight w:val="none"/>
          <w:lang w:bidi="ar"/>
        </w:rPr>
        <w:t>，从业人员</w:t>
      </w:r>
      <w:r>
        <w:rPr>
          <w:rFonts w:hint="eastAsia" w:ascii="宋体" w:hAnsi="宋体" w:cs="宋体"/>
          <w:color w:val="auto"/>
          <w:kern w:val="0"/>
          <w:sz w:val="24"/>
          <w:szCs w:val="24"/>
          <w:highlight w:val="none"/>
          <w:u w:val="single"/>
          <w:lang w:bidi="ar"/>
        </w:rPr>
        <w:t>    </w:t>
      </w:r>
      <w:r>
        <w:rPr>
          <w:rFonts w:hint="eastAsia" w:ascii="宋体" w:hAnsi="宋体" w:cs="宋体"/>
          <w:color w:val="auto"/>
          <w:kern w:val="0"/>
          <w:sz w:val="24"/>
          <w:szCs w:val="24"/>
          <w:highlight w:val="none"/>
          <w:lang w:bidi="ar"/>
        </w:rPr>
        <w:t>人，营业收入为</w:t>
      </w:r>
      <w:r>
        <w:rPr>
          <w:rFonts w:hint="eastAsia" w:ascii="宋体" w:hAnsi="宋体" w:cs="宋体"/>
          <w:color w:val="auto"/>
          <w:kern w:val="0"/>
          <w:sz w:val="24"/>
          <w:szCs w:val="24"/>
          <w:highlight w:val="none"/>
          <w:u w:val="single"/>
          <w:lang w:bidi="ar"/>
        </w:rPr>
        <w:t>    </w:t>
      </w:r>
      <w:r>
        <w:rPr>
          <w:rFonts w:hint="eastAsia" w:ascii="宋体" w:hAnsi="宋体" w:cs="宋体"/>
          <w:color w:val="auto"/>
          <w:kern w:val="0"/>
          <w:sz w:val="24"/>
          <w:szCs w:val="24"/>
          <w:highlight w:val="none"/>
          <w:lang w:bidi="ar"/>
        </w:rPr>
        <w:t>万元，资产总额为</w:t>
      </w:r>
      <w:r>
        <w:rPr>
          <w:rFonts w:hint="eastAsia" w:ascii="宋体" w:hAnsi="宋体" w:cs="宋体"/>
          <w:color w:val="auto"/>
          <w:kern w:val="0"/>
          <w:sz w:val="24"/>
          <w:szCs w:val="24"/>
          <w:highlight w:val="none"/>
          <w:u w:val="single"/>
          <w:lang w:bidi="ar"/>
        </w:rPr>
        <w:t>    </w:t>
      </w:r>
      <w:r>
        <w:rPr>
          <w:rFonts w:hint="eastAsia" w:ascii="宋体" w:hAnsi="宋体" w:cs="宋体"/>
          <w:color w:val="auto"/>
          <w:kern w:val="0"/>
          <w:sz w:val="24"/>
          <w:szCs w:val="24"/>
          <w:highlight w:val="none"/>
          <w:lang w:bidi="ar"/>
        </w:rPr>
        <w:t>万元，属于</w:t>
      </w:r>
      <w:r>
        <w:rPr>
          <w:rFonts w:hint="eastAsia" w:ascii="宋体" w:hAnsi="宋体" w:cs="宋体"/>
          <w:color w:val="auto"/>
          <w:kern w:val="0"/>
          <w:sz w:val="24"/>
          <w:szCs w:val="24"/>
          <w:highlight w:val="none"/>
          <w:u w:val="single"/>
          <w:lang w:bidi="ar"/>
        </w:rPr>
        <w:t>     （中型企业、小型企业、微型企业）</w:t>
      </w:r>
      <w:r>
        <w:rPr>
          <w:rFonts w:hint="eastAsia" w:ascii="宋体" w:hAnsi="宋体" w:cs="宋体"/>
          <w:color w:val="auto"/>
          <w:kern w:val="0"/>
          <w:sz w:val="24"/>
          <w:szCs w:val="24"/>
          <w:highlight w:val="none"/>
          <w:lang w:bidi="ar"/>
        </w:rPr>
        <w:t>；</w:t>
      </w:r>
    </w:p>
    <w:p w14:paraId="360F3952">
      <w:pPr>
        <w:widowControl/>
        <w:spacing w:before="100" w:beforeAutospacing="1" w:after="100" w:afterAutospacing="1" w:line="360" w:lineRule="auto"/>
        <w:ind w:firstLine="482"/>
        <w:rPr>
          <w:color w:val="auto"/>
          <w:szCs w:val="24"/>
          <w:highlight w:val="none"/>
        </w:rPr>
      </w:pPr>
      <w:r>
        <w:rPr>
          <w:rFonts w:hint="eastAsia" w:ascii="宋体" w:hAnsi="宋体" w:cs="宋体"/>
          <w:color w:val="auto"/>
          <w:kern w:val="0"/>
          <w:sz w:val="24"/>
          <w:szCs w:val="24"/>
          <w:highlight w:val="none"/>
          <w:lang w:bidi="ar"/>
        </w:rPr>
        <w:t>2.</w:t>
      </w:r>
      <w:r>
        <w:rPr>
          <w:rFonts w:hint="eastAsia" w:ascii="宋体" w:hAnsi="宋体" w:cs="宋体"/>
          <w:color w:val="auto"/>
          <w:kern w:val="0"/>
          <w:sz w:val="24"/>
          <w:szCs w:val="24"/>
          <w:highlight w:val="none"/>
          <w:u w:val="single"/>
          <w:lang w:bidi="ar"/>
        </w:rPr>
        <w:t>     （标的名称）</w:t>
      </w:r>
      <w:r>
        <w:rPr>
          <w:rFonts w:hint="eastAsia" w:ascii="宋体" w:hAnsi="宋体" w:cs="宋体"/>
          <w:color w:val="auto"/>
          <w:kern w:val="0"/>
          <w:sz w:val="24"/>
          <w:szCs w:val="24"/>
          <w:highlight w:val="none"/>
          <w:lang w:bidi="ar"/>
        </w:rPr>
        <w:t>，属于</w:t>
      </w:r>
      <w:r>
        <w:rPr>
          <w:rFonts w:hint="eastAsia" w:ascii="宋体" w:hAnsi="宋体" w:cs="宋体"/>
          <w:color w:val="auto"/>
          <w:kern w:val="0"/>
          <w:sz w:val="24"/>
          <w:szCs w:val="24"/>
          <w:highlight w:val="none"/>
          <w:u w:val="single"/>
          <w:lang w:bidi="ar"/>
        </w:rPr>
        <w:t>     （采购文件中明确的所属行业）</w:t>
      </w:r>
      <w:r>
        <w:rPr>
          <w:rFonts w:hint="eastAsia" w:ascii="宋体" w:hAnsi="宋体" w:cs="宋体"/>
          <w:color w:val="auto"/>
          <w:kern w:val="0"/>
          <w:sz w:val="24"/>
          <w:szCs w:val="24"/>
          <w:highlight w:val="none"/>
          <w:lang w:bidi="ar"/>
        </w:rPr>
        <w:t>行业；制造商为</w:t>
      </w:r>
      <w:r>
        <w:rPr>
          <w:rFonts w:hint="eastAsia" w:ascii="宋体" w:hAnsi="宋体" w:cs="宋体"/>
          <w:color w:val="auto"/>
          <w:kern w:val="0"/>
          <w:sz w:val="24"/>
          <w:szCs w:val="24"/>
          <w:highlight w:val="none"/>
          <w:u w:val="single"/>
          <w:lang w:bidi="ar"/>
        </w:rPr>
        <w:t>       （企业名称）</w:t>
      </w:r>
      <w:r>
        <w:rPr>
          <w:rFonts w:hint="eastAsia" w:ascii="宋体" w:hAnsi="宋体" w:cs="宋体"/>
          <w:color w:val="auto"/>
          <w:kern w:val="0"/>
          <w:sz w:val="24"/>
          <w:szCs w:val="24"/>
          <w:highlight w:val="none"/>
          <w:lang w:bidi="ar"/>
        </w:rPr>
        <w:t>，从业人员</w:t>
      </w:r>
      <w:r>
        <w:rPr>
          <w:rFonts w:hint="eastAsia" w:ascii="宋体" w:hAnsi="宋体" w:cs="宋体"/>
          <w:color w:val="auto"/>
          <w:kern w:val="0"/>
          <w:sz w:val="24"/>
          <w:szCs w:val="24"/>
          <w:highlight w:val="none"/>
          <w:u w:val="single"/>
          <w:lang w:bidi="ar"/>
        </w:rPr>
        <w:t>    </w:t>
      </w:r>
      <w:r>
        <w:rPr>
          <w:rFonts w:hint="eastAsia" w:ascii="宋体" w:hAnsi="宋体" w:cs="宋体"/>
          <w:color w:val="auto"/>
          <w:kern w:val="0"/>
          <w:sz w:val="24"/>
          <w:szCs w:val="24"/>
          <w:highlight w:val="none"/>
          <w:lang w:bidi="ar"/>
        </w:rPr>
        <w:t>人，营业收入为</w:t>
      </w:r>
      <w:r>
        <w:rPr>
          <w:rFonts w:hint="eastAsia" w:ascii="宋体" w:hAnsi="宋体" w:cs="宋体"/>
          <w:color w:val="auto"/>
          <w:kern w:val="0"/>
          <w:sz w:val="24"/>
          <w:szCs w:val="24"/>
          <w:highlight w:val="none"/>
          <w:u w:val="single"/>
          <w:lang w:bidi="ar"/>
        </w:rPr>
        <w:t>    </w:t>
      </w:r>
      <w:r>
        <w:rPr>
          <w:rFonts w:hint="eastAsia" w:ascii="宋体" w:hAnsi="宋体" w:cs="宋体"/>
          <w:color w:val="auto"/>
          <w:kern w:val="0"/>
          <w:sz w:val="24"/>
          <w:szCs w:val="24"/>
          <w:highlight w:val="none"/>
          <w:lang w:bidi="ar"/>
        </w:rPr>
        <w:t>万元，资产总额为</w:t>
      </w:r>
      <w:r>
        <w:rPr>
          <w:rFonts w:hint="eastAsia" w:ascii="宋体" w:hAnsi="宋体" w:cs="宋体"/>
          <w:color w:val="auto"/>
          <w:kern w:val="0"/>
          <w:sz w:val="24"/>
          <w:szCs w:val="24"/>
          <w:highlight w:val="none"/>
          <w:u w:val="single"/>
          <w:lang w:bidi="ar"/>
        </w:rPr>
        <w:t>   </w:t>
      </w:r>
      <w:r>
        <w:rPr>
          <w:rFonts w:hint="eastAsia" w:ascii="宋体" w:hAnsi="宋体" w:cs="宋体"/>
          <w:color w:val="auto"/>
          <w:kern w:val="0"/>
          <w:sz w:val="24"/>
          <w:szCs w:val="24"/>
          <w:highlight w:val="none"/>
          <w:lang w:bidi="ar"/>
        </w:rPr>
        <w:t>万元</w:t>
      </w:r>
      <w:r>
        <w:rPr>
          <w:rFonts w:hint="eastAsia" w:ascii="宋体" w:hAnsi="宋体" w:cs="宋体"/>
          <w:color w:val="auto"/>
          <w:kern w:val="0"/>
          <w:sz w:val="24"/>
          <w:szCs w:val="24"/>
          <w:highlight w:val="none"/>
          <w:vertAlign w:val="superscript"/>
          <w:lang w:bidi="ar"/>
        </w:rPr>
        <w:t>1</w:t>
      </w:r>
      <w:r>
        <w:rPr>
          <w:rFonts w:hint="eastAsia" w:ascii="宋体" w:hAnsi="宋体" w:cs="宋体"/>
          <w:color w:val="auto"/>
          <w:kern w:val="0"/>
          <w:sz w:val="24"/>
          <w:szCs w:val="24"/>
          <w:highlight w:val="none"/>
          <w:lang w:bidi="ar"/>
        </w:rPr>
        <w:t>，属于</w:t>
      </w:r>
      <w:r>
        <w:rPr>
          <w:rFonts w:hint="eastAsia" w:ascii="宋体" w:hAnsi="宋体" w:cs="宋体"/>
          <w:color w:val="auto"/>
          <w:kern w:val="0"/>
          <w:sz w:val="24"/>
          <w:szCs w:val="24"/>
          <w:highlight w:val="none"/>
          <w:u w:val="single"/>
          <w:lang w:bidi="ar"/>
        </w:rPr>
        <w:t>     （中型企业、小型企业、微型企业）</w:t>
      </w:r>
      <w:r>
        <w:rPr>
          <w:rFonts w:hint="eastAsia" w:ascii="宋体" w:hAnsi="宋体" w:cs="宋体"/>
          <w:color w:val="auto"/>
          <w:kern w:val="0"/>
          <w:sz w:val="24"/>
          <w:szCs w:val="24"/>
          <w:highlight w:val="none"/>
          <w:lang w:bidi="ar"/>
        </w:rPr>
        <w:t>；</w:t>
      </w:r>
    </w:p>
    <w:p w14:paraId="48A42EB5">
      <w:pPr>
        <w:widowControl/>
        <w:spacing w:before="100" w:beforeAutospacing="1" w:after="100" w:afterAutospacing="1" w:line="360" w:lineRule="auto"/>
        <w:ind w:firstLine="482"/>
        <w:rPr>
          <w:color w:val="auto"/>
          <w:szCs w:val="24"/>
          <w:highlight w:val="none"/>
        </w:rPr>
      </w:pPr>
      <w:r>
        <w:rPr>
          <w:rFonts w:hint="eastAsia" w:ascii="宋体" w:hAnsi="宋体" w:cs="宋体"/>
          <w:color w:val="auto"/>
          <w:kern w:val="0"/>
          <w:sz w:val="24"/>
          <w:szCs w:val="24"/>
          <w:highlight w:val="none"/>
          <w:lang w:bidi="ar"/>
        </w:rPr>
        <w:t>……</w:t>
      </w:r>
    </w:p>
    <w:p w14:paraId="4007348D">
      <w:pPr>
        <w:widowControl/>
        <w:spacing w:before="100" w:beforeAutospacing="1" w:after="100" w:afterAutospacing="1" w:line="540" w:lineRule="exact"/>
        <w:ind w:firstLine="482"/>
        <w:jc w:val="left"/>
        <w:rPr>
          <w:color w:val="auto"/>
          <w:szCs w:val="24"/>
          <w:highlight w:val="none"/>
        </w:rPr>
      </w:pPr>
      <w:r>
        <w:rPr>
          <w:rFonts w:hint="eastAsia" w:ascii="宋体" w:hAnsi="宋体" w:cs="宋体"/>
          <w:color w:val="auto"/>
          <w:kern w:val="0"/>
          <w:sz w:val="24"/>
          <w:szCs w:val="24"/>
          <w:highlight w:val="none"/>
          <w:lang w:bidi="ar"/>
        </w:rPr>
        <w:t>以上企业，不属于大企业的分支机构，不存在控股股东为大企业的情形，也不存在与大企业的负责人为同一人的情形。</w:t>
      </w:r>
    </w:p>
    <w:p w14:paraId="2609CF66">
      <w:pPr>
        <w:widowControl/>
        <w:spacing w:before="100" w:beforeAutospacing="1" w:after="100" w:afterAutospacing="1" w:line="540" w:lineRule="exact"/>
        <w:ind w:firstLine="482"/>
        <w:jc w:val="left"/>
        <w:rPr>
          <w:color w:val="auto"/>
          <w:szCs w:val="24"/>
          <w:highlight w:val="none"/>
        </w:rPr>
      </w:pPr>
      <w:r>
        <w:rPr>
          <w:rFonts w:hint="eastAsia" w:ascii="宋体" w:hAnsi="宋体" w:cs="宋体"/>
          <w:color w:val="auto"/>
          <w:kern w:val="0"/>
          <w:sz w:val="24"/>
          <w:szCs w:val="24"/>
          <w:highlight w:val="none"/>
          <w:lang w:bidi="ar"/>
        </w:rPr>
        <w:t>本企业对上述声明内容的真实性负责。如有虚假，将依法承担相应责任。</w:t>
      </w:r>
    </w:p>
    <w:p w14:paraId="59AEBB9A">
      <w:pPr>
        <w:widowControl/>
        <w:spacing w:before="100" w:beforeAutospacing="1" w:after="100" w:afterAutospacing="1" w:line="540" w:lineRule="exact"/>
        <w:ind w:firstLine="5280"/>
        <w:jc w:val="left"/>
        <w:rPr>
          <w:color w:val="auto"/>
          <w:szCs w:val="24"/>
          <w:highlight w:val="none"/>
        </w:rPr>
      </w:pPr>
      <w:r>
        <w:rPr>
          <w:rFonts w:hint="eastAsia" w:ascii="宋体" w:hAnsi="宋体" w:cs="宋体"/>
          <w:color w:val="auto"/>
          <w:kern w:val="0"/>
          <w:sz w:val="24"/>
          <w:szCs w:val="24"/>
          <w:highlight w:val="none"/>
          <w:lang w:bidi="ar"/>
        </w:rPr>
        <w:t>企业名称（盖章）：</w:t>
      </w:r>
    </w:p>
    <w:p w14:paraId="62A027C5">
      <w:pPr>
        <w:widowControl/>
        <w:spacing w:before="100" w:beforeAutospacing="1" w:after="100" w:afterAutospacing="1" w:line="540" w:lineRule="exact"/>
        <w:ind w:firstLine="5280"/>
        <w:jc w:val="left"/>
        <w:rPr>
          <w:color w:val="auto"/>
          <w:szCs w:val="24"/>
          <w:highlight w:val="none"/>
        </w:rPr>
      </w:pPr>
      <w:r>
        <w:rPr>
          <w:rFonts w:hint="eastAsia" w:ascii="宋体" w:hAnsi="宋体" w:cs="宋体"/>
          <w:color w:val="auto"/>
          <w:kern w:val="0"/>
          <w:sz w:val="24"/>
          <w:szCs w:val="24"/>
          <w:highlight w:val="none"/>
          <w:lang w:bidi="ar"/>
        </w:rPr>
        <w:t>日 期：</w:t>
      </w:r>
    </w:p>
    <w:p w14:paraId="20AC91C9">
      <w:pPr>
        <w:widowControl/>
        <w:spacing w:before="100" w:beforeAutospacing="1" w:after="100" w:afterAutospacing="1" w:line="435" w:lineRule="atLeast"/>
        <w:jc w:val="left"/>
        <w:rPr>
          <w:color w:val="auto"/>
          <w:szCs w:val="24"/>
          <w:highlight w:val="none"/>
        </w:rPr>
      </w:pPr>
      <w:r>
        <w:rPr>
          <w:rFonts w:hint="eastAsia" w:ascii="宋体" w:hAnsi="宋体" w:cs="宋体"/>
          <w:color w:val="auto"/>
          <w:kern w:val="0"/>
          <w:sz w:val="18"/>
          <w:szCs w:val="18"/>
          <w:highlight w:val="none"/>
          <w:vertAlign w:val="superscript"/>
          <w:lang w:bidi="ar"/>
        </w:rPr>
        <w:t>1</w:t>
      </w:r>
      <w:r>
        <w:rPr>
          <w:rFonts w:hint="eastAsia" w:ascii="宋体" w:hAnsi="宋体" w:cs="宋体"/>
          <w:color w:val="auto"/>
          <w:kern w:val="0"/>
          <w:sz w:val="18"/>
          <w:szCs w:val="18"/>
          <w:highlight w:val="none"/>
          <w:lang w:bidi="ar"/>
        </w:rPr>
        <w:t>从业人员、营业收入、资产总额填报上一年度数据，无上一年度数据的新成立企业可不填报。</w:t>
      </w:r>
    </w:p>
    <w:p w14:paraId="13D6E1DB">
      <w:pPr>
        <w:widowControl/>
        <w:adjustRightInd w:val="0"/>
        <w:snapToGrid w:val="0"/>
        <w:spacing w:line="360" w:lineRule="auto"/>
        <w:ind w:firstLine="446" w:firstLineChars="200"/>
        <w:jc w:val="center"/>
        <w:rPr>
          <w:rFonts w:hint="eastAsia" w:ascii="宋体" w:hAnsi="宋体" w:eastAsia="宋体" w:cs="宋体"/>
          <w:b/>
          <w:color w:val="auto"/>
          <w:spacing w:val="6"/>
          <w:kern w:val="0"/>
          <w:szCs w:val="21"/>
          <w:highlight w:val="none"/>
          <w:u w:val="single"/>
        </w:rPr>
      </w:pPr>
    </w:p>
    <w:p w14:paraId="2EFB144C">
      <w:pPr>
        <w:pStyle w:val="5"/>
        <w:rPr>
          <w:rFonts w:hint="eastAsia" w:ascii="宋体" w:hAnsi="宋体" w:eastAsia="宋体" w:cs="宋体"/>
          <w:b w:val="0"/>
          <w:color w:val="auto"/>
          <w:spacing w:val="6"/>
          <w:sz w:val="21"/>
          <w:szCs w:val="21"/>
          <w:highlight w:val="none"/>
        </w:rPr>
      </w:pPr>
      <w:bookmarkStart w:id="328" w:name="_Toc1057"/>
      <w:bookmarkStart w:id="329" w:name="_Toc29913972"/>
      <w:bookmarkStart w:id="330" w:name="_Toc14005"/>
      <w:bookmarkStart w:id="331" w:name="_Toc24837"/>
      <w:r>
        <w:rPr>
          <w:rFonts w:hint="eastAsia" w:ascii="宋体" w:hAnsi="宋体" w:eastAsia="宋体" w:cs="宋体"/>
          <w:b w:val="0"/>
          <w:bCs w:val="0"/>
          <w:color w:val="auto"/>
          <w:spacing w:val="6"/>
          <w:kern w:val="0"/>
          <w:sz w:val="21"/>
          <w:szCs w:val="21"/>
          <w:highlight w:val="none"/>
          <w:lang w:eastAsia="zh-CN"/>
        </w:rPr>
        <w:t>附件</w:t>
      </w:r>
      <w:r>
        <w:rPr>
          <w:rFonts w:hint="eastAsia" w:ascii="宋体" w:hAnsi="宋体" w:eastAsia="宋体" w:cs="宋体"/>
          <w:b w:val="0"/>
          <w:bCs w:val="0"/>
          <w:color w:val="auto"/>
          <w:spacing w:val="6"/>
          <w:kern w:val="0"/>
          <w:sz w:val="21"/>
          <w:szCs w:val="21"/>
          <w:highlight w:val="none"/>
          <w:lang w:val="en-US" w:eastAsia="zh-CN"/>
        </w:rPr>
        <w:t>10</w:t>
      </w:r>
      <w:r>
        <w:rPr>
          <w:rFonts w:hint="eastAsia" w:ascii="宋体" w:hAnsi="宋体" w:eastAsia="宋体" w:cs="宋体"/>
          <w:b w:val="0"/>
          <w:bCs w:val="0"/>
          <w:color w:val="auto"/>
          <w:spacing w:val="6"/>
          <w:kern w:val="0"/>
          <w:sz w:val="21"/>
          <w:szCs w:val="21"/>
          <w:highlight w:val="none"/>
        </w:rPr>
        <w:t xml:space="preserve">-2 </w:t>
      </w:r>
      <w:r>
        <w:rPr>
          <w:rFonts w:hint="eastAsia" w:ascii="宋体" w:hAnsi="宋体" w:eastAsia="宋体" w:cs="宋体"/>
          <w:b w:val="0"/>
          <w:color w:val="auto"/>
          <w:spacing w:val="6"/>
          <w:sz w:val="21"/>
          <w:szCs w:val="21"/>
          <w:highlight w:val="none"/>
        </w:rPr>
        <w:t>残疾人福利性单位声明函</w:t>
      </w:r>
      <w:bookmarkEnd w:id="328"/>
      <w:bookmarkEnd w:id="329"/>
      <w:bookmarkEnd w:id="330"/>
      <w:bookmarkEnd w:id="331"/>
    </w:p>
    <w:p w14:paraId="73A06B6A">
      <w:pPr>
        <w:adjustRightInd w:val="0"/>
        <w:snapToGrid w:val="0"/>
        <w:spacing w:line="360" w:lineRule="auto"/>
        <w:jc w:val="center"/>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t>残疾人福利性单位声明函</w:t>
      </w:r>
    </w:p>
    <w:p w14:paraId="6BD2DD61">
      <w:pPr>
        <w:adjustRightInd w:val="0"/>
        <w:snapToGrid w:val="0"/>
        <w:spacing w:line="360" w:lineRule="auto"/>
        <w:jc w:val="center"/>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(不属于残疾人福利性单位的无需填写)</w:t>
      </w:r>
    </w:p>
    <w:p w14:paraId="5896C3F4">
      <w:pPr>
        <w:adjustRightInd w:val="0"/>
        <w:snapToGrid w:val="0"/>
        <w:spacing w:line="360" w:lineRule="auto"/>
        <w:ind w:firstLine="444" w:firstLineChars="200"/>
        <w:rPr>
          <w:rFonts w:hint="eastAsia" w:ascii="宋体" w:hAnsi="宋体" w:eastAsia="宋体" w:cs="宋体"/>
          <w:color w:val="auto"/>
          <w:spacing w:val="6"/>
          <w:szCs w:val="21"/>
          <w:highlight w:val="none"/>
        </w:rPr>
      </w:pPr>
    </w:p>
    <w:p w14:paraId="6CA39457">
      <w:pPr>
        <w:adjustRightInd w:val="0"/>
        <w:snapToGrid w:val="0"/>
        <w:spacing w:line="360" w:lineRule="auto"/>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宋体"/>
          <w:color w:val="auto"/>
          <w:szCs w:val="21"/>
          <w:highlight w:val="none"/>
        </w:rPr>
        <w:t>〔2017〕141</w:t>
      </w:r>
      <w:r>
        <w:rPr>
          <w:rFonts w:hint="eastAsia" w:ascii="宋体" w:hAnsi="宋体" w:eastAsia="宋体" w:cs="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0C12E1">
      <w:pPr>
        <w:adjustRightInd w:val="0"/>
        <w:snapToGrid w:val="0"/>
        <w:spacing w:line="360" w:lineRule="auto"/>
        <w:ind w:firstLine="444" w:firstLineChars="200"/>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本单位对上述声明的真实性负责。如有虚假，将依法承担相应责任。</w:t>
      </w:r>
    </w:p>
    <w:p w14:paraId="00F70FFE">
      <w:pPr>
        <w:adjustRightInd w:val="0"/>
        <w:snapToGrid w:val="0"/>
        <w:spacing w:line="360" w:lineRule="auto"/>
        <w:ind w:firstLine="444" w:firstLineChars="200"/>
        <w:rPr>
          <w:rFonts w:hint="eastAsia" w:ascii="宋体" w:hAnsi="宋体" w:eastAsia="宋体" w:cs="宋体"/>
          <w:color w:val="auto"/>
          <w:spacing w:val="6"/>
          <w:szCs w:val="21"/>
          <w:highlight w:val="none"/>
        </w:rPr>
      </w:pPr>
    </w:p>
    <w:p w14:paraId="1F630489">
      <w:pPr>
        <w:adjustRightInd w:val="0"/>
        <w:snapToGrid w:val="0"/>
        <w:spacing w:line="360" w:lineRule="auto"/>
        <w:ind w:firstLine="444" w:firstLineChars="200"/>
        <w:rPr>
          <w:rFonts w:hint="eastAsia" w:ascii="宋体" w:hAnsi="宋体" w:eastAsia="宋体" w:cs="宋体"/>
          <w:color w:val="auto"/>
          <w:spacing w:val="6"/>
          <w:szCs w:val="21"/>
          <w:highlight w:val="none"/>
        </w:rPr>
      </w:pPr>
    </w:p>
    <w:p w14:paraId="10E810DD">
      <w:pPr>
        <w:tabs>
          <w:tab w:val="left" w:pos="4860"/>
        </w:tabs>
        <w:adjustRightInd w:val="0"/>
        <w:snapToGrid w:val="0"/>
        <w:spacing w:line="360" w:lineRule="auto"/>
        <w:ind w:right="1560" w:firstLine="444" w:firstLineChars="200"/>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单位名称（盖单位电子章）：</w:t>
      </w:r>
    </w:p>
    <w:p w14:paraId="4144A81B">
      <w:pPr>
        <w:tabs>
          <w:tab w:val="left" w:pos="4860"/>
        </w:tabs>
        <w:adjustRightInd w:val="0"/>
        <w:snapToGrid w:val="0"/>
        <w:spacing w:line="360" w:lineRule="auto"/>
        <w:ind w:right="1560" w:firstLine="444" w:firstLineChars="200"/>
        <w:jc w:val="center"/>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       日  期：</w:t>
      </w:r>
    </w:p>
    <w:p w14:paraId="2372085B">
      <w:pPr>
        <w:widowControl/>
        <w:adjustRightInd w:val="0"/>
        <w:snapToGrid w:val="0"/>
        <w:spacing w:line="360" w:lineRule="auto"/>
        <w:jc w:val="left"/>
        <w:rPr>
          <w:rFonts w:hint="eastAsia" w:ascii="宋体" w:hAnsi="宋体" w:eastAsia="宋体" w:cs="宋体"/>
          <w:color w:val="auto"/>
          <w:kern w:val="0"/>
          <w:szCs w:val="21"/>
          <w:highlight w:val="none"/>
        </w:rPr>
      </w:pPr>
    </w:p>
    <w:p w14:paraId="18923E9C">
      <w:pPr>
        <w:widowControl/>
        <w:jc w:val="left"/>
        <w:rPr>
          <w:rFonts w:hint="eastAsia" w:ascii="宋体" w:hAnsi="宋体" w:eastAsia="宋体" w:cs="宋体"/>
          <w:color w:val="auto"/>
          <w:spacing w:val="6"/>
          <w:kern w:val="0"/>
          <w:szCs w:val="21"/>
          <w:highlight w:val="none"/>
        </w:rPr>
      </w:pPr>
      <w:r>
        <w:rPr>
          <w:rFonts w:hint="eastAsia" w:ascii="宋体" w:hAnsi="宋体" w:eastAsia="宋体" w:cs="宋体"/>
          <w:b/>
          <w:bCs/>
          <w:color w:val="auto"/>
          <w:spacing w:val="6"/>
          <w:kern w:val="0"/>
          <w:szCs w:val="21"/>
          <w:highlight w:val="none"/>
        </w:rPr>
        <w:br w:type="page"/>
      </w:r>
    </w:p>
    <w:p w14:paraId="06D79C20">
      <w:pPr>
        <w:pStyle w:val="5"/>
        <w:rPr>
          <w:rFonts w:hint="eastAsia" w:ascii="宋体" w:hAnsi="宋体" w:eastAsia="宋体" w:cs="宋体"/>
          <w:b w:val="0"/>
          <w:color w:val="auto"/>
          <w:sz w:val="21"/>
          <w:szCs w:val="21"/>
          <w:highlight w:val="none"/>
        </w:rPr>
      </w:pPr>
      <w:bookmarkStart w:id="332" w:name="_Toc29913973"/>
      <w:bookmarkStart w:id="333" w:name="_Toc18312"/>
      <w:bookmarkStart w:id="334" w:name="_Toc27688"/>
      <w:bookmarkStart w:id="335" w:name="_Toc15107"/>
      <w:r>
        <w:rPr>
          <w:rFonts w:hint="eastAsia" w:ascii="宋体" w:hAnsi="宋体" w:eastAsia="宋体" w:cs="宋体"/>
          <w:b w:val="0"/>
          <w:color w:val="auto"/>
          <w:kern w:val="0"/>
          <w:sz w:val="21"/>
          <w:szCs w:val="21"/>
          <w:highlight w:val="none"/>
          <w:lang w:eastAsia="zh-CN"/>
        </w:rPr>
        <w:t>附件</w:t>
      </w:r>
      <w:r>
        <w:rPr>
          <w:rFonts w:hint="eastAsia" w:ascii="宋体" w:hAnsi="宋体" w:eastAsia="宋体" w:cs="宋体"/>
          <w:b w:val="0"/>
          <w:color w:val="auto"/>
          <w:kern w:val="0"/>
          <w:sz w:val="21"/>
          <w:szCs w:val="21"/>
          <w:highlight w:val="none"/>
          <w:lang w:val="en-US" w:eastAsia="zh-CN"/>
        </w:rPr>
        <w:t>10</w:t>
      </w:r>
      <w:r>
        <w:rPr>
          <w:rFonts w:hint="eastAsia" w:ascii="宋体" w:hAnsi="宋体" w:eastAsia="宋体" w:cs="宋体"/>
          <w:b w:val="0"/>
          <w:color w:val="auto"/>
          <w:kern w:val="0"/>
          <w:sz w:val="21"/>
          <w:szCs w:val="21"/>
          <w:highlight w:val="none"/>
        </w:rPr>
        <w:t xml:space="preserve">-3 </w:t>
      </w:r>
      <w:r>
        <w:rPr>
          <w:rFonts w:hint="eastAsia" w:ascii="宋体" w:hAnsi="宋体" w:eastAsia="宋体" w:cs="宋体"/>
          <w:b w:val="0"/>
          <w:color w:val="auto"/>
          <w:sz w:val="21"/>
          <w:szCs w:val="21"/>
          <w:highlight w:val="none"/>
        </w:rPr>
        <w:t>监狱企业证明资料</w:t>
      </w:r>
      <w:bookmarkEnd w:id="332"/>
      <w:bookmarkEnd w:id="333"/>
      <w:bookmarkEnd w:id="334"/>
      <w:bookmarkEnd w:id="335"/>
    </w:p>
    <w:p w14:paraId="7D21A783">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监狱企业证明资料</w:t>
      </w:r>
    </w:p>
    <w:p w14:paraId="2275B4C8">
      <w:pPr>
        <w:adjustRightInd w:val="0"/>
        <w:snapToGrid w:val="0"/>
        <w:spacing w:line="360" w:lineRule="auto"/>
        <w:jc w:val="center"/>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(不属于监狱企业的无需提供)</w:t>
      </w:r>
    </w:p>
    <w:p w14:paraId="04768B9B">
      <w:pPr>
        <w:adjustRightInd w:val="0"/>
        <w:snapToGrid w:val="0"/>
        <w:spacing w:line="360" w:lineRule="auto"/>
        <w:rPr>
          <w:rFonts w:hint="eastAsia" w:ascii="宋体" w:hAnsi="宋体" w:eastAsia="宋体" w:cs="宋体"/>
          <w:color w:val="auto"/>
          <w:szCs w:val="21"/>
          <w:highlight w:val="none"/>
        </w:rPr>
      </w:pPr>
    </w:p>
    <w:p w14:paraId="3C4AABDC">
      <w:pPr>
        <w:adjustRightInd w:val="0"/>
        <w:snapToGrid w:val="0"/>
        <w:spacing w:line="360" w:lineRule="auto"/>
        <w:ind w:firstLine="444" w:firstLineChars="200"/>
        <w:rPr>
          <w:rFonts w:hint="eastAsia" w:ascii="宋体" w:hAnsi="宋体" w:eastAsia="宋体" w:cs="宋体"/>
          <w:color w:val="auto"/>
          <w:szCs w:val="21"/>
          <w:highlight w:val="none"/>
        </w:rPr>
      </w:pPr>
      <w:r>
        <w:rPr>
          <w:rFonts w:hint="eastAsia" w:ascii="宋体" w:hAnsi="宋体" w:eastAsia="宋体" w:cs="宋体"/>
          <w:bCs/>
          <w:color w:val="auto"/>
          <w:spacing w:val="6"/>
          <w:kern w:val="0"/>
          <w:szCs w:val="21"/>
          <w:highlight w:val="none"/>
        </w:rPr>
        <w:t>备注：</w:t>
      </w:r>
      <w:r>
        <w:rPr>
          <w:rFonts w:hint="eastAsia" w:ascii="宋体" w:hAnsi="宋体" w:eastAsia="宋体" w:cs="宋体"/>
          <w:color w:val="auto"/>
          <w:szCs w:val="21"/>
          <w:highlight w:val="none"/>
        </w:rPr>
        <w:t>按</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财政部 司法部关于政府采购支持监狱企业发展有关问题的通知</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(财库〔2014〕68号)文件规定提供证明文件（复印件）。</w:t>
      </w:r>
    </w:p>
    <w:p w14:paraId="63D0CE71">
      <w:pPr>
        <w:adjustRightInd w:val="0"/>
        <w:snapToGrid w:val="0"/>
        <w:spacing w:line="360" w:lineRule="auto"/>
        <w:rPr>
          <w:rFonts w:hint="eastAsia" w:ascii="宋体" w:hAnsi="宋体" w:eastAsia="宋体" w:cs="宋体"/>
          <w:bCs/>
          <w:color w:val="auto"/>
          <w:spacing w:val="6"/>
          <w:kern w:val="0"/>
          <w:szCs w:val="21"/>
          <w:highlight w:val="none"/>
        </w:rPr>
      </w:pPr>
    </w:p>
    <w:p w14:paraId="01CB2272">
      <w:pPr>
        <w:pStyle w:val="58"/>
        <w:rPr>
          <w:rFonts w:hint="eastAsia" w:ascii="宋体" w:hAnsi="宋体" w:eastAsia="宋体" w:cs="宋体"/>
          <w:bCs/>
          <w:color w:val="auto"/>
          <w:spacing w:val="6"/>
          <w:kern w:val="0"/>
          <w:szCs w:val="21"/>
          <w:highlight w:val="none"/>
        </w:rPr>
      </w:pPr>
    </w:p>
    <w:p w14:paraId="61B2BF6E">
      <w:pPr>
        <w:pStyle w:val="58"/>
        <w:rPr>
          <w:rFonts w:hint="eastAsia" w:ascii="宋体" w:hAnsi="宋体" w:eastAsia="宋体" w:cs="宋体"/>
          <w:bCs/>
          <w:color w:val="auto"/>
          <w:spacing w:val="6"/>
          <w:kern w:val="0"/>
          <w:szCs w:val="21"/>
          <w:highlight w:val="none"/>
        </w:rPr>
      </w:pPr>
    </w:p>
    <w:p w14:paraId="7360C0CB">
      <w:pPr>
        <w:pStyle w:val="5"/>
        <w:rPr>
          <w:rFonts w:hint="eastAsia" w:ascii="宋体" w:hAnsi="宋体" w:eastAsia="宋体" w:cs="宋体"/>
          <w:b w:val="0"/>
          <w:color w:val="auto"/>
          <w:sz w:val="21"/>
          <w:szCs w:val="21"/>
          <w:highlight w:val="none"/>
        </w:rPr>
      </w:pPr>
      <w:bookmarkStart w:id="336" w:name="_Toc23102"/>
      <w:bookmarkStart w:id="337" w:name="_Toc26435"/>
      <w:bookmarkStart w:id="338" w:name="_Toc29913974"/>
      <w:bookmarkStart w:id="339" w:name="_Toc10072"/>
      <w:r>
        <w:rPr>
          <w:rFonts w:hint="eastAsia" w:ascii="宋体" w:hAnsi="宋体" w:eastAsia="宋体" w:cs="宋体"/>
          <w:b w:val="0"/>
          <w:bCs w:val="0"/>
          <w:color w:val="auto"/>
          <w:spacing w:val="6"/>
          <w:kern w:val="0"/>
          <w:sz w:val="21"/>
          <w:szCs w:val="21"/>
          <w:highlight w:val="none"/>
          <w:lang w:eastAsia="zh-CN"/>
        </w:rPr>
        <w:t>附件</w:t>
      </w:r>
      <w:r>
        <w:rPr>
          <w:rFonts w:hint="eastAsia" w:ascii="宋体" w:hAnsi="宋体" w:eastAsia="宋体" w:cs="宋体"/>
          <w:b w:val="0"/>
          <w:bCs w:val="0"/>
          <w:color w:val="auto"/>
          <w:spacing w:val="6"/>
          <w:kern w:val="0"/>
          <w:sz w:val="21"/>
          <w:szCs w:val="21"/>
          <w:highlight w:val="none"/>
          <w:lang w:val="en-US" w:eastAsia="zh-CN"/>
        </w:rPr>
        <w:t>10</w:t>
      </w:r>
      <w:r>
        <w:rPr>
          <w:rFonts w:hint="eastAsia" w:ascii="宋体" w:hAnsi="宋体" w:eastAsia="宋体" w:cs="宋体"/>
          <w:b w:val="0"/>
          <w:bCs w:val="0"/>
          <w:color w:val="auto"/>
          <w:spacing w:val="6"/>
          <w:kern w:val="0"/>
          <w:sz w:val="21"/>
          <w:szCs w:val="21"/>
          <w:highlight w:val="none"/>
        </w:rPr>
        <w:t xml:space="preserve">-4 </w:t>
      </w:r>
      <w:r>
        <w:rPr>
          <w:rFonts w:hint="eastAsia" w:ascii="宋体" w:hAnsi="宋体" w:eastAsia="宋体" w:cs="宋体"/>
          <w:b w:val="0"/>
          <w:color w:val="auto"/>
          <w:sz w:val="21"/>
          <w:szCs w:val="21"/>
          <w:highlight w:val="none"/>
        </w:rPr>
        <w:t>强制采购或者优先采购产品</w:t>
      </w:r>
      <w:r>
        <w:rPr>
          <w:rFonts w:hint="eastAsia" w:ascii="宋体" w:hAnsi="宋体" w:eastAsia="宋体" w:cs="宋体"/>
          <w:b w:val="0"/>
          <w:bCs w:val="0"/>
          <w:color w:val="auto"/>
          <w:sz w:val="21"/>
          <w:szCs w:val="21"/>
          <w:highlight w:val="none"/>
        </w:rPr>
        <w:t>的</w:t>
      </w:r>
      <w:r>
        <w:rPr>
          <w:rFonts w:hint="eastAsia" w:ascii="宋体" w:hAnsi="宋体" w:eastAsia="宋体" w:cs="宋体"/>
          <w:b w:val="0"/>
          <w:color w:val="auto"/>
          <w:sz w:val="21"/>
          <w:szCs w:val="21"/>
          <w:highlight w:val="none"/>
        </w:rPr>
        <w:t>证明材料</w:t>
      </w:r>
      <w:bookmarkEnd w:id="336"/>
      <w:bookmarkEnd w:id="337"/>
      <w:bookmarkEnd w:id="338"/>
      <w:bookmarkEnd w:id="339"/>
    </w:p>
    <w:p w14:paraId="6FECEA58">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强制采购或者优先采购产品</w:t>
      </w:r>
      <w:r>
        <w:rPr>
          <w:rFonts w:hint="eastAsia" w:ascii="宋体" w:hAnsi="宋体" w:eastAsia="宋体" w:cs="宋体"/>
          <w:b/>
          <w:bCs/>
          <w:color w:val="auto"/>
          <w:sz w:val="28"/>
          <w:szCs w:val="28"/>
          <w:highlight w:val="none"/>
        </w:rPr>
        <w:t>的</w:t>
      </w:r>
      <w:r>
        <w:rPr>
          <w:rFonts w:hint="eastAsia" w:ascii="宋体" w:hAnsi="宋体" w:eastAsia="宋体" w:cs="宋体"/>
          <w:b/>
          <w:color w:val="auto"/>
          <w:sz w:val="28"/>
          <w:szCs w:val="28"/>
          <w:highlight w:val="none"/>
        </w:rPr>
        <w:t>证明材料</w:t>
      </w:r>
    </w:p>
    <w:p w14:paraId="7C43A827">
      <w:pPr>
        <w:adjustRightInd w:val="0"/>
        <w:snapToGrid w:val="0"/>
        <w:spacing w:line="360" w:lineRule="auto"/>
        <w:jc w:val="center"/>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(不属于强制采购或者优先采购产品的无需提供)</w:t>
      </w:r>
    </w:p>
    <w:p w14:paraId="614AC6CF">
      <w:pPr>
        <w:adjustRightInd w:val="0"/>
        <w:snapToGrid w:val="0"/>
        <w:spacing w:line="360" w:lineRule="auto"/>
        <w:ind w:firstLine="420" w:firstLineChars="200"/>
        <w:jc w:val="left"/>
        <w:rPr>
          <w:rFonts w:hint="eastAsia" w:ascii="宋体" w:hAnsi="宋体" w:eastAsia="宋体" w:cs="宋体"/>
          <w:color w:val="auto"/>
          <w:szCs w:val="21"/>
          <w:highlight w:val="none"/>
        </w:rPr>
      </w:pPr>
    </w:p>
    <w:p w14:paraId="34625C72">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说明：投标人提供的产品</w:t>
      </w:r>
      <w:r>
        <w:rPr>
          <w:rFonts w:hint="eastAsia" w:ascii="宋体" w:hAnsi="宋体" w:eastAsia="宋体" w:cs="宋体"/>
          <w:bCs/>
          <w:color w:val="auto"/>
          <w:szCs w:val="21"/>
          <w:highlight w:val="none"/>
        </w:rPr>
        <w:t>属于强制采购或者优先采购的</w:t>
      </w:r>
      <w:r>
        <w:rPr>
          <w:rFonts w:hint="eastAsia" w:ascii="宋体" w:hAnsi="宋体" w:eastAsia="宋体" w:cs="宋体"/>
          <w:color w:val="auto"/>
          <w:szCs w:val="21"/>
          <w:highlight w:val="none"/>
        </w:rPr>
        <w:t>，应按第二章第3</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.6款规定提供证明材料和本章本节附页2“优先采购产品清单”，并加盖投标人单位电子章。</w:t>
      </w:r>
    </w:p>
    <w:p w14:paraId="5ABE7CBB">
      <w:pPr>
        <w:adjustRightInd w:val="0"/>
        <w:snapToGrid w:val="0"/>
        <w:spacing w:line="360" w:lineRule="auto"/>
        <w:ind w:firstLine="420" w:firstLineChars="200"/>
        <w:jc w:val="left"/>
        <w:rPr>
          <w:rFonts w:hint="eastAsia" w:ascii="宋体" w:hAnsi="宋体" w:eastAsia="宋体" w:cs="宋体"/>
          <w:color w:val="auto"/>
          <w:szCs w:val="21"/>
          <w:highlight w:val="none"/>
        </w:rPr>
      </w:pPr>
    </w:p>
    <w:p w14:paraId="31455716">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br w:type="page"/>
      </w:r>
    </w:p>
    <w:p w14:paraId="16C97CD7">
      <w:pPr>
        <w:adjustRightInd w:val="0"/>
        <w:snapToGrid w:val="0"/>
        <w:spacing w:line="360" w:lineRule="auto"/>
        <w:jc w:val="both"/>
        <w:rPr>
          <w:rFonts w:hint="eastAsia" w:ascii="宋体" w:hAnsi="宋体" w:eastAsia="宋体" w:cs="宋体"/>
          <w:b/>
          <w:color w:val="auto"/>
          <w:spacing w:val="6"/>
          <w:szCs w:val="21"/>
          <w:highlight w:val="none"/>
        </w:rPr>
      </w:pPr>
      <w:bookmarkStart w:id="340" w:name="_Toc22237"/>
      <w:bookmarkStart w:id="341" w:name="_Toc29913975"/>
      <w:bookmarkStart w:id="342" w:name="_Toc32584"/>
      <w:r>
        <w:rPr>
          <w:rFonts w:hint="eastAsia" w:ascii="宋体" w:hAnsi="宋体" w:eastAsia="宋体" w:cs="宋体"/>
          <w:b w:val="0"/>
          <w:bCs w:val="0"/>
          <w:color w:val="auto"/>
          <w:spacing w:val="6"/>
          <w:kern w:val="0"/>
          <w:sz w:val="21"/>
          <w:szCs w:val="21"/>
          <w:highlight w:val="none"/>
        </w:rPr>
        <w:t xml:space="preserve">附页 2 </w:t>
      </w:r>
      <w:r>
        <w:rPr>
          <w:rFonts w:hint="eastAsia" w:ascii="宋体" w:hAnsi="宋体" w:eastAsia="宋体" w:cs="宋体"/>
          <w:b w:val="0"/>
          <w:color w:val="auto"/>
          <w:sz w:val="21"/>
          <w:szCs w:val="21"/>
          <w:highlight w:val="none"/>
        </w:rPr>
        <w:t>优先采购产品清单</w:t>
      </w:r>
      <w:bookmarkEnd w:id="340"/>
      <w:bookmarkEnd w:id="341"/>
      <w:bookmarkEnd w:id="342"/>
      <w:r>
        <w:rPr>
          <w:rFonts w:hint="eastAsia" w:ascii="宋体" w:hAnsi="宋体" w:eastAsia="宋体" w:cs="宋体"/>
          <w:b/>
          <w:color w:val="auto"/>
          <w:spacing w:val="6"/>
          <w:szCs w:val="21"/>
          <w:highlight w:val="none"/>
        </w:rPr>
        <w:t>(不属于强制采购或者优先采购产品的无需提供)</w:t>
      </w:r>
    </w:p>
    <w:p w14:paraId="381A6436">
      <w:pPr>
        <w:adjustRightInd w:val="0"/>
        <w:snapToGrid w:val="0"/>
        <w:spacing w:line="360" w:lineRule="auto"/>
        <w:jc w:val="center"/>
        <w:rPr>
          <w:rFonts w:hint="eastAsia" w:ascii="宋体" w:hAnsi="宋体" w:eastAsia="宋体" w:cs="宋体"/>
          <w:b/>
          <w:color w:val="auto"/>
          <w:spacing w:val="6"/>
          <w:szCs w:val="21"/>
          <w:highlight w:val="none"/>
        </w:rPr>
      </w:pPr>
      <w:r>
        <w:rPr>
          <w:rFonts w:hint="eastAsia" w:ascii="宋体" w:hAnsi="宋体" w:eastAsia="宋体" w:cs="宋体"/>
          <w:b/>
          <w:color w:val="auto"/>
          <w:sz w:val="28"/>
          <w:szCs w:val="28"/>
          <w:highlight w:val="none"/>
        </w:rPr>
        <w:t>优先采购产品清单</w:t>
      </w:r>
    </w:p>
    <w:p w14:paraId="435DAFF0">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政府采购计划编号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    ________</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采购项目名称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____            ______</w:t>
      </w:r>
      <w:r>
        <w:rPr>
          <w:rFonts w:hint="eastAsia" w:ascii="宋体" w:hAnsi="宋体" w:eastAsia="宋体" w:cs="宋体"/>
          <w:color w:val="auto"/>
          <w:szCs w:val="21"/>
          <w:highlight w:val="none"/>
        </w:rPr>
        <w:t xml:space="preserve"> </w:t>
      </w:r>
    </w:p>
    <w:p w14:paraId="23AA1023">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       号：</w:t>
      </w:r>
      <w:r>
        <w:rPr>
          <w:rFonts w:hint="eastAsia" w:ascii="宋体" w:hAnsi="宋体" w:eastAsia="宋体" w:cs="宋体"/>
          <w:color w:val="auto"/>
          <w:szCs w:val="21"/>
          <w:highlight w:val="none"/>
          <w:u w:val="single"/>
        </w:rPr>
        <w:t>__    ________</w:t>
      </w:r>
      <w:r>
        <w:rPr>
          <w:rFonts w:hint="eastAsia" w:ascii="宋体" w:hAnsi="宋体" w:eastAsia="宋体" w:cs="宋体"/>
          <w:color w:val="auto"/>
          <w:szCs w:val="21"/>
          <w:highlight w:val="none"/>
        </w:rPr>
        <w:t xml:space="preserve">                      包名称：</w:t>
      </w:r>
      <w:r>
        <w:rPr>
          <w:rFonts w:hint="eastAsia" w:ascii="宋体" w:hAnsi="宋体" w:eastAsia="宋体" w:cs="宋体"/>
          <w:color w:val="auto"/>
          <w:szCs w:val="21"/>
          <w:highlight w:val="none"/>
          <w:u w:val="single"/>
        </w:rPr>
        <w:t>___          _______</w:t>
      </w:r>
      <w:r>
        <w:rPr>
          <w:rFonts w:hint="eastAsia" w:ascii="宋体" w:hAnsi="宋体" w:eastAsia="宋体" w:cs="宋体"/>
          <w:color w:val="auto"/>
          <w:szCs w:val="21"/>
          <w:highlight w:val="none"/>
        </w:rPr>
        <w:t xml:space="preserve">  </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753991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vAlign w:val="center"/>
          </w:tcPr>
          <w:p w14:paraId="7773534A">
            <w:pPr>
              <w:widowControl/>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以下为投标人提供的政府采购优先采购产品，投标人对本表的真实性负责。如有虚假，将依法承担相应责任。</w:t>
            </w:r>
          </w:p>
        </w:tc>
      </w:tr>
      <w:tr w14:paraId="35413F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14:paraId="393CA27A">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739" w:type="dxa"/>
            <w:vAlign w:val="center"/>
          </w:tcPr>
          <w:p w14:paraId="434F12F4">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134" w:type="dxa"/>
            <w:tcBorders>
              <w:right w:val="single" w:color="auto" w:sz="4" w:space="0"/>
            </w:tcBorders>
            <w:vAlign w:val="center"/>
          </w:tcPr>
          <w:p w14:paraId="5F853E6F">
            <w:pPr>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418" w:type="dxa"/>
            <w:tcBorders>
              <w:left w:val="single" w:color="auto" w:sz="4" w:space="0"/>
            </w:tcBorders>
            <w:vAlign w:val="center"/>
          </w:tcPr>
          <w:p w14:paraId="2DF374B1">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1984" w:type="dxa"/>
            <w:vAlign w:val="center"/>
          </w:tcPr>
          <w:p w14:paraId="78C90C51">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1843" w:type="dxa"/>
            <w:vAlign w:val="center"/>
          </w:tcPr>
          <w:p w14:paraId="3A4C1623">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r>
      <w:tr w14:paraId="6DAC6A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14:paraId="014BFD87">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739" w:type="dxa"/>
            <w:vAlign w:val="center"/>
          </w:tcPr>
          <w:p w14:paraId="4242D53F">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货物名称</w:t>
            </w:r>
          </w:p>
        </w:tc>
        <w:tc>
          <w:tcPr>
            <w:tcW w:w="1134" w:type="dxa"/>
            <w:tcBorders>
              <w:right w:val="single" w:color="auto" w:sz="4" w:space="0"/>
            </w:tcBorders>
            <w:vAlign w:val="center"/>
          </w:tcPr>
          <w:p w14:paraId="0EF4CBFD">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规格型号</w:t>
            </w:r>
          </w:p>
        </w:tc>
        <w:tc>
          <w:tcPr>
            <w:tcW w:w="1418" w:type="dxa"/>
            <w:tcBorders>
              <w:left w:val="single" w:color="auto" w:sz="4" w:space="0"/>
            </w:tcBorders>
            <w:vAlign w:val="center"/>
          </w:tcPr>
          <w:p w14:paraId="13C7D8CE">
            <w:pPr>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价格（元）</w:t>
            </w:r>
          </w:p>
        </w:tc>
        <w:tc>
          <w:tcPr>
            <w:tcW w:w="1984" w:type="dxa"/>
            <w:vAlign w:val="center"/>
          </w:tcPr>
          <w:p w14:paraId="1B420EF3">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货物制造商名称</w:t>
            </w:r>
          </w:p>
        </w:tc>
        <w:tc>
          <w:tcPr>
            <w:tcW w:w="1843" w:type="dxa"/>
            <w:vAlign w:val="center"/>
          </w:tcPr>
          <w:p w14:paraId="49EAD0EC">
            <w:pPr>
              <w:widowControl/>
              <w:adjustRightInd w:val="0"/>
              <w:snapToGrid w:val="0"/>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政策功能编码</w:t>
            </w:r>
          </w:p>
        </w:tc>
      </w:tr>
      <w:tr w14:paraId="74DE5A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492CDB03">
            <w:pPr>
              <w:adjustRightInd w:val="0"/>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节能产品</w:t>
            </w:r>
          </w:p>
        </w:tc>
      </w:tr>
      <w:tr w14:paraId="5D09F4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46BC195F">
            <w:pPr>
              <w:adjustRightInd w:val="0"/>
              <w:snapToGrid w:val="0"/>
              <w:spacing w:line="360" w:lineRule="auto"/>
              <w:jc w:val="center"/>
              <w:rPr>
                <w:rFonts w:hint="eastAsia" w:ascii="宋体" w:hAnsi="宋体" w:eastAsia="宋体" w:cs="宋体"/>
                <w:b/>
                <w:color w:val="auto"/>
                <w:szCs w:val="21"/>
                <w:highlight w:val="none"/>
              </w:rPr>
            </w:pPr>
          </w:p>
        </w:tc>
        <w:tc>
          <w:tcPr>
            <w:tcW w:w="1739" w:type="dxa"/>
            <w:vAlign w:val="center"/>
          </w:tcPr>
          <w:p w14:paraId="7B47217F">
            <w:pPr>
              <w:adjustRightInd w:val="0"/>
              <w:snapToGrid w:val="0"/>
              <w:spacing w:line="360" w:lineRule="auto"/>
              <w:jc w:val="center"/>
              <w:rPr>
                <w:rFonts w:hint="eastAsia" w:ascii="宋体" w:hAnsi="宋体" w:eastAsia="宋体" w:cs="宋体"/>
                <w:b/>
                <w:color w:val="auto"/>
                <w:szCs w:val="21"/>
                <w:highlight w:val="none"/>
              </w:rPr>
            </w:pPr>
          </w:p>
        </w:tc>
        <w:tc>
          <w:tcPr>
            <w:tcW w:w="1134" w:type="dxa"/>
            <w:tcBorders>
              <w:right w:val="single" w:color="auto" w:sz="4" w:space="0"/>
            </w:tcBorders>
            <w:vAlign w:val="center"/>
          </w:tcPr>
          <w:p w14:paraId="22D255A8">
            <w:pPr>
              <w:adjustRightInd w:val="0"/>
              <w:snapToGrid w:val="0"/>
              <w:spacing w:line="360" w:lineRule="auto"/>
              <w:jc w:val="left"/>
              <w:rPr>
                <w:rFonts w:hint="eastAsia" w:ascii="宋体" w:hAnsi="宋体" w:eastAsia="宋体" w:cs="宋体"/>
                <w:b/>
                <w:color w:val="auto"/>
                <w:szCs w:val="21"/>
                <w:highlight w:val="none"/>
              </w:rPr>
            </w:pPr>
          </w:p>
        </w:tc>
        <w:tc>
          <w:tcPr>
            <w:tcW w:w="1418" w:type="dxa"/>
            <w:tcBorders>
              <w:left w:val="single" w:color="auto" w:sz="4" w:space="0"/>
            </w:tcBorders>
            <w:vAlign w:val="center"/>
          </w:tcPr>
          <w:p w14:paraId="597F51EC">
            <w:pPr>
              <w:adjustRightInd w:val="0"/>
              <w:snapToGrid w:val="0"/>
              <w:spacing w:line="360" w:lineRule="auto"/>
              <w:jc w:val="left"/>
              <w:rPr>
                <w:rFonts w:hint="eastAsia" w:ascii="宋体" w:hAnsi="宋体" w:eastAsia="宋体" w:cs="宋体"/>
                <w:b/>
                <w:color w:val="auto"/>
                <w:szCs w:val="21"/>
                <w:highlight w:val="none"/>
              </w:rPr>
            </w:pPr>
          </w:p>
        </w:tc>
        <w:tc>
          <w:tcPr>
            <w:tcW w:w="1984" w:type="dxa"/>
            <w:vAlign w:val="center"/>
          </w:tcPr>
          <w:p w14:paraId="5D02E744">
            <w:pPr>
              <w:adjustRightInd w:val="0"/>
              <w:snapToGrid w:val="0"/>
              <w:spacing w:line="360" w:lineRule="auto"/>
              <w:jc w:val="center"/>
              <w:rPr>
                <w:rFonts w:hint="eastAsia" w:ascii="宋体" w:hAnsi="宋体" w:eastAsia="宋体" w:cs="宋体"/>
                <w:b/>
                <w:color w:val="auto"/>
                <w:szCs w:val="21"/>
                <w:highlight w:val="none"/>
              </w:rPr>
            </w:pPr>
          </w:p>
        </w:tc>
        <w:tc>
          <w:tcPr>
            <w:tcW w:w="1843" w:type="dxa"/>
          </w:tcPr>
          <w:p w14:paraId="5B0EA454">
            <w:pPr>
              <w:adjustRightInd w:val="0"/>
              <w:snapToGrid w:val="0"/>
              <w:spacing w:line="360" w:lineRule="auto"/>
              <w:jc w:val="center"/>
              <w:rPr>
                <w:rFonts w:hint="eastAsia" w:ascii="宋体" w:hAnsi="宋体" w:eastAsia="宋体" w:cs="宋体"/>
                <w:b/>
                <w:color w:val="auto"/>
                <w:szCs w:val="21"/>
                <w:highlight w:val="none"/>
              </w:rPr>
            </w:pPr>
          </w:p>
        </w:tc>
      </w:tr>
      <w:tr w14:paraId="52400B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3A63DFCD">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小计</w:t>
            </w:r>
          </w:p>
        </w:tc>
        <w:tc>
          <w:tcPr>
            <w:tcW w:w="1739" w:type="dxa"/>
            <w:vAlign w:val="center"/>
          </w:tcPr>
          <w:p w14:paraId="4407DA5C">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1134" w:type="dxa"/>
            <w:tcBorders>
              <w:right w:val="single" w:color="auto" w:sz="4" w:space="0"/>
            </w:tcBorders>
            <w:vAlign w:val="center"/>
          </w:tcPr>
          <w:p w14:paraId="6F6395E6">
            <w:pPr>
              <w:adjustRightInd w:val="0"/>
              <w:snapToGrid w:val="0"/>
              <w:spacing w:line="360" w:lineRule="auto"/>
              <w:jc w:val="left"/>
              <w:rPr>
                <w:rFonts w:hint="eastAsia" w:ascii="宋体" w:hAnsi="宋体" w:eastAsia="宋体" w:cs="宋体"/>
                <w:b/>
                <w:color w:val="auto"/>
                <w:szCs w:val="21"/>
                <w:highlight w:val="none"/>
              </w:rPr>
            </w:pPr>
          </w:p>
        </w:tc>
        <w:tc>
          <w:tcPr>
            <w:tcW w:w="1418" w:type="dxa"/>
            <w:tcBorders>
              <w:left w:val="single" w:color="auto" w:sz="4" w:space="0"/>
            </w:tcBorders>
            <w:vAlign w:val="center"/>
          </w:tcPr>
          <w:p w14:paraId="7A67214B">
            <w:pPr>
              <w:adjustRightInd w:val="0"/>
              <w:snapToGrid w:val="0"/>
              <w:spacing w:line="360" w:lineRule="auto"/>
              <w:jc w:val="left"/>
              <w:rPr>
                <w:rFonts w:hint="eastAsia" w:ascii="宋体" w:hAnsi="宋体" w:eastAsia="宋体" w:cs="宋体"/>
                <w:b/>
                <w:color w:val="auto"/>
                <w:szCs w:val="21"/>
                <w:highlight w:val="none"/>
              </w:rPr>
            </w:pPr>
          </w:p>
        </w:tc>
        <w:tc>
          <w:tcPr>
            <w:tcW w:w="1984" w:type="dxa"/>
            <w:vAlign w:val="center"/>
          </w:tcPr>
          <w:p w14:paraId="11EA8FEC">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1843" w:type="dxa"/>
          </w:tcPr>
          <w:p w14:paraId="0AD4D632">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r>
      <w:tr w14:paraId="3786D9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42192AD9">
            <w:pPr>
              <w:adjustRightInd w:val="0"/>
              <w:snapToGrid w:val="0"/>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环境标志产品</w:t>
            </w:r>
          </w:p>
        </w:tc>
      </w:tr>
      <w:tr w14:paraId="7B93B6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250AE02E">
            <w:pPr>
              <w:adjustRightInd w:val="0"/>
              <w:snapToGrid w:val="0"/>
              <w:spacing w:line="360" w:lineRule="auto"/>
              <w:jc w:val="center"/>
              <w:rPr>
                <w:rFonts w:hint="eastAsia" w:ascii="宋体" w:hAnsi="宋体" w:eastAsia="宋体" w:cs="宋体"/>
                <w:b/>
                <w:color w:val="auto"/>
                <w:szCs w:val="21"/>
                <w:highlight w:val="none"/>
              </w:rPr>
            </w:pPr>
          </w:p>
        </w:tc>
        <w:tc>
          <w:tcPr>
            <w:tcW w:w="1739" w:type="dxa"/>
            <w:vAlign w:val="center"/>
          </w:tcPr>
          <w:p w14:paraId="7384A348">
            <w:pPr>
              <w:adjustRightInd w:val="0"/>
              <w:snapToGrid w:val="0"/>
              <w:spacing w:line="360" w:lineRule="auto"/>
              <w:jc w:val="center"/>
              <w:rPr>
                <w:rFonts w:hint="eastAsia" w:ascii="宋体" w:hAnsi="宋体" w:eastAsia="宋体" w:cs="宋体"/>
                <w:b/>
                <w:color w:val="auto"/>
                <w:szCs w:val="21"/>
                <w:highlight w:val="none"/>
              </w:rPr>
            </w:pPr>
          </w:p>
        </w:tc>
        <w:tc>
          <w:tcPr>
            <w:tcW w:w="1134" w:type="dxa"/>
            <w:tcBorders>
              <w:right w:val="single" w:color="auto" w:sz="4" w:space="0"/>
            </w:tcBorders>
            <w:vAlign w:val="center"/>
          </w:tcPr>
          <w:p w14:paraId="5D797449">
            <w:pPr>
              <w:adjustRightInd w:val="0"/>
              <w:snapToGrid w:val="0"/>
              <w:spacing w:line="360" w:lineRule="auto"/>
              <w:jc w:val="left"/>
              <w:rPr>
                <w:rFonts w:hint="eastAsia" w:ascii="宋体" w:hAnsi="宋体" w:eastAsia="宋体" w:cs="宋体"/>
                <w:b/>
                <w:color w:val="auto"/>
                <w:szCs w:val="21"/>
                <w:highlight w:val="none"/>
              </w:rPr>
            </w:pPr>
          </w:p>
        </w:tc>
        <w:tc>
          <w:tcPr>
            <w:tcW w:w="1418" w:type="dxa"/>
            <w:tcBorders>
              <w:left w:val="single" w:color="auto" w:sz="4" w:space="0"/>
            </w:tcBorders>
            <w:vAlign w:val="center"/>
          </w:tcPr>
          <w:p w14:paraId="5DD4797D">
            <w:pPr>
              <w:adjustRightInd w:val="0"/>
              <w:snapToGrid w:val="0"/>
              <w:spacing w:line="360" w:lineRule="auto"/>
              <w:jc w:val="left"/>
              <w:rPr>
                <w:rFonts w:hint="eastAsia" w:ascii="宋体" w:hAnsi="宋体" w:eastAsia="宋体" w:cs="宋体"/>
                <w:b/>
                <w:color w:val="auto"/>
                <w:szCs w:val="21"/>
                <w:highlight w:val="none"/>
              </w:rPr>
            </w:pPr>
          </w:p>
        </w:tc>
        <w:tc>
          <w:tcPr>
            <w:tcW w:w="1984" w:type="dxa"/>
            <w:vAlign w:val="center"/>
          </w:tcPr>
          <w:p w14:paraId="7F68A358">
            <w:pPr>
              <w:adjustRightInd w:val="0"/>
              <w:snapToGrid w:val="0"/>
              <w:spacing w:line="360" w:lineRule="auto"/>
              <w:jc w:val="center"/>
              <w:rPr>
                <w:rFonts w:hint="eastAsia" w:ascii="宋体" w:hAnsi="宋体" w:eastAsia="宋体" w:cs="宋体"/>
                <w:b/>
                <w:color w:val="auto"/>
                <w:szCs w:val="21"/>
                <w:highlight w:val="none"/>
              </w:rPr>
            </w:pPr>
          </w:p>
        </w:tc>
        <w:tc>
          <w:tcPr>
            <w:tcW w:w="1843" w:type="dxa"/>
          </w:tcPr>
          <w:p w14:paraId="27E2D760">
            <w:pPr>
              <w:adjustRightInd w:val="0"/>
              <w:snapToGrid w:val="0"/>
              <w:spacing w:line="360" w:lineRule="auto"/>
              <w:jc w:val="center"/>
              <w:rPr>
                <w:rFonts w:hint="eastAsia" w:ascii="宋体" w:hAnsi="宋体" w:eastAsia="宋体" w:cs="宋体"/>
                <w:b/>
                <w:color w:val="auto"/>
                <w:szCs w:val="21"/>
                <w:highlight w:val="none"/>
              </w:rPr>
            </w:pPr>
          </w:p>
        </w:tc>
      </w:tr>
      <w:tr w14:paraId="416792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189DADCA">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小计</w:t>
            </w:r>
          </w:p>
        </w:tc>
        <w:tc>
          <w:tcPr>
            <w:tcW w:w="1739" w:type="dxa"/>
            <w:vAlign w:val="center"/>
          </w:tcPr>
          <w:p w14:paraId="08520A23">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1134" w:type="dxa"/>
            <w:tcBorders>
              <w:right w:val="single" w:color="auto" w:sz="4" w:space="0"/>
            </w:tcBorders>
            <w:vAlign w:val="center"/>
          </w:tcPr>
          <w:p w14:paraId="32491C38">
            <w:pPr>
              <w:adjustRightInd w:val="0"/>
              <w:snapToGrid w:val="0"/>
              <w:spacing w:line="360" w:lineRule="auto"/>
              <w:jc w:val="left"/>
              <w:rPr>
                <w:rFonts w:hint="eastAsia" w:ascii="宋体" w:hAnsi="宋体" w:eastAsia="宋体" w:cs="宋体"/>
                <w:b/>
                <w:color w:val="auto"/>
                <w:szCs w:val="21"/>
                <w:highlight w:val="none"/>
              </w:rPr>
            </w:pPr>
          </w:p>
        </w:tc>
        <w:tc>
          <w:tcPr>
            <w:tcW w:w="1418" w:type="dxa"/>
            <w:tcBorders>
              <w:left w:val="single" w:color="auto" w:sz="4" w:space="0"/>
            </w:tcBorders>
            <w:vAlign w:val="center"/>
          </w:tcPr>
          <w:p w14:paraId="75FA3EF2">
            <w:pPr>
              <w:adjustRightInd w:val="0"/>
              <w:snapToGrid w:val="0"/>
              <w:spacing w:line="360" w:lineRule="auto"/>
              <w:jc w:val="left"/>
              <w:rPr>
                <w:rFonts w:hint="eastAsia" w:ascii="宋体" w:hAnsi="宋体" w:eastAsia="宋体" w:cs="宋体"/>
                <w:b/>
                <w:color w:val="auto"/>
                <w:szCs w:val="21"/>
                <w:highlight w:val="none"/>
              </w:rPr>
            </w:pPr>
          </w:p>
        </w:tc>
        <w:tc>
          <w:tcPr>
            <w:tcW w:w="1984" w:type="dxa"/>
            <w:vAlign w:val="center"/>
          </w:tcPr>
          <w:p w14:paraId="3AFF1444">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1843" w:type="dxa"/>
          </w:tcPr>
          <w:p w14:paraId="192CF29A">
            <w:pPr>
              <w:adjustRightInd w:val="0"/>
              <w:snapToGrid w:val="0"/>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r>
    </w:tbl>
    <w:p w14:paraId="52560481">
      <w:pPr>
        <w:adjustRightInd w:val="0"/>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r>
        <w:rPr>
          <w:rFonts w:hint="eastAsia" w:ascii="宋体" w:hAnsi="宋体" w:eastAsia="宋体" w:cs="宋体"/>
          <w:bCs/>
          <w:color w:val="auto"/>
          <w:szCs w:val="21"/>
          <w:highlight w:val="none"/>
        </w:rPr>
        <w:t>1、</w:t>
      </w:r>
      <w:r>
        <w:rPr>
          <w:rFonts w:hint="eastAsia" w:ascii="宋体" w:hAnsi="宋体" w:eastAsia="宋体" w:cs="宋体"/>
          <w:color w:val="auto"/>
          <w:szCs w:val="21"/>
          <w:highlight w:val="none"/>
        </w:rPr>
        <w:t>本表用于计算政府采购优先采购产品（节能产品或环境标志产品）的政府采购政策加分或者价格扣除。</w:t>
      </w:r>
    </w:p>
    <w:p w14:paraId="67620095">
      <w:pPr>
        <w:adjustRightInd w:val="0"/>
        <w:snapToGrid w:val="0"/>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2、栏目4“价格”为综合单价，包含货物所有隐含的内容，如运输费、保险费、管理费和利润等。</w:t>
      </w:r>
    </w:p>
    <w:p w14:paraId="4BC7B780">
      <w:pPr>
        <w:adjustRightInd w:val="0"/>
        <w:snapToGrid w:val="0"/>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3、栏目6“政策功能编码”是指货物的中国环境标志认证证书编号、中国节能标志认证证书号（货物同时属于节能产品、环境标志产品</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，只须填写一种）。</w:t>
      </w:r>
    </w:p>
    <w:p w14:paraId="58A71355">
      <w:pPr>
        <w:adjustRightInd w:val="0"/>
        <w:snapToGrid w:val="0"/>
        <w:spacing w:line="360" w:lineRule="auto"/>
        <w:ind w:firstLine="630" w:firstLineChars="3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4、投标人在投标截止时间前修改“开标一览表”中的投标报价的，应按第二章第13.7款规定修改本表相应内容。否则，评审时涉及本表所有优惠不予以考虑。</w:t>
      </w:r>
    </w:p>
    <w:p w14:paraId="26950D06">
      <w:pPr>
        <w:adjustRightInd w:val="0"/>
        <w:snapToGrid w:val="0"/>
        <w:spacing w:line="360" w:lineRule="auto"/>
        <w:rPr>
          <w:rFonts w:hint="eastAsia" w:ascii="宋体" w:hAnsi="宋体" w:eastAsia="宋体" w:cs="宋体"/>
          <w:color w:val="auto"/>
          <w:szCs w:val="21"/>
          <w:highlight w:val="none"/>
        </w:rPr>
      </w:pPr>
    </w:p>
    <w:p w14:paraId="64084D4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（盖单位电子章）</w:t>
      </w:r>
    </w:p>
    <w:p w14:paraId="43D09F5B">
      <w:pPr>
        <w:adjustRightInd w:val="0"/>
        <w:snapToGrid w:val="0"/>
        <w:spacing w:line="360" w:lineRule="auto"/>
        <w:rPr>
          <w:rFonts w:hint="eastAsia" w:ascii="宋体" w:hAnsi="宋体" w:eastAsia="宋体" w:cs="宋体"/>
          <w:color w:val="auto"/>
          <w:szCs w:val="21"/>
          <w:highlight w:val="none"/>
        </w:rPr>
      </w:pPr>
      <w:r>
        <w:rPr>
          <w:rFonts w:hint="eastAsia" w:ascii="宋体" w:hAnsi="宋体" w:cs="宋体"/>
          <w:color w:val="auto"/>
          <w:spacing w:val="-2"/>
          <w:kern w:val="0"/>
          <w:szCs w:val="21"/>
          <w:highlight w:val="none"/>
          <w:lang w:eastAsia="zh-CN"/>
        </w:rPr>
        <w:t>法定代表人（单位负责人）或授权代表人</w:t>
      </w:r>
      <w:r>
        <w:rPr>
          <w:rFonts w:hint="eastAsia" w:ascii="宋体" w:hAnsi="宋体" w:eastAsia="宋体" w:cs="宋体"/>
          <w:color w:val="auto"/>
          <w:szCs w:val="21"/>
          <w:highlight w:val="none"/>
          <w:lang w:eastAsia="zh-CN"/>
        </w:rPr>
        <w:t>（签字或签章）</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_</w:t>
      </w:r>
    </w:p>
    <w:p w14:paraId="33CAAC2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C125A5A">
      <w:pPr>
        <w:rPr>
          <w:rFonts w:hint="eastAsia" w:ascii="宋体" w:hAnsi="宋体" w:eastAsia="宋体" w:cs="宋体"/>
          <w:b/>
          <w:bCs/>
          <w:color w:val="auto"/>
          <w:sz w:val="32"/>
          <w:szCs w:val="21"/>
          <w:highlight w:val="none"/>
        </w:rPr>
      </w:pPr>
      <w:r>
        <w:rPr>
          <w:rFonts w:hint="eastAsia" w:ascii="宋体" w:hAnsi="宋体" w:eastAsia="宋体" w:cs="宋体"/>
          <w:color w:val="auto"/>
          <w:szCs w:val="21"/>
          <w:highlight w:val="none"/>
        </w:rPr>
        <w:br w:type="page"/>
      </w:r>
    </w:p>
    <w:p w14:paraId="0C7F63BF">
      <w:pPr>
        <w:pStyle w:val="4"/>
        <w:adjustRightInd w:val="0"/>
        <w:snapToGrid w:val="0"/>
        <w:spacing w:before="0" w:after="0" w:line="360" w:lineRule="auto"/>
        <w:jc w:val="center"/>
        <w:rPr>
          <w:rFonts w:hint="eastAsia" w:ascii="宋体" w:hAnsi="宋体" w:eastAsia="宋体" w:cs="宋体"/>
          <w:color w:val="auto"/>
          <w:sz w:val="28"/>
          <w:szCs w:val="28"/>
          <w:highlight w:val="none"/>
          <w:lang w:eastAsia="zh-CN"/>
        </w:rPr>
      </w:pPr>
      <w:bookmarkStart w:id="343" w:name="_Toc2561"/>
      <w:bookmarkStart w:id="344" w:name="_Toc23769"/>
      <w:bookmarkStart w:id="345" w:name="_Toc20487"/>
      <w:bookmarkStart w:id="346" w:name="_Toc29913977"/>
      <w:r>
        <w:rPr>
          <w:rFonts w:hint="eastAsia" w:ascii="宋体" w:hAnsi="宋体" w:cs="宋体"/>
          <w:color w:val="auto"/>
          <w:sz w:val="28"/>
          <w:szCs w:val="28"/>
          <w:highlight w:val="none"/>
          <w:lang w:val="en-US" w:eastAsia="zh-CN"/>
        </w:rPr>
        <w:t>十一</w:t>
      </w:r>
      <w:r>
        <w:rPr>
          <w:rFonts w:hint="eastAsia" w:ascii="宋体" w:hAnsi="宋体" w:eastAsia="宋体" w:cs="宋体"/>
          <w:color w:val="auto"/>
          <w:sz w:val="28"/>
          <w:szCs w:val="28"/>
          <w:highlight w:val="none"/>
        </w:rPr>
        <w:t>、</w:t>
      </w:r>
      <w:bookmarkEnd w:id="343"/>
      <w:bookmarkEnd w:id="344"/>
      <w:r>
        <w:rPr>
          <w:rFonts w:hint="eastAsia" w:ascii="宋体" w:hAnsi="宋体" w:eastAsia="宋体" w:cs="宋体"/>
          <w:color w:val="auto"/>
          <w:sz w:val="28"/>
          <w:szCs w:val="28"/>
          <w:highlight w:val="none"/>
          <w:lang w:eastAsia="zh-CN"/>
        </w:rPr>
        <w:t>投标服务（含配套货物）符合招标文件规定的证明文件</w:t>
      </w:r>
      <w:bookmarkEnd w:id="345"/>
    </w:p>
    <w:p w14:paraId="3BADC532">
      <w:pPr>
        <w:adjustRightInd w:val="0"/>
        <w:snapToGrid w:val="0"/>
        <w:spacing w:line="360" w:lineRule="auto"/>
        <w:rPr>
          <w:rFonts w:hint="eastAsia" w:ascii="宋体" w:hAnsi="宋体" w:eastAsia="宋体" w:cs="宋体"/>
          <w:color w:val="auto"/>
          <w:szCs w:val="21"/>
          <w:highlight w:val="none"/>
        </w:rPr>
      </w:pPr>
    </w:p>
    <w:p w14:paraId="569CB140">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备注：提供第五章规定的证明材料复印件。</w:t>
      </w:r>
    </w:p>
    <w:p w14:paraId="22CC8BED">
      <w:pPr>
        <w:widowControl/>
        <w:jc w:val="left"/>
        <w:rPr>
          <w:rFonts w:hint="eastAsia" w:ascii="宋体" w:hAnsi="宋体" w:eastAsia="宋体" w:cs="宋体"/>
          <w:color w:val="auto"/>
          <w:sz w:val="28"/>
          <w:szCs w:val="28"/>
          <w:highlight w:val="none"/>
        </w:rPr>
      </w:pPr>
    </w:p>
    <w:p w14:paraId="04056D51">
      <w:pPr>
        <w:pStyle w:val="58"/>
        <w:rPr>
          <w:rFonts w:hint="eastAsia" w:ascii="宋体" w:hAnsi="宋体" w:eastAsia="宋体" w:cs="宋体"/>
          <w:color w:val="auto"/>
          <w:sz w:val="28"/>
          <w:szCs w:val="28"/>
          <w:highlight w:val="none"/>
        </w:rPr>
      </w:pPr>
    </w:p>
    <w:p w14:paraId="4E6248A7">
      <w:pPr>
        <w:pStyle w:val="58"/>
        <w:rPr>
          <w:rFonts w:hint="eastAsia" w:ascii="宋体" w:hAnsi="宋体" w:eastAsia="宋体" w:cs="宋体"/>
          <w:color w:val="auto"/>
          <w:sz w:val="28"/>
          <w:szCs w:val="28"/>
          <w:highlight w:val="none"/>
        </w:rPr>
      </w:pPr>
    </w:p>
    <w:p w14:paraId="4D517DE6">
      <w:pPr>
        <w:pStyle w:val="58"/>
        <w:rPr>
          <w:rFonts w:hint="eastAsia" w:ascii="宋体" w:hAnsi="宋体" w:eastAsia="宋体" w:cs="宋体"/>
          <w:color w:val="auto"/>
          <w:sz w:val="28"/>
          <w:szCs w:val="28"/>
          <w:highlight w:val="none"/>
        </w:rPr>
      </w:pPr>
    </w:p>
    <w:p w14:paraId="27179A36">
      <w:pPr>
        <w:pStyle w:val="58"/>
        <w:rPr>
          <w:rFonts w:hint="eastAsia" w:ascii="宋体" w:hAnsi="宋体" w:eastAsia="宋体" w:cs="宋体"/>
          <w:color w:val="auto"/>
          <w:sz w:val="28"/>
          <w:szCs w:val="28"/>
          <w:highlight w:val="none"/>
        </w:rPr>
      </w:pPr>
    </w:p>
    <w:p w14:paraId="74C16748">
      <w:pPr>
        <w:pStyle w:val="4"/>
        <w:adjustRightInd w:val="0"/>
        <w:snapToGrid w:val="0"/>
        <w:spacing w:before="0" w:after="0" w:line="360" w:lineRule="auto"/>
        <w:jc w:val="center"/>
        <w:rPr>
          <w:rFonts w:hint="eastAsia" w:ascii="宋体" w:hAnsi="宋体" w:eastAsia="宋体" w:cs="宋体"/>
          <w:color w:val="auto"/>
          <w:sz w:val="28"/>
          <w:szCs w:val="28"/>
          <w:highlight w:val="none"/>
        </w:rPr>
      </w:pPr>
      <w:bookmarkStart w:id="347" w:name="_Toc14495"/>
      <w:bookmarkStart w:id="348" w:name="_Toc29068"/>
      <w:bookmarkStart w:id="349" w:name="_Toc15533"/>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rPr>
        <w:t>、投标人认为需提供的其他资料</w:t>
      </w:r>
      <w:bookmarkEnd w:id="346"/>
      <w:bookmarkEnd w:id="347"/>
      <w:bookmarkEnd w:id="348"/>
      <w:bookmarkEnd w:id="349"/>
    </w:p>
    <w:p w14:paraId="7F4C3844">
      <w:pPr>
        <w:adjustRightInd w:val="0"/>
        <w:snapToGrid w:val="0"/>
        <w:spacing w:before="156" w:beforeLines="50" w:line="360" w:lineRule="auto"/>
        <w:rPr>
          <w:rFonts w:hint="eastAsia" w:ascii="宋体" w:hAnsi="宋体" w:eastAsia="宋体" w:cs="宋体"/>
          <w:color w:val="auto"/>
          <w:highlight w:val="none"/>
        </w:rPr>
      </w:pPr>
    </w:p>
    <w:p w14:paraId="2B5BCF8E">
      <w:pPr>
        <w:adjustRightInd w:val="0"/>
        <w:snapToGrid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备注：投标人认为需提供的其他资料包括：</w:t>
      </w:r>
    </w:p>
    <w:p w14:paraId="070F3FF7">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（1）招标文件第五章采购需求要求的其他资料；</w:t>
      </w:r>
    </w:p>
    <w:p w14:paraId="77592E6F">
      <w:pPr>
        <w:adjustRightInd w:val="0"/>
        <w:snapToGrid w:val="0"/>
        <w:spacing w:before="156" w:beforeLines="50"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（2）招标文件第四章评标方法及标准要求的其他相关资料。</w:t>
      </w:r>
    </w:p>
    <w:sectPr>
      <w:pgSz w:w="11906" w:h="16838"/>
      <w:pgMar w:top="1474" w:right="1474" w:bottom="1474" w:left="1588"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7F" w:usb3="00000000" w:csb0="203F01FF" w:csb1="DFFF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Wingdings 2">
    <w:altName w:val="Wingdings"/>
    <w:panose1 w:val="05020102010507070707"/>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9D2BD">
    <w:pPr>
      <w:pStyle w:val="27"/>
      <w:ind w:left="300" w:right="359" w:rightChars="171" w:hanging="180" w:hangingChars="100"/>
      <w:jc w:val="right"/>
      <w:rPr>
        <w:rFonts w:eastAsia="楷体_GB2312"/>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A39577">
                          <w:pPr>
                            <w:pStyle w:val="27"/>
                            <w:ind w:left="300" w:right="359" w:rightChars="171" w:hanging="300" w:hangingChars="100"/>
                            <w:jc w:val="right"/>
                          </w:pPr>
                          <w:r>
                            <w:rPr>
                              <w:rStyle w:val="48"/>
                              <w:rFonts w:hint="eastAsia" w:ascii="仿宋_GB2312" w:eastAsia="仿宋_GB2312"/>
                              <w:sz w:val="30"/>
                              <w:szCs w:val="30"/>
                            </w:rPr>
                            <w:t>—</w:t>
                          </w:r>
                          <w:r>
                            <w:rPr>
                              <w:rStyle w:val="48"/>
                              <w:rFonts w:hint="eastAsia" w:ascii="仿宋_GB2312" w:eastAsia="仿宋_GB2312"/>
                              <w:sz w:val="30"/>
                              <w:szCs w:val="30"/>
                            </w:rPr>
                            <w:fldChar w:fldCharType="begin"/>
                          </w:r>
                          <w:r>
                            <w:rPr>
                              <w:rStyle w:val="48"/>
                              <w:rFonts w:hint="eastAsia" w:ascii="仿宋_GB2312" w:eastAsia="仿宋_GB2312"/>
                              <w:sz w:val="30"/>
                              <w:szCs w:val="30"/>
                            </w:rPr>
                            <w:instrText xml:space="preserve"> PAGE </w:instrText>
                          </w:r>
                          <w:r>
                            <w:rPr>
                              <w:rStyle w:val="48"/>
                              <w:rFonts w:hint="eastAsia" w:ascii="仿宋_GB2312" w:eastAsia="仿宋_GB2312"/>
                              <w:sz w:val="30"/>
                              <w:szCs w:val="30"/>
                            </w:rPr>
                            <w:fldChar w:fldCharType="separate"/>
                          </w:r>
                          <w:r>
                            <w:rPr>
                              <w:rStyle w:val="48"/>
                              <w:rFonts w:ascii="仿宋_GB2312" w:eastAsia="仿宋_GB2312"/>
                              <w:sz w:val="30"/>
                              <w:szCs w:val="30"/>
                            </w:rPr>
                            <w:t>3</w:t>
                          </w:r>
                          <w:r>
                            <w:rPr>
                              <w:rStyle w:val="48"/>
                              <w:rFonts w:hint="eastAsia" w:ascii="仿宋_GB2312" w:eastAsia="仿宋_GB2312"/>
                              <w:sz w:val="30"/>
                              <w:szCs w:val="30"/>
                            </w:rPr>
                            <w:fldChar w:fldCharType="end"/>
                          </w:r>
                          <w:r>
                            <w:rPr>
                              <w:rStyle w:val="48"/>
                              <w:rFonts w:hint="eastAsia" w:ascii="仿宋_GB2312" w:eastAsia="仿宋_GB2312"/>
                              <w:sz w:val="30"/>
                              <w:szCs w:val="30"/>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A39577">
                    <w:pPr>
                      <w:pStyle w:val="27"/>
                      <w:ind w:left="300" w:right="359" w:rightChars="171" w:hanging="300" w:hangingChars="100"/>
                      <w:jc w:val="right"/>
                    </w:pPr>
                    <w:r>
                      <w:rPr>
                        <w:rStyle w:val="48"/>
                        <w:rFonts w:hint="eastAsia" w:ascii="仿宋_GB2312" w:eastAsia="仿宋_GB2312"/>
                        <w:sz w:val="30"/>
                        <w:szCs w:val="30"/>
                      </w:rPr>
                      <w:t>—</w:t>
                    </w:r>
                    <w:r>
                      <w:rPr>
                        <w:rStyle w:val="48"/>
                        <w:rFonts w:hint="eastAsia" w:ascii="仿宋_GB2312" w:eastAsia="仿宋_GB2312"/>
                        <w:sz w:val="30"/>
                        <w:szCs w:val="30"/>
                      </w:rPr>
                      <w:fldChar w:fldCharType="begin"/>
                    </w:r>
                    <w:r>
                      <w:rPr>
                        <w:rStyle w:val="48"/>
                        <w:rFonts w:hint="eastAsia" w:ascii="仿宋_GB2312" w:eastAsia="仿宋_GB2312"/>
                        <w:sz w:val="30"/>
                        <w:szCs w:val="30"/>
                      </w:rPr>
                      <w:instrText xml:space="preserve"> PAGE </w:instrText>
                    </w:r>
                    <w:r>
                      <w:rPr>
                        <w:rStyle w:val="48"/>
                        <w:rFonts w:hint="eastAsia" w:ascii="仿宋_GB2312" w:eastAsia="仿宋_GB2312"/>
                        <w:sz w:val="30"/>
                        <w:szCs w:val="30"/>
                      </w:rPr>
                      <w:fldChar w:fldCharType="separate"/>
                    </w:r>
                    <w:r>
                      <w:rPr>
                        <w:rStyle w:val="48"/>
                        <w:rFonts w:ascii="仿宋_GB2312" w:eastAsia="仿宋_GB2312"/>
                        <w:sz w:val="30"/>
                        <w:szCs w:val="30"/>
                      </w:rPr>
                      <w:t>3</w:t>
                    </w:r>
                    <w:r>
                      <w:rPr>
                        <w:rStyle w:val="48"/>
                        <w:rFonts w:hint="eastAsia" w:ascii="仿宋_GB2312" w:eastAsia="仿宋_GB2312"/>
                        <w:sz w:val="30"/>
                        <w:szCs w:val="30"/>
                      </w:rPr>
                      <w:fldChar w:fldCharType="end"/>
                    </w:r>
                    <w:r>
                      <w:rPr>
                        <w:rStyle w:val="48"/>
                        <w:rFonts w:hint="eastAsia" w:ascii="仿宋_GB2312" w:eastAsia="仿宋_GB2312"/>
                        <w:sz w:val="30"/>
                        <w:szCs w:val="30"/>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105F8">
    <w:pPr>
      <w:pStyle w:val="27"/>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148961">
                          <w:pPr>
                            <w:pStyle w:val="27"/>
                            <w:rPr>
                              <w:rStyle w:val="48"/>
                            </w:rPr>
                          </w:pPr>
                          <w:r>
                            <w:fldChar w:fldCharType="begin"/>
                          </w:r>
                          <w:r>
                            <w:rPr>
                              <w:rStyle w:val="48"/>
                            </w:rPr>
                            <w:instrText xml:space="preserve">PAGE  </w:instrText>
                          </w:r>
                          <w:r>
                            <w:fldChar w:fldCharType="separate"/>
                          </w:r>
                          <w:r>
                            <w:rPr>
                              <w:rStyle w:val="48"/>
                            </w:rP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E148961">
                    <w:pPr>
                      <w:pStyle w:val="27"/>
                      <w:rPr>
                        <w:rStyle w:val="48"/>
                      </w:rPr>
                    </w:pPr>
                    <w:r>
                      <w:fldChar w:fldCharType="begin"/>
                    </w:r>
                    <w:r>
                      <w:rPr>
                        <w:rStyle w:val="48"/>
                      </w:rPr>
                      <w:instrText xml:space="preserve">PAGE  </w:instrText>
                    </w:r>
                    <w:r>
                      <w:fldChar w:fldCharType="separate"/>
                    </w:r>
                    <w:r>
                      <w:rPr>
                        <w:rStyle w:val="48"/>
                      </w:rPr>
                      <w:t>80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24CD7">
    <w:pPr>
      <w:pStyle w:val="27"/>
      <w:ind w:left="300" w:right="359" w:rightChars="171" w:hanging="180" w:hangingChars="100"/>
      <w:jc w:val="right"/>
      <w:rPr>
        <w:rFonts w:eastAsia="楷体_GB2312"/>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72C91">
                          <w:pPr>
                            <w:pStyle w:val="27"/>
                            <w:ind w:left="300" w:right="359" w:rightChars="171" w:hanging="300" w:hangingChars="100"/>
                            <w:jc w:val="right"/>
                          </w:pPr>
                          <w:r>
                            <w:rPr>
                              <w:rStyle w:val="48"/>
                              <w:rFonts w:hint="eastAsia" w:ascii="仿宋_GB2312" w:eastAsia="仿宋_GB2312"/>
                              <w:sz w:val="30"/>
                              <w:szCs w:val="30"/>
                            </w:rPr>
                            <w:t>—</w:t>
                          </w:r>
                          <w:r>
                            <w:rPr>
                              <w:rStyle w:val="48"/>
                              <w:rFonts w:hint="eastAsia" w:ascii="仿宋_GB2312" w:eastAsia="仿宋_GB2312"/>
                              <w:sz w:val="30"/>
                              <w:szCs w:val="30"/>
                            </w:rPr>
                            <w:fldChar w:fldCharType="begin"/>
                          </w:r>
                          <w:r>
                            <w:rPr>
                              <w:rStyle w:val="48"/>
                              <w:rFonts w:hint="eastAsia" w:ascii="仿宋_GB2312" w:eastAsia="仿宋_GB2312"/>
                              <w:sz w:val="30"/>
                              <w:szCs w:val="30"/>
                            </w:rPr>
                            <w:instrText xml:space="preserve"> PAGE </w:instrText>
                          </w:r>
                          <w:r>
                            <w:rPr>
                              <w:rStyle w:val="48"/>
                              <w:rFonts w:hint="eastAsia" w:ascii="仿宋_GB2312" w:eastAsia="仿宋_GB2312"/>
                              <w:sz w:val="30"/>
                              <w:szCs w:val="30"/>
                            </w:rPr>
                            <w:fldChar w:fldCharType="separate"/>
                          </w:r>
                          <w:r>
                            <w:rPr>
                              <w:rStyle w:val="48"/>
                              <w:rFonts w:ascii="仿宋_GB2312" w:eastAsia="仿宋_GB2312"/>
                              <w:sz w:val="30"/>
                              <w:szCs w:val="30"/>
                            </w:rPr>
                            <w:t>92</w:t>
                          </w:r>
                          <w:r>
                            <w:rPr>
                              <w:rStyle w:val="48"/>
                              <w:rFonts w:hint="eastAsia" w:ascii="仿宋_GB2312" w:eastAsia="仿宋_GB2312"/>
                              <w:sz w:val="30"/>
                              <w:szCs w:val="30"/>
                            </w:rPr>
                            <w:fldChar w:fldCharType="end"/>
                          </w:r>
                          <w:r>
                            <w:rPr>
                              <w:rStyle w:val="48"/>
                              <w:rFonts w:hint="eastAsia" w:ascii="仿宋_GB2312" w:eastAsia="仿宋_GB2312"/>
                              <w:sz w:val="30"/>
                              <w:szCs w:val="30"/>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E672C91">
                    <w:pPr>
                      <w:pStyle w:val="27"/>
                      <w:ind w:left="300" w:right="359" w:rightChars="171" w:hanging="300" w:hangingChars="100"/>
                      <w:jc w:val="right"/>
                    </w:pPr>
                    <w:r>
                      <w:rPr>
                        <w:rStyle w:val="48"/>
                        <w:rFonts w:hint="eastAsia" w:ascii="仿宋_GB2312" w:eastAsia="仿宋_GB2312"/>
                        <w:sz w:val="30"/>
                        <w:szCs w:val="30"/>
                      </w:rPr>
                      <w:t>—</w:t>
                    </w:r>
                    <w:r>
                      <w:rPr>
                        <w:rStyle w:val="48"/>
                        <w:rFonts w:hint="eastAsia" w:ascii="仿宋_GB2312" w:eastAsia="仿宋_GB2312"/>
                        <w:sz w:val="30"/>
                        <w:szCs w:val="30"/>
                      </w:rPr>
                      <w:fldChar w:fldCharType="begin"/>
                    </w:r>
                    <w:r>
                      <w:rPr>
                        <w:rStyle w:val="48"/>
                        <w:rFonts w:hint="eastAsia" w:ascii="仿宋_GB2312" w:eastAsia="仿宋_GB2312"/>
                        <w:sz w:val="30"/>
                        <w:szCs w:val="30"/>
                      </w:rPr>
                      <w:instrText xml:space="preserve"> PAGE </w:instrText>
                    </w:r>
                    <w:r>
                      <w:rPr>
                        <w:rStyle w:val="48"/>
                        <w:rFonts w:hint="eastAsia" w:ascii="仿宋_GB2312" w:eastAsia="仿宋_GB2312"/>
                        <w:sz w:val="30"/>
                        <w:szCs w:val="30"/>
                      </w:rPr>
                      <w:fldChar w:fldCharType="separate"/>
                    </w:r>
                    <w:r>
                      <w:rPr>
                        <w:rStyle w:val="48"/>
                        <w:rFonts w:ascii="仿宋_GB2312" w:eastAsia="仿宋_GB2312"/>
                        <w:sz w:val="30"/>
                        <w:szCs w:val="30"/>
                      </w:rPr>
                      <w:t>92</w:t>
                    </w:r>
                    <w:r>
                      <w:rPr>
                        <w:rStyle w:val="48"/>
                        <w:rFonts w:hint="eastAsia" w:ascii="仿宋_GB2312" w:eastAsia="仿宋_GB2312"/>
                        <w:sz w:val="30"/>
                        <w:szCs w:val="30"/>
                      </w:rPr>
                      <w:fldChar w:fldCharType="end"/>
                    </w:r>
                    <w:r>
                      <w:rPr>
                        <w:rStyle w:val="48"/>
                        <w:rFonts w:hint="eastAsia" w:ascii="仿宋_GB2312" w:eastAsia="仿宋_GB2312"/>
                        <w:sz w:val="30"/>
                        <w:szCs w:val="30"/>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675BB">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0B819">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6C838">
    <w:pPr>
      <w:pStyle w:val="2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26453">
    <w:pPr>
      <w:pStyle w:val="2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20A0F">
    <w:pPr>
      <w:pStyle w:val="2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22FC2">
    <w:pPr>
      <w:pStyle w:val="2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8106D">
    <w:pPr>
      <w:pStyle w:val="2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116A0">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9385B4"/>
    <w:multiLevelType w:val="singleLevel"/>
    <w:tmpl w:val="9B9385B4"/>
    <w:lvl w:ilvl="0" w:tentative="0">
      <w:start w:val="2"/>
      <w:numFmt w:val="decimal"/>
      <w:suff w:val="nothing"/>
      <w:lvlText w:val="%1、"/>
      <w:lvlJc w:val="left"/>
    </w:lvl>
  </w:abstractNum>
  <w:abstractNum w:abstractNumId="1">
    <w:nsid w:val="A4342F25"/>
    <w:multiLevelType w:val="singleLevel"/>
    <w:tmpl w:val="A4342F25"/>
    <w:lvl w:ilvl="0" w:tentative="0">
      <w:start w:val="1"/>
      <w:numFmt w:val="chineseCounting"/>
      <w:suff w:val="nothing"/>
      <w:lvlText w:val="%1、"/>
      <w:lvlJc w:val="left"/>
      <w:rPr>
        <w:rFonts w:hint="eastAsia"/>
      </w:rPr>
    </w:lvl>
  </w:abstractNum>
  <w:abstractNum w:abstractNumId="2">
    <w:nsid w:val="B3275CD2"/>
    <w:multiLevelType w:val="singleLevel"/>
    <w:tmpl w:val="B3275CD2"/>
    <w:lvl w:ilvl="0" w:tentative="0">
      <w:start w:val="3"/>
      <w:numFmt w:val="decimal"/>
      <w:suff w:val="nothing"/>
      <w:lvlText w:val="%1、"/>
      <w:lvlJc w:val="left"/>
    </w:lvl>
  </w:abstractNum>
  <w:abstractNum w:abstractNumId="3">
    <w:nsid w:val="34266D6A"/>
    <w:multiLevelType w:val="singleLevel"/>
    <w:tmpl w:val="34266D6A"/>
    <w:lvl w:ilvl="0" w:tentative="0">
      <w:start w:val="27"/>
      <w:numFmt w:val="decimal"/>
      <w:suff w:val="space"/>
      <w:lvlText w:val="%1."/>
      <w:lvlJc w:val="left"/>
    </w:lvl>
  </w:abstractNum>
  <w:abstractNum w:abstractNumId="4">
    <w:nsid w:val="49C49B56"/>
    <w:multiLevelType w:val="singleLevel"/>
    <w:tmpl w:val="49C49B56"/>
    <w:lvl w:ilvl="0" w:tentative="0">
      <w:start w:val="4"/>
      <w:numFmt w:val="chineseCounting"/>
      <w:suff w:val="nothing"/>
      <w:lvlText w:val="%1、"/>
      <w:lvlJc w:val="left"/>
      <w:rPr>
        <w:rFonts w:hint="eastAsia"/>
      </w:rPr>
    </w:lvl>
  </w:abstractNum>
  <w:abstractNum w:abstractNumId="5">
    <w:nsid w:val="69EA8400"/>
    <w:multiLevelType w:val="singleLevel"/>
    <w:tmpl w:val="69EA8400"/>
    <w:lvl w:ilvl="0" w:tentative="0">
      <w:start w:val="4"/>
      <w:numFmt w:val="decimal"/>
      <w:suff w:val="nothing"/>
      <w:lvlText w:val="（%1）"/>
      <w:lvlJc w:val="left"/>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wYmU3ZjdjNmFiOTJmNDYzMTA2ZGJhMTEzMGUyZTAifQ=="/>
  </w:docVars>
  <w:rsids>
    <w:rsidRoot w:val="007434B4"/>
    <w:rsid w:val="00000A61"/>
    <w:rsid w:val="00000A83"/>
    <w:rsid w:val="000013FE"/>
    <w:rsid w:val="0000186F"/>
    <w:rsid w:val="00001A03"/>
    <w:rsid w:val="00002568"/>
    <w:rsid w:val="00002840"/>
    <w:rsid w:val="000037DE"/>
    <w:rsid w:val="00003D23"/>
    <w:rsid w:val="00004EAF"/>
    <w:rsid w:val="00006552"/>
    <w:rsid w:val="0001024D"/>
    <w:rsid w:val="00010382"/>
    <w:rsid w:val="00011A7B"/>
    <w:rsid w:val="00013365"/>
    <w:rsid w:val="00013466"/>
    <w:rsid w:val="00013574"/>
    <w:rsid w:val="000135B0"/>
    <w:rsid w:val="00013923"/>
    <w:rsid w:val="00014A82"/>
    <w:rsid w:val="00015858"/>
    <w:rsid w:val="00015A29"/>
    <w:rsid w:val="0001617A"/>
    <w:rsid w:val="00017581"/>
    <w:rsid w:val="000175E8"/>
    <w:rsid w:val="00017CF0"/>
    <w:rsid w:val="00017F9C"/>
    <w:rsid w:val="000252F0"/>
    <w:rsid w:val="00025EED"/>
    <w:rsid w:val="00027D0F"/>
    <w:rsid w:val="00030A53"/>
    <w:rsid w:val="00031705"/>
    <w:rsid w:val="00031BBE"/>
    <w:rsid w:val="00031C52"/>
    <w:rsid w:val="00032D53"/>
    <w:rsid w:val="000333AE"/>
    <w:rsid w:val="00033EFF"/>
    <w:rsid w:val="00035663"/>
    <w:rsid w:val="000358FA"/>
    <w:rsid w:val="00035B2B"/>
    <w:rsid w:val="00040247"/>
    <w:rsid w:val="00040313"/>
    <w:rsid w:val="00040E14"/>
    <w:rsid w:val="0004234C"/>
    <w:rsid w:val="0004444E"/>
    <w:rsid w:val="00045B4B"/>
    <w:rsid w:val="00046881"/>
    <w:rsid w:val="00047440"/>
    <w:rsid w:val="0004759C"/>
    <w:rsid w:val="0005019F"/>
    <w:rsid w:val="000508AD"/>
    <w:rsid w:val="0005168D"/>
    <w:rsid w:val="0005208E"/>
    <w:rsid w:val="00052DBD"/>
    <w:rsid w:val="00053BE1"/>
    <w:rsid w:val="00053C94"/>
    <w:rsid w:val="000566BD"/>
    <w:rsid w:val="0005701C"/>
    <w:rsid w:val="000606A2"/>
    <w:rsid w:val="00060C04"/>
    <w:rsid w:val="00061310"/>
    <w:rsid w:val="00061914"/>
    <w:rsid w:val="000620A1"/>
    <w:rsid w:val="000638C9"/>
    <w:rsid w:val="000662FC"/>
    <w:rsid w:val="000666F2"/>
    <w:rsid w:val="000675E6"/>
    <w:rsid w:val="000677C7"/>
    <w:rsid w:val="00067D0B"/>
    <w:rsid w:val="000709FB"/>
    <w:rsid w:val="00070B21"/>
    <w:rsid w:val="00070F95"/>
    <w:rsid w:val="00072573"/>
    <w:rsid w:val="0007343D"/>
    <w:rsid w:val="000745C1"/>
    <w:rsid w:val="0007473A"/>
    <w:rsid w:val="00074CB8"/>
    <w:rsid w:val="00076502"/>
    <w:rsid w:val="000775DD"/>
    <w:rsid w:val="000777C0"/>
    <w:rsid w:val="000821AB"/>
    <w:rsid w:val="00082346"/>
    <w:rsid w:val="000841E5"/>
    <w:rsid w:val="00085204"/>
    <w:rsid w:val="00087CA6"/>
    <w:rsid w:val="000904BC"/>
    <w:rsid w:val="000909AB"/>
    <w:rsid w:val="00090D47"/>
    <w:rsid w:val="00091751"/>
    <w:rsid w:val="000917F5"/>
    <w:rsid w:val="000921D2"/>
    <w:rsid w:val="00092E61"/>
    <w:rsid w:val="00094343"/>
    <w:rsid w:val="0009483A"/>
    <w:rsid w:val="0009530E"/>
    <w:rsid w:val="00095A0E"/>
    <w:rsid w:val="00096239"/>
    <w:rsid w:val="00096A68"/>
    <w:rsid w:val="00097FB9"/>
    <w:rsid w:val="000A0CD6"/>
    <w:rsid w:val="000A2575"/>
    <w:rsid w:val="000A25D2"/>
    <w:rsid w:val="000A2631"/>
    <w:rsid w:val="000A3313"/>
    <w:rsid w:val="000A3BB4"/>
    <w:rsid w:val="000A4283"/>
    <w:rsid w:val="000A4354"/>
    <w:rsid w:val="000A6658"/>
    <w:rsid w:val="000B0390"/>
    <w:rsid w:val="000B0F6F"/>
    <w:rsid w:val="000B1637"/>
    <w:rsid w:val="000B1715"/>
    <w:rsid w:val="000B2722"/>
    <w:rsid w:val="000B2C01"/>
    <w:rsid w:val="000B320F"/>
    <w:rsid w:val="000B33DF"/>
    <w:rsid w:val="000B3A4F"/>
    <w:rsid w:val="000B4504"/>
    <w:rsid w:val="000B48CB"/>
    <w:rsid w:val="000B5D7D"/>
    <w:rsid w:val="000B67D9"/>
    <w:rsid w:val="000B6A6A"/>
    <w:rsid w:val="000B7DF1"/>
    <w:rsid w:val="000C035B"/>
    <w:rsid w:val="000C0714"/>
    <w:rsid w:val="000C188C"/>
    <w:rsid w:val="000C245B"/>
    <w:rsid w:val="000C2AE6"/>
    <w:rsid w:val="000C354A"/>
    <w:rsid w:val="000C4FD9"/>
    <w:rsid w:val="000C52A0"/>
    <w:rsid w:val="000C6B2C"/>
    <w:rsid w:val="000C70C2"/>
    <w:rsid w:val="000C7812"/>
    <w:rsid w:val="000D04C8"/>
    <w:rsid w:val="000D0769"/>
    <w:rsid w:val="000D0E5E"/>
    <w:rsid w:val="000D1018"/>
    <w:rsid w:val="000D211B"/>
    <w:rsid w:val="000D2A3F"/>
    <w:rsid w:val="000D344B"/>
    <w:rsid w:val="000D5249"/>
    <w:rsid w:val="000D6185"/>
    <w:rsid w:val="000D6514"/>
    <w:rsid w:val="000E166F"/>
    <w:rsid w:val="000E3DCC"/>
    <w:rsid w:val="000E4525"/>
    <w:rsid w:val="000E46D9"/>
    <w:rsid w:val="000E4E95"/>
    <w:rsid w:val="000E50DD"/>
    <w:rsid w:val="000E640C"/>
    <w:rsid w:val="000E7308"/>
    <w:rsid w:val="000E7417"/>
    <w:rsid w:val="000E741F"/>
    <w:rsid w:val="000E7B7A"/>
    <w:rsid w:val="000F1A45"/>
    <w:rsid w:val="000F1AF9"/>
    <w:rsid w:val="000F21C8"/>
    <w:rsid w:val="000F3713"/>
    <w:rsid w:val="000F376A"/>
    <w:rsid w:val="000F37AB"/>
    <w:rsid w:val="000F4155"/>
    <w:rsid w:val="000F44CB"/>
    <w:rsid w:val="000F4F2F"/>
    <w:rsid w:val="000F5866"/>
    <w:rsid w:val="000F620C"/>
    <w:rsid w:val="000F7591"/>
    <w:rsid w:val="001000C3"/>
    <w:rsid w:val="0010071B"/>
    <w:rsid w:val="001047E3"/>
    <w:rsid w:val="00104908"/>
    <w:rsid w:val="00104D5D"/>
    <w:rsid w:val="00105A9C"/>
    <w:rsid w:val="00106446"/>
    <w:rsid w:val="00107077"/>
    <w:rsid w:val="00107FD9"/>
    <w:rsid w:val="00110169"/>
    <w:rsid w:val="00110B4B"/>
    <w:rsid w:val="001113FC"/>
    <w:rsid w:val="00111596"/>
    <w:rsid w:val="00111CC9"/>
    <w:rsid w:val="00112A3D"/>
    <w:rsid w:val="001133AC"/>
    <w:rsid w:val="00113C61"/>
    <w:rsid w:val="00114B15"/>
    <w:rsid w:val="00117058"/>
    <w:rsid w:val="00117143"/>
    <w:rsid w:val="00117E7C"/>
    <w:rsid w:val="00120369"/>
    <w:rsid w:val="00121A30"/>
    <w:rsid w:val="001228FD"/>
    <w:rsid w:val="001232B6"/>
    <w:rsid w:val="00124345"/>
    <w:rsid w:val="00125769"/>
    <w:rsid w:val="00125F48"/>
    <w:rsid w:val="00126231"/>
    <w:rsid w:val="001264B5"/>
    <w:rsid w:val="001264DC"/>
    <w:rsid w:val="00126691"/>
    <w:rsid w:val="00127083"/>
    <w:rsid w:val="0013172D"/>
    <w:rsid w:val="001322EF"/>
    <w:rsid w:val="001324B3"/>
    <w:rsid w:val="001345E9"/>
    <w:rsid w:val="00134894"/>
    <w:rsid w:val="001348D3"/>
    <w:rsid w:val="00135375"/>
    <w:rsid w:val="001370E3"/>
    <w:rsid w:val="00137DBD"/>
    <w:rsid w:val="00137DCD"/>
    <w:rsid w:val="00140DA3"/>
    <w:rsid w:val="001413DF"/>
    <w:rsid w:val="00141BEE"/>
    <w:rsid w:val="00143121"/>
    <w:rsid w:val="00144141"/>
    <w:rsid w:val="00144F97"/>
    <w:rsid w:val="00145791"/>
    <w:rsid w:val="0014699B"/>
    <w:rsid w:val="00146D14"/>
    <w:rsid w:val="00151BA6"/>
    <w:rsid w:val="0015269F"/>
    <w:rsid w:val="00153C89"/>
    <w:rsid w:val="00156049"/>
    <w:rsid w:val="001564DB"/>
    <w:rsid w:val="00156F75"/>
    <w:rsid w:val="00160E3C"/>
    <w:rsid w:val="001617E9"/>
    <w:rsid w:val="00162175"/>
    <w:rsid w:val="00162403"/>
    <w:rsid w:val="0016254E"/>
    <w:rsid w:val="00162F23"/>
    <w:rsid w:val="001637C1"/>
    <w:rsid w:val="0016451E"/>
    <w:rsid w:val="00164C0D"/>
    <w:rsid w:val="001655DB"/>
    <w:rsid w:val="0016583A"/>
    <w:rsid w:val="00166A7A"/>
    <w:rsid w:val="00166F38"/>
    <w:rsid w:val="00167313"/>
    <w:rsid w:val="00167763"/>
    <w:rsid w:val="001708E8"/>
    <w:rsid w:val="0017148D"/>
    <w:rsid w:val="0017284E"/>
    <w:rsid w:val="0017334A"/>
    <w:rsid w:val="00173713"/>
    <w:rsid w:val="00173A95"/>
    <w:rsid w:val="00173D83"/>
    <w:rsid w:val="0017404D"/>
    <w:rsid w:val="00175C3F"/>
    <w:rsid w:val="00175FE2"/>
    <w:rsid w:val="0017633E"/>
    <w:rsid w:val="001773C6"/>
    <w:rsid w:val="0017741D"/>
    <w:rsid w:val="001810E9"/>
    <w:rsid w:val="00181D2E"/>
    <w:rsid w:val="001828D3"/>
    <w:rsid w:val="001846F2"/>
    <w:rsid w:val="001850A4"/>
    <w:rsid w:val="00185B43"/>
    <w:rsid w:val="00186927"/>
    <w:rsid w:val="001870D2"/>
    <w:rsid w:val="00190053"/>
    <w:rsid w:val="00190101"/>
    <w:rsid w:val="00190C8F"/>
    <w:rsid w:val="00191A57"/>
    <w:rsid w:val="00192075"/>
    <w:rsid w:val="00193526"/>
    <w:rsid w:val="00195771"/>
    <w:rsid w:val="00197441"/>
    <w:rsid w:val="001A053D"/>
    <w:rsid w:val="001A101A"/>
    <w:rsid w:val="001A12A4"/>
    <w:rsid w:val="001A130A"/>
    <w:rsid w:val="001A2976"/>
    <w:rsid w:val="001A3AA5"/>
    <w:rsid w:val="001A3AFC"/>
    <w:rsid w:val="001A3BCB"/>
    <w:rsid w:val="001A4D9B"/>
    <w:rsid w:val="001A561A"/>
    <w:rsid w:val="001A58C6"/>
    <w:rsid w:val="001A59EB"/>
    <w:rsid w:val="001B0B82"/>
    <w:rsid w:val="001B2294"/>
    <w:rsid w:val="001B313B"/>
    <w:rsid w:val="001B383C"/>
    <w:rsid w:val="001B4531"/>
    <w:rsid w:val="001B4F01"/>
    <w:rsid w:val="001B5907"/>
    <w:rsid w:val="001B78EC"/>
    <w:rsid w:val="001C2072"/>
    <w:rsid w:val="001C274B"/>
    <w:rsid w:val="001C3481"/>
    <w:rsid w:val="001C4E4C"/>
    <w:rsid w:val="001C5444"/>
    <w:rsid w:val="001C737E"/>
    <w:rsid w:val="001C7B25"/>
    <w:rsid w:val="001D0F5F"/>
    <w:rsid w:val="001D1A86"/>
    <w:rsid w:val="001D26DC"/>
    <w:rsid w:val="001D300D"/>
    <w:rsid w:val="001D302B"/>
    <w:rsid w:val="001D34F7"/>
    <w:rsid w:val="001D574C"/>
    <w:rsid w:val="001D5B75"/>
    <w:rsid w:val="001E1D4A"/>
    <w:rsid w:val="001E3396"/>
    <w:rsid w:val="001E3A6E"/>
    <w:rsid w:val="001E3AF6"/>
    <w:rsid w:val="001E3D6A"/>
    <w:rsid w:val="001E4458"/>
    <w:rsid w:val="001E59F7"/>
    <w:rsid w:val="001E6A66"/>
    <w:rsid w:val="001F075D"/>
    <w:rsid w:val="001F130D"/>
    <w:rsid w:val="001F1819"/>
    <w:rsid w:val="001F3A23"/>
    <w:rsid w:val="001F4878"/>
    <w:rsid w:val="001F5321"/>
    <w:rsid w:val="001F534E"/>
    <w:rsid w:val="001F5B18"/>
    <w:rsid w:val="001F7AFA"/>
    <w:rsid w:val="00200789"/>
    <w:rsid w:val="002008A9"/>
    <w:rsid w:val="00200C39"/>
    <w:rsid w:val="00200D09"/>
    <w:rsid w:val="002018AB"/>
    <w:rsid w:val="00201F4F"/>
    <w:rsid w:val="002023F0"/>
    <w:rsid w:val="0020308E"/>
    <w:rsid w:val="00203EA6"/>
    <w:rsid w:val="00205CF8"/>
    <w:rsid w:val="00206018"/>
    <w:rsid w:val="00207D02"/>
    <w:rsid w:val="00210EE8"/>
    <w:rsid w:val="00210F21"/>
    <w:rsid w:val="00211F38"/>
    <w:rsid w:val="0021548B"/>
    <w:rsid w:val="002157B6"/>
    <w:rsid w:val="00215C17"/>
    <w:rsid w:val="00215D98"/>
    <w:rsid w:val="00216282"/>
    <w:rsid w:val="00216FA2"/>
    <w:rsid w:val="002203CE"/>
    <w:rsid w:val="00221240"/>
    <w:rsid w:val="00221600"/>
    <w:rsid w:val="00221BE4"/>
    <w:rsid w:val="00223541"/>
    <w:rsid w:val="00223B66"/>
    <w:rsid w:val="002240A4"/>
    <w:rsid w:val="0022478B"/>
    <w:rsid w:val="00224EE3"/>
    <w:rsid w:val="00225547"/>
    <w:rsid w:val="00226CCD"/>
    <w:rsid w:val="002303FF"/>
    <w:rsid w:val="00230B4C"/>
    <w:rsid w:val="00231C9E"/>
    <w:rsid w:val="0023235C"/>
    <w:rsid w:val="00232836"/>
    <w:rsid w:val="00232D80"/>
    <w:rsid w:val="0023339C"/>
    <w:rsid w:val="00234309"/>
    <w:rsid w:val="00235123"/>
    <w:rsid w:val="00235317"/>
    <w:rsid w:val="002416E2"/>
    <w:rsid w:val="002419D0"/>
    <w:rsid w:val="00242897"/>
    <w:rsid w:val="00242A62"/>
    <w:rsid w:val="002444EA"/>
    <w:rsid w:val="00244B2A"/>
    <w:rsid w:val="00245EF6"/>
    <w:rsid w:val="00250A62"/>
    <w:rsid w:val="0025131F"/>
    <w:rsid w:val="00253669"/>
    <w:rsid w:val="00255AC7"/>
    <w:rsid w:val="002569C5"/>
    <w:rsid w:val="00256A84"/>
    <w:rsid w:val="00257F4D"/>
    <w:rsid w:val="00260902"/>
    <w:rsid w:val="00260A71"/>
    <w:rsid w:val="0026198C"/>
    <w:rsid w:val="00261AC6"/>
    <w:rsid w:val="00262FCB"/>
    <w:rsid w:val="00263AB2"/>
    <w:rsid w:val="002643E5"/>
    <w:rsid w:val="00264503"/>
    <w:rsid w:val="00264EB2"/>
    <w:rsid w:val="00265009"/>
    <w:rsid w:val="0026705D"/>
    <w:rsid w:val="00267C83"/>
    <w:rsid w:val="00267F9F"/>
    <w:rsid w:val="00270AE8"/>
    <w:rsid w:val="00270DBF"/>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59F4"/>
    <w:rsid w:val="00285A81"/>
    <w:rsid w:val="00285BDF"/>
    <w:rsid w:val="00285F61"/>
    <w:rsid w:val="002862E3"/>
    <w:rsid w:val="002868A8"/>
    <w:rsid w:val="0028701F"/>
    <w:rsid w:val="00287BB6"/>
    <w:rsid w:val="00287E12"/>
    <w:rsid w:val="00290DAB"/>
    <w:rsid w:val="00291042"/>
    <w:rsid w:val="00291C24"/>
    <w:rsid w:val="002922D9"/>
    <w:rsid w:val="00292441"/>
    <w:rsid w:val="00292F73"/>
    <w:rsid w:val="00293A07"/>
    <w:rsid w:val="002950BC"/>
    <w:rsid w:val="002958E2"/>
    <w:rsid w:val="00295CE8"/>
    <w:rsid w:val="002962B1"/>
    <w:rsid w:val="002965AD"/>
    <w:rsid w:val="00297B75"/>
    <w:rsid w:val="002A0C4E"/>
    <w:rsid w:val="002A15D6"/>
    <w:rsid w:val="002A1672"/>
    <w:rsid w:val="002A22D6"/>
    <w:rsid w:val="002A3505"/>
    <w:rsid w:val="002A3741"/>
    <w:rsid w:val="002A4AAB"/>
    <w:rsid w:val="002A5CB2"/>
    <w:rsid w:val="002A5E44"/>
    <w:rsid w:val="002A65E2"/>
    <w:rsid w:val="002A7BBC"/>
    <w:rsid w:val="002B00AE"/>
    <w:rsid w:val="002B12E2"/>
    <w:rsid w:val="002B1662"/>
    <w:rsid w:val="002B3F03"/>
    <w:rsid w:val="002B4148"/>
    <w:rsid w:val="002B469A"/>
    <w:rsid w:val="002B51EA"/>
    <w:rsid w:val="002B5C26"/>
    <w:rsid w:val="002B7974"/>
    <w:rsid w:val="002C0DD0"/>
    <w:rsid w:val="002C11C5"/>
    <w:rsid w:val="002C1AB9"/>
    <w:rsid w:val="002C2D6E"/>
    <w:rsid w:val="002C3042"/>
    <w:rsid w:val="002C33EB"/>
    <w:rsid w:val="002C363B"/>
    <w:rsid w:val="002C465A"/>
    <w:rsid w:val="002C666B"/>
    <w:rsid w:val="002C6C07"/>
    <w:rsid w:val="002C6E3F"/>
    <w:rsid w:val="002C7157"/>
    <w:rsid w:val="002D13DD"/>
    <w:rsid w:val="002D1777"/>
    <w:rsid w:val="002D2F30"/>
    <w:rsid w:val="002D47DE"/>
    <w:rsid w:val="002D54FF"/>
    <w:rsid w:val="002D5C40"/>
    <w:rsid w:val="002D61AB"/>
    <w:rsid w:val="002D7BB2"/>
    <w:rsid w:val="002E1F2C"/>
    <w:rsid w:val="002E273F"/>
    <w:rsid w:val="002E28E9"/>
    <w:rsid w:val="002E348F"/>
    <w:rsid w:val="002E36ED"/>
    <w:rsid w:val="002E466F"/>
    <w:rsid w:val="002E6BFE"/>
    <w:rsid w:val="002F1878"/>
    <w:rsid w:val="002F4310"/>
    <w:rsid w:val="002F4865"/>
    <w:rsid w:val="002F499D"/>
    <w:rsid w:val="002F654F"/>
    <w:rsid w:val="002F7B60"/>
    <w:rsid w:val="0030203A"/>
    <w:rsid w:val="00306A74"/>
    <w:rsid w:val="00311CEC"/>
    <w:rsid w:val="00313325"/>
    <w:rsid w:val="00313A4D"/>
    <w:rsid w:val="00313F34"/>
    <w:rsid w:val="00314DB9"/>
    <w:rsid w:val="0031707F"/>
    <w:rsid w:val="00321E2F"/>
    <w:rsid w:val="003246F2"/>
    <w:rsid w:val="00324865"/>
    <w:rsid w:val="00324B01"/>
    <w:rsid w:val="00324E36"/>
    <w:rsid w:val="0032557C"/>
    <w:rsid w:val="00326478"/>
    <w:rsid w:val="003266B9"/>
    <w:rsid w:val="0032788A"/>
    <w:rsid w:val="00331031"/>
    <w:rsid w:val="00331281"/>
    <w:rsid w:val="003333CF"/>
    <w:rsid w:val="003347D8"/>
    <w:rsid w:val="003347F8"/>
    <w:rsid w:val="003348AD"/>
    <w:rsid w:val="003350FF"/>
    <w:rsid w:val="0033575A"/>
    <w:rsid w:val="003359F2"/>
    <w:rsid w:val="00340374"/>
    <w:rsid w:val="003405B0"/>
    <w:rsid w:val="00340734"/>
    <w:rsid w:val="0034095A"/>
    <w:rsid w:val="00340B45"/>
    <w:rsid w:val="0034287E"/>
    <w:rsid w:val="00342E44"/>
    <w:rsid w:val="00343125"/>
    <w:rsid w:val="00343334"/>
    <w:rsid w:val="00346F10"/>
    <w:rsid w:val="00347DC8"/>
    <w:rsid w:val="00350642"/>
    <w:rsid w:val="0035087B"/>
    <w:rsid w:val="00352E5D"/>
    <w:rsid w:val="003538B4"/>
    <w:rsid w:val="00353D3F"/>
    <w:rsid w:val="003546A7"/>
    <w:rsid w:val="00354E41"/>
    <w:rsid w:val="00355F7D"/>
    <w:rsid w:val="00356C0C"/>
    <w:rsid w:val="00357A18"/>
    <w:rsid w:val="00357CAE"/>
    <w:rsid w:val="0036003D"/>
    <w:rsid w:val="003601EE"/>
    <w:rsid w:val="0036092F"/>
    <w:rsid w:val="0036212C"/>
    <w:rsid w:val="00364709"/>
    <w:rsid w:val="00365849"/>
    <w:rsid w:val="00365CEB"/>
    <w:rsid w:val="0036608F"/>
    <w:rsid w:val="00367761"/>
    <w:rsid w:val="00371061"/>
    <w:rsid w:val="003723EC"/>
    <w:rsid w:val="003725C2"/>
    <w:rsid w:val="00373228"/>
    <w:rsid w:val="0037398C"/>
    <w:rsid w:val="00373BCB"/>
    <w:rsid w:val="00373DDA"/>
    <w:rsid w:val="003751D4"/>
    <w:rsid w:val="003765C9"/>
    <w:rsid w:val="0037765F"/>
    <w:rsid w:val="0037789B"/>
    <w:rsid w:val="003805C3"/>
    <w:rsid w:val="003808DC"/>
    <w:rsid w:val="003812EE"/>
    <w:rsid w:val="00381353"/>
    <w:rsid w:val="003817D3"/>
    <w:rsid w:val="00381AD3"/>
    <w:rsid w:val="00382023"/>
    <w:rsid w:val="00382317"/>
    <w:rsid w:val="00382748"/>
    <w:rsid w:val="0038366B"/>
    <w:rsid w:val="00383E27"/>
    <w:rsid w:val="00384A33"/>
    <w:rsid w:val="00384F53"/>
    <w:rsid w:val="0038718B"/>
    <w:rsid w:val="00390037"/>
    <w:rsid w:val="003908CB"/>
    <w:rsid w:val="00390F51"/>
    <w:rsid w:val="00391805"/>
    <w:rsid w:val="00392780"/>
    <w:rsid w:val="003965DB"/>
    <w:rsid w:val="003966A4"/>
    <w:rsid w:val="00397EA7"/>
    <w:rsid w:val="003A131A"/>
    <w:rsid w:val="003A1873"/>
    <w:rsid w:val="003A22A1"/>
    <w:rsid w:val="003A3153"/>
    <w:rsid w:val="003A389D"/>
    <w:rsid w:val="003A4099"/>
    <w:rsid w:val="003A4572"/>
    <w:rsid w:val="003A48A3"/>
    <w:rsid w:val="003A4DEB"/>
    <w:rsid w:val="003A56B4"/>
    <w:rsid w:val="003A63A3"/>
    <w:rsid w:val="003A7CE9"/>
    <w:rsid w:val="003A7D94"/>
    <w:rsid w:val="003B074C"/>
    <w:rsid w:val="003B304F"/>
    <w:rsid w:val="003B36FD"/>
    <w:rsid w:val="003B52E3"/>
    <w:rsid w:val="003B6EB4"/>
    <w:rsid w:val="003C0A14"/>
    <w:rsid w:val="003C1256"/>
    <w:rsid w:val="003C1404"/>
    <w:rsid w:val="003C229B"/>
    <w:rsid w:val="003C2F63"/>
    <w:rsid w:val="003C4815"/>
    <w:rsid w:val="003C5D94"/>
    <w:rsid w:val="003C7A73"/>
    <w:rsid w:val="003D061C"/>
    <w:rsid w:val="003D16A0"/>
    <w:rsid w:val="003D1765"/>
    <w:rsid w:val="003D188B"/>
    <w:rsid w:val="003D2993"/>
    <w:rsid w:val="003D3B9A"/>
    <w:rsid w:val="003D42BA"/>
    <w:rsid w:val="003D4669"/>
    <w:rsid w:val="003D5E2A"/>
    <w:rsid w:val="003D6B57"/>
    <w:rsid w:val="003D6F48"/>
    <w:rsid w:val="003E0880"/>
    <w:rsid w:val="003E0893"/>
    <w:rsid w:val="003E0C00"/>
    <w:rsid w:val="003E3CBC"/>
    <w:rsid w:val="003E4724"/>
    <w:rsid w:val="003E5316"/>
    <w:rsid w:val="003E5B81"/>
    <w:rsid w:val="003E63DA"/>
    <w:rsid w:val="003E6E9A"/>
    <w:rsid w:val="003E7A91"/>
    <w:rsid w:val="003F0052"/>
    <w:rsid w:val="003F080A"/>
    <w:rsid w:val="003F2BA3"/>
    <w:rsid w:val="003F4609"/>
    <w:rsid w:val="003F47E7"/>
    <w:rsid w:val="003F4887"/>
    <w:rsid w:val="003F6718"/>
    <w:rsid w:val="003F7A91"/>
    <w:rsid w:val="00400ACB"/>
    <w:rsid w:val="004014AC"/>
    <w:rsid w:val="00401EA9"/>
    <w:rsid w:val="00402BA3"/>
    <w:rsid w:val="004041BB"/>
    <w:rsid w:val="0040556F"/>
    <w:rsid w:val="00405C57"/>
    <w:rsid w:val="0040634B"/>
    <w:rsid w:val="00406717"/>
    <w:rsid w:val="00406F15"/>
    <w:rsid w:val="00407DF5"/>
    <w:rsid w:val="004112B7"/>
    <w:rsid w:val="004113F2"/>
    <w:rsid w:val="0041189C"/>
    <w:rsid w:val="00412846"/>
    <w:rsid w:val="0041286B"/>
    <w:rsid w:val="00412E55"/>
    <w:rsid w:val="00412EDA"/>
    <w:rsid w:val="00413ED6"/>
    <w:rsid w:val="0041470D"/>
    <w:rsid w:val="00415306"/>
    <w:rsid w:val="004153E5"/>
    <w:rsid w:val="00416293"/>
    <w:rsid w:val="004165A5"/>
    <w:rsid w:val="004165E0"/>
    <w:rsid w:val="0042020F"/>
    <w:rsid w:val="004209AD"/>
    <w:rsid w:val="00420E26"/>
    <w:rsid w:val="00423265"/>
    <w:rsid w:val="00423AB0"/>
    <w:rsid w:val="004241CA"/>
    <w:rsid w:val="00424DB7"/>
    <w:rsid w:val="0042508B"/>
    <w:rsid w:val="004255AF"/>
    <w:rsid w:val="00425EF9"/>
    <w:rsid w:val="00426293"/>
    <w:rsid w:val="0043056E"/>
    <w:rsid w:val="004307C1"/>
    <w:rsid w:val="0043102C"/>
    <w:rsid w:val="00431770"/>
    <w:rsid w:val="00431D80"/>
    <w:rsid w:val="0043264C"/>
    <w:rsid w:val="00432EDE"/>
    <w:rsid w:val="00433361"/>
    <w:rsid w:val="00433970"/>
    <w:rsid w:val="004346A4"/>
    <w:rsid w:val="00434E74"/>
    <w:rsid w:val="00435970"/>
    <w:rsid w:val="004366AC"/>
    <w:rsid w:val="00436879"/>
    <w:rsid w:val="00437C0C"/>
    <w:rsid w:val="00437DC8"/>
    <w:rsid w:val="00440935"/>
    <w:rsid w:val="0044137D"/>
    <w:rsid w:val="00441DE0"/>
    <w:rsid w:val="004428F8"/>
    <w:rsid w:val="004438EC"/>
    <w:rsid w:val="00445686"/>
    <w:rsid w:val="00446471"/>
    <w:rsid w:val="004470BD"/>
    <w:rsid w:val="00447425"/>
    <w:rsid w:val="00447F68"/>
    <w:rsid w:val="004508EB"/>
    <w:rsid w:val="004515F1"/>
    <w:rsid w:val="00453947"/>
    <w:rsid w:val="00456A2C"/>
    <w:rsid w:val="00457B50"/>
    <w:rsid w:val="00460668"/>
    <w:rsid w:val="004611C1"/>
    <w:rsid w:val="00462B72"/>
    <w:rsid w:val="00465AF5"/>
    <w:rsid w:val="004661B0"/>
    <w:rsid w:val="00466FEA"/>
    <w:rsid w:val="004702BD"/>
    <w:rsid w:val="00470775"/>
    <w:rsid w:val="0047091D"/>
    <w:rsid w:val="00472D5C"/>
    <w:rsid w:val="00473A7F"/>
    <w:rsid w:val="0047596E"/>
    <w:rsid w:val="00476409"/>
    <w:rsid w:val="00477865"/>
    <w:rsid w:val="00477AB3"/>
    <w:rsid w:val="00480F9B"/>
    <w:rsid w:val="00482A44"/>
    <w:rsid w:val="004838AA"/>
    <w:rsid w:val="00484599"/>
    <w:rsid w:val="004851C5"/>
    <w:rsid w:val="00485335"/>
    <w:rsid w:val="00485F0D"/>
    <w:rsid w:val="00486155"/>
    <w:rsid w:val="00487EFD"/>
    <w:rsid w:val="004911DC"/>
    <w:rsid w:val="004920BD"/>
    <w:rsid w:val="004944B6"/>
    <w:rsid w:val="00494A80"/>
    <w:rsid w:val="004A3B8B"/>
    <w:rsid w:val="004A4630"/>
    <w:rsid w:val="004A4CC2"/>
    <w:rsid w:val="004A5AEC"/>
    <w:rsid w:val="004A7952"/>
    <w:rsid w:val="004A7AFF"/>
    <w:rsid w:val="004B1465"/>
    <w:rsid w:val="004B268D"/>
    <w:rsid w:val="004B5555"/>
    <w:rsid w:val="004B6A9B"/>
    <w:rsid w:val="004C0A57"/>
    <w:rsid w:val="004C159B"/>
    <w:rsid w:val="004C1CEC"/>
    <w:rsid w:val="004C4320"/>
    <w:rsid w:val="004C5584"/>
    <w:rsid w:val="004C6B9E"/>
    <w:rsid w:val="004C6C6E"/>
    <w:rsid w:val="004C780E"/>
    <w:rsid w:val="004D090D"/>
    <w:rsid w:val="004D14D8"/>
    <w:rsid w:val="004D2C1C"/>
    <w:rsid w:val="004D3D91"/>
    <w:rsid w:val="004D4549"/>
    <w:rsid w:val="004D5ACE"/>
    <w:rsid w:val="004D5BB9"/>
    <w:rsid w:val="004D7834"/>
    <w:rsid w:val="004D7BF8"/>
    <w:rsid w:val="004E01E1"/>
    <w:rsid w:val="004E0B7A"/>
    <w:rsid w:val="004E0B8E"/>
    <w:rsid w:val="004E1894"/>
    <w:rsid w:val="004E2611"/>
    <w:rsid w:val="004E28E8"/>
    <w:rsid w:val="004E2CF6"/>
    <w:rsid w:val="004E3BBF"/>
    <w:rsid w:val="004E4CC2"/>
    <w:rsid w:val="004E518C"/>
    <w:rsid w:val="004E6F94"/>
    <w:rsid w:val="004E7578"/>
    <w:rsid w:val="004F0107"/>
    <w:rsid w:val="004F1699"/>
    <w:rsid w:val="004F17FB"/>
    <w:rsid w:val="004F3090"/>
    <w:rsid w:val="004F4346"/>
    <w:rsid w:val="004F489A"/>
    <w:rsid w:val="004F4A39"/>
    <w:rsid w:val="004F4D75"/>
    <w:rsid w:val="004F5F21"/>
    <w:rsid w:val="004F66D0"/>
    <w:rsid w:val="004F6747"/>
    <w:rsid w:val="00500332"/>
    <w:rsid w:val="00500F88"/>
    <w:rsid w:val="00504154"/>
    <w:rsid w:val="00504223"/>
    <w:rsid w:val="0050477B"/>
    <w:rsid w:val="005057CC"/>
    <w:rsid w:val="00505858"/>
    <w:rsid w:val="00505A9A"/>
    <w:rsid w:val="00505F80"/>
    <w:rsid w:val="00506735"/>
    <w:rsid w:val="005069A5"/>
    <w:rsid w:val="00507E86"/>
    <w:rsid w:val="0051089D"/>
    <w:rsid w:val="005115F3"/>
    <w:rsid w:val="00512BF2"/>
    <w:rsid w:val="00513834"/>
    <w:rsid w:val="00514908"/>
    <w:rsid w:val="00514A6D"/>
    <w:rsid w:val="00515EB7"/>
    <w:rsid w:val="00520518"/>
    <w:rsid w:val="005208EB"/>
    <w:rsid w:val="005209D7"/>
    <w:rsid w:val="00520CD4"/>
    <w:rsid w:val="0052205A"/>
    <w:rsid w:val="00523D1E"/>
    <w:rsid w:val="0052537E"/>
    <w:rsid w:val="00525F48"/>
    <w:rsid w:val="0052611C"/>
    <w:rsid w:val="005261F1"/>
    <w:rsid w:val="00526784"/>
    <w:rsid w:val="00526E2C"/>
    <w:rsid w:val="00527268"/>
    <w:rsid w:val="00527CD2"/>
    <w:rsid w:val="00531527"/>
    <w:rsid w:val="005316B6"/>
    <w:rsid w:val="00533FFC"/>
    <w:rsid w:val="0053539D"/>
    <w:rsid w:val="005361E0"/>
    <w:rsid w:val="005378EF"/>
    <w:rsid w:val="00540570"/>
    <w:rsid w:val="005437CF"/>
    <w:rsid w:val="0054482C"/>
    <w:rsid w:val="00547B5A"/>
    <w:rsid w:val="00550282"/>
    <w:rsid w:val="0055130D"/>
    <w:rsid w:val="005550DD"/>
    <w:rsid w:val="00555359"/>
    <w:rsid w:val="005575BA"/>
    <w:rsid w:val="00557DC5"/>
    <w:rsid w:val="00560C5B"/>
    <w:rsid w:val="00560F77"/>
    <w:rsid w:val="00561EA3"/>
    <w:rsid w:val="005624A0"/>
    <w:rsid w:val="005634AE"/>
    <w:rsid w:val="005635C8"/>
    <w:rsid w:val="00564B12"/>
    <w:rsid w:val="0056550D"/>
    <w:rsid w:val="005659AC"/>
    <w:rsid w:val="00566122"/>
    <w:rsid w:val="005665E1"/>
    <w:rsid w:val="00567592"/>
    <w:rsid w:val="00567730"/>
    <w:rsid w:val="00567B55"/>
    <w:rsid w:val="005701BB"/>
    <w:rsid w:val="005709B5"/>
    <w:rsid w:val="00570BB9"/>
    <w:rsid w:val="005712A8"/>
    <w:rsid w:val="00572418"/>
    <w:rsid w:val="00572A77"/>
    <w:rsid w:val="00573BE5"/>
    <w:rsid w:val="00574301"/>
    <w:rsid w:val="00574806"/>
    <w:rsid w:val="005752A3"/>
    <w:rsid w:val="00575CB7"/>
    <w:rsid w:val="00580F55"/>
    <w:rsid w:val="0058146F"/>
    <w:rsid w:val="00583F70"/>
    <w:rsid w:val="00584D05"/>
    <w:rsid w:val="0058523D"/>
    <w:rsid w:val="00586934"/>
    <w:rsid w:val="00587C00"/>
    <w:rsid w:val="00587E4F"/>
    <w:rsid w:val="0059033F"/>
    <w:rsid w:val="00591754"/>
    <w:rsid w:val="00591BBD"/>
    <w:rsid w:val="0059449D"/>
    <w:rsid w:val="00597E4B"/>
    <w:rsid w:val="005A1260"/>
    <w:rsid w:val="005A2328"/>
    <w:rsid w:val="005A2FA1"/>
    <w:rsid w:val="005A3014"/>
    <w:rsid w:val="005A35B6"/>
    <w:rsid w:val="005A4232"/>
    <w:rsid w:val="005A50A0"/>
    <w:rsid w:val="005A57A2"/>
    <w:rsid w:val="005A6740"/>
    <w:rsid w:val="005A6767"/>
    <w:rsid w:val="005A77C9"/>
    <w:rsid w:val="005A7A37"/>
    <w:rsid w:val="005B016E"/>
    <w:rsid w:val="005B03C3"/>
    <w:rsid w:val="005B0807"/>
    <w:rsid w:val="005B0C96"/>
    <w:rsid w:val="005B1244"/>
    <w:rsid w:val="005B214B"/>
    <w:rsid w:val="005B2CA3"/>
    <w:rsid w:val="005B3314"/>
    <w:rsid w:val="005B3467"/>
    <w:rsid w:val="005B5AF6"/>
    <w:rsid w:val="005B61FE"/>
    <w:rsid w:val="005B6687"/>
    <w:rsid w:val="005C09B3"/>
    <w:rsid w:val="005C0D7E"/>
    <w:rsid w:val="005C0DE7"/>
    <w:rsid w:val="005C0F07"/>
    <w:rsid w:val="005C177B"/>
    <w:rsid w:val="005C1CA1"/>
    <w:rsid w:val="005C2DE6"/>
    <w:rsid w:val="005C3E05"/>
    <w:rsid w:val="005C4EBF"/>
    <w:rsid w:val="005C5098"/>
    <w:rsid w:val="005C58EB"/>
    <w:rsid w:val="005C5977"/>
    <w:rsid w:val="005C7ED7"/>
    <w:rsid w:val="005D01A4"/>
    <w:rsid w:val="005D088D"/>
    <w:rsid w:val="005D0D39"/>
    <w:rsid w:val="005D1A7D"/>
    <w:rsid w:val="005D1D9B"/>
    <w:rsid w:val="005D1F21"/>
    <w:rsid w:val="005D392F"/>
    <w:rsid w:val="005D57AA"/>
    <w:rsid w:val="005D5D39"/>
    <w:rsid w:val="005D78A2"/>
    <w:rsid w:val="005E1C52"/>
    <w:rsid w:val="005E2E68"/>
    <w:rsid w:val="005E33D2"/>
    <w:rsid w:val="005E41E1"/>
    <w:rsid w:val="005E4442"/>
    <w:rsid w:val="005E4BD2"/>
    <w:rsid w:val="005E501E"/>
    <w:rsid w:val="005E50F3"/>
    <w:rsid w:val="005E5490"/>
    <w:rsid w:val="005E5F00"/>
    <w:rsid w:val="005F2D4C"/>
    <w:rsid w:val="005F31D5"/>
    <w:rsid w:val="005F37D4"/>
    <w:rsid w:val="005F42D2"/>
    <w:rsid w:val="005F4DD9"/>
    <w:rsid w:val="005F51F9"/>
    <w:rsid w:val="005F554A"/>
    <w:rsid w:val="005F67E2"/>
    <w:rsid w:val="006020D9"/>
    <w:rsid w:val="0060267A"/>
    <w:rsid w:val="006030D6"/>
    <w:rsid w:val="00603705"/>
    <w:rsid w:val="006043A4"/>
    <w:rsid w:val="00605007"/>
    <w:rsid w:val="0060594A"/>
    <w:rsid w:val="006105B3"/>
    <w:rsid w:val="006119B8"/>
    <w:rsid w:val="00613E21"/>
    <w:rsid w:val="00614CD3"/>
    <w:rsid w:val="0061627F"/>
    <w:rsid w:val="00616BF1"/>
    <w:rsid w:val="0062043A"/>
    <w:rsid w:val="00620808"/>
    <w:rsid w:val="006209D6"/>
    <w:rsid w:val="006217E3"/>
    <w:rsid w:val="00621A67"/>
    <w:rsid w:val="00621EDB"/>
    <w:rsid w:val="00622F37"/>
    <w:rsid w:val="006232A3"/>
    <w:rsid w:val="006240A6"/>
    <w:rsid w:val="006242DF"/>
    <w:rsid w:val="0062497C"/>
    <w:rsid w:val="00624EB7"/>
    <w:rsid w:val="0062600E"/>
    <w:rsid w:val="00626EC9"/>
    <w:rsid w:val="006365C2"/>
    <w:rsid w:val="00636643"/>
    <w:rsid w:val="006374CD"/>
    <w:rsid w:val="00637F16"/>
    <w:rsid w:val="00640570"/>
    <w:rsid w:val="00640CB0"/>
    <w:rsid w:val="00641143"/>
    <w:rsid w:val="0064267E"/>
    <w:rsid w:val="006430FF"/>
    <w:rsid w:val="0064347A"/>
    <w:rsid w:val="00643967"/>
    <w:rsid w:val="0064721C"/>
    <w:rsid w:val="00647882"/>
    <w:rsid w:val="00647DA8"/>
    <w:rsid w:val="00647F9D"/>
    <w:rsid w:val="006502AB"/>
    <w:rsid w:val="00650F32"/>
    <w:rsid w:val="00651177"/>
    <w:rsid w:val="0065343A"/>
    <w:rsid w:val="00653A2A"/>
    <w:rsid w:val="00653B74"/>
    <w:rsid w:val="006569FD"/>
    <w:rsid w:val="0066096D"/>
    <w:rsid w:val="0066100B"/>
    <w:rsid w:val="0066219C"/>
    <w:rsid w:val="00663D25"/>
    <w:rsid w:val="0066654B"/>
    <w:rsid w:val="00666B1D"/>
    <w:rsid w:val="006672FF"/>
    <w:rsid w:val="00671816"/>
    <w:rsid w:val="006724CA"/>
    <w:rsid w:val="006727E9"/>
    <w:rsid w:val="006746CD"/>
    <w:rsid w:val="00674DB1"/>
    <w:rsid w:val="00677156"/>
    <w:rsid w:val="006779A1"/>
    <w:rsid w:val="006807B3"/>
    <w:rsid w:val="006813A4"/>
    <w:rsid w:val="00681F77"/>
    <w:rsid w:val="006823B3"/>
    <w:rsid w:val="00682BA0"/>
    <w:rsid w:val="00682E7A"/>
    <w:rsid w:val="0068368F"/>
    <w:rsid w:val="0068390A"/>
    <w:rsid w:val="00684D30"/>
    <w:rsid w:val="0068528A"/>
    <w:rsid w:val="006855D3"/>
    <w:rsid w:val="00685D06"/>
    <w:rsid w:val="00686202"/>
    <w:rsid w:val="00690243"/>
    <w:rsid w:val="00690709"/>
    <w:rsid w:val="0069139A"/>
    <w:rsid w:val="006917A7"/>
    <w:rsid w:val="00691862"/>
    <w:rsid w:val="0069219F"/>
    <w:rsid w:val="006944EB"/>
    <w:rsid w:val="00694C2D"/>
    <w:rsid w:val="006954C4"/>
    <w:rsid w:val="006A00B7"/>
    <w:rsid w:val="006A0563"/>
    <w:rsid w:val="006A134B"/>
    <w:rsid w:val="006A1B12"/>
    <w:rsid w:val="006A229F"/>
    <w:rsid w:val="006A34AC"/>
    <w:rsid w:val="006A46A7"/>
    <w:rsid w:val="006A4D18"/>
    <w:rsid w:val="006A4F09"/>
    <w:rsid w:val="006A50E4"/>
    <w:rsid w:val="006A5C66"/>
    <w:rsid w:val="006A7371"/>
    <w:rsid w:val="006B34C9"/>
    <w:rsid w:val="006B399A"/>
    <w:rsid w:val="006B4795"/>
    <w:rsid w:val="006B5791"/>
    <w:rsid w:val="006B5914"/>
    <w:rsid w:val="006B60A2"/>
    <w:rsid w:val="006B6798"/>
    <w:rsid w:val="006B77BE"/>
    <w:rsid w:val="006B7B54"/>
    <w:rsid w:val="006C06AF"/>
    <w:rsid w:val="006C0F76"/>
    <w:rsid w:val="006C1340"/>
    <w:rsid w:val="006C23C2"/>
    <w:rsid w:val="006C33AC"/>
    <w:rsid w:val="006C4B1F"/>
    <w:rsid w:val="006C5C39"/>
    <w:rsid w:val="006C6FBB"/>
    <w:rsid w:val="006C723E"/>
    <w:rsid w:val="006C7B71"/>
    <w:rsid w:val="006D01E3"/>
    <w:rsid w:val="006D3A6D"/>
    <w:rsid w:val="006D46C6"/>
    <w:rsid w:val="006D4F91"/>
    <w:rsid w:val="006D5556"/>
    <w:rsid w:val="006D6DB3"/>
    <w:rsid w:val="006D7238"/>
    <w:rsid w:val="006E0419"/>
    <w:rsid w:val="006E0CF5"/>
    <w:rsid w:val="006E15B5"/>
    <w:rsid w:val="006E18EB"/>
    <w:rsid w:val="006E1C31"/>
    <w:rsid w:val="006E31A3"/>
    <w:rsid w:val="006E45CC"/>
    <w:rsid w:val="006E52E1"/>
    <w:rsid w:val="006E5C6C"/>
    <w:rsid w:val="006E63DE"/>
    <w:rsid w:val="006E6A42"/>
    <w:rsid w:val="006E70D1"/>
    <w:rsid w:val="006F04D9"/>
    <w:rsid w:val="006F07FA"/>
    <w:rsid w:val="006F0FBF"/>
    <w:rsid w:val="006F137B"/>
    <w:rsid w:val="006F1B2E"/>
    <w:rsid w:val="006F1DC1"/>
    <w:rsid w:val="006F2292"/>
    <w:rsid w:val="006F31D7"/>
    <w:rsid w:val="006F3670"/>
    <w:rsid w:val="006F3932"/>
    <w:rsid w:val="006F3B2C"/>
    <w:rsid w:val="006F48D3"/>
    <w:rsid w:val="006F4901"/>
    <w:rsid w:val="006F617A"/>
    <w:rsid w:val="006F6BD6"/>
    <w:rsid w:val="006F6D52"/>
    <w:rsid w:val="007001BB"/>
    <w:rsid w:val="0070184C"/>
    <w:rsid w:val="007028E7"/>
    <w:rsid w:val="007039B7"/>
    <w:rsid w:val="00703CAD"/>
    <w:rsid w:val="0070401B"/>
    <w:rsid w:val="00704082"/>
    <w:rsid w:val="00705371"/>
    <w:rsid w:val="007077DC"/>
    <w:rsid w:val="00707DAE"/>
    <w:rsid w:val="00710C2B"/>
    <w:rsid w:val="00712FDD"/>
    <w:rsid w:val="00713384"/>
    <w:rsid w:val="00713D73"/>
    <w:rsid w:val="007141E1"/>
    <w:rsid w:val="00714F31"/>
    <w:rsid w:val="0071593B"/>
    <w:rsid w:val="007219F6"/>
    <w:rsid w:val="00722046"/>
    <w:rsid w:val="00722CFC"/>
    <w:rsid w:val="0072440A"/>
    <w:rsid w:val="00724504"/>
    <w:rsid w:val="007247EB"/>
    <w:rsid w:val="007257D4"/>
    <w:rsid w:val="00725A64"/>
    <w:rsid w:val="00725BA5"/>
    <w:rsid w:val="00726485"/>
    <w:rsid w:val="00726F2B"/>
    <w:rsid w:val="00732F1A"/>
    <w:rsid w:val="00733151"/>
    <w:rsid w:val="00733AC8"/>
    <w:rsid w:val="00734A87"/>
    <w:rsid w:val="00734CF6"/>
    <w:rsid w:val="00735189"/>
    <w:rsid w:val="007360FB"/>
    <w:rsid w:val="007369A0"/>
    <w:rsid w:val="00740E6A"/>
    <w:rsid w:val="007413D9"/>
    <w:rsid w:val="0074150C"/>
    <w:rsid w:val="00742024"/>
    <w:rsid w:val="007434B4"/>
    <w:rsid w:val="00744360"/>
    <w:rsid w:val="007455AC"/>
    <w:rsid w:val="00745685"/>
    <w:rsid w:val="0074593E"/>
    <w:rsid w:val="007460BC"/>
    <w:rsid w:val="00746586"/>
    <w:rsid w:val="00747190"/>
    <w:rsid w:val="00747779"/>
    <w:rsid w:val="00747DDA"/>
    <w:rsid w:val="00747F03"/>
    <w:rsid w:val="00750446"/>
    <w:rsid w:val="00751132"/>
    <w:rsid w:val="00751F7C"/>
    <w:rsid w:val="00753FAF"/>
    <w:rsid w:val="00755F77"/>
    <w:rsid w:val="007567BC"/>
    <w:rsid w:val="007568EE"/>
    <w:rsid w:val="007601F3"/>
    <w:rsid w:val="007606C3"/>
    <w:rsid w:val="00760E64"/>
    <w:rsid w:val="007611A9"/>
    <w:rsid w:val="00761C5D"/>
    <w:rsid w:val="00761F02"/>
    <w:rsid w:val="0076488F"/>
    <w:rsid w:val="00765AED"/>
    <w:rsid w:val="0076675E"/>
    <w:rsid w:val="0076684A"/>
    <w:rsid w:val="00767220"/>
    <w:rsid w:val="00771449"/>
    <w:rsid w:val="00771DE6"/>
    <w:rsid w:val="007723AB"/>
    <w:rsid w:val="0077273F"/>
    <w:rsid w:val="0077276B"/>
    <w:rsid w:val="007741AD"/>
    <w:rsid w:val="00774632"/>
    <w:rsid w:val="00775065"/>
    <w:rsid w:val="00777B6C"/>
    <w:rsid w:val="00780CB0"/>
    <w:rsid w:val="007847B2"/>
    <w:rsid w:val="00785952"/>
    <w:rsid w:val="00786755"/>
    <w:rsid w:val="00787111"/>
    <w:rsid w:val="00787136"/>
    <w:rsid w:val="0078751B"/>
    <w:rsid w:val="00787713"/>
    <w:rsid w:val="00787B90"/>
    <w:rsid w:val="007928E2"/>
    <w:rsid w:val="007936B7"/>
    <w:rsid w:val="007938A2"/>
    <w:rsid w:val="00793C99"/>
    <w:rsid w:val="007946C7"/>
    <w:rsid w:val="007948EB"/>
    <w:rsid w:val="0079531F"/>
    <w:rsid w:val="00795D1A"/>
    <w:rsid w:val="007972B8"/>
    <w:rsid w:val="00797518"/>
    <w:rsid w:val="007975C6"/>
    <w:rsid w:val="007A32D4"/>
    <w:rsid w:val="007A33DB"/>
    <w:rsid w:val="007A3ABD"/>
    <w:rsid w:val="007A4B56"/>
    <w:rsid w:val="007A54CF"/>
    <w:rsid w:val="007A5DDD"/>
    <w:rsid w:val="007A69F1"/>
    <w:rsid w:val="007A6B90"/>
    <w:rsid w:val="007B00EC"/>
    <w:rsid w:val="007B0338"/>
    <w:rsid w:val="007B0520"/>
    <w:rsid w:val="007B2232"/>
    <w:rsid w:val="007B4A00"/>
    <w:rsid w:val="007B644C"/>
    <w:rsid w:val="007B65F8"/>
    <w:rsid w:val="007C0C56"/>
    <w:rsid w:val="007C2C9D"/>
    <w:rsid w:val="007C302F"/>
    <w:rsid w:val="007C5299"/>
    <w:rsid w:val="007C5C1F"/>
    <w:rsid w:val="007C5F6A"/>
    <w:rsid w:val="007C6ED7"/>
    <w:rsid w:val="007C76F3"/>
    <w:rsid w:val="007D0885"/>
    <w:rsid w:val="007D1565"/>
    <w:rsid w:val="007D23C8"/>
    <w:rsid w:val="007D348B"/>
    <w:rsid w:val="007D3A8A"/>
    <w:rsid w:val="007D405F"/>
    <w:rsid w:val="007D460B"/>
    <w:rsid w:val="007D4EAE"/>
    <w:rsid w:val="007D57AF"/>
    <w:rsid w:val="007D5C23"/>
    <w:rsid w:val="007D6E84"/>
    <w:rsid w:val="007D71A8"/>
    <w:rsid w:val="007D7812"/>
    <w:rsid w:val="007E0993"/>
    <w:rsid w:val="007E1305"/>
    <w:rsid w:val="007E1DC0"/>
    <w:rsid w:val="007E256E"/>
    <w:rsid w:val="007E2C2B"/>
    <w:rsid w:val="007E2F36"/>
    <w:rsid w:val="007E3355"/>
    <w:rsid w:val="007E4784"/>
    <w:rsid w:val="007E484A"/>
    <w:rsid w:val="007E4969"/>
    <w:rsid w:val="007E5152"/>
    <w:rsid w:val="007E5BC4"/>
    <w:rsid w:val="007F589A"/>
    <w:rsid w:val="007F5A41"/>
    <w:rsid w:val="007F5C7E"/>
    <w:rsid w:val="007F5C8A"/>
    <w:rsid w:val="007F6ECA"/>
    <w:rsid w:val="00801B24"/>
    <w:rsid w:val="008022FA"/>
    <w:rsid w:val="00802842"/>
    <w:rsid w:val="008029A3"/>
    <w:rsid w:val="00802D88"/>
    <w:rsid w:val="008041E9"/>
    <w:rsid w:val="00804342"/>
    <w:rsid w:val="0080530F"/>
    <w:rsid w:val="00805524"/>
    <w:rsid w:val="00805B8A"/>
    <w:rsid w:val="00805E68"/>
    <w:rsid w:val="00807280"/>
    <w:rsid w:val="00807527"/>
    <w:rsid w:val="008100B3"/>
    <w:rsid w:val="00811559"/>
    <w:rsid w:val="008137E0"/>
    <w:rsid w:val="00814617"/>
    <w:rsid w:val="00814F1A"/>
    <w:rsid w:val="008168BB"/>
    <w:rsid w:val="008171F2"/>
    <w:rsid w:val="008205E0"/>
    <w:rsid w:val="00820C24"/>
    <w:rsid w:val="00821980"/>
    <w:rsid w:val="0082253F"/>
    <w:rsid w:val="00823B5F"/>
    <w:rsid w:val="00824B7E"/>
    <w:rsid w:val="00826848"/>
    <w:rsid w:val="00826A07"/>
    <w:rsid w:val="00826FDC"/>
    <w:rsid w:val="008327F1"/>
    <w:rsid w:val="0083358D"/>
    <w:rsid w:val="00833685"/>
    <w:rsid w:val="008348A7"/>
    <w:rsid w:val="00834DF7"/>
    <w:rsid w:val="008368A0"/>
    <w:rsid w:val="00837704"/>
    <w:rsid w:val="008400EE"/>
    <w:rsid w:val="00840AB2"/>
    <w:rsid w:val="008417A5"/>
    <w:rsid w:val="00842D56"/>
    <w:rsid w:val="00844573"/>
    <w:rsid w:val="00844C56"/>
    <w:rsid w:val="00845C17"/>
    <w:rsid w:val="00846C2C"/>
    <w:rsid w:val="0085129C"/>
    <w:rsid w:val="00852675"/>
    <w:rsid w:val="00852853"/>
    <w:rsid w:val="00853251"/>
    <w:rsid w:val="00854301"/>
    <w:rsid w:val="008558C2"/>
    <w:rsid w:val="008570AA"/>
    <w:rsid w:val="00860E07"/>
    <w:rsid w:val="008613AD"/>
    <w:rsid w:val="0086223C"/>
    <w:rsid w:val="00862AC9"/>
    <w:rsid w:val="00862E2B"/>
    <w:rsid w:val="00863896"/>
    <w:rsid w:val="00863AFA"/>
    <w:rsid w:val="00865FC0"/>
    <w:rsid w:val="00865FEB"/>
    <w:rsid w:val="0086659F"/>
    <w:rsid w:val="00866B3B"/>
    <w:rsid w:val="008706F9"/>
    <w:rsid w:val="00871BBB"/>
    <w:rsid w:val="00873CDE"/>
    <w:rsid w:val="00874C18"/>
    <w:rsid w:val="00875458"/>
    <w:rsid w:val="00875A3A"/>
    <w:rsid w:val="00876925"/>
    <w:rsid w:val="00877941"/>
    <w:rsid w:val="0088016F"/>
    <w:rsid w:val="00880359"/>
    <w:rsid w:val="0088062D"/>
    <w:rsid w:val="00880C22"/>
    <w:rsid w:val="00881408"/>
    <w:rsid w:val="0088206F"/>
    <w:rsid w:val="008821CE"/>
    <w:rsid w:val="00882419"/>
    <w:rsid w:val="008828A3"/>
    <w:rsid w:val="00882F88"/>
    <w:rsid w:val="008836B3"/>
    <w:rsid w:val="00883835"/>
    <w:rsid w:val="00884527"/>
    <w:rsid w:val="00885429"/>
    <w:rsid w:val="00886054"/>
    <w:rsid w:val="008862FF"/>
    <w:rsid w:val="00886FAE"/>
    <w:rsid w:val="00887570"/>
    <w:rsid w:val="0088767A"/>
    <w:rsid w:val="00892D2C"/>
    <w:rsid w:val="00893531"/>
    <w:rsid w:val="008952DA"/>
    <w:rsid w:val="00895D20"/>
    <w:rsid w:val="008961A9"/>
    <w:rsid w:val="00897720"/>
    <w:rsid w:val="008978AE"/>
    <w:rsid w:val="008A0865"/>
    <w:rsid w:val="008A1CC1"/>
    <w:rsid w:val="008A1E03"/>
    <w:rsid w:val="008A400C"/>
    <w:rsid w:val="008A4564"/>
    <w:rsid w:val="008A64F6"/>
    <w:rsid w:val="008A664A"/>
    <w:rsid w:val="008A6C2A"/>
    <w:rsid w:val="008A75A2"/>
    <w:rsid w:val="008B064A"/>
    <w:rsid w:val="008B35FF"/>
    <w:rsid w:val="008B3914"/>
    <w:rsid w:val="008B3B34"/>
    <w:rsid w:val="008B4ECD"/>
    <w:rsid w:val="008B685F"/>
    <w:rsid w:val="008B7C50"/>
    <w:rsid w:val="008B7C74"/>
    <w:rsid w:val="008B7E9E"/>
    <w:rsid w:val="008C008E"/>
    <w:rsid w:val="008C2834"/>
    <w:rsid w:val="008C29DE"/>
    <w:rsid w:val="008C2DE1"/>
    <w:rsid w:val="008C3A07"/>
    <w:rsid w:val="008C41AF"/>
    <w:rsid w:val="008C47C2"/>
    <w:rsid w:val="008C59E1"/>
    <w:rsid w:val="008D0C02"/>
    <w:rsid w:val="008D201F"/>
    <w:rsid w:val="008D3FC4"/>
    <w:rsid w:val="008D499A"/>
    <w:rsid w:val="008D4A08"/>
    <w:rsid w:val="008D5A64"/>
    <w:rsid w:val="008D63C6"/>
    <w:rsid w:val="008D71E1"/>
    <w:rsid w:val="008E1B2E"/>
    <w:rsid w:val="008E2E02"/>
    <w:rsid w:val="008E3392"/>
    <w:rsid w:val="008E3C1A"/>
    <w:rsid w:val="008E4ED5"/>
    <w:rsid w:val="008E6DFB"/>
    <w:rsid w:val="008F1C57"/>
    <w:rsid w:val="008F587E"/>
    <w:rsid w:val="008F63FC"/>
    <w:rsid w:val="008F6500"/>
    <w:rsid w:val="008F73EE"/>
    <w:rsid w:val="00901406"/>
    <w:rsid w:val="00901880"/>
    <w:rsid w:val="00901F5B"/>
    <w:rsid w:val="0090312E"/>
    <w:rsid w:val="00903231"/>
    <w:rsid w:val="0090323D"/>
    <w:rsid w:val="0090365C"/>
    <w:rsid w:val="009040DE"/>
    <w:rsid w:val="00904101"/>
    <w:rsid w:val="00904162"/>
    <w:rsid w:val="00904FDD"/>
    <w:rsid w:val="009055CB"/>
    <w:rsid w:val="009069C0"/>
    <w:rsid w:val="0090766C"/>
    <w:rsid w:val="009104BE"/>
    <w:rsid w:val="00910FB9"/>
    <w:rsid w:val="0091102F"/>
    <w:rsid w:val="009130C4"/>
    <w:rsid w:val="009138A1"/>
    <w:rsid w:val="00913D07"/>
    <w:rsid w:val="00914055"/>
    <w:rsid w:val="00915C2A"/>
    <w:rsid w:val="00916580"/>
    <w:rsid w:val="0091715D"/>
    <w:rsid w:val="009179EE"/>
    <w:rsid w:val="00917B30"/>
    <w:rsid w:val="00921556"/>
    <w:rsid w:val="0092181D"/>
    <w:rsid w:val="009220E1"/>
    <w:rsid w:val="009226FF"/>
    <w:rsid w:val="00922BF1"/>
    <w:rsid w:val="00922DDF"/>
    <w:rsid w:val="0092412A"/>
    <w:rsid w:val="0092516A"/>
    <w:rsid w:val="009253D4"/>
    <w:rsid w:val="009258D3"/>
    <w:rsid w:val="00926E98"/>
    <w:rsid w:val="0093049E"/>
    <w:rsid w:val="00932D24"/>
    <w:rsid w:val="0093449D"/>
    <w:rsid w:val="0093744F"/>
    <w:rsid w:val="009413A9"/>
    <w:rsid w:val="009438E2"/>
    <w:rsid w:val="00943F2F"/>
    <w:rsid w:val="009440E8"/>
    <w:rsid w:val="0094476B"/>
    <w:rsid w:val="00944F45"/>
    <w:rsid w:val="00945FCD"/>
    <w:rsid w:val="009471C8"/>
    <w:rsid w:val="00950768"/>
    <w:rsid w:val="00951E05"/>
    <w:rsid w:val="009523BC"/>
    <w:rsid w:val="0095283A"/>
    <w:rsid w:val="009530CA"/>
    <w:rsid w:val="00953295"/>
    <w:rsid w:val="009533D4"/>
    <w:rsid w:val="009536C0"/>
    <w:rsid w:val="00955A0A"/>
    <w:rsid w:val="00956792"/>
    <w:rsid w:val="009575AE"/>
    <w:rsid w:val="00957733"/>
    <w:rsid w:val="0096037C"/>
    <w:rsid w:val="009605C3"/>
    <w:rsid w:val="00960AEF"/>
    <w:rsid w:val="00964404"/>
    <w:rsid w:val="009663CE"/>
    <w:rsid w:val="00966666"/>
    <w:rsid w:val="00966A87"/>
    <w:rsid w:val="00967B29"/>
    <w:rsid w:val="00967EB5"/>
    <w:rsid w:val="0097053B"/>
    <w:rsid w:val="00970885"/>
    <w:rsid w:val="009716E8"/>
    <w:rsid w:val="00974D37"/>
    <w:rsid w:val="00974E44"/>
    <w:rsid w:val="009764A4"/>
    <w:rsid w:val="009771AA"/>
    <w:rsid w:val="0098151F"/>
    <w:rsid w:val="009822D7"/>
    <w:rsid w:val="009822F0"/>
    <w:rsid w:val="00983A67"/>
    <w:rsid w:val="00983E55"/>
    <w:rsid w:val="009864CF"/>
    <w:rsid w:val="009868D4"/>
    <w:rsid w:val="0099031D"/>
    <w:rsid w:val="00991EB4"/>
    <w:rsid w:val="009928A8"/>
    <w:rsid w:val="00992BAF"/>
    <w:rsid w:val="00992F43"/>
    <w:rsid w:val="00993871"/>
    <w:rsid w:val="00994C2B"/>
    <w:rsid w:val="00994DAF"/>
    <w:rsid w:val="00996896"/>
    <w:rsid w:val="00996B4D"/>
    <w:rsid w:val="00996D0D"/>
    <w:rsid w:val="009A0AA3"/>
    <w:rsid w:val="009A0EAF"/>
    <w:rsid w:val="009A2243"/>
    <w:rsid w:val="009A2CBF"/>
    <w:rsid w:val="009A30BF"/>
    <w:rsid w:val="009A3F9F"/>
    <w:rsid w:val="009A4C47"/>
    <w:rsid w:val="009A5E9C"/>
    <w:rsid w:val="009A7525"/>
    <w:rsid w:val="009A7664"/>
    <w:rsid w:val="009A7FB8"/>
    <w:rsid w:val="009B06BC"/>
    <w:rsid w:val="009B1169"/>
    <w:rsid w:val="009B1687"/>
    <w:rsid w:val="009B1F47"/>
    <w:rsid w:val="009B2B6A"/>
    <w:rsid w:val="009B327E"/>
    <w:rsid w:val="009B339A"/>
    <w:rsid w:val="009B3680"/>
    <w:rsid w:val="009B4D71"/>
    <w:rsid w:val="009B56E8"/>
    <w:rsid w:val="009B5BE2"/>
    <w:rsid w:val="009C120F"/>
    <w:rsid w:val="009C29F4"/>
    <w:rsid w:val="009C2F1E"/>
    <w:rsid w:val="009C3487"/>
    <w:rsid w:val="009C39BD"/>
    <w:rsid w:val="009C4F0D"/>
    <w:rsid w:val="009C7F22"/>
    <w:rsid w:val="009D09B9"/>
    <w:rsid w:val="009D7095"/>
    <w:rsid w:val="009E04AF"/>
    <w:rsid w:val="009E4A6F"/>
    <w:rsid w:val="009E5BB5"/>
    <w:rsid w:val="009E6986"/>
    <w:rsid w:val="009E69CC"/>
    <w:rsid w:val="009F08F7"/>
    <w:rsid w:val="009F091E"/>
    <w:rsid w:val="009F09DD"/>
    <w:rsid w:val="009F3C62"/>
    <w:rsid w:val="009F51BF"/>
    <w:rsid w:val="009F6612"/>
    <w:rsid w:val="009F7FB0"/>
    <w:rsid w:val="00A00FE5"/>
    <w:rsid w:val="00A025C8"/>
    <w:rsid w:val="00A0440E"/>
    <w:rsid w:val="00A055A2"/>
    <w:rsid w:val="00A05BDC"/>
    <w:rsid w:val="00A068BD"/>
    <w:rsid w:val="00A079C5"/>
    <w:rsid w:val="00A10993"/>
    <w:rsid w:val="00A10DF5"/>
    <w:rsid w:val="00A118FA"/>
    <w:rsid w:val="00A1238E"/>
    <w:rsid w:val="00A147BA"/>
    <w:rsid w:val="00A14F25"/>
    <w:rsid w:val="00A150CD"/>
    <w:rsid w:val="00A20365"/>
    <w:rsid w:val="00A2099A"/>
    <w:rsid w:val="00A20DB6"/>
    <w:rsid w:val="00A21A8D"/>
    <w:rsid w:val="00A21F26"/>
    <w:rsid w:val="00A23123"/>
    <w:rsid w:val="00A251BE"/>
    <w:rsid w:val="00A27620"/>
    <w:rsid w:val="00A308A5"/>
    <w:rsid w:val="00A30C20"/>
    <w:rsid w:val="00A31C0C"/>
    <w:rsid w:val="00A32970"/>
    <w:rsid w:val="00A33BF9"/>
    <w:rsid w:val="00A33F77"/>
    <w:rsid w:val="00A340D8"/>
    <w:rsid w:val="00A35822"/>
    <w:rsid w:val="00A364E0"/>
    <w:rsid w:val="00A3740A"/>
    <w:rsid w:val="00A40786"/>
    <w:rsid w:val="00A410EA"/>
    <w:rsid w:val="00A4267E"/>
    <w:rsid w:val="00A42F8F"/>
    <w:rsid w:val="00A43F6D"/>
    <w:rsid w:val="00A44128"/>
    <w:rsid w:val="00A44AA1"/>
    <w:rsid w:val="00A45D07"/>
    <w:rsid w:val="00A47B85"/>
    <w:rsid w:val="00A513BE"/>
    <w:rsid w:val="00A51B00"/>
    <w:rsid w:val="00A53A4C"/>
    <w:rsid w:val="00A53AA9"/>
    <w:rsid w:val="00A543D4"/>
    <w:rsid w:val="00A54ADC"/>
    <w:rsid w:val="00A572BD"/>
    <w:rsid w:val="00A57B0B"/>
    <w:rsid w:val="00A60510"/>
    <w:rsid w:val="00A611BB"/>
    <w:rsid w:val="00A64028"/>
    <w:rsid w:val="00A64425"/>
    <w:rsid w:val="00A668FB"/>
    <w:rsid w:val="00A6702B"/>
    <w:rsid w:val="00A71189"/>
    <w:rsid w:val="00A71D10"/>
    <w:rsid w:val="00A71D21"/>
    <w:rsid w:val="00A7220C"/>
    <w:rsid w:val="00A73A8A"/>
    <w:rsid w:val="00A73F66"/>
    <w:rsid w:val="00A7408E"/>
    <w:rsid w:val="00A74F07"/>
    <w:rsid w:val="00A76084"/>
    <w:rsid w:val="00A806A9"/>
    <w:rsid w:val="00A807C8"/>
    <w:rsid w:val="00A80A87"/>
    <w:rsid w:val="00A812A3"/>
    <w:rsid w:val="00A81C21"/>
    <w:rsid w:val="00A83F45"/>
    <w:rsid w:val="00A8400E"/>
    <w:rsid w:val="00A86119"/>
    <w:rsid w:val="00A867DB"/>
    <w:rsid w:val="00A869D6"/>
    <w:rsid w:val="00A86ECE"/>
    <w:rsid w:val="00A90B18"/>
    <w:rsid w:val="00A90F3C"/>
    <w:rsid w:val="00A92883"/>
    <w:rsid w:val="00A92E92"/>
    <w:rsid w:val="00A93090"/>
    <w:rsid w:val="00A933B4"/>
    <w:rsid w:val="00A95AC6"/>
    <w:rsid w:val="00A95E01"/>
    <w:rsid w:val="00A96972"/>
    <w:rsid w:val="00A9710F"/>
    <w:rsid w:val="00A979CB"/>
    <w:rsid w:val="00AA4277"/>
    <w:rsid w:val="00AA4545"/>
    <w:rsid w:val="00AA6414"/>
    <w:rsid w:val="00AB03B3"/>
    <w:rsid w:val="00AB05A0"/>
    <w:rsid w:val="00AB0DD6"/>
    <w:rsid w:val="00AB126F"/>
    <w:rsid w:val="00AB1312"/>
    <w:rsid w:val="00AB179F"/>
    <w:rsid w:val="00AB210D"/>
    <w:rsid w:val="00AB4CFA"/>
    <w:rsid w:val="00AB5225"/>
    <w:rsid w:val="00AB621A"/>
    <w:rsid w:val="00AB65F6"/>
    <w:rsid w:val="00AB704D"/>
    <w:rsid w:val="00AB70A5"/>
    <w:rsid w:val="00AB77B3"/>
    <w:rsid w:val="00AB7A04"/>
    <w:rsid w:val="00AC14AF"/>
    <w:rsid w:val="00AC25B2"/>
    <w:rsid w:val="00AC47B6"/>
    <w:rsid w:val="00AC558B"/>
    <w:rsid w:val="00AC5FEB"/>
    <w:rsid w:val="00AC7AA9"/>
    <w:rsid w:val="00AC7D32"/>
    <w:rsid w:val="00AD0017"/>
    <w:rsid w:val="00AD0343"/>
    <w:rsid w:val="00AD0B8C"/>
    <w:rsid w:val="00AD3712"/>
    <w:rsid w:val="00AD3D71"/>
    <w:rsid w:val="00AD3EA2"/>
    <w:rsid w:val="00AD4070"/>
    <w:rsid w:val="00AD44DC"/>
    <w:rsid w:val="00AD4609"/>
    <w:rsid w:val="00AD5A5C"/>
    <w:rsid w:val="00AE0EF8"/>
    <w:rsid w:val="00AE3218"/>
    <w:rsid w:val="00AE32D9"/>
    <w:rsid w:val="00AE3B1F"/>
    <w:rsid w:val="00AE43C4"/>
    <w:rsid w:val="00AE4454"/>
    <w:rsid w:val="00AE4958"/>
    <w:rsid w:val="00AE4D65"/>
    <w:rsid w:val="00AE52B3"/>
    <w:rsid w:val="00AE58AB"/>
    <w:rsid w:val="00AE7DF5"/>
    <w:rsid w:val="00AF0141"/>
    <w:rsid w:val="00AF18B3"/>
    <w:rsid w:val="00AF25D7"/>
    <w:rsid w:val="00AF3BA9"/>
    <w:rsid w:val="00AF4CCA"/>
    <w:rsid w:val="00AF7B5E"/>
    <w:rsid w:val="00B00935"/>
    <w:rsid w:val="00B00CF6"/>
    <w:rsid w:val="00B012BD"/>
    <w:rsid w:val="00B014E7"/>
    <w:rsid w:val="00B02A7E"/>
    <w:rsid w:val="00B02D50"/>
    <w:rsid w:val="00B036E5"/>
    <w:rsid w:val="00B06424"/>
    <w:rsid w:val="00B07C43"/>
    <w:rsid w:val="00B108D2"/>
    <w:rsid w:val="00B10B2A"/>
    <w:rsid w:val="00B115CA"/>
    <w:rsid w:val="00B122B7"/>
    <w:rsid w:val="00B137EA"/>
    <w:rsid w:val="00B13FED"/>
    <w:rsid w:val="00B14152"/>
    <w:rsid w:val="00B14513"/>
    <w:rsid w:val="00B147C9"/>
    <w:rsid w:val="00B15ACB"/>
    <w:rsid w:val="00B1686A"/>
    <w:rsid w:val="00B20FEC"/>
    <w:rsid w:val="00B216C6"/>
    <w:rsid w:val="00B218D2"/>
    <w:rsid w:val="00B21BCE"/>
    <w:rsid w:val="00B221AB"/>
    <w:rsid w:val="00B2223A"/>
    <w:rsid w:val="00B22735"/>
    <w:rsid w:val="00B22ABA"/>
    <w:rsid w:val="00B233A7"/>
    <w:rsid w:val="00B242AF"/>
    <w:rsid w:val="00B24A89"/>
    <w:rsid w:val="00B24DFF"/>
    <w:rsid w:val="00B2614F"/>
    <w:rsid w:val="00B26607"/>
    <w:rsid w:val="00B277C0"/>
    <w:rsid w:val="00B30004"/>
    <w:rsid w:val="00B302AC"/>
    <w:rsid w:val="00B307F5"/>
    <w:rsid w:val="00B318AA"/>
    <w:rsid w:val="00B31CB9"/>
    <w:rsid w:val="00B33C46"/>
    <w:rsid w:val="00B37CD6"/>
    <w:rsid w:val="00B416F4"/>
    <w:rsid w:val="00B41991"/>
    <w:rsid w:val="00B420B0"/>
    <w:rsid w:val="00B42258"/>
    <w:rsid w:val="00B42450"/>
    <w:rsid w:val="00B4378F"/>
    <w:rsid w:val="00B44107"/>
    <w:rsid w:val="00B45413"/>
    <w:rsid w:val="00B45891"/>
    <w:rsid w:val="00B46449"/>
    <w:rsid w:val="00B47A89"/>
    <w:rsid w:val="00B47F99"/>
    <w:rsid w:val="00B50B02"/>
    <w:rsid w:val="00B51CB4"/>
    <w:rsid w:val="00B52945"/>
    <w:rsid w:val="00B52B57"/>
    <w:rsid w:val="00B53341"/>
    <w:rsid w:val="00B533D2"/>
    <w:rsid w:val="00B53710"/>
    <w:rsid w:val="00B539D0"/>
    <w:rsid w:val="00B53D89"/>
    <w:rsid w:val="00B56CDE"/>
    <w:rsid w:val="00B5734F"/>
    <w:rsid w:val="00B575F0"/>
    <w:rsid w:val="00B578B5"/>
    <w:rsid w:val="00B6048A"/>
    <w:rsid w:val="00B61262"/>
    <w:rsid w:val="00B612F1"/>
    <w:rsid w:val="00B618A0"/>
    <w:rsid w:val="00B629EE"/>
    <w:rsid w:val="00B62F29"/>
    <w:rsid w:val="00B6426D"/>
    <w:rsid w:val="00B650CF"/>
    <w:rsid w:val="00B661D4"/>
    <w:rsid w:val="00B667F6"/>
    <w:rsid w:val="00B7097C"/>
    <w:rsid w:val="00B70D74"/>
    <w:rsid w:val="00B71032"/>
    <w:rsid w:val="00B716F8"/>
    <w:rsid w:val="00B71E34"/>
    <w:rsid w:val="00B7326F"/>
    <w:rsid w:val="00B762A9"/>
    <w:rsid w:val="00B76AA9"/>
    <w:rsid w:val="00B77BB6"/>
    <w:rsid w:val="00B80917"/>
    <w:rsid w:val="00B81B3B"/>
    <w:rsid w:val="00B8333A"/>
    <w:rsid w:val="00B83403"/>
    <w:rsid w:val="00B8357F"/>
    <w:rsid w:val="00B8443F"/>
    <w:rsid w:val="00B87EE4"/>
    <w:rsid w:val="00B91352"/>
    <w:rsid w:val="00B917E2"/>
    <w:rsid w:val="00B924B7"/>
    <w:rsid w:val="00B924B9"/>
    <w:rsid w:val="00B92BEC"/>
    <w:rsid w:val="00B93D7E"/>
    <w:rsid w:val="00B948B3"/>
    <w:rsid w:val="00B95659"/>
    <w:rsid w:val="00B95BF4"/>
    <w:rsid w:val="00B962C7"/>
    <w:rsid w:val="00B96EA9"/>
    <w:rsid w:val="00B9759F"/>
    <w:rsid w:val="00BA1CF8"/>
    <w:rsid w:val="00BA27AD"/>
    <w:rsid w:val="00BA2A64"/>
    <w:rsid w:val="00BA2FAA"/>
    <w:rsid w:val="00BA3DEF"/>
    <w:rsid w:val="00BA499C"/>
    <w:rsid w:val="00BA5A6A"/>
    <w:rsid w:val="00BB014D"/>
    <w:rsid w:val="00BB1478"/>
    <w:rsid w:val="00BB1830"/>
    <w:rsid w:val="00BB220F"/>
    <w:rsid w:val="00BB4A09"/>
    <w:rsid w:val="00BB5B51"/>
    <w:rsid w:val="00BB7E13"/>
    <w:rsid w:val="00BC06E2"/>
    <w:rsid w:val="00BC0FDA"/>
    <w:rsid w:val="00BC1A1F"/>
    <w:rsid w:val="00BC23A2"/>
    <w:rsid w:val="00BC3538"/>
    <w:rsid w:val="00BC3C3D"/>
    <w:rsid w:val="00BC43EA"/>
    <w:rsid w:val="00BC4CC0"/>
    <w:rsid w:val="00BC509C"/>
    <w:rsid w:val="00BC51EA"/>
    <w:rsid w:val="00BC5F46"/>
    <w:rsid w:val="00BC60F6"/>
    <w:rsid w:val="00BC61E8"/>
    <w:rsid w:val="00BC62F1"/>
    <w:rsid w:val="00BC6F2C"/>
    <w:rsid w:val="00BD313F"/>
    <w:rsid w:val="00BD3615"/>
    <w:rsid w:val="00BD53DE"/>
    <w:rsid w:val="00BD5BEE"/>
    <w:rsid w:val="00BE0B80"/>
    <w:rsid w:val="00BE0C22"/>
    <w:rsid w:val="00BE2565"/>
    <w:rsid w:val="00BE2979"/>
    <w:rsid w:val="00BE2FF1"/>
    <w:rsid w:val="00BE3417"/>
    <w:rsid w:val="00BE37D6"/>
    <w:rsid w:val="00BE3967"/>
    <w:rsid w:val="00BE399F"/>
    <w:rsid w:val="00BE4053"/>
    <w:rsid w:val="00BE45B4"/>
    <w:rsid w:val="00BE4EF1"/>
    <w:rsid w:val="00BE623D"/>
    <w:rsid w:val="00BE66FC"/>
    <w:rsid w:val="00BE7139"/>
    <w:rsid w:val="00BE7826"/>
    <w:rsid w:val="00BF0581"/>
    <w:rsid w:val="00BF0D44"/>
    <w:rsid w:val="00BF19DA"/>
    <w:rsid w:val="00BF39FE"/>
    <w:rsid w:val="00BF3DF7"/>
    <w:rsid w:val="00BF4C07"/>
    <w:rsid w:val="00BF56F8"/>
    <w:rsid w:val="00BF59BE"/>
    <w:rsid w:val="00BF6097"/>
    <w:rsid w:val="00BF7233"/>
    <w:rsid w:val="00BF79D5"/>
    <w:rsid w:val="00C00EE7"/>
    <w:rsid w:val="00C02620"/>
    <w:rsid w:val="00C02977"/>
    <w:rsid w:val="00C02F22"/>
    <w:rsid w:val="00C0330A"/>
    <w:rsid w:val="00C0528C"/>
    <w:rsid w:val="00C11D0C"/>
    <w:rsid w:val="00C12F2F"/>
    <w:rsid w:val="00C13EF7"/>
    <w:rsid w:val="00C17281"/>
    <w:rsid w:val="00C208F9"/>
    <w:rsid w:val="00C20B7F"/>
    <w:rsid w:val="00C23CC1"/>
    <w:rsid w:val="00C23D8A"/>
    <w:rsid w:val="00C23E80"/>
    <w:rsid w:val="00C2463D"/>
    <w:rsid w:val="00C251FE"/>
    <w:rsid w:val="00C26970"/>
    <w:rsid w:val="00C26DAF"/>
    <w:rsid w:val="00C2755A"/>
    <w:rsid w:val="00C278BE"/>
    <w:rsid w:val="00C3055B"/>
    <w:rsid w:val="00C3149C"/>
    <w:rsid w:val="00C315B1"/>
    <w:rsid w:val="00C3210C"/>
    <w:rsid w:val="00C3302E"/>
    <w:rsid w:val="00C33EC6"/>
    <w:rsid w:val="00C35288"/>
    <w:rsid w:val="00C40DA5"/>
    <w:rsid w:val="00C40E1A"/>
    <w:rsid w:val="00C4109D"/>
    <w:rsid w:val="00C4500C"/>
    <w:rsid w:val="00C469CD"/>
    <w:rsid w:val="00C475AC"/>
    <w:rsid w:val="00C5245A"/>
    <w:rsid w:val="00C53170"/>
    <w:rsid w:val="00C536AF"/>
    <w:rsid w:val="00C54135"/>
    <w:rsid w:val="00C54290"/>
    <w:rsid w:val="00C54739"/>
    <w:rsid w:val="00C54C6E"/>
    <w:rsid w:val="00C55250"/>
    <w:rsid w:val="00C55584"/>
    <w:rsid w:val="00C578FA"/>
    <w:rsid w:val="00C6021F"/>
    <w:rsid w:val="00C613C2"/>
    <w:rsid w:val="00C61777"/>
    <w:rsid w:val="00C62CE9"/>
    <w:rsid w:val="00C62FE6"/>
    <w:rsid w:val="00C63C78"/>
    <w:rsid w:val="00C63CB0"/>
    <w:rsid w:val="00C65169"/>
    <w:rsid w:val="00C659FC"/>
    <w:rsid w:val="00C6650A"/>
    <w:rsid w:val="00C66D00"/>
    <w:rsid w:val="00C67517"/>
    <w:rsid w:val="00C67AF0"/>
    <w:rsid w:val="00C67B05"/>
    <w:rsid w:val="00C704F9"/>
    <w:rsid w:val="00C71E43"/>
    <w:rsid w:val="00C72881"/>
    <w:rsid w:val="00C73AB3"/>
    <w:rsid w:val="00C75910"/>
    <w:rsid w:val="00C7696B"/>
    <w:rsid w:val="00C76B08"/>
    <w:rsid w:val="00C7722E"/>
    <w:rsid w:val="00C77DF9"/>
    <w:rsid w:val="00C80904"/>
    <w:rsid w:val="00C814BA"/>
    <w:rsid w:val="00C81682"/>
    <w:rsid w:val="00C849DC"/>
    <w:rsid w:val="00C84BEE"/>
    <w:rsid w:val="00C85093"/>
    <w:rsid w:val="00C867C3"/>
    <w:rsid w:val="00C903D2"/>
    <w:rsid w:val="00C9058B"/>
    <w:rsid w:val="00C93B6F"/>
    <w:rsid w:val="00C94A69"/>
    <w:rsid w:val="00C9576D"/>
    <w:rsid w:val="00C957B6"/>
    <w:rsid w:val="00CA0823"/>
    <w:rsid w:val="00CA467A"/>
    <w:rsid w:val="00CA46D9"/>
    <w:rsid w:val="00CA473C"/>
    <w:rsid w:val="00CA5C85"/>
    <w:rsid w:val="00CA6433"/>
    <w:rsid w:val="00CA6F49"/>
    <w:rsid w:val="00CA752A"/>
    <w:rsid w:val="00CB003D"/>
    <w:rsid w:val="00CB066D"/>
    <w:rsid w:val="00CB0E79"/>
    <w:rsid w:val="00CB110F"/>
    <w:rsid w:val="00CB2335"/>
    <w:rsid w:val="00CB28D1"/>
    <w:rsid w:val="00CB2C90"/>
    <w:rsid w:val="00CB3788"/>
    <w:rsid w:val="00CB4902"/>
    <w:rsid w:val="00CB566F"/>
    <w:rsid w:val="00CB58B3"/>
    <w:rsid w:val="00CB65B0"/>
    <w:rsid w:val="00CB67F0"/>
    <w:rsid w:val="00CB68B5"/>
    <w:rsid w:val="00CB6C72"/>
    <w:rsid w:val="00CC24D5"/>
    <w:rsid w:val="00CC25F6"/>
    <w:rsid w:val="00CC26CB"/>
    <w:rsid w:val="00CC385C"/>
    <w:rsid w:val="00CC44EE"/>
    <w:rsid w:val="00CC479D"/>
    <w:rsid w:val="00CC4990"/>
    <w:rsid w:val="00CC54FD"/>
    <w:rsid w:val="00CC60E8"/>
    <w:rsid w:val="00CC627D"/>
    <w:rsid w:val="00CC6CF9"/>
    <w:rsid w:val="00CC72C5"/>
    <w:rsid w:val="00CC78C4"/>
    <w:rsid w:val="00CD1183"/>
    <w:rsid w:val="00CD13E8"/>
    <w:rsid w:val="00CD2906"/>
    <w:rsid w:val="00CD2E8F"/>
    <w:rsid w:val="00CD4432"/>
    <w:rsid w:val="00CD761E"/>
    <w:rsid w:val="00CD77FE"/>
    <w:rsid w:val="00CE5D57"/>
    <w:rsid w:val="00CE6BED"/>
    <w:rsid w:val="00CF0D0B"/>
    <w:rsid w:val="00CF2EFB"/>
    <w:rsid w:val="00CF42C0"/>
    <w:rsid w:val="00CF50E5"/>
    <w:rsid w:val="00CF5178"/>
    <w:rsid w:val="00CF565F"/>
    <w:rsid w:val="00CF5F28"/>
    <w:rsid w:val="00CF6927"/>
    <w:rsid w:val="00D045AB"/>
    <w:rsid w:val="00D045D2"/>
    <w:rsid w:val="00D05DA4"/>
    <w:rsid w:val="00D05E78"/>
    <w:rsid w:val="00D102D4"/>
    <w:rsid w:val="00D1130C"/>
    <w:rsid w:val="00D11C1D"/>
    <w:rsid w:val="00D12384"/>
    <w:rsid w:val="00D13355"/>
    <w:rsid w:val="00D149C8"/>
    <w:rsid w:val="00D14AE5"/>
    <w:rsid w:val="00D153C1"/>
    <w:rsid w:val="00D1657F"/>
    <w:rsid w:val="00D17CB4"/>
    <w:rsid w:val="00D202CE"/>
    <w:rsid w:val="00D20FE9"/>
    <w:rsid w:val="00D21663"/>
    <w:rsid w:val="00D22742"/>
    <w:rsid w:val="00D235C6"/>
    <w:rsid w:val="00D23FAD"/>
    <w:rsid w:val="00D24163"/>
    <w:rsid w:val="00D24BDB"/>
    <w:rsid w:val="00D25618"/>
    <w:rsid w:val="00D257BB"/>
    <w:rsid w:val="00D25B6D"/>
    <w:rsid w:val="00D25CB9"/>
    <w:rsid w:val="00D270CB"/>
    <w:rsid w:val="00D2732B"/>
    <w:rsid w:val="00D27741"/>
    <w:rsid w:val="00D27D30"/>
    <w:rsid w:val="00D305EC"/>
    <w:rsid w:val="00D30D81"/>
    <w:rsid w:val="00D30FDA"/>
    <w:rsid w:val="00D32A90"/>
    <w:rsid w:val="00D334FE"/>
    <w:rsid w:val="00D3360B"/>
    <w:rsid w:val="00D3479D"/>
    <w:rsid w:val="00D34B16"/>
    <w:rsid w:val="00D358A0"/>
    <w:rsid w:val="00D35B85"/>
    <w:rsid w:val="00D408EA"/>
    <w:rsid w:val="00D421F0"/>
    <w:rsid w:val="00D439F9"/>
    <w:rsid w:val="00D45E85"/>
    <w:rsid w:val="00D4671F"/>
    <w:rsid w:val="00D468AC"/>
    <w:rsid w:val="00D506A7"/>
    <w:rsid w:val="00D5329B"/>
    <w:rsid w:val="00D539C8"/>
    <w:rsid w:val="00D53E60"/>
    <w:rsid w:val="00D56DE3"/>
    <w:rsid w:val="00D570BC"/>
    <w:rsid w:val="00D573EA"/>
    <w:rsid w:val="00D579A6"/>
    <w:rsid w:val="00D60D2B"/>
    <w:rsid w:val="00D61D9E"/>
    <w:rsid w:val="00D6300D"/>
    <w:rsid w:val="00D631D2"/>
    <w:rsid w:val="00D65906"/>
    <w:rsid w:val="00D66DC1"/>
    <w:rsid w:val="00D66EF0"/>
    <w:rsid w:val="00D66F25"/>
    <w:rsid w:val="00D66FC5"/>
    <w:rsid w:val="00D679C2"/>
    <w:rsid w:val="00D720BD"/>
    <w:rsid w:val="00D720F1"/>
    <w:rsid w:val="00D7252F"/>
    <w:rsid w:val="00D72B3F"/>
    <w:rsid w:val="00D74F3C"/>
    <w:rsid w:val="00D76F19"/>
    <w:rsid w:val="00D774C7"/>
    <w:rsid w:val="00D77EFF"/>
    <w:rsid w:val="00D8088C"/>
    <w:rsid w:val="00D8167D"/>
    <w:rsid w:val="00D81873"/>
    <w:rsid w:val="00D81B81"/>
    <w:rsid w:val="00D82C72"/>
    <w:rsid w:val="00D83A2E"/>
    <w:rsid w:val="00D8453D"/>
    <w:rsid w:val="00D84D5F"/>
    <w:rsid w:val="00D854A2"/>
    <w:rsid w:val="00D85BA2"/>
    <w:rsid w:val="00D85DC3"/>
    <w:rsid w:val="00D86957"/>
    <w:rsid w:val="00D86A93"/>
    <w:rsid w:val="00D86AD5"/>
    <w:rsid w:val="00D86C5D"/>
    <w:rsid w:val="00D90A72"/>
    <w:rsid w:val="00D90D40"/>
    <w:rsid w:val="00D91111"/>
    <w:rsid w:val="00D917C7"/>
    <w:rsid w:val="00D91CA2"/>
    <w:rsid w:val="00D92719"/>
    <w:rsid w:val="00D92844"/>
    <w:rsid w:val="00D92CB8"/>
    <w:rsid w:val="00D92D7A"/>
    <w:rsid w:val="00D94248"/>
    <w:rsid w:val="00D95300"/>
    <w:rsid w:val="00D95C9B"/>
    <w:rsid w:val="00D95D9F"/>
    <w:rsid w:val="00D962ED"/>
    <w:rsid w:val="00D96631"/>
    <w:rsid w:val="00D96B28"/>
    <w:rsid w:val="00D96D87"/>
    <w:rsid w:val="00DA00FE"/>
    <w:rsid w:val="00DA0D97"/>
    <w:rsid w:val="00DA10B6"/>
    <w:rsid w:val="00DA12F4"/>
    <w:rsid w:val="00DA2B04"/>
    <w:rsid w:val="00DA2F07"/>
    <w:rsid w:val="00DA5DB6"/>
    <w:rsid w:val="00DA5DC0"/>
    <w:rsid w:val="00DA62C1"/>
    <w:rsid w:val="00DA7691"/>
    <w:rsid w:val="00DB0054"/>
    <w:rsid w:val="00DB0C12"/>
    <w:rsid w:val="00DB1D0E"/>
    <w:rsid w:val="00DB2595"/>
    <w:rsid w:val="00DB2F2C"/>
    <w:rsid w:val="00DB65C0"/>
    <w:rsid w:val="00DB74B1"/>
    <w:rsid w:val="00DC144A"/>
    <w:rsid w:val="00DC181C"/>
    <w:rsid w:val="00DC2440"/>
    <w:rsid w:val="00DC2A42"/>
    <w:rsid w:val="00DC30F3"/>
    <w:rsid w:val="00DC40C3"/>
    <w:rsid w:val="00DC4278"/>
    <w:rsid w:val="00DC4A83"/>
    <w:rsid w:val="00DC513B"/>
    <w:rsid w:val="00DC5C92"/>
    <w:rsid w:val="00DC6C22"/>
    <w:rsid w:val="00DD1F39"/>
    <w:rsid w:val="00DD2D6E"/>
    <w:rsid w:val="00DD33A0"/>
    <w:rsid w:val="00DD3AC2"/>
    <w:rsid w:val="00DD3C69"/>
    <w:rsid w:val="00DD5C09"/>
    <w:rsid w:val="00DD7653"/>
    <w:rsid w:val="00DD790D"/>
    <w:rsid w:val="00DE0A40"/>
    <w:rsid w:val="00DE1653"/>
    <w:rsid w:val="00DE2D8D"/>
    <w:rsid w:val="00DE499B"/>
    <w:rsid w:val="00DE6364"/>
    <w:rsid w:val="00DE6929"/>
    <w:rsid w:val="00DE7D7D"/>
    <w:rsid w:val="00DF0D25"/>
    <w:rsid w:val="00DF0E04"/>
    <w:rsid w:val="00DF210C"/>
    <w:rsid w:val="00DF4387"/>
    <w:rsid w:val="00DF4EB5"/>
    <w:rsid w:val="00DF53AF"/>
    <w:rsid w:val="00DF5957"/>
    <w:rsid w:val="00DF655F"/>
    <w:rsid w:val="00DF759D"/>
    <w:rsid w:val="00DF7BAE"/>
    <w:rsid w:val="00E01802"/>
    <w:rsid w:val="00E04F3F"/>
    <w:rsid w:val="00E0546F"/>
    <w:rsid w:val="00E05BA4"/>
    <w:rsid w:val="00E05EE8"/>
    <w:rsid w:val="00E06DA8"/>
    <w:rsid w:val="00E079C3"/>
    <w:rsid w:val="00E07EB2"/>
    <w:rsid w:val="00E10BC8"/>
    <w:rsid w:val="00E12D3B"/>
    <w:rsid w:val="00E13BD4"/>
    <w:rsid w:val="00E13EE0"/>
    <w:rsid w:val="00E15A39"/>
    <w:rsid w:val="00E15DAA"/>
    <w:rsid w:val="00E17FC4"/>
    <w:rsid w:val="00E22C20"/>
    <w:rsid w:val="00E23E08"/>
    <w:rsid w:val="00E23EBF"/>
    <w:rsid w:val="00E24459"/>
    <w:rsid w:val="00E246D4"/>
    <w:rsid w:val="00E25F5E"/>
    <w:rsid w:val="00E2648E"/>
    <w:rsid w:val="00E26F87"/>
    <w:rsid w:val="00E3015C"/>
    <w:rsid w:val="00E3127B"/>
    <w:rsid w:val="00E32B75"/>
    <w:rsid w:val="00E33154"/>
    <w:rsid w:val="00E33BEE"/>
    <w:rsid w:val="00E34719"/>
    <w:rsid w:val="00E34AC2"/>
    <w:rsid w:val="00E372AE"/>
    <w:rsid w:val="00E372F7"/>
    <w:rsid w:val="00E37331"/>
    <w:rsid w:val="00E40217"/>
    <w:rsid w:val="00E40A2D"/>
    <w:rsid w:val="00E42AE6"/>
    <w:rsid w:val="00E43872"/>
    <w:rsid w:val="00E44AE9"/>
    <w:rsid w:val="00E451F3"/>
    <w:rsid w:val="00E473F1"/>
    <w:rsid w:val="00E50005"/>
    <w:rsid w:val="00E5009F"/>
    <w:rsid w:val="00E50306"/>
    <w:rsid w:val="00E50972"/>
    <w:rsid w:val="00E52193"/>
    <w:rsid w:val="00E528E8"/>
    <w:rsid w:val="00E54D53"/>
    <w:rsid w:val="00E554E8"/>
    <w:rsid w:val="00E57523"/>
    <w:rsid w:val="00E61894"/>
    <w:rsid w:val="00E62214"/>
    <w:rsid w:val="00E6245C"/>
    <w:rsid w:val="00E62C34"/>
    <w:rsid w:val="00E62D90"/>
    <w:rsid w:val="00E63140"/>
    <w:rsid w:val="00E633DC"/>
    <w:rsid w:val="00E64BA0"/>
    <w:rsid w:val="00E655E2"/>
    <w:rsid w:val="00E65CD8"/>
    <w:rsid w:val="00E66603"/>
    <w:rsid w:val="00E711EA"/>
    <w:rsid w:val="00E715D0"/>
    <w:rsid w:val="00E735A9"/>
    <w:rsid w:val="00E735FE"/>
    <w:rsid w:val="00E73ACF"/>
    <w:rsid w:val="00E74ECC"/>
    <w:rsid w:val="00E7515A"/>
    <w:rsid w:val="00E776F0"/>
    <w:rsid w:val="00E80640"/>
    <w:rsid w:val="00E8157E"/>
    <w:rsid w:val="00E815FC"/>
    <w:rsid w:val="00E816FE"/>
    <w:rsid w:val="00E81736"/>
    <w:rsid w:val="00E81ED7"/>
    <w:rsid w:val="00E82586"/>
    <w:rsid w:val="00E826C4"/>
    <w:rsid w:val="00E82F1F"/>
    <w:rsid w:val="00E836D7"/>
    <w:rsid w:val="00E83A20"/>
    <w:rsid w:val="00E84C24"/>
    <w:rsid w:val="00E84D69"/>
    <w:rsid w:val="00E84FB3"/>
    <w:rsid w:val="00E850C3"/>
    <w:rsid w:val="00E85C7C"/>
    <w:rsid w:val="00E86488"/>
    <w:rsid w:val="00E90228"/>
    <w:rsid w:val="00E907F4"/>
    <w:rsid w:val="00E9145C"/>
    <w:rsid w:val="00E95F4E"/>
    <w:rsid w:val="00E96E5D"/>
    <w:rsid w:val="00E9798A"/>
    <w:rsid w:val="00E979F7"/>
    <w:rsid w:val="00EA3000"/>
    <w:rsid w:val="00EA3725"/>
    <w:rsid w:val="00EA3936"/>
    <w:rsid w:val="00EA513F"/>
    <w:rsid w:val="00EA5961"/>
    <w:rsid w:val="00EA5CD1"/>
    <w:rsid w:val="00EA5E2A"/>
    <w:rsid w:val="00EA6D84"/>
    <w:rsid w:val="00EA7710"/>
    <w:rsid w:val="00EA7D38"/>
    <w:rsid w:val="00EB0731"/>
    <w:rsid w:val="00EB1015"/>
    <w:rsid w:val="00EB2020"/>
    <w:rsid w:val="00EB27D5"/>
    <w:rsid w:val="00EB28E9"/>
    <w:rsid w:val="00EB2E09"/>
    <w:rsid w:val="00EB3653"/>
    <w:rsid w:val="00EB39F0"/>
    <w:rsid w:val="00EB578A"/>
    <w:rsid w:val="00EB6AFD"/>
    <w:rsid w:val="00EB6C7D"/>
    <w:rsid w:val="00EB70E5"/>
    <w:rsid w:val="00EB7C8E"/>
    <w:rsid w:val="00EC02BE"/>
    <w:rsid w:val="00EC146E"/>
    <w:rsid w:val="00EC1B1A"/>
    <w:rsid w:val="00EC35DE"/>
    <w:rsid w:val="00EC53E6"/>
    <w:rsid w:val="00EC543A"/>
    <w:rsid w:val="00EC5975"/>
    <w:rsid w:val="00EC6130"/>
    <w:rsid w:val="00EC6766"/>
    <w:rsid w:val="00EC6B27"/>
    <w:rsid w:val="00EC6BF6"/>
    <w:rsid w:val="00EC7AE3"/>
    <w:rsid w:val="00EC7E08"/>
    <w:rsid w:val="00ED0729"/>
    <w:rsid w:val="00ED0F4E"/>
    <w:rsid w:val="00ED2563"/>
    <w:rsid w:val="00ED2A4C"/>
    <w:rsid w:val="00ED6DFC"/>
    <w:rsid w:val="00ED6E2D"/>
    <w:rsid w:val="00ED762B"/>
    <w:rsid w:val="00EE067C"/>
    <w:rsid w:val="00EE1275"/>
    <w:rsid w:val="00EE1D7D"/>
    <w:rsid w:val="00EE2031"/>
    <w:rsid w:val="00EE2D3E"/>
    <w:rsid w:val="00EE35DE"/>
    <w:rsid w:val="00EE4924"/>
    <w:rsid w:val="00EE7A5E"/>
    <w:rsid w:val="00EF039F"/>
    <w:rsid w:val="00EF11CE"/>
    <w:rsid w:val="00EF13D7"/>
    <w:rsid w:val="00EF13FE"/>
    <w:rsid w:val="00EF2143"/>
    <w:rsid w:val="00EF3159"/>
    <w:rsid w:val="00EF384D"/>
    <w:rsid w:val="00EF4569"/>
    <w:rsid w:val="00EF4B37"/>
    <w:rsid w:val="00EF4F51"/>
    <w:rsid w:val="00EF6301"/>
    <w:rsid w:val="00EF6960"/>
    <w:rsid w:val="00EF74D6"/>
    <w:rsid w:val="00EF7D4C"/>
    <w:rsid w:val="00F03706"/>
    <w:rsid w:val="00F062AC"/>
    <w:rsid w:val="00F068A0"/>
    <w:rsid w:val="00F0745D"/>
    <w:rsid w:val="00F10C63"/>
    <w:rsid w:val="00F115CA"/>
    <w:rsid w:val="00F121CB"/>
    <w:rsid w:val="00F12787"/>
    <w:rsid w:val="00F152AB"/>
    <w:rsid w:val="00F15BE9"/>
    <w:rsid w:val="00F17101"/>
    <w:rsid w:val="00F175F6"/>
    <w:rsid w:val="00F177DC"/>
    <w:rsid w:val="00F17AC1"/>
    <w:rsid w:val="00F20A25"/>
    <w:rsid w:val="00F20D6E"/>
    <w:rsid w:val="00F21433"/>
    <w:rsid w:val="00F22810"/>
    <w:rsid w:val="00F23521"/>
    <w:rsid w:val="00F2359F"/>
    <w:rsid w:val="00F25573"/>
    <w:rsid w:val="00F25733"/>
    <w:rsid w:val="00F25E05"/>
    <w:rsid w:val="00F26F08"/>
    <w:rsid w:val="00F2710C"/>
    <w:rsid w:val="00F274F9"/>
    <w:rsid w:val="00F314CA"/>
    <w:rsid w:val="00F31F31"/>
    <w:rsid w:val="00F34F34"/>
    <w:rsid w:val="00F35350"/>
    <w:rsid w:val="00F35805"/>
    <w:rsid w:val="00F35D14"/>
    <w:rsid w:val="00F35E37"/>
    <w:rsid w:val="00F36CF6"/>
    <w:rsid w:val="00F37737"/>
    <w:rsid w:val="00F4022D"/>
    <w:rsid w:val="00F40BDA"/>
    <w:rsid w:val="00F419C8"/>
    <w:rsid w:val="00F41C30"/>
    <w:rsid w:val="00F4352C"/>
    <w:rsid w:val="00F435DD"/>
    <w:rsid w:val="00F43806"/>
    <w:rsid w:val="00F44A54"/>
    <w:rsid w:val="00F46DC9"/>
    <w:rsid w:val="00F47051"/>
    <w:rsid w:val="00F47DFA"/>
    <w:rsid w:val="00F5078F"/>
    <w:rsid w:val="00F529FD"/>
    <w:rsid w:val="00F56757"/>
    <w:rsid w:val="00F61830"/>
    <w:rsid w:val="00F61F2B"/>
    <w:rsid w:val="00F632F0"/>
    <w:rsid w:val="00F650C6"/>
    <w:rsid w:val="00F6654F"/>
    <w:rsid w:val="00F670C5"/>
    <w:rsid w:val="00F672F3"/>
    <w:rsid w:val="00F67E52"/>
    <w:rsid w:val="00F717A9"/>
    <w:rsid w:val="00F72893"/>
    <w:rsid w:val="00F72F75"/>
    <w:rsid w:val="00F744CB"/>
    <w:rsid w:val="00F74885"/>
    <w:rsid w:val="00F75D7F"/>
    <w:rsid w:val="00F808C8"/>
    <w:rsid w:val="00F82F71"/>
    <w:rsid w:val="00F8319D"/>
    <w:rsid w:val="00F852AC"/>
    <w:rsid w:val="00F87873"/>
    <w:rsid w:val="00F8797F"/>
    <w:rsid w:val="00F90801"/>
    <w:rsid w:val="00F90CEE"/>
    <w:rsid w:val="00F90FD1"/>
    <w:rsid w:val="00F928A7"/>
    <w:rsid w:val="00F940F7"/>
    <w:rsid w:val="00F94832"/>
    <w:rsid w:val="00F951A8"/>
    <w:rsid w:val="00F973B8"/>
    <w:rsid w:val="00FA074C"/>
    <w:rsid w:val="00FA1715"/>
    <w:rsid w:val="00FA189F"/>
    <w:rsid w:val="00FA33EA"/>
    <w:rsid w:val="00FA3B31"/>
    <w:rsid w:val="00FA4E6A"/>
    <w:rsid w:val="00FA6021"/>
    <w:rsid w:val="00FA6E71"/>
    <w:rsid w:val="00FA7041"/>
    <w:rsid w:val="00FB1AF5"/>
    <w:rsid w:val="00FB1F32"/>
    <w:rsid w:val="00FB38C1"/>
    <w:rsid w:val="00FB496B"/>
    <w:rsid w:val="00FB4EEC"/>
    <w:rsid w:val="00FB5305"/>
    <w:rsid w:val="00FB5539"/>
    <w:rsid w:val="00FB580A"/>
    <w:rsid w:val="00FB5D0B"/>
    <w:rsid w:val="00FB6219"/>
    <w:rsid w:val="00FB6344"/>
    <w:rsid w:val="00FC0BB0"/>
    <w:rsid w:val="00FC18C6"/>
    <w:rsid w:val="00FC2AA2"/>
    <w:rsid w:val="00FC2BFC"/>
    <w:rsid w:val="00FC2FEF"/>
    <w:rsid w:val="00FC4E0A"/>
    <w:rsid w:val="00FC507A"/>
    <w:rsid w:val="00FC5721"/>
    <w:rsid w:val="00FC7057"/>
    <w:rsid w:val="00FC70C1"/>
    <w:rsid w:val="00FC7C5E"/>
    <w:rsid w:val="00FD0107"/>
    <w:rsid w:val="00FD0552"/>
    <w:rsid w:val="00FD1F7B"/>
    <w:rsid w:val="00FD2A36"/>
    <w:rsid w:val="00FD45B6"/>
    <w:rsid w:val="00FD5B9A"/>
    <w:rsid w:val="00FD5BAB"/>
    <w:rsid w:val="00FD6621"/>
    <w:rsid w:val="00FE058D"/>
    <w:rsid w:val="00FE2FFD"/>
    <w:rsid w:val="00FE369C"/>
    <w:rsid w:val="00FE477F"/>
    <w:rsid w:val="00FE4CEE"/>
    <w:rsid w:val="00FE53AC"/>
    <w:rsid w:val="00FE6F80"/>
    <w:rsid w:val="00FE78F3"/>
    <w:rsid w:val="00FF0141"/>
    <w:rsid w:val="00FF1535"/>
    <w:rsid w:val="00FF309C"/>
    <w:rsid w:val="00FF5CDC"/>
    <w:rsid w:val="00FF6FAA"/>
    <w:rsid w:val="00FF771D"/>
    <w:rsid w:val="00FF77B0"/>
    <w:rsid w:val="0109048C"/>
    <w:rsid w:val="011A60E3"/>
    <w:rsid w:val="019A4CB2"/>
    <w:rsid w:val="01A02082"/>
    <w:rsid w:val="01F36FCC"/>
    <w:rsid w:val="01FA47FF"/>
    <w:rsid w:val="02133E97"/>
    <w:rsid w:val="0269220F"/>
    <w:rsid w:val="029A5460"/>
    <w:rsid w:val="029F00AC"/>
    <w:rsid w:val="02C8787C"/>
    <w:rsid w:val="02D122BE"/>
    <w:rsid w:val="02D46649"/>
    <w:rsid w:val="02F44BE5"/>
    <w:rsid w:val="0316408E"/>
    <w:rsid w:val="03262FED"/>
    <w:rsid w:val="032B2921"/>
    <w:rsid w:val="03AA4003"/>
    <w:rsid w:val="03FA71CA"/>
    <w:rsid w:val="03FD17D6"/>
    <w:rsid w:val="0444365B"/>
    <w:rsid w:val="04652ED4"/>
    <w:rsid w:val="04A337A1"/>
    <w:rsid w:val="04A476A3"/>
    <w:rsid w:val="04FD2458"/>
    <w:rsid w:val="05355B4E"/>
    <w:rsid w:val="05A96504"/>
    <w:rsid w:val="06041A16"/>
    <w:rsid w:val="0611707E"/>
    <w:rsid w:val="064C318B"/>
    <w:rsid w:val="064C4D14"/>
    <w:rsid w:val="064F366C"/>
    <w:rsid w:val="067E42E7"/>
    <w:rsid w:val="06BB6F66"/>
    <w:rsid w:val="06BD404D"/>
    <w:rsid w:val="06BF1B73"/>
    <w:rsid w:val="06C33BD9"/>
    <w:rsid w:val="06DF0D4B"/>
    <w:rsid w:val="06F270BC"/>
    <w:rsid w:val="06F76735"/>
    <w:rsid w:val="076B1CFB"/>
    <w:rsid w:val="07A6693B"/>
    <w:rsid w:val="07BF0A2B"/>
    <w:rsid w:val="07C5758F"/>
    <w:rsid w:val="07E126B5"/>
    <w:rsid w:val="07ED360E"/>
    <w:rsid w:val="07F06147"/>
    <w:rsid w:val="07FC5D50"/>
    <w:rsid w:val="084F055C"/>
    <w:rsid w:val="085C5C30"/>
    <w:rsid w:val="088C3198"/>
    <w:rsid w:val="08E409A9"/>
    <w:rsid w:val="08FA1242"/>
    <w:rsid w:val="092403B3"/>
    <w:rsid w:val="09554725"/>
    <w:rsid w:val="097D0541"/>
    <w:rsid w:val="097F2E74"/>
    <w:rsid w:val="09BC05EC"/>
    <w:rsid w:val="09C515A8"/>
    <w:rsid w:val="09C6146A"/>
    <w:rsid w:val="09FF1272"/>
    <w:rsid w:val="0A2D5C54"/>
    <w:rsid w:val="0A934F20"/>
    <w:rsid w:val="0A9C5F85"/>
    <w:rsid w:val="0AF352D7"/>
    <w:rsid w:val="0B4F5493"/>
    <w:rsid w:val="0B7A075E"/>
    <w:rsid w:val="0BA23DCF"/>
    <w:rsid w:val="0BBE0C82"/>
    <w:rsid w:val="0C0662C7"/>
    <w:rsid w:val="0C5C7E64"/>
    <w:rsid w:val="0C6100D1"/>
    <w:rsid w:val="0C635644"/>
    <w:rsid w:val="0CB544E8"/>
    <w:rsid w:val="0CE560AB"/>
    <w:rsid w:val="0D1036CD"/>
    <w:rsid w:val="0D4A0310"/>
    <w:rsid w:val="0D4E6EF8"/>
    <w:rsid w:val="0D7B40A5"/>
    <w:rsid w:val="0DA11FD2"/>
    <w:rsid w:val="0DD4721B"/>
    <w:rsid w:val="0E331A39"/>
    <w:rsid w:val="0E3E1F17"/>
    <w:rsid w:val="0E764BA6"/>
    <w:rsid w:val="0E7B2823"/>
    <w:rsid w:val="0EA855E3"/>
    <w:rsid w:val="0ED85EC8"/>
    <w:rsid w:val="0ED91C40"/>
    <w:rsid w:val="0EDB4048"/>
    <w:rsid w:val="0F1711A8"/>
    <w:rsid w:val="0F1A4CE0"/>
    <w:rsid w:val="0F3324C6"/>
    <w:rsid w:val="0F390621"/>
    <w:rsid w:val="0F54340F"/>
    <w:rsid w:val="0F825E34"/>
    <w:rsid w:val="0FC621C4"/>
    <w:rsid w:val="0FF54E43"/>
    <w:rsid w:val="10AA5642"/>
    <w:rsid w:val="10C43E75"/>
    <w:rsid w:val="10D70444"/>
    <w:rsid w:val="111F39FD"/>
    <w:rsid w:val="112B73BF"/>
    <w:rsid w:val="112D51D2"/>
    <w:rsid w:val="118A5A9B"/>
    <w:rsid w:val="11916893"/>
    <w:rsid w:val="11A0109C"/>
    <w:rsid w:val="11BE5D26"/>
    <w:rsid w:val="12071BEC"/>
    <w:rsid w:val="12112CD7"/>
    <w:rsid w:val="12211AC0"/>
    <w:rsid w:val="126445BB"/>
    <w:rsid w:val="12751C80"/>
    <w:rsid w:val="12D34171"/>
    <w:rsid w:val="12E27304"/>
    <w:rsid w:val="13AB6423"/>
    <w:rsid w:val="13B14F39"/>
    <w:rsid w:val="146707AD"/>
    <w:rsid w:val="147635A2"/>
    <w:rsid w:val="148F59E2"/>
    <w:rsid w:val="14D030F0"/>
    <w:rsid w:val="14DB226E"/>
    <w:rsid w:val="14FB1A84"/>
    <w:rsid w:val="153C5E15"/>
    <w:rsid w:val="15DB6C2D"/>
    <w:rsid w:val="16173C12"/>
    <w:rsid w:val="1659407E"/>
    <w:rsid w:val="166921C0"/>
    <w:rsid w:val="16B04812"/>
    <w:rsid w:val="16C641EB"/>
    <w:rsid w:val="17006BCB"/>
    <w:rsid w:val="17094942"/>
    <w:rsid w:val="170E769A"/>
    <w:rsid w:val="17714EEE"/>
    <w:rsid w:val="1781219C"/>
    <w:rsid w:val="17BB743F"/>
    <w:rsid w:val="17FB2C27"/>
    <w:rsid w:val="182A6BA6"/>
    <w:rsid w:val="1846243E"/>
    <w:rsid w:val="18896025"/>
    <w:rsid w:val="18AC23B2"/>
    <w:rsid w:val="19431BBA"/>
    <w:rsid w:val="19526877"/>
    <w:rsid w:val="1989530E"/>
    <w:rsid w:val="19D723F6"/>
    <w:rsid w:val="1A085187"/>
    <w:rsid w:val="1A0E09F0"/>
    <w:rsid w:val="1A32674B"/>
    <w:rsid w:val="1A750A6F"/>
    <w:rsid w:val="1AFC6A9A"/>
    <w:rsid w:val="1B0E2C71"/>
    <w:rsid w:val="1B1027AD"/>
    <w:rsid w:val="1B3C158C"/>
    <w:rsid w:val="1B5763C6"/>
    <w:rsid w:val="1B617245"/>
    <w:rsid w:val="1BAA1B27"/>
    <w:rsid w:val="1BCF2CF3"/>
    <w:rsid w:val="1BDD58CF"/>
    <w:rsid w:val="1BE92FAB"/>
    <w:rsid w:val="1BEC0607"/>
    <w:rsid w:val="1C737230"/>
    <w:rsid w:val="1C766768"/>
    <w:rsid w:val="1C9B5934"/>
    <w:rsid w:val="1CC074A0"/>
    <w:rsid w:val="1D2A012C"/>
    <w:rsid w:val="1D2A3BF5"/>
    <w:rsid w:val="1D2F2A6A"/>
    <w:rsid w:val="1D31356D"/>
    <w:rsid w:val="1D466ABF"/>
    <w:rsid w:val="1D7B600C"/>
    <w:rsid w:val="1DA6419D"/>
    <w:rsid w:val="1DD3548B"/>
    <w:rsid w:val="1DD928D3"/>
    <w:rsid w:val="1DED21D8"/>
    <w:rsid w:val="1E2F53D8"/>
    <w:rsid w:val="1E3E2967"/>
    <w:rsid w:val="1E8B1165"/>
    <w:rsid w:val="1EB8403C"/>
    <w:rsid w:val="1EB910EB"/>
    <w:rsid w:val="1EFB6D55"/>
    <w:rsid w:val="1F0E3DA5"/>
    <w:rsid w:val="1F6C48CB"/>
    <w:rsid w:val="1F8030CC"/>
    <w:rsid w:val="1F8347F9"/>
    <w:rsid w:val="1FCA3218"/>
    <w:rsid w:val="1FFD352F"/>
    <w:rsid w:val="201B37F4"/>
    <w:rsid w:val="20545157"/>
    <w:rsid w:val="20CE49AC"/>
    <w:rsid w:val="20EE455A"/>
    <w:rsid w:val="20F868EE"/>
    <w:rsid w:val="20FF44F4"/>
    <w:rsid w:val="210940D4"/>
    <w:rsid w:val="212B4545"/>
    <w:rsid w:val="217C26E3"/>
    <w:rsid w:val="21E36C06"/>
    <w:rsid w:val="220A3AC1"/>
    <w:rsid w:val="220C6E8F"/>
    <w:rsid w:val="223244A5"/>
    <w:rsid w:val="224522F9"/>
    <w:rsid w:val="22BF15CD"/>
    <w:rsid w:val="22CD38BE"/>
    <w:rsid w:val="22F75C0D"/>
    <w:rsid w:val="23C56DC7"/>
    <w:rsid w:val="23C72D33"/>
    <w:rsid w:val="23D527C8"/>
    <w:rsid w:val="23E371FA"/>
    <w:rsid w:val="24290E67"/>
    <w:rsid w:val="244F0DF3"/>
    <w:rsid w:val="24601386"/>
    <w:rsid w:val="246B14B0"/>
    <w:rsid w:val="248C65BB"/>
    <w:rsid w:val="24A65CC9"/>
    <w:rsid w:val="250344EA"/>
    <w:rsid w:val="25114177"/>
    <w:rsid w:val="25164869"/>
    <w:rsid w:val="25223085"/>
    <w:rsid w:val="2584425C"/>
    <w:rsid w:val="25AD3E95"/>
    <w:rsid w:val="260D2473"/>
    <w:rsid w:val="2613738E"/>
    <w:rsid w:val="2621364C"/>
    <w:rsid w:val="26803368"/>
    <w:rsid w:val="268364F5"/>
    <w:rsid w:val="26940EE3"/>
    <w:rsid w:val="269E55B1"/>
    <w:rsid w:val="26D935D7"/>
    <w:rsid w:val="26FD15BD"/>
    <w:rsid w:val="273A4566"/>
    <w:rsid w:val="27605028"/>
    <w:rsid w:val="2764063B"/>
    <w:rsid w:val="27847714"/>
    <w:rsid w:val="278B6531"/>
    <w:rsid w:val="27A9561C"/>
    <w:rsid w:val="27F63A89"/>
    <w:rsid w:val="282A4A69"/>
    <w:rsid w:val="286914E7"/>
    <w:rsid w:val="288F44BF"/>
    <w:rsid w:val="28BC3216"/>
    <w:rsid w:val="28CA34AC"/>
    <w:rsid w:val="28F14111"/>
    <w:rsid w:val="290F7096"/>
    <w:rsid w:val="2916341D"/>
    <w:rsid w:val="29A35065"/>
    <w:rsid w:val="29B00012"/>
    <w:rsid w:val="29D137E8"/>
    <w:rsid w:val="29EB25A5"/>
    <w:rsid w:val="2A52069B"/>
    <w:rsid w:val="2AB225E4"/>
    <w:rsid w:val="2AF6570F"/>
    <w:rsid w:val="2B0025D7"/>
    <w:rsid w:val="2B400742"/>
    <w:rsid w:val="2BD64EDB"/>
    <w:rsid w:val="2BD9277E"/>
    <w:rsid w:val="2BE10DB4"/>
    <w:rsid w:val="2BF1793D"/>
    <w:rsid w:val="2BFB7DF5"/>
    <w:rsid w:val="2C1A76C8"/>
    <w:rsid w:val="2C8A5A53"/>
    <w:rsid w:val="2CAA1B33"/>
    <w:rsid w:val="2CEE4697"/>
    <w:rsid w:val="2D0669E7"/>
    <w:rsid w:val="2D1A4245"/>
    <w:rsid w:val="2D541211"/>
    <w:rsid w:val="2D5E21DC"/>
    <w:rsid w:val="2D88252C"/>
    <w:rsid w:val="2D8E56A9"/>
    <w:rsid w:val="2E1B14D5"/>
    <w:rsid w:val="2E1D349F"/>
    <w:rsid w:val="2E4269D3"/>
    <w:rsid w:val="2E4B103E"/>
    <w:rsid w:val="2E717705"/>
    <w:rsid w:val="2E8C3807"/>
    <w:rsid w:val="2EEB1FC7"/>
    <w:rsid w:val="2EFA148A"/>
    <w:rsid w:val="2F8A4A30"/>
    <w:rsid w:val="2FBF0026"/>
    <w:rsid w:val="2FCA7124"/>
    <w:rsid w:val="2FCB7CD8"/>
    <w:rsid w:val="2FD652C1"/>
    <w:rsid w:val="30474804"/>
    <w:rsid w:val="30505D04"/>
    <w:rsid w:val="309C75DC"/>
    <w:rsid w:val="309E0581"/>
    <w:rsid w:val="30A643E6"/>
    <w:rsid w:val="30C35C19"/>
    <w:rsid w:val="30DB0403"/>
    <w:rsid w:val="310821E5"/>
    <w:rsid w:val="311341A5"/>
    <w:rsid w:val="3149717D"/>
    <w:rsid w:val="318B0720"/>
    <w:rsid w:val="32290665"/>
    <w:rsid w:val="32572E2E"/>
    <w:rsid w:val="32797781"/>
    <w:rsid w:val="32C5141D"/>
    <w:rsid w:val="32EC3440"/>
    <w:rsid w:val="330709B5"/>
    <w:rsid w:val="33513ACD"/>
    <w:rsid w:val="336D0D54"/>
    <w:rsid w:val="33775828"/>
    <w:rsid w:val="33792F26"/>
    <w:rsid w:val="337C6100"/>
    <w:rsid w:val="33896230"/>
    <w:rsid w:val="338F2D48"/>
    <w:rsid w:val="33F1640E"/>
    <w:rsid w:val="3412121F"/>
    <w:rsid w:val="34202E26"/>
    <w:rsid w:val="34310D94"/>
    <w:rsid w:val="34583E67"/>
    <w:rsid w:val="34645984"/>
    <w:rsid w:val="3483314F"/>
    <w:rsid w:val="34CA6060"/>
    <w:rsid w:val="34D01CA3"/>
    <w:rsid w:val="34E8144B"/>
    <w:rsid w:val="351444F6"/>
    <w:rsid w:val="355B57E5"/>
    <w:rsid w:val="356F5F72"/>
    <w:rsid w:val="358409E6"/>
    <w:rsid w:val="35C6312A"/>
    <w:rsid w:val="35C91DF7"/>
    <w:rsid w:val="35EF5204"/>
    <w:rsid w:val="366033A8"/>
    <w:rsid w:val="3700570C"/>
    <w:rsid w:val="370340E9"/>
    <w:rsid w:val="37C557F4"/>
    <w:rsid w:val="37E22162"/>
    <w:rsid w:val="37E8067A"/>
    <w:rsid w:val="386136E4"/>
    <w:rsid w:val="38763ED8"/>
    <w:rsid w:val="387E0A26"/>
    <w:rsid w:val="38A0633D"/>
    <w:rsid w:val="38BA79CC"/>
    <w:rsid w:val="38BD001A"/>
    <w:rsid w:val="38C26B8B"/>
    <w:rsid w:val="38E817B6"/>
    <w:rsid w:val="392C18AD"/>
    <w:rsid w:val="39726D2C"/>
    <w:rsid w:val="39DE2328"/>
    <w:rsid w:val="39F0441D"/>
    <w:rsid w:val="3A0374A0"/>
    <w:rsid w:val="3A742699"/>
    <w:rsid w:val="3A80210E"/>
    <w:rsid w:val="3A830E0F"/>
    <w:rsid w:val="3AAE222A"/>
    <w:rsid w:val="3AC23F4B"/>
    <w:rsid w:val="3B5A1BE5"/>
    <w:rsid w:val="3B8D0AAE"/>
    <w:rsid w:val="3BAF1F0F"/>
    <w:rsid w:val="3BB76F9F"/>
    <w:rsid w:val="3BF71721"/>
    <w:rsid w:val="3C221E41"/>
    <w:rsid w:val="3C5E3E3A"/>
    <w:rsid w:val="3C6B5232"/>
    <w:rsid w:val="3CFD6976"/>
    <w:rsid w:val="3D174D89"/>
    <w:rsid w:val="3D1F191A"/>
    <w:rsid w:val="3D2C64C0"/>
    <w:rsid w:val="3D5002B7"/>
    <w:rsid w:val="3D854E75"/>
    <w:rsid w:val="3DB03FCF"/>
    <w:rsid w:val="3DD96462"/>
    <w:rsid w:val="3DE13B49"/>
    <w:rsid w:val="3DF915F2"/>
    <w:rsid w:val="3E5C0B3F"/>
    <w:rsid w:val="3E6645E3"/>
    <w:rsid w:val="3E815041"/>
    <w:rsid w:val="3E9F31C3"/>
    <w:rsid w:val="3EBB73F9"/>
    <w:rsid w:val="3ECB2D10"/>
    <w:rsid w:val="3ED0771B"/>
    <w:rsid w:val="3EE91828"/>
    <w:rsid w:val="3F566811"/>
    <w:rsid w:val="3F676329"/>
    <w:rsid w:val="40E960FF"/>
    <w:rsid w:val="40F83BE6"/>
    <w:rsid w:val="419C2606"/>
    <w:rsid w:val="41A57B46"/>
    <w:rsid w:val="423B129A"/>
    <w:rsid w:val="424A5620"/>
    <w:rsid w:val="427317CE"/>
    <w:rsid w:val="42DC72F3"/>
    <w:rsid w:val="42F51E9D"/>
    <w:rsid w:val="42F95FEB"/>
    <w:rsid w:val="42FE7FA4"/>
    <w:rsid w:val="432E56D1"/>
    <w:rsid w:val="433A5A02"/>
    <w:rsid w:val="43454ABD"/>
    <w:rsid w:val="43A85972"/>
    <w:rsid w:val="43C261D8"/>
    <w:rsid w:val="43D30430"/>
    <w:rsid w:val="43E87C60"/>
    <w:rsid w:val="440B6995"/>
    <w:rsid w:val="44305883"/>
    <w:rsid w:val="443676BD"/>
    <w:rsid w:val="44437E74"/>
    <w:rsid w:val="44635B55"/>
    <w:rsid w:val="451E40D1"/>
    <w:rsid w:val="452A147D"/>
    <w:rsid w:val="457136DD"/>
    <w:rsid w:val="45D670DB"/>
    <w:rsid w:val="45F00D87"/>
    <w:rsid w:val="462128E4"/>
    <w:rsid w:val="462C1A65"/>
    <w:rsid w:val="46313695"/>
    <w:rsid w:val="4643003A"/>
    <w:rsid w:val="464672D0"/>
    <w:rsid w:val="46512DBE"/>
    <w:rsid w:val="465F043C"/>
    <w:rsid w:val="466B0DF4"/>
    <w:rsid w:val="46866EA2"/>
    <w:rsid w:val="46AF0723"/>
    <w:rsid w:val="46D53CAD"/>
    <w:rsid w:val="46FF3658"/>
    <w:rsid w:val="47091340"/>
    <w:rsid w:val="47191DFA"/>
    <w:rsid w:val="472471F5"/>
    <w:rsid w:val="474402DF"/>
    <w:rsid w:val="47C83248"/>
    <w:rsid w:val="480A038D"/>
    <w:rsid w:val="488B752C"/>
    <w:rsid w:val="49033A36"/>
    <w:rsid w:val="491E2D0B"/>
    <w:rsid w:val="498A6E4C"/>
    <w:rsid w:val="49F2356E"/>
    <w:rsid w:val="4A1110EB"/>
    <w:rsid w:val="4A325039"/>
    <w:rsid w:val="4A4112FC"/>
    <w:rsid w:val="4A4556DF"/>
    <w:rsid w:val="4A8E17AE"/>
    <w:rsid w:val="4AD35E1A"/>
    <w:rsid w:val="4AE4141D"/>
    <w:rsid w:val="4AEA5C6B"/>
    <w:rsid w:val="4AF13892"/>
    <w:rsid w:val="4AF70C82"/>
    <w:rsid w:val="4AFE0922"/>
    <w:rsid w:val="4B2B323F"/>
    <w:rsid w:val="4B3D2633"/>
    <w:rsid w:val="4B3F5609"/>
    <w:rsid w:val="4B590134"/>
    <w:rsid w:val="4B705373"/>
    <w:rsid w:val="4B781B3A"/>
    <w:rsid w:val="4B9F4DC6"/>
    <w:rsid w:val="4BC55963"/>
    <w:rsid w:val="4BD70F05"/>
    <w:rsid w:val="4BE66665"/>
    <w:rsid w:val="4BE763FE"/>
    <w:rsid w:val="4C463C47"/>
    <w:rsid w:val="4CA315FF"/>
    <w:rsid w:val="4CC4755B"/>
    <w:rsid w:val="4CC51824"/>
    <w:rsid w:val="4CD92CE3"/>
    <w:rsid w:val="4CE30C2F"/>
    <w:rsid w:val="4CEE5768"/>
    <w:rsid w:val="4CFE5E63"/>
    <w:rsid w:val="4D2E777B"/>
    <w:rsid w:val="4D565C2E"/>
    <w:rsid w:val="4D7E415B"/>
    <w:rsid w:val="4D8958AC"/>
    <w:rsid w:val="4DB655BC"/>
    <w:rsid w:val="4DBA260C"/>
    <w:rsid w:val="4E1315AB"/>
    <w:rsid w:val="4E1A69AF"/>
    <w:rsid w:val="4E6963F4"/>
    <w:rsid w:val="4EA67471"/>
    <w:rsid w:val="4EE6216F"/>
    <w:rsid w:val="4EF43951"/>
    <w:rsid w:val="4EFC71F8"/>
    <w:rsid w:val="4FC60F3A"/>
    <w:rsid w:val="4FDC2367"/>
    <w:rsid w:val="4FE21534"/>
    <w:rsid w:val="503B275E"/>
    <w:rsid w:val="50A05B3E"/>
    <w:rsid w:val="50CD4DFC"/>
    <w:rsid w:val="5133145B"/>
    <w:rsid w:val="518965D2"/>
    <w:rsid w:val="518A6447"/>
    <w:rsid w:val="51A11B6E"/>
    <w:rsid w:val="51A8187D"/>
    <w:rsid w:val="51B86F76"/>
    <w:rsid w:val="51C3520F"/>
    <w:rsid w:val="51CC3BAF"/>
    <w:rsid w:val="523A566C"/>
    <w:rsid w:val="5281374D"/>
    <w:rsid w:val="52816A24"/>
    <w:rsid w:val="52C5363A"/>
    <w:rsid w:val="53157358"/>
    <w:rsid w:val="531E79A2"/>
    <w:rsid w:val="53640895"/>
    <w:rsid w:val="5369290D"/>
    <w:rsid w:val="536F3B1E"/>
    <w:rsid w:val="53734AFF"/>
    <w:rsid w:val="53DF59D4"/>
    <w:rsid w:val="54293073"/>
    <w:rsid w:val="544720D9"/>
    <w:rsid w:val="54554E92"/>
    <w:rsid w:val="54602C2D"/>
    <w:rsid w:val="54626400"/>
    <w:rsid w:val="549119BD"/>
    <w:rsid w:val="54B842EE"/>
    <w:rsid w:val="54E62005"/>
    <w:rsid w:val="551027E8"/>
    <w:rsid w:val="55120D38"/>
    <w:rsid w:val="552E22DE"/>
    <w:rsid w:val="553678C5"/>
    <w:rsid w:val="5556750C"/>
    <w:rsid w:val="55BF108B"/>
    <w:rsid w:val="55D2623F"/>
    <w:rsid w:val="55E04670"/>
    <w:rsid w:val="55FE5F58"/>
    <w:rsid w:val="56332FB1"/>
    <w:rsid w:val="56602607"/>
    <w:rsid w:val="56A05A47"/>
    <w:rsid w:val="56AC47C9"/>
    <w:rsid w:val="56B4410E"/>
    <w:rsid w:val="56B91708"/>
    <w:rsid w:val="56BC4D54"/>
    <w:rsid w:val="56E944F1"/>
    <w:rsid w:val="570851BD"/>
    <w:rsid w:val="575A52BA"/>
    <w:rsid w:val="57604F6B"/>
    <w:rsid w:val="57A5692F"/>
    <w:rsid w:val="57E00F16"/>
    <w:rsid w:val="57F71E7A"/>
    <w:rsid w:val="57FA6A12"/>
    <w:rsid w:val="58216262"/>
    <w:rsid w:val="58290EED"/>
    <w:rsid w:val="583F08F6"/>
    <w:rsid w:val="58847AF3"/>
    <w:rsid w:val="588F74BA"/>
    <w:rsid w:val="58AF7F75"/>
    <w:rsid w:val="58D7079C"/>
    <w:rsid w:val="58EC0971"/>
    <w:rsid w:val="59710078"/>
    <w:rsid w:val="5975314E"/>
    <w:rsid w:val="597B5EB9"/>
    <w:rsid w:val="59E20F76"/>
    <w:rsid w:val="5A1B6384"/>
    <w:rsid w:val="5A9976A4"/>
    <w:rsid w:val="5AD44F78"/>
    <w:rsid w:val="5B123195"/>
    <w:rsid w:val="5B1E422F"/>
    <w:rsid w:val="5B273CB3"/>
    <w:rsid w:val="5B3E4F5C"/>
    <w:rsid w:val="5B766B2C"/>
    <w:rsid w:val="5BEB11CF"/>
    <w:rsid w:val="5C1949F7"/>
    <w:rsid w:val="5C6F5B60"/>
    <w:rsid w:val="5CAC0271"/>
    <w:rsid w:val="5CB00DF0"/>
    <w:rsid w:val="5CD51FB1"/>
    <w:rsid w:val="5CD86660"/>
    <w:rsid w:val="5D131779"/>
    <w:rsid w:val="5D6F463D"/>
    <w:rsid w:val="5DCE4506"/>
    <w:rsid w:val="5E0652EB"/>
    <w:rsid w:val="5E35666F"/>
    <w:rsid w:val="5E552FD5"/>
    <w:rsid w:val="5ECA1FD8"/>
    <w:rsid w:val="5ED209B4"/>
    <w:rsid w:val="5EDA5A11"/>
    <w:rsid w:val="5EDE3A83"/>
    <w:rsid w:val="5F1141BF"/>
    <w:rsid w:val="5F1B51A6"/>
    <w:rsid w:val="600775FC"/>
    <w:rsid w:val="60B46A9C"/>
    <w:rsid w:val="60FB77B8"/>
    <w:rsid w:val="6123706E"/>
    <w:rsid w:val="613D1E9E"/>
    <w:rsid w:val="614B2BFE"/>
    <w:rsid w:val="614D4740"/>
    <w:rsid w:val="61780977"/>
    <w:rsid w:val="61930DA7"/>
    <w:rsid w:val="61D42C79"/>
    <w:rsid w:val="61F950AE"/>
    <w:rsid w:val="6209240B"/>
    <w:rsid w:val="62097BE6"/>
    <w:rsid w:val="620D2C42"/>
    <w:rsid w:val="6235591B"/>
    <w:rsid w:val="62886432"/>
    <w:rsid w:val="62A2257D"/>
    <w:rsid w:val="62FF4FD3"/>
    <w:rsid w:val="63001B0F"/>
    <w:rsid w:val="6341070D"/>
    <w:rsid w:val="63EC266D"/>
    <w:rsid w:val="63F0010D"/>
    <w:rsid w:val="641F50FB"/>
    <w:rsid w:val="646D7DF6"/>
    <w:rsid w:val="648038B0"/>
    <w:rsid w:val="649021A4"/>
    <w:rsid w:val="64DA11AB"/>
    <w:rsid w:val="650F1BEE"/>
    <w:rsid w:val="65177F59"/>
    <w:rsid w:val="65567AD8"/>
    <w:rsid w:val="6562503C"/>
    <w:rsid w:val="657E4B8D"/>
    <w:rsid w:val="65A13A93"/>
    <w:rsid w:val="65BB124B"/>
    <w:rsid w:val="65C6799D"/>
    <w:rsid w:val="65F95BFB"/>
    <w:rsid w:val="66320136"/>
    <w:rsid w:val="664F023F"/>
    <w:rsid w:val="665A551B"/>
    <w:rsid w:val="669C24AC"/>
    <w:rsid w:val="66AB4160"/>
    <w:rsid w:val="66C63977"/>
    <w:rsid w:val="66CA1CB1"/>
    <w:rsid w:val="68051D5E"/>
    <w:rsid w:val="68A76AB7"/>
    <w:rsid w:val="68EF720B"/>
    <w:rsid w:val="690D78C2"/>
    <w:rsid w:val="692F47F3"/>
    <w:rsid w:val="69313380"/>
    <w:rsid w:val="694A7F23"/>
    <w:rsid w:val="69635503"/>
    <w:rsid w:val="69E40F29"/>
    <w:rsid w:val="6A4E7F61"/>
    <w:rsid w:val="6A627569"/>
    <w:rsid w:val="6A7154B9"/>
    <w:rsid w:val="6AB27C07"/>
    <w:rsid w:val="6ABA1153"/>
    <w:rsid w:val="6ABF6F65"/>
    <w:rsid w:val="6AC87FE6"/>
    <w:rsid w:val="6B04316B"/>
    <w:rsid w:val="6B4A0F65"/>
    <w:rsid w:val="6B58657E"/>
    <w:rsid w:val="6B791415"/>
    <w:rsid w:val="6BB46A94"/>
    <w:rsid w:val="6BBA3B00"/>
    <w:rsid w:val="6C040369"/>
    <w:rsid w:val="6C5E2EE5"/>
    <w:rsid w:val="6CA44F9E"/>
    <w:rsid w:val="6CCC0FA1"/>
    <w:rsid w:val="6D1A6367"/>
    <w:rsid w:val="6D4A1693"/>
    <w:rsid w:val="6D51581F"/>
    <w:rsid w:val="6D55102F"/>
    <w:rsid w:val="6D6628E6"/>
    <w:rsid w:val="6D9A2A48"/>
    <w:rsid w:val="6DC9002B"/>
    <w:rsid w:val="6DCE447E"/>
    <w:rsid w:val="6DCF6AFE"/>
    <w:rsid w:val="6DD71A54"/>
    <w:rsid w:val="6E225C58"/>
    <w:rsid w:val="6E944536"/>
    <w:rsid w:val="6EB61E3D"/>
    <w:rsid w:val="6EB760D5"/>
    <w:rsid w:val="6EBA0E66"/>
    <w:rsid w:val="6EDC6697"/>
    <w:rsid w:val="6EFF7AFF"/>
    <w:rsid w:val="6F0425D7"/>
    <w:rsid w:val="6F264A9E"/>
    <w:rsid w:val="6F273616"/>
    <w:rsid w:val="6F590296"/>
    <w:rsid w:val="6FC509BB"/>
    <w:rsid w:val="6FCA008A"/>
    <w:rsid w:val="70076BE8"/>
    <w:rsid w:val="70107F06"/>
    <w:rsid w:val="706C51D4"/>
    <w:rsid w:val="708345D2"/>
    <w:rsid w:val="710226C8"/>
    <w:rsid w:val="71306870"/>
    <w:rsid w:val="713F7EA0"/>
    <w:rsid w:val="71B15BA7"/>
    <w:rsid w:val="72312642"/>
    <w:rsid w:val="7299178E"/>
    <w:rsid w:val="72B72559"/>
    <w:rsid w:val="72DF0423"/>
    <w:rsid w:val="72E65600"/>
    <w:rsid w:val="73597617"/>
    <w:rsid w:val="73730DA8"/>
    <w:rsid w:val="73760A49"/>
    <w:rsid w:val="739D67C6"/>
    <w:rsid w:val="73A908A3"/>
    <w:rsid w:val="73B60772"/>
    <w:rsid w:val="73E04711"/>
    <w:rsid w:val="7450542B"/>
    <w:rsid w:val="745555ED"/>
    <w:rsid w:val="748449C5"/>
    <w:rsid w:val="748E75A3"/>
    <w:rsid w:val="74B530B7"/>
    <w:rsid w:val="74C7585F"/>
    <w:rsid w:val="74E03F88"/>
    <w:rsid w:val="751A2688"/>
    <w:rsid w:val="75287D22"/>
    <w:rsid w:val="759B7FBA"/>
    <w:rsid w:val="75A02A57"/>
    <w:rsid w:val="75CB7E3D"/>
    <w:rsid w:val="76197A00"/>
    <w:rsid w:val="763B1ECB"/>
    <w:rsid w:val="76712F0C"/>
    <w:rsid w:val="768A331D"/>
    <w:rsid w:val="76AE6010"/>
    <w:rsid w:val="76E3368E"/>
    <w:rsid w:val="773662B0"/>
    <w:rsid w:val="776B2153"/>
    <w:rsid w:val="77996CC0"/>
    <w:rsid w:val="77AB47FF"/>
    <w:rsid w:val="77CC6DB9"/>
    <w:rsid w:val="785250C1"/>
    <w:rsid w:val="788259A6"/>
    <w:rsid w:val="789B3CC7"/>
    <w:rsid w:val="78CB2770"/>
    <w:rsid w:val="79080D5A"/>
    <w:rsid w:val="799A251B"/>
    <w:rsid w:val="799F572C"/>
    <w:rsid w:val="7A0F6CC1"/>
    <w:rsid w:val="7A3C7DD6"/>
    <w:rsid w:val="7A4F1F4A"/>
    <w:rsid w:val="7A6B4B71"/>
    <w:rsid w:val="7AFE32DE"/>
    <w:rsid w:val="7B372587"/>
    <w:rsid w:val="7B6B04D4"/>
    <w:rsid w:val="7B9C4BFD"/>
    <w:rsid w:val="7BF061B4"/>
    <w:rsid w:val="7BF567D9"/>
    <w:rsid w:val="7C317624"/>
    <w:rsid w:val="7C4E77CA"/>
    <w:rsid w:val="7C5424EB"/>
    <w:rsid w:val="7C6B26BA"/>
    <w:rsid w:val="7C6D6A69"/>
    <w:rsid w:val="7C710451"/>
    <w:rsid w:val="7C831B79"/>
    <w:rsid w:val="7CA63A69"/>
    <w:rsid w:val="7CCE4721"/>
    <w:rsid w:val="7CF914B9"/>
    <w:rsid w:val="7CFB5D27"/>
    <w:rsid w:val="7D2A690E"/>
    <w:rsid w:val="7D39261D"/>
    <w:rsid w:val="7D974FAD"/>
    <w:rsid w:val="7D9D6A3C"/>
    <w:rsid w:val="7DA13BE6"/>
    <w:rsid w:val="7DA93D80"/>
    <w:rsid w:val="7DD6735D"/>
    <w:rsid w:val="7E586A22"/>
    <w:rsid w:val="7E8B72AB"/>
    <w:rsid w:val="7EB1275E"/>
    <w:rsid w:val="7EC46054"/>
    <w:rsid w:val="7F1C3DA0"/>
    <w:rsid w:val="7F27210B"/>
    <w:rsid w:val="7F6B7807"/>
    <w:rsid w:val="7F6E1582"/>
    <w:rsid w:val="7F80403E"/>
    <w:rsid w:val="7FC75FDF"/>
    <w:rsid w:val="7FD83530"/>
    <w:rsid w:val="7FDF7A67"/>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autoRedefine/>
    <w:qFormat/>
    <w:uiPriority w:val="0"/>
    <w:pPr>
      <w:keepNext/>
      <w:jc w:val="center"/>
      <w:outlineLvl w:val="0"/>
    </w:pPr>
    <w:rPr>
      <w:b/>
      <w:bCs/>
      <w:sz w:val="24"/>
      <w:szCs w:val="20"/>
    </w:rPr>
  </w:style>
  <w:style w:type="paragraph" w:styleId="3">
    <w:name w:val="heading 2"/>
    <w:basedOn w:val="1"/>
    <w:next w:val="1"/>
    <w:link w:val="53"/>
    <w:autoRedefine/>
    <w:qFormat/>
    <w:uiPriority w:val="0"/>
    <w:pPr>
      <w:keepNext/>
      <w:keepLines/>
      <w:spacing w:line="360" w:lineRule="auto"/>
      <w:outlineLvl w:val="1"/>
    </w:pPr>
    <w:rPr>
      <w:rFonts w:ascii="Arial" w:hAnsi="Arial"/>
      <w:b/>
      <w:bCs/>
      <w:sz w:val="24"/>
      <w:szCs w:val="32"/>
    </w:rPr>
  </w:style>
  <w:style w:type="paragraph" w:styleId="4">
    <w:name w:val="heading 3"/>
    <w:basedOn w:val="1"/>
    <w:next w:val="1"/>
    <w:link w:val="55"/>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57"/>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4"/>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5"/>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6"/>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67"/>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8"/>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12">
    <w:name w:val="Normal Indent"/>
    <w:basedOn w:val="1"/>
    <w:next w:val="13"/>
    <w:autoRedefine/>
    <w:qFormat/>
    <w:uiPriority w:val="0"/>
    <w:pPr>
      <w:widowControl/>
      <w:ind w:firstLine="420"/>
      <w:jc w:val="left"/>
    </w:pPr>
    <w:rPr>
      <w:kern w:val="0"/>
      <w:sz w:val="20"/>
      <w:szCs w:val="20"/>
    </w:rPr>
  </w:style>
  <w:style w:type="paragraph" w:customStyle="1" w:styleId="13">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4">
    <w:name w:val="Document Map"/>
    <w:basedOn w:val="1"/>
    <w:link w:val="92"/>
    <w:autoRedefine/>
    <w:semiHidden/>
    <w:qFormat/>
    <w:uiPriority w:val="0"/>
    <w:pPr>
      <w:shd w:val="clear" w:color="auto" w:fill="000080"/>
    </w:pPr>
  </w:style>
  <w:style w:type="paragraph" w:styleId="15">
    <w:name w:val="annotation text"/>
    <w:basedOn w:val="1"/>
    <w:link w:val="76"/>
    <w:autoRedefine/>
    <w:semiHidden/>
    <w:qFormat/>
    <w:uiPriority w:val="0"/>
    <w:pPr>
      <w:jc w:val="left"/>
    </w:pPr>
  </w:style>
  <w:style w:type="paragraph" w:styleId="16">
    <w:name w:val="Salutation"/>
    <w:basedOn w:val="1"/>
    <w:next w:val="1"/>
    <w:link w:val="81"/>
    <w:autoRedefine/>
    <w:qFormat/>
    <w:uiPriority w:val="0"/>
    <w:rPr>
      <w:rFonts w:ascii="仿宋_GB2312" w:eastAsia="仿宋_GB2312"/>
      <w:sz w:val="24"/>
    </w:rPr>
  </w:style>
  <w:style w:type="paragraph" w:styleId="17">
    <w:name w:val="Body Text"/>
    <w:basedOn w:val="1"/>
    <w:next w:val="1"/>
    <w:link w:val="70"/>
    <w:autoRedefine/>
    <w:qFormat/>
    <w:uiPriority w:val="0"/>
    <w:pPr>
      <w:spacing w:after="120"/>
    </w:pPr>
  </w:style>
  <w:style w:type="paragraph" w:styleId="18">
    <w:name w:val="Body Text Indent"/>
    <w:basedOn w:val="1"/>
    <w:next w:val="19"/>
    <w:link w:val="73"/>
    <w:autoRedefine/>
    <w:qFormat/>
    <w:uiPriority w:val="0"/>
    <w:pPr>
      <w:spacing w:after="120"/>
      <w:ind w:left="420" w:leftChars="200"/>
    </w:pPr>
  </w:style>
  <w:style w:type="paragraph" w:styleId="19">
    <w:name w:val="Body Text Indent 2"/>
    <w:basedOn w:val="1"/>
    <w:link w:val="83"/>
    <w:autoRedefine/>
    <w:qFormat/>
    <w:uiPriority w:val="0"/>
    <w:pPr>
      <w:spacing w:after="120" w:line="480" w:lineRule="auto"/>
      <w:ind w:left="420" w:leftChars="200"/>
    </w:pPr>
  </w:style>
  <w:style w:type="paragraph" w:styleId="20">
    <w:name w:val="Block Text"/>
    <w:basedOn w:val="1"/>
    <w:autoRedefine/>
    <w:qFormat/>
    <w:uiPriority w:val="0"/>
    <w:pPr>
      <w:ind w:left="1171" w:right="91" w:hanging="1080"/>
    </w:pPr>
    <w:rPr>
      <w:rFonts w:eastAsia="楷体_GB2312"/>
      <w:szCs w:val="20"/>
    </w:rPr>
  </w:style>
  <w:style w:type="paragraph" w:styleId="21">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22">
    <w:name w:val="toc 3"/>
    <w:basedOn w:val="1"/>
    <w:next w:val="1"/>
    <w:autoRedefine/>
    <w:unhideWhenUsed/>
    <w:qFormat/>
    <w:uiPriority w:val="39"/>
    <w:pPr>
      <w:adjustRightInd w:val="0"/>
      <w:snapToGrid w:val="0"/>
      <w:spacing w:line="360" w:lineRule="auto"/>
      <w:ind w:left="400" w:leftChars="400"/>
    </w:pPr>
    <w:rPr>
      <w:rFonts w:eastAsiaTheme="minorEastAsia"/>
      <w:b/>
    </w:rPr>
  </w:style>
  <w:style w:type="paragraph" w:styleId="23">
    <w:name w:val="Plain Text"/>
    <w:basedOn w:val="1"/>
    <w:link w:val="75"/>
    <w:autoRedefine/>
    <w:qFormat/>
    <w:uiPriority w:val="0"/>
    <w:rPr>
      <w:rFonts w:ascii="宋体" w:hAnsi="Courier New" w:cs="Courier New"/>
      <w:szCs w:val="21"/>
    </w:rPr>
  </w:style>
  <w:style w:type="paragraph" w:styleId="24">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5">
    <w:name w:val="Date"/>
    <w:basedOn w:val="1"/>
    <w:next w:val="1"/>
    <w:link w:val="86"/>
    <w:autoRedefine/>
    <w:qFormat/>
    <w:uiPriority w:val="0"/>
    <w:rPr>
      <w:sz w:val="24"/>
      <w:szCs w:val="20"/>
    </w:rPr>
  </w:style>
  <w:style w:type="paragraph" w:styleId="26">
    <w:name w:val="Balloon Text"/>
    <w:basedOn w:val="1"/>
    <w:link w:val="100"/>
    <w:autoRedefine/>
    <w:qFormat/>
    <w:uiPriority w:val="0"/>
    <w:rPr>
      <w:sz w:val="18"/>
      <w:szCs w:val="18"/>
    </w:rPr>
  </w:style>
  <w:style w:type="paragraph" w:styleId="27">
    <w:name w:val="footer"/>
    <w:basedOn w:val="1"/>
    <w:link w:val="71"/>
    <w:autoRedefine/>
    <w:qFormat/>
    <w:uiPriority w:val="99"/>
    <w:pPr>
      <w:tabs>
        <w:tab w:val="center" w:pos="4153"/>
        <w:tab w:val="right" w:pos="8306"/>
      </w:tabs>
      <w:snapToGrid w:val="0"/>
      <w:jc w:val="left"/>
    </w:pPr>
    <w:rPr>
      <w:sz w:val="18"/>
      <w:szCs w:val="18"/>
    </w:rPr>
  </w:style>
  <w:style w:type="paragraph" w:styleId="28">
    <w:name w:val="header"/>
    <w:basedOn w:val="1"/>
    <w:link w:val="72"/>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spacing w:line="360" w:lineRule="auto"/>
    </w:pPr>
    <w:rPr>
      <w:rFonts w:asciiTheme="minorEastAsia" w:hAnsiTheme="minorEastAsia" w:eastAsiaTheme="minorEastAsia"/>
      <w:b/>
      <w:sz w:val="24"/>
      <w:szCs w:val="21"/>
    </w:rPr>
  </w:style>
  <w:style w:type="paragraph" w:styleId="30">
    <w:name w:val="toc 4"/>
    <w:basedOn w:val="1"/>
    <w:next w:val="1"/>
    <w:autoRedefine/>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1">
    <w:name w:val="toc 6"/>
    <w:basedOn w:val="1"/>
    <w:next w:val="1"/>
    <w:autoRedefine/>
    <w:qFormat/>
    <w:uiPriority w:val="39"/>
    <w:pPr>
      <w:ind w:left="2100"/>
    </w:pPr>
    <w:rPr>
      <w:szCs w:val="20"/>
    </w:rPr>
  </w:style>
  <w:style w:type="paragraph" w:styleId="32">
    <w:name w:val="Body Text Indent 3"/>
    <w:basedOn w:val="1"/>
    <w:link w:val="85"/>
    <w:autoRedefine/>
    <w:qFormat/>
    <w:uiPriority w:val="0"/>
    <w:pPr>
      <w:spacing w:after="120"/>
      <w:ind w:left="420" w:leftChars="200"/>
    </w:pPr>
    <w:rPr>
      <w:sz w:val="16"/>
      <w:szCs w:val="16"/>
    </w:rPr>
  </w:style>
  <w:style w:type="paragraph" w:styleId="33">
    <w:name w:val="table of figures"/>
    <w:basedOn w:val="1"/>
    <w:next w:val="1"/>
    <w:semiHidden/>
    <w:qFormat/>
    <w:uiPriority w:val="0"/>
    <w:pPr>
      <w:adjustRightInd w:val="0"/>
      <w:snapToGrid w:val="0"/>
      <w:ind w:left="840" w:leftChars="200" w:hanging="420" w:hangingChars="200"/>
    </w:pPr>
    <w:rPr>
      <w:rFonts w:ascii="宋体" w:hAnsi="Times New Roman"/>
      <w:szCs w:val="20"/>
    </w:rPr>
  </w:style>
  <w:style w:type="paragraph" w:styleId="34">
    <w:name w:val="toc 2"/>
    <w:basedOn w:val="1"/>
    <w:next w:val="1"/>
    <w:autoRedefine/>
    <w:unhideWhenUsed/>
    <w:qFormat/>
    <w:uiPriority w:val="39"/>
    <w:pPr>
      <w:spacing w:line="360" w:lineRule="auto"/>
      <w:ind w:left="200" w:leftChars="200"/>
    </w:pPr>
    <w:rPr>
      <w:rFonts w:eastAsiaTheme="majorEastAsia"/>
      <w:b/>
    </w:rPr>
  </w:style>
  <w:style w:type="paragraph" w:styleId="35">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6">
    <w:name w:val="Body Text 2"/>
    <w:basedOn w:val="1"/>
    <w:link w:val="82"/>
    <w:autoRedefine/>
    <w:qFormat/>
    <w:uiPriority w:val="0"/>
    <w:pPr>
      <w:spacing w:after="120" w:line="480" w:lineRule="auto"/>
    </w:pPr>
  </w:style>
  <w:style w:type="paragraph" w:styleId="37">
    <w:name w:val="HTML Preformatted"/>
    <w:basedOn w:val="1"/>
    <w:link w:val="8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pPr>
      <w:spacing w:line="220" w:lineRule="exact"/>
      <w:jc w:val="center"/>
    </w:pPr>
    <w:rPr>
      <w:rFonts w:ascii="仿宋_GB2312" w:eastAsia="仿宋_GB2312"/>
      <w:szCs w:val="20"/>
    </w:rPr>
  </w:style>
  <w:style w:type="paragraph" w:styleId="40">
    <w:name w:val="Title"/>
    <w:basedOn w:val="1"/>
    <w:link w:val="117"/>
    <w:autoRedefine/>
    <w:qFormat/>
    <w:uiPriority w:val="0"/>
    <w:pPr>
      <w:jc w:val="center"/>
      <w:outlineLvl w:val="0"/>
    </w:pPr>
    <w:rPr>
      <w:rFonts w:asciiTheme="minorHAnsi" w:hAnsiTheme="minorHAnsi" w:eastAsiaTheme="minorEastAsia" w:cstheme="minorBidi"/>
      <w:b/>
      <w:sz w:val="32"/>
      <w:szCs w:val="22"/>
    </w:rPr>
  </w:style>
  <w:style w:type="paragraph" w:styleId="41">
    <w:name w:val="annotation subject"/>
    <w:basedOn w:val="15"/>
    <w:next w:val="15"/>
    <w:link w:val="99"/>
    <w:autoRedefine/>
    <w:qFormat/>
    <w:uiPriority w:val="0"/>
    <w:rPr>
      <w:b/>
      <w:bCs/>
    </w:rPr>
  </w:style>
  <w:style w:type="paragraph" w:styleId="42">
    <w:name w:val="Body Text First Indent"/>
    <w:basedOn w:val="17"/>
    <w:autoRedefine/>
    <w:qFormat/>
    <w:uiPriority w:val="0"/>
    <w:pPr>
      <w:spacing w:after="120" w:line="360" w:lineRule="exact"/>
      <w:ind w:left="400" w:leftChars="400" w:firstLine="420" w:firstLineChars="100"/>
    </w:pPr>
    <w:rPr>
      <w:rFonts w:eastAsia="楷体_GB2312"/>
      <w:sz w:val="24"/>
    </w:rPr>
  </w:style>
  <w:style w:type="paragraph" w:styleId="43">
    <w:name w:val="Body Text First Indent 2"/>
    <w:basedOn w:val="18"/>
    <w:next w:val="42"/>
    <w:qFormat/>
    <w:uiPriority w:val="0"/>
    <w:pPr>
      <w:spacing w:after="120" w:afterLines="0"/>
      <w:ind w:left="420" w:leftChars="200" w:firstLine="482" w:firstLineChars="200"/>
    </w:pPr>
    <w:rPr>
      <w:rFonts w:ascii="Calibri" w:hAnsi="Calibri"/>
      <w:b/>
      <w:sz w:val="24"/>
      <w:szCs w:val="24"/>
    </w:rPr>
  </w:style>
  <w:style w:type="table" w:styleId="45">
    <w:name w:val="Table Grid"/>
    <w:basedOn w:val="44"/>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basedOn w:val="46"/>
    <w:autoRedefine/>
    <w:qFormat/>
    <w:uiPriority w:val="20"/>
  </w:style>
  <w:style w:type="character" w:styleId="51">
    <w:name w:val="Hyperlink"/>
    <w:autoRedefine/>
    <w:qFormat/>
    <w:uiPriority w:val="99"/>
    <w:rPr>
      <w:color w:val="136EC2"/>
      <w:u w:val="single"/>
    </w:rPr>
  </w:style>
  <w:style w:type="character" w:styleId="52">
    <w:name w:val="annotation reference"/>
    <w:autoRedefine/>
    <w:qFormat/>
    <w:uiPriority w:val="0"/>
    <w:rPr>
      <w:sz w:val="21"/>
      <w:szCs w:val="21"/>
    </w:rPr>
  </w:style>
  <w:style w:type="character" w:customStyle="1" w:styleId="53">
    <w:name w:val="标题 2 Char"/>
    <w:basedOn w:val="46"/>
    <w:link w:val="3"/>
    <w:autoRedefine/>
    <w:qFormat/>
    <w:uiPriority w:val="0"/>
    <w:rPr>
      <w:rFonts w:ascii="Arial" w:hAnsi="Arial" w:eastAsia="宋体" w:cs="Times New Roman"/>
      <w:b/>
      <w:bCs/>
      <w:sz w:val="24"/>
      <w:szCs w:val="32"/>
    </w:rPr>
  </w:style>
  <w:style w:type="paragraph" w:customStyle="1" w:styleId="54">
    <w:name w:val="font5"/>
    <w:basedOn w:val="1"/>
    <w:qFormat/>
    <w:uiPriority w:val="0"/>
    <w:pPr>
      <w:widowControl/>
      <w:spacing w:before="100" w:beforeAutospacing="1" w:after="100" w:afterAutospacing="1"/>
      <w:jc w:val="left"/>
    </w:pPr>
    <w:rPr>
      <w:rFonts w:ascii="宋体"/>
      <w:kern w:val="0"/>
      <w:sz w:val="18"/>
      <w:szCs w:val="18"/>
    </w:rPr>
  </w:style>
  <w:style w:type="character" w:customStyle="1" w:styleId="55">
    <w:name w:val="标题 3 Char"/>
    <w:basedOn w:val="46"/>
    <w:link w:val="4"/>
    <w:autoRedefine/>
    <w:qFormat/>
    <w:uiPriority w:val="0"/>
    <w:rPr>
      <w:rFonts w:ascii="Times New Roman" w:hAnsi="Times New Roman" w:eastAsia="宋体" w:cs="Times New Roman"/>
      <w:b/>
      <w:bCs/>
      <w:sz w:val="32"/>
      <w:szCs w:val="32"/>
    </w:rPr>
  </w:style>
  <w:style w:type="character" w:customStyle="1" w:styleId="56">
    <w:name w:val="标题 1 Char"/>
    <w:basedOn w:val="46"/>
    <w:link w:val="2"/>
    <w:autoRedefine/>
    <w:qFormat/>
    <w:uiPriority w:val="0"/>
    <w:rPr>
      <w:rFonts w:ascii="Times New Roman" w:hAnsi="Times New Roman" w:eastAsia="宋体" w:cs="Times New Roman"/>
      <w:b/>
      <w:bCs/>
      <w:sz w:val="24"/>
      <w:szCs w:val="20"/>
    </w:rPr>
  </w:style>
  <w:style w:type="character" w:customStyle="1" w:styleId="57">
    <w:name w:val="标题 4 Char"/>
    <w:basedOn w:val="46"/>
    <w:link w:val="5"/>
    <w:autoRedefine/>
    <w:qFormat/>
    <w:uiPriority w:val="0"/>
    <w:rPr>
      <w:rFonts w:ascii="Arial" w:hAnsi="Arial" w:eastAsia="黑体" w:cs="Times New Roman"/>
      <w:b/>
      <w:bCs/>
      <w:sz w:val="28"/>
      <w:szCs w:val="28"/>
    </w:rPr>
  </w:style>
  <w:style w:type="paragraph" w:customStyle="1" w:styleId="58">
    <w:name w:val="列出段落1"/>
    <w:basedOn w:val="59"/>
    <w:next w:val="60"/>
    <w:autoRedefine/>
    <w:qFormat/>
    <w:uiPriority w:val="0"/>
    <w:pPr>
      <w:ind w:firstLine="420" w:firstLineChars="200"/>
    </w:pPr>
    <w:rPr>
      <w:szCs w:val="21"/>
    </w:rPr>
  </w:style>
  <w:style w:type="paragraph" w:customStyle="1" w:styleId="59">
    <w:name w:val="正文_0"/>
    <w:next w:val="43"/>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Style26"/>
    <w:basedOn w:val="1"/>
    <w:next w:val="18"/>
    <w:autoRedefine/>
    <w:unhideWhenUsed/>
    <w:qFormat/>
    <w:uiPriority w:val="0"/>
  </w:style>
  <w:style w:type="paragraph" w:customStyle="1" w:styleId="61">
    <w:name w:val="Body Text Indent1"/>
    <w:basedOn w:val="1"/>
    <w:next w:val="62"/>
    <w:autoRedefine/>
    <w:qFormat/>
    <w:uiPriority w:val="0"/>
    <w:pPr>
      <w:spacing w:after="120" w:afterLines="0"/>
      <w:ind w:left="420" w:leftChars="200"/>
    </w:pPr>
    <w:rPr>
      <w:rFonts w:ascii="宋体" w:hAnsi="宋体"/>
    </w:rPr>
  </w:style>
  <w:style w:type="paragraph" w:customStyle="1" w:styleId="62">
    <w:name w:val="Body Text Indent 31"/>
    <w:basedOn w:val="1"/>
    <w:next w:val="63"/>
    <w:autoRedefine/>
    <w:qFormat/>
    <w:uiPriority w:val="0"/>
    <w:pPr>
      <w:spacing w:after="120" w:afterLines="0"/>
      <w:ind w:left="420" w:leftChars="200"/>
    </w:pPr>
    <w:rPr>
      <w:kern w:val="0"/>
      <w:sz w:val="16"/>
      <w:szCs w:val="16"/>
    </w:rPr>
  </w:style>
  <w:style w:type="paragraph" w:customStyle="1" w:styleId="63">
    <w:name w:val="Style23"/>
    <w:basedOn w:val="1"/>
    <w:next w:val="1"/>
    <w:autoRedefine/>
    <w:unhideWhenUsed/>
    <w:qFormat/>
    <w:uiPriority w:val="0"/>
  </w:style>
  <w:style w:type="character" w:customStyle="1" w:styleId="64">
    <w:name w:val="标题 5 Char"/>
    <w:basedOn w:val="46"/>
    <w:link w:val="6"/>
    <w:autoRedefine/>
    <w:qFormat/>
    <w:uiPriority w:val="0"/>
    <w:rPr>
      <w:rFonts w:ascii="Times New Roman" w:hAnsi="Times New Roman" w:eastAsia="宋体" w:cs="Times New Roman"/>
      <w:b/>
      <w:bCs/>
      <w:kern w:val="0"/>
      <w:sz w:val="28"/>
      <w:szCs w:val="28"/>
    </w:rPr>
  </w:style>
  <w:style w:type="character" w:customStyle="1" w:styleId="65">
    <w:name w:val="标题 6 Char"/>
    <w:basedOn w:val="46"/>
    <w:link w:val="7"/>
    <w:autoRedefine/>
    <w:qFormat/>
    <w:uiPriority w:val="0"/>
    <w:rPr>
      <w:rFonts w:ascii="Arial" w:hAnsi="Arial" w:eastAsia="黑体" w:cs="Times New Roman"/>
      <w:b/>
      <w:bCs/>
      <w:kern w:val="0"/>
      <w:sz w:val="24"/>
      <w:szCs w:val="24"/>
    </w:rPr>
  </w:style>
  <w:style w:type="character" w:customStyle="1" w:styleId="66">
    <w:name w:val="标题 7 Char"/>
    <w:basedOn w:val="46"/>
    <w:link w:val="8"/>
    <w:autoRedefine/>
    <w:qFormat/>
    <w:uiPriority w:val="0"/>
    <w:rPr>
      <w:rFonts w:ascii="Times New Roman" w:hAnsi="Times New Roman" w:eastAsia="宋体" w:cs="Times New Roman"/>
      <w:b/>
      <w:bCs/>
      <w:kern w:val="0"/>
      <w:sz w:val="24"/>
      <w:szCs w:val="24"/>
    </w:rPr>
  </w:style>
  <w:style w:type="character" w:customStyle="1" w:styleId="67">
    <w:name w:val="标题 8 Char"/>
    <w:basedOn w:val="46"/>
    <w:link w:val="9"/>
    <w:autoRedefine/>
    <w:qFormat/>
    <w:uiPriority w:val="0"/>
    <w:rPr>
      <w:rFonts w:ascii="Arial" w:hAnsi="Arial" w:eastAsia="黑体" w:cs="Times New Roman"/>
      <w:kern w:val="0"/>
      <w:sz w:val="24"/>
      <w:szCs w:val="24"/>
    </w:rPr>
  </w:style>
  <w:style w:type="character" w:customStyle="1" w:styleId="68">
    <w:name w:val="标题 9 Char"/>
    <w:basedOn w:val="46"/>
    <w:link w:val="10"/>
    <w:autoRedefine/>
    <w:qFormat/>
    <w:uiPriority w:val="0"/>
    <w:rPr>
      <w:rFonts w:ascii="Arial" w:hAnsi="Arial" w:eastAsia="黑体" w:cs="Times New Roman"/>
      <w:kern w:val="0"/>
      <w:szCs w:val="21"/>
    </w:rPr>
  </w:style>
  <w:style w:type="paragraph" w:customStyle="1" w:styleId="69">
    <w:name w:val="表格内容"/>
    <w:basedOn w:val="17"/>
    <w:autoRedefine/>
    <w:qFormat/>
    <w:uiPriority w:val="0"/>
    <w:pPr>
      <w:suppressLineNumbers/>
      <w:suppressAutoHyphens/>
      <w:jc w:val="left"/>
    </w:pPr>
    <w:rPr>
      <w:rFonts w:cs="Tahoma"/>
      <w:kern w:val="0"/>
      <w:sz w:val="24"/>
    </w:rPr>
  </w:style>
  <w:style w:type="character" w:customStyle="1" w:styleId="70">
    <w:name w:val="正文文本 Char"/>
    <w:basedOn w:val="46"/>
    <w:link w:val="17"/>
    <w:autoRedefine/>
    <w:qFormat/>
    <w:uiPriority w:val="0"/>
    <w:rPr>
      <w:rFonts w:ascii="Times New Roman" w:hAnsi="Times New Roman" w:eastAsia="宋体" w:cs="Times New Roman"/>
      <w:szCs w:val="24"/>
    </w:rPr>
  </w:style>
  <w:style w:type="character" w:customStyle="1" w:styleId="71">
    <w:name w:val="页脚 Char"/>
    <w:basedOn w:val="46"/>
    <w:link w:val="27"/>
    <w:autoRedefine/>
    <w:qFormat/>
    <w:uiPriority w:val="99"/>
    <w:rPr>
      <w:rFonts w:ascii="Times New Roman" w:hAnsi="Times New Roman" w:eastAsia="宋体" w:cs="Times New Roman"/>
      <w:sz w:val="18"/>
      <w:szCs w:val="18"/>
    </w:rPr>
  </w:style>
  <w:style w:type="character" w:customStyle="1" w:styleId="72">
    <w:name w:val="页眉 Char"/>
    <w:basedOn w:val="46"/>
    <w:link w:val="28"/>
    <w:autoRedefine/>
    <w:qFormat/>
    <w:uiPriority w:val="99"/>
    <w:rPr>
      <w:rFonts w:ascii="Times New Roman" w:hAnsi="Times New Roman" w:eastAsia="宋体" w:cs="Times New Roman"/>
      <w:sz w:val="18"/>
      <w:szCs w:val="18"/>
    </w:rPr>
  </w:style>
  <w:style w:type="character" w:customStyle="1" w:styleId="73">
    <w:name w:val="正文文本缩进 Char"/>
    <w:basedOn w:val="46"/>
    <w:link w:val="18"/>
    <w:autoRedefine/>
    <w:qFormat/>
    <w:uiPriority w:val="0"/>
    <w:rPr>
      <w:rFonts w:ascii="Times New Roman" w:hAnsi="Times New Roman" w:eastAsia="宋体" w:cs="Times New Roman"/>
      <w:szCs w:val="24"/>
    </w:rPr>
  </w:style>
  <w:style w:type="paragraph" w:customStyle="1" w:styleId="74">
    <w:name w:val="Char Char Char Char Char Char Char"/>
    <w:basedOn w:val="1"/>
    <w:autoRedefine/>
    <w:qFormat/>
    <w:uiPriority w:val="0"/>
    <w:pPr>
      <w:snapToGrid w:val="0"/>
      <w:spacing w:line="360" w:lineRule="auto"/>
      <w:ind w:firstLine="200" w:firstLineChars="200"/>
    </w:pPr>
    <w:rPr>
      <w:rFonts w:eastAsia="仿宋_GB2312"/>
      <w:sz w:val="24"/>
    </w:rPr>
  </w:style>
  <w:style w:type="character" w:customStyle="1" w:styleId="75">
    <w:name w:val="纯文本 Char"/>
    <w:basedOn w:val="46"/>
    <w:link w:val="23"/>
    <w:autoRedefine/>
    <w:qFormat/>
    <w:uiPriority w:val="0"/>
    <w:rPr>
      <w:rFonts w:ascii="宋体" w:hAnsi="Courier New" w:eastAsia="宋体" w:cs="Courier New"/>
      <w:szCs w:val="21"/>
    </w:rPr>
  </w:style>
  <w:style w:type="character" w:customStyle="1" w:styleId="76">
    <w:name w:val="批注文字 Char"/>
    <w:basedOn w:val="46"/>
    <w:link w:val="15"/>
    <w:autoRedefine/>
    <w:semiHidden/>
    <w:qFormat/>
    <w:uiPriority w:val="0"/>
    <w:rPr>
      <w:rFonts w:ascii="Times New Roman" w:hAnsi="Times New Roman" w:eastAsia="宋体" w:cs="Times New Roman"/>
      <w:szCs w:val="24"/>
    </w:rPr>
  </w:style>
  <w:style w:type="paragraph" w:customStyle="1" w:styleId="77">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78">
    <w:name w:val="Char Char Char"/>
    <w:basedOn w:val="1"/>
    <w:autoRedefine/>
    <w:qFormat/>
    <w:uiPriority w:val="0"/>
    <w:rPr>
      <w:rFonts w:ascii="宋体" w:hAnsi="宋体"/>
      <w:b/>
      <w:sz w:val="28"/>
      <w:szCs w:val="28"/>
    </w:rPr>
  </w:style>
  <w:style w:type="paragraph" w:customStyle="1" w:styleId="79">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character" w:customStyle="1" w:styleId="80">
    <w:name w:val="HTML 预设格式 Char"/>
    <w:basedOn w:val="46"/>
    <w:link w:val="37"/>
    <w:autoRedefine/>
    <w:qFormat/>
    <w:uiPriority w:val="0"/>
    <w:rPr>
      <w:rFonts w:ascii="Arial" w:hAnsi="Arial" w:eastAsia="宋体" w:cs="Arial"/>
      <w:kern w:val="0"/>
      <w:sz w:val="24"/>
      <w:szCs w:val="24"/>
    </w:rPr>
  </w:style>
  <w:style w:type="character" w:customStyle="1" w:styleId="81">
    <w:name w:val="称呼 Char"/>
    <w:basedOn w:val="46"/>
    <w:link w:val="16"/>
    <w:autoRedefine/>
    <w:qFormat/>
    <w:uiPriority w:val="0"/>
    <w:rPr>
      <w:rFonts w:ascii="仿宋_GB2312" w:hAnsi="Times New Roman" w:eastAsia="仿宋_GB2312" w:cs="Times New Roman"/>
      <w:sz w:val="24"/>
      <w:szCs w:val="24"/>
    </w:rPr>
  </w:style>
  <w:style w:type="character" w:customStyle="1" w:styleId="82">
    <w:name w:val="正文文本 2 Char"/>
    <w:basedOn w:val="46"/>
    <w:link w:val="36"/>
    <w:autoRedefine/>
    <w:qFormat/>
    <w:uiPriority w:val="0"/>
    <w:rPr>
      <w:rFonts w:ascii="Times New Roman" w:hAnsi="Times New Roman" w:eastAsia="宋体" w:cs="Times New Roman"/>
      <w:szCs w:val="24"/>
    </w:rPr>
  </w:style>
  <w:style w:type="character" w:customStyle="1" w:styleId="83">
    <w:name w:val="正文文本缩进 2 Char"/>
    <w:basedOn w:val="46"/>
    <w:link w:val="19"/>
    <w:autoRedefine/>
    <w:qFormat/>
    <w:uiPriority w:val="0"/>
    <w:rPr>
      <w:rFonts w:ascii="Times New Roman" w:hAnsi="Times New Roman" w:eastAsia="宋体" w:cs="Times New Roman"/>
      <w:szCs w:val="24"/>
    </w:rPr>
  </w:style>
  <w:style w:type="paragraph" w:customStyle="1" w:styleId="84">
    <w:name w:val="Char"/>
    <w:basedOn w:val="1"/>
    <w:autoRedefine/>
    <w:qFormat/>
    <w:uiPriority w:val="0"/>
    <w:pPr>
      <w:tabs>
        <w:tab w:val="left" w:pos="360"/>
      </w:tabs>
      <w:ind w:left="360" w:hanging="360" w:hangingChars="200"/>
    </w:pPr>
    <w:rPr>
      <w:sz w:val="24"/>
    </w:rPr>
  </w:style>
  <w:style w:type="character" w:customStyle="1" w:styleId="85">
    <w:name w:val="正文文本缩进 3 Char"/>
    <w:basedOn w:val="46"/>
    <w:link w:val="32"/>
    <w:autoRedefine/>
    <w:qFormat/>
    <w:uiPriority w:val="0"/>
    <w:rPr>
      <w:rFonts w:ascii="Times New Roman" w:hAnsi="Times New Roman" w:eastAsia="宋体" w:cs="Times New Roman"/>
      <w:sz w:val="16"/>
      <w:szCs w:val="16"/>
    </w:rPr>
  </w:style>
  <w:style w:type="character" w:customStyle="1" w:styleId="86">
    <w:name w:val="日期 Char"/>
    <w:basedOn w:val="46"/>
    <w:link w:val="25"/>
    <w:autoRedefine/>
    <w:qFormat/>
    <w:uiPriority w:val="0"/>
    <w:rPr>
      <w:rFonts w:ascii="Times New Roman" w:hAnsi="Times New Roman" w:eastAsia="宋体" w:cs="Times New Roman"/>
      <w:sz w:val="24"/>
      <w:szCs w:val="20"/>
    </w:rPr>
  </w:style>
  <w:style w:type="paragraph" w:customStyle="1" w:styleId="87">
    <w:name w:val="样式1"/>
    <w:basedOn w:val="1"/>
    <w:link w:val="119"/>
    <w:autoRedefine/>
    <w:qFormat/>
    <w:uiPriority w:val="0"/>
    <w:pPr>
      <w:tabs>
        <w:tab w:val="left" w:pos="360"/>
      </w:tabs>
      <w:adjustRightInd w:val="0"/>
      <w:ind w:left="360" w:hanging="360"/>
      <w:textAlignment w:val="baseline"/>
    </w:pPr>
    <w:rPr>
      <w:rFonts w:ascii="宋体" w:hAnsi="宋体"/>
      <w:kern w:val="0"/>
      <w:szCs w:val="21"/>
    </w:rPr>
  </w:style>
  <w:style w:type="character" w:customStyle="1" w:styleId="88">
    <w:name w:val="p0 Char"/>
    <w:link w:val="89"/>
    <w:autoRedefine/>
    <w:qFormat/>
    <w:uiPriority w:val="0"/>
    <w:rPr>
      <w:rFonts w:eastAsia="宋体"/>
      <w:szCs w:val="21"/>
    </w:rPr>
  </w:style>
  <w:style w:type="paragraph" w:customStyle="1" w:styleId="89">
    <w:name w:val="p0"/>
    <w:basedOn w:val="1"/>
    <w:link w:val="88"/>
    <w:autoRedefine/>
    <w:qFormat/>
    <w:uiPriority w:val="0"/>
    <w:pPr>
      <w:widowControl/>
    </w:pPr>
    <w:rPr>
      <w:rFonts w:asciiTheme="minorHAnsi" w:hAnsiTheme="minorHAnsi" w:cstheme="minorBidi"/>
      <w:szCs w:val="21"/>
    </w:rPr>
  </w:style>
  <w:style w:type="paragraph" w:customStyle="1" w:styleId="90">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91">
    <w:name w:val="Char Char1 Char Char Char Char Char1 Char Char Char Char"/>
    <w:basedOn w:val="14"/>
    <w:autoRedefine/>
    <w:qFormat/>
    <w:uiPriority w:val="0"/>
    <w:rPr>
      <w:rFonts w:ascii="Tahoma" w:hAnsi="Tahoma"/>
    </w:rPr>
  </w:style>
  <w:style w:type="character" w:customStyle="1" w:styleId="92">
    <w:name w:val="文档结构图 Char"/>
    <w:basedOn w:val="46"/>
    <w:link w:val="14"/>
    <w:autoRedefine/>
    <w:semiHidden/>
    <w:qFormat/>
    <w:uiPriority w:val="0"/>
    <w:rPr>
      <w:rFonts w:ascii="Times New Roman" w:hAnsi="Times New Roman" w:eastAsia="宋体" w:cs="Times New Roman"/>
      <w:szCs w:val="24"/>
      <w:shd w:val="clear" w:color="auto" w:fill="000080"/>
    </w:rPr>
  </w:style>
  <w:style w:type="paragraph" w:customStyle="1" w:styleId="93">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4">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95">
    <w:name w:val="目录 81"/>
    <w:basedOn w:val="1"/>
    <w:next w:val="1"/>
    <w:autoRedefine/>
    <w:qFormat/>
    <w:uiPriority w:val="99"/>
    <w:pPr>
      <w:ind w:left="2940"/>
    </w:pPr>
    <w:rPr>
      <w:rFonts w:ascii="Calibri" w:hAnsi="宋体" w:cs="宋体"/>
      <w:kern w:val="0"/>
      <w:szCs w:val="20"/>
    </w:rPr>
  </w:style>
  <w:style w:type="paragraph" w:customStyle="1" w:styleId="96">
    <w:name w:val="1"/>
    <w:basedOn w:val="1"/>
    <w:autoRedefine/>
    <w:qFormat/>
    <w:uiPriority w:val="0"/>
    <w:pPr>
      <w:spacing w:afterLines="50" w:line="360" w:lineRule="auto"/>
    </w:pPr>
    <w:rPr>
      <w:rFonts w:ascii="宋体" w:hAnsi="宋体"/>
      <w:b/>
      <w:sz w:val="30"/>
      <w:szCs w:val="21"/>
    </w:rPr>
  </w:style>
  <w:style w:type="paragraph" w:customStyle="1" w:styleId="97">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8">
    <w:name w:val="标题 1 +"/>
    <w:basedOn w:val="2"/>
    <w:next w:val="1"/>
    <w:autoRedefine/>
    <w:qFormat/>
    <w:uiPriority w:val="0"/>
    <w:pPr>
      <w:keepLines/>
      <w:spacing w:line="600" w:lineRule="auto"/>
    </w:pPr>
    <w:rPr>
      <w:rFonts w:eastAsia="黑体"/>
      <w:kern w:val="0"/>
      <w:sz w:val="32"/>
      <w:szCs w:val="32"/>
    </w:rPr>
  </w:style>
  <w:style w:type="character" w:customStyle="1" w:styleId="99">
    <w:name w:val="批注主题 Char"/>
    <w:basedOn w:val="76"/>
    <w:link w:val="41"/>
    <w:autoRedefine/>
    <w:qFormat/>
    <w:uiPriority w:val="0"/>
    <w:rPr>
      <w:rFonts w:ascii="Times New Roman" w:hAnsi="Times New Roman" w:eastAsia="宋体" w:cs="Times New Roman"/>
      <w:b/>
      <w:bCs/>
      <w:szCs w:val="24"/>
    </w:rPr>
  </w:style>
  <w:style w:type="character" w:customStyle="1" w:styleId="100">
    <w:name w:val="批注框文本 Char"/>
    <w:basedOn w:val="46"/>
    <w:link w:val="26"/>
    <w:autoRedefine/>
    <w:qFormat/>
    <w:uiPriority w:val="0"/>
    <w:rPr>
      <w:rFonts w:ascii="Times New Roman" w:hAnsi="Times New Roman" w:eastAsia="宋体" w:cs="Times New Roman"/>
      <w:sz w:val="18"/>
      <w:szCs w:val="18"/>
    </w:rPr>
  </w:style>
  <w:style w:type="paragraph" w:customStyle="1" w:styleId="101">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102">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03">
    <w:name w:val="Char1 Char Char Char 字元 Char Char 字元 Char 字元 Char1 Char Char Char"/>
    <w:basedOn w:val="1"/>
    <w:autoRedefine/>
    <w:qFormat/>
    <w:uiPriority w:val="0"/>
    <w:rPr>
      <w:szCs w:val="20"/>
    </w:rPr>
  </w:style>
  <w:style w:type="paragraph" w:customStyle="1" w:styleId="104">
    <w:name w:val="p16"/>
    <w:basedOn w:val="1"/>
    <w:autoRedefine/>
    <w:qFormat/>
    <w:uiPriority w:val="0"/>
    <w:pPr>
      <w:widowControl/>
      <w:jc w:val="left"/>
    </w:pPr>
    <w:rPr>
      <w:kern w:val="0"/>
      <w:szCs w:val="21"/>
    </w:rPr>
  </w:style>
  <w:style w:type="paragraph" w:customStyle="1" w:styleId="105">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06">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07">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9">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10">
    <w:name w:val="List Paragraph"/>
    <w:basedOn w:val="1"/>
    <w:link w:val="116"/>
    <w:autoRedefine/>
    <w:qFormat/>
    <w:uiPriority w:val="0"/>
    <w:pPr>
      <w:ind w:firstLine="420" w:firstLineChars="200"/>
    </w:pPr>
  </w:style>
  <w:style w:type="character" w:customStyle="1" w:styleId="111">
    <w:name w:val="fontstyle01"/>
    <w:basedOn w:val="46"/>
    <w:autoRedefine/>
    <w:qFormat/>
    <w:uiPriority w:val="0"/>
    <w:rPr>
      <w:rFonts w:hint="eastAsia" w:ascii="宋体" w:hAnsi="宋体" w:eastAsia="宋体"/>
      <w:color w:val="000000"/>
      <w:sz w:val="24"/>
      <w:szCs w:val="24"/>
    </w:rPr>
  </w:style>
  <w:style w:type="character" w:customStyle="1" w:styleId="112">
    <w:name w:val="fontstyle11"/>
    <w:basedOn w:val="46"/>
    <w:autoRedefine/>
    <w:qFormat/>
    <w:uiPriority w:val="0"/>
    <w:rPr>
      <w:rFonts w:hint="default" w:ascii="TimesNewRomanPSMT" w:hAnsi="TimesNewRomanPSMT"/>
      <w:color w:val="000000"/>
      <w:sz w:val="24"/>
      <w:szCs w:val="24"/>
    </w:rPr>
  </w:style>
  <w:style w:type="paragraph" w:customStyle="1" w:styleId="113">
    <w:name w:val="TOC 标题1"/>
    <w:basedOn w:val="2"/>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4">
    <w:name w:val="fontstyle21"/>
    <w:basedOn w:val="46"/>
    <w:autoRedefine/>
    <w:qFormat/>
    <w:uiPriority w:val="0"/>
    <w:rPr>
      <w:rFonts w:hint="eastAsia" w:ascii="宋体" w:hAnsi="宋体" w:eastAsia="宋体"/>
      <w:color w:val="993300"/>
      <w:sz w:val="24"/>
      <w:szCs w:val="24"/>
    </w:rPr>
  </w:style>
  <w:style w:type="character" w:customStyle="1" w:styleId="115">
    <w:name w:val="fontstyle31"/>
    <w:basedOn w:val="46"/>
    <w:autoRedefine/>
    <w:qFormat/>
    <w:uiPriority w:val="0"/>
    <w:rPr>
      <w:rFonts w:hint="default" w:ascii="Arial" w:hAnsi="Arial" w:cs="Arial"/>
      <w:color w:val="993300"/>
      <w:sz w:val="24"/>
      <w:szCs w:val="24"/>
    </w:rPr>
  </w:style>
  <w:style w:type="character" w:customStyle="1" w:styleId="116">
    <w:name w:val="列出段落 Char"/>
    <w:link w:val="110"/>
    <w:autoRedefine/>
    <w:qFormat/>
    <w:uiPriority w:val="0"/>
    <w:rPr>
      <w:rFonts w:ascii="Times New Roman" w:hAnsi="Times New Roman" w:eastAsia="宋体" w:cs="Times New Roman"/>
      <w:szCs w:val="24"/>
    </w:rPr>
  </w:style>
  <w:style w:type="character" w:customStyle="1" w:styleId="117">
    <w:name w:val="标题 Char"/>
    <w:link w:val="40"/>
    <w:autoRedefine/>
    <w:qFormat/>
    <w:uiPriority w:val="0"/>
    <w:rPr>
      <w:b/>
      <w:sz w:val="32"/>
    </w:rPr>
  </w:style>
  <w:style w:type="character" w:customStyle="1" w:styleId="118">
    <w:name w:val="标题 Char1"/>
    <w:basedOn w:val="46"/>
    <w:autoRedefine/>
    <w:qFormat/>
    <w:uiPriority w:val="10"/>
    <w:rPr>
      <w:rFonts w:eastAsia="宋体" w:asciiTheme="majorHAnsi" w:hAnsiTheme="majorHAnsi" w:cstheme="majorBidi"/>
      <w:b/>
      <w:bCs/>
      <w:sz w:val="32"/>
      <w:szCs w:val="32"/>
    </w:rPr>
  </w:style>
  <w:style w:type="character" w:customStyle="1" w:styleId="119">
    <w:name w:val="样式1 Char Char"/>
    <w:link w:val="87"/>
    <w:autoRedefine/>
    <w:qFormat/>
    <w:uiPriority w:val="0"/>
    <w:rPr>
      <w:rFonts w:ascii="宋体" w:hAnsi="宋体" w:eastAsia="宋体" w:cs="Times New Roman"/>
      <w:kern w:val="0"/>
      <w:szCs w:val="21"/>
    </w:rPr>
  </w:style>
  <w:style w:type="character" w:customStyle="1" w:styleId="120">
    <w:name w:val="纯文本 Char1"/>
    <w:autoRedefine/>
    <w:semiHidden/>
    <w:qFormat/>
    <w:locked/>
    <w:uiPriority w:val="0"/>
    <w:rPr>
      <w:rFonts w:ascii="宋体" w:hAnsi="Courier New" w:eastAsia="宋体" w:cs="Courier New"/>
      <w:kern w:val="2"/>
      <w:sz w:val="21"/>
      <w:szCs w:val="21"/>
      <w:lang w:val="en-US" w:eastAsia="zh-CN" w:bidi="ar-SA"/>
    </w:rPr>
  </w:style>
  <w:style w:type="paragraph" w:customStyle="1" w:styleId="121">
    <w:name w:val="正文_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2">
    <w:name w:val="Normal_10"/>
    <w:autoRedefine/>
    <w:qFormat/>
    <w:uiPriority w:val="0"/>
    <w:rPr>
      <w:rFonts w:ascii="Times New Roman" w:hAnsi="Times New Roman" w:eastAsia="Times New Roman" w:cs="Times New Roman"/>
      <w:sz w:val="24"/>
      <w:szCs w:val="24"/>
      <w:lang w:val="en-US" w:eastAsia="zh-CN" w:bidi="ar-SA"/>
    </w:rPr>
  </w:style>
  <w:style w:type="character" w:customStyle="1" w:styleId="123">
    <w:name w:val="hover32"/>
    <w:basedOn w:val="46"/>
    <w:autoRedefine/>
    <w:qFormat/>
    <w:uiPriority w:val="0"/>
  </w:style>
  <w:style w:type="paragraph" w:customStyle="1" w:styleId="124">
    <w:name w:val="正文11"/>
    <w:next w:val="125"/>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标题 41"/>
    <w:basedOn w:val="124"/>
    <w:next w:val="124"/>
    <w:autoRedefine/>
    <w:qFormat/>
    <w:uiPriority w:val="99"/>
    <w:pPr>
      <w:keepNext/>
      <w:keepLines/>
      <w:spacing w:before="280" w:after="290" w:line="374" w:lineRule="auto"/>
      <w:outlineLvl w:val="3"/>
    </w:pPr>
    <w:rPr>
      <w:rFonts w:ascii="Arial" w:hAnsi="Arial" w:eastAsia="黑体"/>
      <w:b/>
      <w:bCs/>
      <w:sz w:val="28"/>
      <w:szCs w:val="28"/>
    </w:rPr>
  </w:style>
  <w:style w:type="character" w:customStyle="1" w:styleId="126">
    <w:name w:val="font51"/>
    <w:basedOn w:val="46"/>
    <w:qFormat/>
    <w:uiPriority w:val="0"/>
    <w:rPr>
      <w:rFonts w:hint="eastAsia" w:ascii="方正小标宋简体" w:hAnsi="方正小标宋简体" w:eastAsia="方正小标宋简体" w:cs="方正小标宋简体"/>
      <w:color w:val="000000"/>
      <w:sz w:val="42"/>
      <w:szCs w:val="42"/>
      <w:u w:val="none"/>
    </w:rPr>
  </w:style>
  <w:style w:type="character" w:customStyle="1" w:styleId="127">
    <w:name w:val="font71"/>
    <w:basedOn w:val="46"/>
    <w:qFormat/>
    <w:uiPriority w:val="0"/>
    <w:rPr>
      <w:rFonts w:hint="eastAsia" w:ascii="微软雅黑" w:hAnsi="微软雅黑" w:eastAsia="微软雅黑" w:cs="微软雅黑"/>
      <w:color w:val="000000"/>
      <w:sz w:val="20"/>
      <w:szCs w:val="20"/>
      <w:u w:val="none"/>
    </w:rPr>
  </w:style>
  <w:style w:type="character" w:customStyle="1" w:styleId="128">
    <w:name w:val="font61"/>
    <w:basedOn w:val="46"/>
    <w:qFormat/>
    <w:uiPriority w:val="0"/>
    <w:rPr>
      <w:rFonts w:hint="eastAsia" w:ascii="微软雅黑" w:hAnsi="微软雅黑" w:eastAsia="微软雅黑" w:cs="微软雅黑"/>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5.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3.xml"/><Relationship Id="rId12" Type="http://schemas.openxmlformats.org/officeDocument/2006/relationships/header" Target="header8.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CDD418-2979-46B9-98A0-34CF63985EB0}">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92</Pages>
  <Words>5101</Words>
  <Characters>5755</Characters>
  <Lines>398</Lines>
  <Paragraphs>112</Paragraphs>
  <TotalTime>92</TotalTime>
  <ScaleCrop>false</ScaleCrop>
  <LinksUpToDate>false</LinksUpToDate>
  <CharactersWithSpaces>5935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2020-01-16T02:43:00Z</dcterms:created>
  <dc:creator>admin</dc:creator>
  <cp:lastModifiedBy>Administrator</cp:lastModifiedBy>
  <cp:lastPrinted>2025-03-13T07:23:00Z</cp:lastPrinted>
  <dcterms:modified xsi:type="dcterms:W3CDTF">2025-03-13T11:39:37Z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605A8EB581454C1CBD8572E80AACE41A_13</vt:lpwstr>
  </property>
  <property fmtid="{D5CDD505-2E9C-101B-9397-08002B2CF9AE}" pid="4" name="KSOTemplateDocerSaveRecord">
    <vt:lpwstr>eyJoZGlkIjoiOTIwYmU3ZjdjNmFiOTJmNDYzMTA2ZGJhMTEzMGUyZTAiLCJ1c2VySWQiOiIzNDIwMTYzODUifQ==</vt:lpwstr>
  </property>
</Properties>
</file>