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szCs w:val="24"/>
        </w:rPr>
      </w:pPr>
      <w:r>
        <w:rPr>
          <w:rFonts w:hint="eastAsia" w:ascii="宋体" w:hAnsi="宋体"/>
          <w:sz w:val="24"/>
          <w:szCs w:val="24"/>
        </w:rPr>
        <w:t>实质性响应一览表</w:t>
      </w:r>
    </w:p>
    <w:tbl>
      <w:tblPr>
        <w:tblStyle w:val="14"/>
        <w:tblW w:w="98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502"/>
        <w:gridCol w:w="1541"/>
        <w:gridCol w:w="1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kern w:val="0"/>
                <w:sz w:val="21"/>
                <w:szCs w:val="20"/>
                <w:lang w:val="en-US" w:eastAsia="zh-CN" w:bidi="ar-SA"/>
              </w:rPr>
            </w:pPr>
            <w:r>
              <w:rPr>
                <w:rFonts w:hint="eastAsia" w:ascii="Times New Roman" w:hAnsi="Times New Roman" w:eastAsia="宋体" w:cs="Times New Roman"/>
                <w:kern w:val="0"/>
                <w:sz w:val="21"/>
                <w:szCs w:val="20"/>
                <w:lang w:val="en-US" w:eastAsia="zh-CN" w:bidi="ar-SA"/>
              </w:rPr>
              <w:t>序号</w:t>
            </w:r>
          </w:p>
        </w:tc>
        <w:tc>
          <w:tcPr>
            <w:tcW w:w="650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kern w:val="0"/>
                <w:sz w:val="21"/>
                <w:szCs w:val="20"/>
                <w:lang w:val="en-US" w:eastAsia="zh-CN" w:bidi="ar-SA"/>
              </w:rPr>
            </w:pPr>
            <w:r>
              <w:rPr>
                <w:rFonts w:hint="eastAsia" w:ascii="Times New Roman" w:hAnsi="Times New Roman" w:eastAsia="宋体" w:cs="Times New Roman"/>
                <w:kern w:val="0"/>
                <w:sz w:val="21"/>
                <w:szCs w:val="20"/>
                <w:lang w:val="en-US" w:eastAsia="zh-CN" w:bidi="ar-SA"/>
              </w:rPr>
              <w:t>实质性响应条款</w:t>
            </w:r>
          </w:p>
        </w:tc>
        <w:tc>
          <w:tcPr>
            <w:tcW w:w="1541"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投标人响应情况</w:t>
            </w:r>
          </w:p>
        </w:tc>
        <w:tc>
          <w:tcPr>
            <w:tcW w:w="100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Times New Roman" w:hAnsi="Times New Roman" w:eastAsia="宋体" w:cs="Times New Roman"/>
                <w:kern w:val="0"/>
                <w:sz w:val="21"/>
                <w:szCs w:val="20"/>
                <w:lang w:val="en-US" w:eastAsia="zh-CN" w:bidi="ar-SA"/>
              </w:rPr>
            </w:pPr>
            <w:r>
              <w:rPr>
                <w:rFonts w:hint="eastAsia" w:ascii="Times New Roman" w:hAnsi="Times New Roman" w:eastAsia="宋体" w:cs="Times New Roman"/>
                <w:kern w:val="0"/>
                <w:sz w:val="21"/>
                <w:szCs w:val="20"/>
                <w:lang w:val="en-US" w:eastAsia="zh-CN" w:bidi="ar-SA"/>
              </w:rPr>
              <w:t>1</w:t>
            </w:r>
          </w:p>
        </w:tc>
        <w:tc>
          <w:tcPr>
            <w:tcW w:w="6502" w:type="dxa"/>
            <w:tcBorders>
              <w:top w:val="single" w:color="auto" w:sz="4" w:space="0"/>
              <w:left w:val="single" w:color="auto" w:sz="4" w:space="0"/>
              <w:bottom w:val="single" w:color="auto" w:sz="4" w:space="0"/>
              <w:right w:val="single" w:color="auto" w:sz="4" w:space="0"/>
            </w:tcBorders>
          </w:tcPr>
          <w:p>
            <w:pPr>
              <w:pStyle w:val="11"/>
              <w:keepNext w:val="0"/>
              <w:keepLines w:val="0"/>
              <w:widowControl/>
              <w:suppressLineNumbers w:val="0"/>
              <w:spacing w:before="0" w:beforeAutospacing="0" w:after="0" w:afterAutospacing="0" w:line="440" w:lineRule="exact"/>
              <w:ind w:left="0" w:right="0"/>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kern w:val="0"/>
                <w:sz w:val="21"/>
                <w:szCs w:val="20"/>
                <w:lang w:val="en-US" w:eastAsia="zh-CN" w:bidi="ar-SA"/>
              </w:rPr>
              <w:t>（一）★本次采购产品为非进口产品（进口产品指通过中国海关报关验放进入中国境内且产自关境外的产品）。</w:t>
            </w:r>
          </w:p>
        </w:tc>
        <w:tc>
          <w:tcPr>
            <w:tcW w:w="1541"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00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2</w:t>
            </w:r>
          </w:p>
        </w:tc>
        <w:tc>
          <w:tcPr>
            <w:tcW w:w="6502" w:type="dxa"/>
            <w:tcBorders>
              <w:top w:val="single" w:color="auto" w:sz="4" w:space="0"/>
              <w:left w:val="single" w:color="auto" w:sz="4" w:space="0"/>
              <w:bottom w:val="single" w:color="auto" w:sz="4" w:space="0"/>
              <w:right w:val="single" w:color="auto" w:sz="4" w:space="0"/>
            </w:tcBorders>
          </w:tcPr>
          <w:p>
            <w:pPr>
              <w:pStyle w:val="24"/>
              <w:keepNext w:val="0"/>
              <w:keepLines w:val="0"/>
              <w:widowControl/>
              <w:suppressLineNumbers w:val="0"/>
              <w:spacing w:before="0" w:beforeAutospacing="0" w:after="0" w:afterAutospacing="0"/>
              <w:ind w:left="0" w:right="0"/>
              <w:jc w:val="both"/>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1"/>
                <w:szCs w:val="20"/>
                <w:lang w:val="en-US" w:eastAsia="zh-CN" w:bidi="ar-SA"/>
              </w:rPr>
              <w:t>（三）★凡属于《中华人民共和国实施强制性产品认证的产品目录》的产品，请投标人在投标文件中承诺在交货时提供该产品的“中国强制性产品认证”（CCC认证）证书。</w:t>
            </w:r>
          </w:p>
        </w:tc>
        <w:tc>
          <w:tcPr>
            <w:tcW w:w="1541"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00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3</w:t>
            </w:r>
          </w:p>
        </w:tc>
        <w:tc>
          <w:tcPr>
            <w:tcW w:w="6502" w:type="dxa"/>
            <w:tcBorders>
              <w:top w:val="single" w:color="auto" w:sz="4" w:space="0"/>
              <w:left w:val="single" w:color="auto" w:sz="4" w:space="0"/>
              <w:bottom w:val="single" w:color="auto" w:sz="4" w:space="0"/>
              <w:right w:val="single" w:color="auto" w:sz="4" w:space="0"/>
            </w:tcBorders>
          </w:tcPr>
          <w:p>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柜锁：</w:t>
            </w:r>
          </w:p>
          <w:p>
            <w:pPr>
              <w:widowControl/>
              <w:jc w:val="left"/>
              <w:textAlignment w:val="center"/>
              <w:rPr>
                <w:rFonts w:hint="default" w:ascii="Times New Roman" w:hAnsi="Times New Roman" w:eastAsia="宋体" w:cs="Times New Roman"/>
                <w:kern w:val="0"/>
                <w:sz w:val="24"/>
                <w:szCs w:val="24"/>
                <w:lang w:val="en-US" w:eastAsia="zh-CN" w:bidi="ar-SA"/>
              </w:rPr>
            </w:pPr>
            <w:r>
              <w:rPr>
                <w:rFonts w:ascii="仿宋" w:hAnsi="仿宋" w:eastAsia="仿宋" w:cs="仿宋"/>
                <w:color w:val="auto"/>
                <w:kern w:val="0"/>
                <w:sz w:val="20"/>
                <w:szCs w:val="20"/>
                <w:highlight w:val="none"/>
              </w:rPr>
              <w:t>★</w:t>
            </w:r>
            <w:r>
              <w:rPr>
                <w:rFonts w:hint="eastAsia" w:ascii="宋体" w:hAnsi="宋体" w:eastAsia="宋体" w:cs="宋体"/>
                <w:color w:val="auto"/>
                <w:kern w:val="0"/>
                <w:sz w:val="20"/>
                <w:szCs w:val="20"/>
                <w:highlight w:val="none"/>
                <w:lang w:bidi="ar"/>
              </w:rPr>
              <w:t>（1）需采用SpringMVC + Hibernate + Minidao+ Easyui + Jquery + Boostrap + ElementUI等基础架构，支持多个校区统一平台部署，无需每个校区各自部署平台，支持私有云、公有云和混合云等多云模式部署方式，支持多终端应用，根据不用使用者角色配置不同应用终端及管理权限，可以完美兼容电脑、手机、PAD等多平台。</w:t>
            </w:r>
            <w:r>
              <w:rPr>
                <w:rFonts w:hint="eastAsia"/>
                <w:color w:val="auto"/>
                <w:highlight w:val="none"/>
                <w:lang w:eastAsia="zh-CN"/>
              </w:rPr>
              <w:t>（</w:t>
            </w:r>
            <w:r>
              <w:rPr>
                <w:rFonts w:hint="eastAsia"/>
                <w:color w:val="auto"/>
                <w:highlight w:val="none"/>
                <w:lang w:val="en-US" w:eastAsia="zh-CN"/>
              </w:rPr>
              <w:t>提供承诺函，格式自拟</w:t>
            </w:r>
            <w:r>
              <w:rPr>
                <w:rFonts w:hint="eastAsia"/>
                <w:color w:val="auto"/>
                <w:highlight w:val="none"/>
                <w:lang w:eastAsia="zh-CN"/>
              </w:rPr>
              <w:t>）</w:t>
            </w:r>
          </w:p>
        </w:tc>
        <w:tc>
          <w:tcPr>
            <w:tcW w:w="1541"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00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lang w:val="en-US" w:eastAsia="zh-CN"/>
              </w:rPr>
            </w:pPr>
            <w:r>
              <w:rPr>
                <w:rFonts w:hint="eastAsia" w:ascii="宋体" w:hAnsi="宋体"/>
                <w:sz w:val="24"/>
                <w:szCs w:val="24"/>
                <w:lang w:val="en-US" w:eastAsia="zh-CN"/>
              </w:rPr>
              <w:t>4</w:t>
            </w:r>
          </w:p>
        </w:tc>
        <w:tc>
          <w:tcPr>
            <w:tcW w:w="6502" w:type="dxa"/>
            <w:tcBorders>
              <w:top w:val="single" w:color="auto" w:sz="4" w:space="0"/>
              <w:left w:val="single" w:color="auto" w:sz="4" w:space="0"/>
              <w:bottom w:val="single" w:color="auto" w:sz="4" w:space="0"/>
              <w:right w:val="single" w:color="auto" w:sz="4" w:space="0"/>
            </w:tcBorders>
          </w:tcPr>
          <w:p>
            <w:pPr>
              <w:widowControl/>
              <w:jc w:val="left"/>
              <w:textAlignment w:val="center"/>
              <w:rPr>
                <w:rFonts w:hint="default" w:ascii="Times New Roman" w:hAnsi="Times New Roman" w:eastAsia="宋体" w:cs="Times New Roman"/>
                <w:kern w:val="0"/>
                <w:sz w:val="24"/>
                <w:szCs w:val="24"/>
                <w:lang w:val="en-US" w:eastAsia="zh-CN" w:bidi="ar-SA"/>
              </w:rPr>
            </w:pPr>
            <w:r>
              <w:rPr>
                <w:rFonts w:hint="eastAsia" w:ascii="宋体" w:hAnsi="宋体" w:eastAsia="宋体" w:cs="宋体"/>
                <w:color w:val="auto"/>
                <w:kern w:val="0"/>
                <w:sz w:val="20"/>
                <w:szCs w:val="20"/>
                <w:highlight w:val="none"/>
                <w:lang w:bidi="ar"/>
              </w:rPr>
              <w:t>★（5）物联网关：物联网主流协议 MQTT、MQTT-SN、CoAP、LwM2M、HTTP、HTTPS、WebSocket 一站式设备，接入JT-808、GB/T32960 等行业协议支持，基于 TCP、UDP私有协议的旧网设。</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val="en-US" w:eastAsia="zh-CN" w:bidi="ar"/>
              </w:rPr>
              <w:t>提供承诺函，格式自拟</w:t>
            </w:r>
            <w:r>
              <w:rPr>
                <w:rFonts w:hint="eastAsia" w:ascii="宋体" w:hAnsi="宋体" w:eastAsia="宋体" w:cs="宋体"/>
                <w:color w:val="auto"/>
                <w:kern w:val="0"/>
                <w:sz w:val="20"/>
                <w:szCs w:val="20"/>
                <w:highlight w:val="none"/>
                <w:lang w:eastAsia="zh-CN" w:bidi="ar"/>
              </w:rPr>
              <w:t>）。</w:t>
            </w:r>
          </w:p>
        </w:tc>
        <w:tc>
          <w:tcPr>
            <w:tcW w:w="1541"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00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bl>
    <w:p>
      <w:pPr>
        <w:spacing w:line="360" w:lineRule="auto"/>
        <w:rPr>
          <w:rFonts w:ascii="宋体" w:hAnsi="宋体"/>
          <w:sz w:val="24"/>
          <w:szCs w:val="24"/>
        </w:rPr>
      </w:pPr>
      <w:bookmarkStart w:id="0" w:name="_GoBack"/>
      <w:bookmarkEnd w:id="0"/>
      <w:r>
        <w:rPr>
          <w:rFonts w:hint="eastAsia" w:ascii="宋体" w:hAnsi="宋体"/>
          <w:sz w:val="24"/>
          <w:szCs w:val="24"/>
        </w:rPr>
        <w:t>说明：</w:t>
      </w:r>
    </w:p>
    <w:p>
      <w:pPr>
        <w:pStyle w:val="12"/>
        <w:shd w:val="clear" w:color="auto" w:fill="FFFFFF"/>
        <w:ind w:firstLine="480"/>
      </w:pPr>
      <w:r>
        <w:rPr>
          <w:rFonts w:hint="eastAsia"/>
        </w:rPr>
        <w:t>1.实质性响应条款一览表后续内容请根据第二章采购需求</w:t>
      </w:r>
      <w:r>
        <w:rPr>
          <w:rStyle w:val="16"/>
          <w:rFonts w:hint="eastAsia"/>
        </w:rPr>
        <w:t>★</w:t>
      </w:r>
      <w:r>
        <w:rPr>
          <w:rFonts w:hint="eastAsia"/>
        </w:rPr>
        <w:t>号条款详细列举</w:t>
      </w:r>
    </w:p>
    <w:p>
      <w:pPr>
        <w:pStyle w:val="12"/>
        <w:shd w:val="clear" w:color="auto" w:fill="FFFFFF"/>
        <w:ind w:firstLine="480"/>
      </w:pPr>
      <w:r>
        <w:rPr>
          <w:rFonts w:hint="eastAsia"/>
        </w:rPr>
        <w:t>2.本表所列条款必须一一予以响应，“投标人响应情况”一栏应</w:t>
      </w:r>
      <w:r>
        <w:rPr>
          <w:rStyle w:val="16"/>
          <w:rFonts w:hint="eastAsia"/>
          <w:b w:val="0"/>
        </w:rPr>
        <w:t>填写具体的响应内容，有差异</w:t>
      </w:r>
      <w:r>
        <w:rPr>
          <w:rFonts w:hint="eastAsia"/>
        </w:rPr>
        <w:t>的要具体说明。</w:t>
      </w:r>
    </w:p>
    <w:p>
      <w:pPr>
        <w:pStyle w:val="12"/>
        <w:shd w:val="clear" w:color="auto" w:fill="FFFFFF"/>
        <w:ind w:firstLine="480"/>
      </w:pPr>
      <w:r>
        <w:rPr>
          <w:rFonts w:hint="eastAsia"/>
        </w:rPr>
        <w:t>3.请投标人认真填写本表内容，如填写错误将可能导致投标无效。</w:t>
      </w:r>
    </w:p>
    <w:p>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xNDMxZTA5NzgzYTcyZTJlNDEzMzBjYWJkNjk2YjEifQ=="/>
  </w:docVars>
  <w:rsids>
    <w:rsidRoot w:val="002F3044"/>
    <w:rsid w:val="00076C5F"/>
    <w:rsid w:val="00083B02"/>
    <w:rsid w:val="000C13F0"/>
    <w:rsid w:val="001079D2"/>
    <w:rsid w:val="0015735B"/>
    <w:rsid w:val="00194F3E"/>
    <w:rsid w:val="001B369A"/>
    <w:rsid w:val="002048E3"/>
    <w:rsid w:val="0021128E"/>
    <w:rsid w:val="002323C9"/>
    <w:rsid w:val="002F3044"/>
    <w:rsid w:val="003060E6"/>
    <w:rsid w:val="003105EE"/>
    <w:rsid w:val="00321F0D"/>
    <w:rsid w:val="0036576E"/>
    <w:rsid w:val="00387B33"/>
    <w:rsid w:val="004523E4"/>
    <w:rsid w:val="004B30C6"/>
    <w:rsid w:val="00544002"/>
    <w:rsid w:val="0056143B"/>
    <w:rsid w:val="00706877"/>
    <w:rsid w:val="007B77B1"/>
    <w:rsid w:val="008103F4"/>
    <w:rsid w:val="008826E0"/>
    <w:rsid w:val="00906CA6"/>
    <w:rsid w:val="009238D2"/>
    <w:rsid w:val="00926E05"/>
    <w:rsid w:val="00967340"/>
    <w:rsid w:val="00A0648E"/>
    <w:rsid w:val="00A1664F"/>
    <w:rsid w:val="00A30155"/>
    <w:rsid w:val="00A50151"/>
    <w:rsid w:val="00A73AE4"/>
    <w:rsid w:val="00A7604B"/>
    <w:rsid w:val="00B47072"/>
    <w:rsid w:val="00B76C26"/>
    <w:rsid w:val="00BB1460"/>
    <w:rsid w:val="00BB7663"/>
    <w:rsid w:val="00BE6601"/>
    <w:rsid w:val="00C554C7"/>
    <w:rsid w:val="00CD0E81"/>
    <w:rsid w:val="00CF3FAB"/>
    <w:rsid w:val="00DF0BC4"/>
    <w:rsid w:val="00E33BF2"/>
    <w:rsid w:val="00E639D3"/>
    <w:rsid w:val="00F2688D"/>
    <w:rsid w:val="00F45D4E"/>
    <w:rsid w:val="00F84676"/>
    <w:rsid w:val="02AA639C"/>
    <w:rsid w:val="06C05421"/>
    <w:rsid w:val="0DDC230D"/>
    <w:rsid w:val="13D312AC"/>
    <w:rsid w:val="189563F6"/>
    <w:rsid w:val="21DB3B5B"/>
    <w:rsid w:val="246A40AC"/>
    <w:rsid w:val="27CD5DCE"/>
    <w:rsid w:val="28266F57"/>
    <w:rsid w:val="2A8F0CFD"/>
    <w:rsid w:val="2BB003D4"/>
    <w:rsid w:val="30E346C5"/>
    <w:rsid w:val="3422539C"/>
    <w:rsid w:val="36630549"/>
    <w:rsid w:val="38113901"/>
    <w:rsid w:val="383E029A"/>
    <w:rsid w:val="39013665"/>
    <w:rsid w:val="3AE12900"/>
    <w:rsid w:val="3ECD0998"/>
    <w:rsid w:val="3FFC4424"/>
    <w:rsid w:val="434A2CF0"/>
    <w:rsid w:val="44470762"/>
    <w:rsid w:val="494A1801"/>
    <w:rsid w:val="497700B1"/>
    <w:rsid w:val="4A0F3F5F"/>
    <w:rsid w:val="4A691BA3"/>
    <w:rsid w:val="4BC12B47"/>
    <w:rsid w:val="4DE503F6"/>
    <w:rsid w:val="5379497C"/>
    <w:rsid w:val="58721A2F"/>
    <w:rsid w:val="5C513E06"/>
    <w:rsid w:val="5E521427"/>
    <w:rsid w:val="5F613E46"/>
    <w:rsid w:val="6C433F78"/>
    <w:rsid w:val="6D9423E1"/>
    <w:rsid w:val="6E943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1"/>
      <w:szCs w:val="20"/>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sz w:val="20"/>
      <w:szCs w:val="20"/>
    </w:rPr>
    <w:tblPr>
      <w:tblCellMar>
        <w:top w:w="0" w:type="dxa"/>
        <w:left w:w="108" w:type="dxa"/>
        <w:bottom w:w="0" w:type="dxa"/>
        <w:right w:w="108" w:type="dxa"/>
      </w:tblCellMar>
    </w:tblPr>
  </w:style>
  <w:style w:type="paragraph" w:styleId="2">
    <w:name w:val="Body Text First Indent 2"/>
    <w:basedOn w:val="3"/>
    <w:qFormat/>
    <w:uiPriority w:val="99"/>
    <w:pPr>
      <w:ind w:firstLine="420"/>
    </w:pPr>
  </w:style>
  <w:style w:type="paragraph" w:styleId="3">
    <w:name w:val="Body Text Indent"/>
    <w:basedOn w:val="1"/>
    <w:qFormat/>
    <w:uiPriority w:val="0"/>
    <w:pPr>
      <w:spacing w:after="120" w:afterLines="0" w:afterAutospacing="0"/>
      <w:ind w:left="420" w:leftChars="200"/>
    </w:pPr>
  </w:style>
  <w:style w:type="paragraph" w:styleId="5">
    <w:name w:val="annotation text"/>
    <w:basedOn w:val="1"/>
    <w:link w:val="21"/>
    <w:unhideWhenUsed/>
    <w:qFormat/>
    <w:uiPriority w:val="0"/>
    <w:rPr>
      <w:sz w:val="20"/>
    </w:rPr>
  </w:style>
  <w:style w:type="paragraph" w:styleId="6">
    <w:name w:val="Body Text"/>
    <w:basedOn w:val="1"/>
    <w:qFormat/>
    <w:uiPriority w:val="1"/>
    <w:pPr>
      <w:ind w:left="490"/>
    </w:pPr>
    <w:rPr>
      <w:sz w:val="19"/>
      <w:szCs w:val="19"/>
    </w:rPr>
  </w:style>
  <w:style w:type="paragraph" w:styleId="7">
    <w:name w:val="Balloon Text"/>
    <w:basedOn w:val="1"/>
    <w:link w:val="20"/>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2"/>
    <w:basedOn w:val="1"/>
    <w:next w:val="1"/>
    <w:qFormat/>
    <w:uiPriority w:val="39"/>
    <w:pPr>
      <w:tabs>
        <w:tab w:val="left" w:pos="432"/>
        <w:tab w:val="right" w:leader="dot" w:pos="8931"/>
      </w:tabs>
      <w:spacing w:line="300" w:lineRule="auto"/>
      <w:ind w:left="200" w:leftChars="200"/>
    </w:pPr>
    <w:rPr>
      <w:rFonts w:eastAsia="宋体"/>
      <w:smallCaps/>
      <w:szCs w:val="24"/>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rPr>
  </w:style>
  <w:style w:type="paragraph" w:styleId="12">
    <w:name w:val="Normal (Web)"/>
    <w:basedOn w:val="1"/>
    <w:unhideWhenUsed/>
    <w:qFormat/>
    <w:uiPriority w:val="99"/>
    <w:pPr>
      <w:spacing w:line="360" w:lineRule="auto"/>
    </w:pPr>
    <w:rPr>
      <w:rFonts w:ascii="宋体" w:hAnsi="宋体" w:cs="宋体"/>
      <w:sz w:val="24"/>
      <w:szCs w:val="24"/>
    </w:rPr>
  </w:style>
  <w:style w:type="paragraph" w:styleId="13">
    <w:name w:val="Body Text First Indent"/>
    <w:basedOn w:val="6"/>
    <w:unhideWhenUsed/>
    <w:qFormat/>
    <w:uiPriority w:val="99"/>
    <w:pPr>
      <w:spacing w:line="360" w:lineRule="auto"/>
      <w:ind w:firstLine="420" w:firstLineChars="100"/>
    </w:pPr>
  </w:style>
  <w:style w:type="character" w:styleId="16">
    <w:name w:val="Strong"/>
    <w:basedOn w:val="15"/>
    <w:qFormat/>
    <w:uiPriority w:val="22"/>
    <w:rPr>
      <w:b/>
      <w:bCs/>
    </w:rPr>
  </w:style>
  <w:style w:type="character" w:styleId="17">
    <w:name w:val="annotation reference"/>
    <w:basedOn w:val="15"/>
    <w:qFormat/>
    <w:uiPriority w:val="0"/>
    <w:rPr>
      <w:rFonts w:ascii="Tahoma" w:hAnsi="Tahoma"/>
      <w:kern w:val="2"/>
      <w:sz w:val="21"/>
      <w:szCs w:val="21"/>
    </w:rPr>
  </w:style>
  <w:style w:type="character" w:customStyle="1" w:styleId="18">
    <w:name w:val="页眉 Char"/>
    <w:basedOn w:val="15"/>
    <w:link w:val="9"/>
    <w:qFormat/>
    <w:uiPriority w:val="99"/>
    <w:rPr>
      <w:sz w:val="18"/>
      <w:szCs w:val="18"/>
    </w:rPr>
  </w:style>
  <w:style w:type="character" w:customStyle="1" w:styleId="19">
    <w:name w:val="页脚 Char"/>
    <w:basedOn w:val="15"/>
    <w:link w:val="8"/>
    <w:qFormat/>
    <w:uiPriority w:val="99"/>
    <w:rPr>
      <w:sz w:val="18"/>
      <w:szCs w:val="18"/>
    </w:rPr>
  </w:style>
  <w:style w:type="character" w:customStyle="1" w:styleId="20">
    <w:name w:val="批注框文本 Char"/>
    <w:basedOn w:val="15"/>
    <w:link w:val="7"/>
    <w:semiHidden/>
    <w:qFormat/>
    <w:uiPriority w:val="99"/>
    <w:rPr>
      <w:sz w:val="18"/>
      <w:szCs w:val="18"/>
    </w:rPr>
  </w:style>
  <w:style w:type="character" w:customStyle="1" w:styleId="21">
    <w:name w:val="批注文字 Char"/>
    <w:basedOn w:val="15"/>
    <w:link w:val="5"/>
    <w:qFormat/>
    <w:uiPriority w:val="0"/>
    <w:rPr>
      <w:rFonts w:ascii="Times New Roman" w:hAnsi="Times New Roman" w:eastAsia="宋体" w:cs="Times New Roman"/>
      <w:kern w:val="0"/>
      <w:sz w:val="20"/>
      <w:szCs w:val="20"/>
    </w:rPr>
  </w:style>
  <w:style w:type="paragraph" w:styleId="22">
    <w:name w:val="List Paragraph"/>
    <w:basedOn w:val="1"/>
    <w:qFormat/>
    <w:uiPriority w:val="34"/>
    <w:pPr>
      <w:widowControl w:val="0"/>
      <w:ind w:firstLine="420"/>
      <w:jc w:val="both"/>
    </w:pPr>
    <w:rPr>
      <w:rFonts w:cs="Helvetica"/>
      <w:kern w:val="2"/>
      <w:szCs w:val="21"/>
    </w:rPr>
  </w:style>
  <w:style w:type="character" w:customStyle="1" w:styleId="23">
    <w:name w:val="NormalCharacter"/>
    <w:qFormat/>
    <w:uiPriority w:val="0"/>
  </w:style>
  <w:style w:type="paragraph" w:customStyle="1" w:styleId="2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1737</Words>
  <Characters>1786</Characters>
  <Lines>9</Lines>
  <Paragraphs>2</Paragraphs>
  <TotalTime>0</TotalTime>
  <ScaleCrop>false</ScaleCrop>
  <LinksUpToDate>false</LinksUpToDate>
  <CharactersWithSpaces>1795</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邹小红</cp:lastModifiedBy>
  <dcterms:modified xsi:type="dcterms:W3CDTF">2024-11-01T06:51:27Z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D38CA6F2379F4E41A7818D929A088E67_13</vt:lpwstr>
  </property>
</Properties>
</file>