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65802">
      <w:pPr>
        <w:jc w:val="center"/>
        <w:rPr>
          <w:rFonts w:ascii="微软雅黑" w:hAnsi="微软雅黑" w:eastAsia="微软雅黑" w:cs="微软雅黑"/>
          <w:b/>
          <w:bCs/>
          <w:color w:val="auto"/>
          <w:sz w:val="36"/>
          <w:szCs w:val="36"/>
          <w:highlight w:val="none"/>
        </w:rPr>
      </w:pPr>
      <w:r>
        <w:rPr>
          <w:rFonts w:hint="eastAsia" w:ascii="微软雅黑" w:hAnsi="微软雅黑" w:eastAsia="微软雅黑" w:cs="微软雅黑"/>
          <w:b/>
          <w:bCs/>
          <w:color w:val="auto"/>
          <w:sz w:val="36"/>
          <w:szCs w:val="36"/>
          <w:highlight w:val="none"/>
        </w:rPr>
        <w:t>附件一：保险索赔、理赔处理程序预案</w:t>
      </w:r>
    </w:p>
    <w:p w14:paraId="7359C70E">
      <w:pPr>
        <w:pStyle w:val="8"/>
        <w:numPr>
          <w:ilvl w:val="0"/>
          <w:numId w:val="1"/>
        </w:numPr>
        <w:spacing w:before="280" w:beforeLines="90" w:after="280" w:afterLines="90"/>
        <w:ind w:firstLineChars="0"/>
        <w:rPr>
          <w:rFonts w:ascii="宋体" w:hAnsi="宋体"/>
          <w:b/>
          <w:color w:val="auto"/>
          <w:sz w:val="24"/>
          <w:szCs w:val="24"/>
          <w:highlight w:val="none"/>
        </w:rPr>
      </w:pPr>
      <w:bookmarkStart w:id="0" w:name="_Toc324192726"/>
      <w:r>
        <w:rPr>
          <w:rFonts w:hint="eastAsia" w:ascii="宋体" w:hAnsi="宋体"/>
          <w:b/>
          <w:color w:val="auto"/>
          <w:sz w:val="24"/>
          <w:szCs w:val="24"/>
          <w:highlight w:val="none"/>
        </w:rPr>
        <w:t>医疗纠纷案件处理流程</w:t>
      </w:r>
    </w:p>
    <w:p w14:paraId="79717514">
      <w:pPr>
        <w:pStyle w:val="8"/>
        <w:spacing w:before="280" w:beforeLines="90" w:after="280" w:afterLines="90"/>
        <w:ind w:firstLine="0" w:firstLineChars="0"/>
        <w:rPr>
          <w:rFonts w:ascii="宋体" w:hAnsi="宋体"/>
          <w:b/>
          <w:color w:val="auto"/>
          <w:sz w:val="24"/>
          <w:szCs w:val="24"/>
          <w:highlight w:val="none"/>
        </w:rPr>
      </w:pPr>
      <w:r>
        <w:rPr>
          <w:rFonts w:hint="eastAsia" w:ascii="宋体" w:hAnsi="宋体"/>
          <w:b/>
          <w:color w:val="auto"/>
          <w:sz w:val="24"/>
          <w:szCs w:val="24"/>
          <w:highlight w:val="none"/>
        </w:rPr>
        <w:t>1、调解案件处理流程图</w:t>
      </w:r>
    </w:p>
    <w:p w14:paraId="489B3A02">
      <w:pPr>
        <w:pStyle w:val="8"/>
        <w:spacing w:before="280" w:beforeLines="90" w:after="280" w:afterLines="90"/>
        <w:ind w:firstLine="0" w:firstLineChars="0"/>
        <w:rPr>
          <w:rFonts w:ascii="宋体" w:hAnsi="宋体"/>
          <w:b/>
          <w:color w:val="auto"/>
          <w:sz w:val="32"/>
          <w:szCs w:val="32"/>
          <w:highlight w:val="none"/>
        </w:rPr>
      </w:pPr>
      <w:r>
        <w:rPr>
          <w:rFonts w:ascii="宋体" w:hAnsi="宋体"/>
          <w:b/>
          <w:color w:val="auto"/>
          <w:sz w:val="32"/>
          <w:szCs w:val="32"/>
          <w:highlight w:val="none"/>
        </w:rPr>
        <mc:AlternateContent>
          <mc:Choice Requires="wpg">
            <w:drawing>
              <wp:anchor distT="0" distB="0" distL="114300" distR="114300" simplePos="0" relativeHeight="251659264" behindDoc="0" locked="0" layoutInCell="1" allowOverlap="1">
                <wp:simplePos x="0" y="0"/>
                <wp:positionH relativeFrom="column">
                  <wp:posOffset>-13335</wp:posOffset>
                </wp:positionH>
                <wp:positionV relativeFrom="paragraph">
                  <wp:posOffset>203200</wp:posOffset>
                </wp:positionV>
                <wp:extent cx="4830445" cy="5786755"/>
                <wp:effectExtent l="15875" t="6350" r="30480" b="17145"/>
                <wp:wrapNone/>
                <wp:docPr id="146" name="组合 146"/>
                <wp:cNvGraphicFramePr/>
                <a:graphic xmlns:a="http://schemas.openxmlformats.org/drawingml/2006/main">
                  <a:graphicData uri="http://schemas.microsoft.com/office/word/2010/wordprocessingGroup">
                    <wpg:wgp>
                      <wpg:cNvGrpSpPr/>
                      <wpg:grpSpPr>
                        <a:xfrm>
                          <a:off x="0" y="0"/>
                          <a:ext cx="4830445" cy="5786755"/>
                          <a:chOff x="0" y="0"/>
                          <a:chExt cx="7607" cy="9113"/>
                        </a:xfrm>
                        <a:effectLst/>
                      </wpg:grpSpPr>
                      <wps:wsp>
                        <wps:cNvPr id="147" name="AutoShape 3"/>
                        <wps:cNvCnPr/>
                        <wps:spPr>
                          <a:xfrm rot="-5400000" flipH="1">
                            <a:off x="3398" y="6572"/>
                            <a:ext cx="1204" cy="113"/>
                          </a:xfrm>
                          <a:prstGeom prst="bentConnector3">
                            <a:avLst>
                              <a:gd name="adj1" fmla="val 50000"/>
                            </a:avLst>
                          </a:prstGeom>
                          <a:ln w="15875" cap="flat" cmpd="sng">
                            <a:solidFill>
                              <a:srgbClr val="000000"/>
                            </a:solidFill>
                            <a:prstDash val="solid"/>
                            <a:miter/>
                            <a:headEnd type="none" w="med" len="med"/>
                            <a:tailEnd type="triangle" w="med" len="med"/>
                          </a:ln>
                          <a:effectLst/>
                        </wps:spPr>
                        <wps:bodyPr/>
                      </wps:wsp>
                      <wpg:grpSp>
                        <wpg:cNvPr id="148" name="Group 4"/>
                        <wpg:cNvGrpSpPr/>
                        <wpg:grpSpPr>
                          <a:xfrm>
                            <a:off x="0" y="0"/>
                            <a:ext cx="7607" cy="9113"/>
                            <a:chOff x="0" y="0"/>
                            <a:chExt cx="7607" cy="9113"/>
                          </a:xfrm>
                          <a:effectLst/>
                        </wpg:grpSpPr>
                        <wpg:grpSp>
                          <wpg:cNvPr id="149" name="Group 5"/>
                          <wpg:cNvGrpSpPr/>
                          <wpg:grpSpPr>
                            <a:xfrm>
                              <a:off x="0" y="0"/>
                              <a:ext cx="7607" cy="9113"/>
                              <a:chOff x="0" y="0"/>
                              <a:chExt cx="7607" cy="9113"/>
                            </a:xfrm>
                            <a:effectLst/>
                          </wpg:grpSpPr>
                          <wpg:grpSp>
                            <wpg:cNvPr id="150" name="Group 6"/>
                            <wpg:cNvGrpSpPr/>
                            <wpg:grpSpPr>
                              <a:xfrm>
                                <a:off x="15" y="0"/>
                                <a:ext cx="7275" cy="6050"/>
                                <a:chOff x="0" y="0"/>
                                <a:chExt cx="7275" cy="6050"/>
                              </a:xfrm>
                              <a:effectLst/>
                            </wpg:grpSpPr>
                            <wps:wsp>
                              <wps:cNvPr id="151" name="AutoShape 7"/>
                              <wps:cNvSpPr/>
                              <wps:spPr>
                                <a:xfrm>
                                  <a:off x="4065" y="0"/>
                                  <a:ext cx="3210" cy="105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21987605">
                                    <w:pPr>
                                      <w:rPr>
                                        <w:b/>
                                      </w:rPr>
                                    </w:pPr>
                                    <w:r>
                                      <w:rPr>
                                        <w:rFonts w:hint="eastAsia"/>
                                        <w:b/>
                                      </w:rPr>
                                      <w:t>报案内容：就诊时间、事件发生时间、大致诊疗过程、患者最终状态、投诉事件、患者诉求等</w:t>
                                    </w:r>
                                  </w:p>
                                </w:txbxContent>
                              </wps:txbx>
                              <wps:bodyPr vert="horz" anchor="t" upright="1"/>
                            </wps:wsp>
                            <wpg:grpSp>
                              <wpg:cNvPr id="152" name="Group 8"/>
                              <wpg:cNvGrpSpPr/>
                              <wpg:grpSpPr>
                                <a:xfrm>
                                  <a:off x="0" y="167"/>
                                  <a:ext cx="5202" cy="5883"/>
                                  <a:chOff x="0" y="0"/>
                                  <a:chExt cx="5202" cy="5883"/>
                                </a:xfrm>
                                <a:effectLst/>
                              </wpg:grpSpPr>
                              <wps:wsp>
                                <wps:cNvPr id="153" name="AutoShape 9"/>
                                <wps:cNvSpPr/>
                                <wps:spPr>
                                  <a:xfrm>
                                    <a:off x="1860" y="0"/>
                                    <a:ext cx="1417"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BC7D5A2">
                                      <w:pPr>
                                        <w:jc w:val="center"/>
                                      </w:pPr>
                                      <w:r>
                                        <w:rPr>
                                          <w:rFonts w:hint="eastAsia"/>
                                        </w:rPr>
                                        <w:t>纠纷报案</w:t>
                                      </w:r>
                                    </w:p>
                                  </w:txbxContent>
                                </wps:txbx>
                                <wps:bodyPr vert="horz" anchor="t" upright="1"/>
                              </wps:wsp>
                              <wps:wsp>
                                <wps:cNvPr id="154" name="AutoShape 10"/>
                                <wps:cNvSpPr/>
                                <wps:spPr>
                                  <a:xfrm>
                                    <a:off x="585" y="2707"/>
                                    <a:ext cx="3969" cy="1477"/>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1E43A8B1">
                                      <w:pPr>
                                        <w:rPr>
                                          <w:b/>
                                        </w:rPr>
                                      </w:pPr>
                                      <w:r>
                                        <w:rPr>
                                          <w:rFonts w:hint="eastAsia"/>
                                          <w:b/>
                                        </w:rPr>
                                        <w:t>专家分析：是否存在过错及过错类型？</w:t>
                                      </w:r>
                                    </w:p>
                                    <w:p w14:paraId="2C6E1B17">
                                      <w:pPr>
                                        <w:rPr>
                                          <w:b/>
                                        </w:rPr>
                                      </w:pPr>
                                      <w:r>
                                        <w:rPr>
                                          <w:rFonts w:hint="eastAsia"/>
                                        </w:rPr>
                                        <w:t xml:space="preserve">          </w:t>
                                      </w:r>
                                      <w:r>
                                        <w:rPr>
                                          <w:rFonts w:hint="eastAsia"/>
                                          <w:b/>
                                        </w:rPr>
                                        <w:t>是否违反诊疗常规？</w:t>
                                      </w:r>
                                    </w:p>
                                    <w:p w14:paraId="7403CD18">
                                      <w:pPr>
                                        <w:rPr>
                                          <w:b/>
                                        </w:rPr>
                                      </w:pPr>
                                      <w:r>
                                        <w:rPr>
                                          <w:rFonts w:hint="eastAsia"/>
                                          <w:b/>
                                        </w:rPr>
                                        <w:t xml:space="preserve">          损害金额？</w:t>
                                      </w:r>
                                    </w:p>
                                    <w:p w14:paraId="4D624032">
                                      <w:pPr>
                                        <w:rPr>
                                          <w:b/>
                                        </w:rPr>
                                      </w:pPr>
                                      <w:r>
                                        <w:rPr>
                                          <w:rFonts w:hint="eastAsia"/>
                                          <w:b/>
                                        </w:rPr>
                                        <w:t xml:space="preserve">          处理建议？</w:t>
                                      </w:r>
                                    </w:p>
                                  </w:txbxContent>
                                </wps:txbx>
                                <wps:bodyPr vert="horz" anchor="t" upright="1"/>
                              </wps:wsp>
                              <wps:wsp>
                                <wps:cNvPr id="155" name="AutoShape 11"/>
                                <wps:cNvSpPr/>
                                <wps:spPr>
                                  <a:xfrm>
                                    <a:off x="106" y="1017"/>
                                    <a:ext cx="1922" cy="515"/>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704E15A1">
                                      <w:pPr>
                                        <w:jc w:val="center"/>
                                      </w:pPr>
                                      <w:r>
                                        <w:rPr>
                                          <w:rFonts w:hint="eastAsia"/>
                                        </w:rPr>
                                        <w:t>广东和谐医调委</w:t>
                                      </w:r>
                                    </w:p>
                                  </w:txbxContent>
                                </wps:txbx>
                                <wps:bodyPr vert="horz" anchor="t" upright="1"/>
                              </wps:wsp>
                              <wps:wsp>
                                <wps:cNvPr id="156" name="AutoShape 12"/>
                                <wps:cNvSpPr/>
                                <wps:spPr>
                                  <a:xfrm>
                                    <a:off x="3180" y="1050"/>
                                    <a:ext cx="2022"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19CC0E45">
                                      <w:pPr>
                                        <w:jc w:val="center"/>
                                      </w:pPr>
                                      <w:r>
                                        <w:rPr>
                                          <w:rFonts w:hint="eastAsia"/>
                                        </w:rPr>
                                        <w:t>保险经纪公司</w:t>
                                      </w:r>
                                    </w:p>
                                  </w:txbxContent>
                                </wps:txbx>
                                <wps:bodyPr vert="horz" anchor="t" upright="1"/>
                              </wps:wsp>
                              <wps:wsp>
                                <wps:cNvPr id="157" name="AutoShape 13"/>
                                <wps:cNvCnPr>
                                  <a:stCxn id="153" idx="2"/>
                                  <a:endCxn id="155" idx="0"/>
                                </wps:cNvCnPr>
                                <wps:spPr>
                                  <a:xfrm rot="5400000">
                                    <a:off x="1559" y="7"/>
                                    <a:ext cx="518" cy="1502"/>
                                  </a:xfrm>
                                  <a:prstGeom prst="bentConnector3">
                                    <a:avLst>
                                      <a:gd name="adj1" fmla="val 50000"/>
                                    </a:avLst>
                                  </a:prstGeom>
                                  <a:ln w="9525" cap="flat" cmpd="sng">
                                    <a:solidFill>
                                      <a:srgbClr val="000000"/>
                                    </a:solidFill>
                                    <a:prstDash val="solid"/>
                                    <a:miter/>
                                    <a:headEnd type="none" w="med" len="med"/>
                                    <a:tailEnd type="triangle" w="med" len="med"/>
                                  </a:ln>
                                  <a:effectLst/>
                                </wps:spPr>
                                <wps:bodyPr/>
                              </wps:wsp>
                              <wps:wsp>
                                <wps:cNvPr id="158" name="AutoShape 14"/>
                                <wps:cNvCnPr/>
                                <wps:spPr>
                                  <a:xfrm rot="5400000" flipV="1">
                                    <a:off x="3119" y="-22"/>
                                    <a:ext cx="551" cy="1593"/>
                                  </a:xfrm>
                                  <a:prstGeom prst="bentConnector3">
                                    <a:avLst>
                                      <a:gd name="adj1" fmla="val 50000"/>
                                    </a:avLst>
                                  </a:prstGeom>
                                  <a:ln w="9525" cap="flat" cmpd="sng">
                                    <a:solidFill>
                                      <a:srgbClr val="000000"/>
                                    </a:solidFill>
                                    <a:prstDash val="solid"/>
                                    <a:miter/>
                                    <a:headEnd type="none" w="med" len="med"/>
                                    <a:tailEnd type="triangle" w="med" len="med"/>
                                  </a:ln>
                                  <a:effectLst/>
                                </wps:spPr>
                                <wps:bodyPr/>
                              </wps:wsp>
                              <wps:wsp>
                                <wps:cNvPr id="159" name="AutoShape 15"/>
                                <wps:cNvCnPr/>
                                <wps:spPr>
                                  <a:xfrm flipH="1">
                                    <a:off x="1867" y="1300"/>
                                    <a:ext cx="1313" cy="1"/>
                                  </a:xfrm>
                                  <a:prstGeom prst="straightConnector1">
                                    <a:avLst/>
                                  </a:prstGeom>
                                  <a:ln w="9525" cap="flat" cmpd="sng">
                                    <a:solidFill>
                                      <a:srgbClr val="000000"/>
                                    </a:solidFill>
                                    <a:prstDash val="solid"/>
                                    <a:headEnd type="none" w="med" len="med"/>
                                    <a:tailEnd type="triangle" w="med" len="med"/>
                                  </a:ln>
                                  <a:effectLst/>
                                </wps:spPr>
                                <wps:bodyPr/>
                              </wps:wsp>
                              <wps:wsp>
                                <wps:cNvPr id="160" name="AutoShape 16"/>
                                <wps:cNvCnPr>
                                  <a:stCxn id="155" idx="2"/>
                                  <a:endCxn id="154" idx="0"/>
                                </wps:cNvCnPr>
                                <wps:spPr>
                                  <a:xfrm rot="5400000" flipV="1">
                                    <a:off x="1231" y="1368"/>
                                    <a:ext cx="1175" cy="1503"/>
                                  </a:xfrm>
                                  <a:prstGeom prst="bentConnector3">
                                    <a:avLst>
                                      <a:gd name="adj1" fmla="val 50043"/>
                                    </a:avLst>
                                  </a:prstGeom>
                                  <a:ln w="9525" cap="flat" cmpd="sng">
                                    <a:solidFill>
                                      <a:srgbClr val="000000"/>
                                    </a:solidFill>
                                    <a:prstDash val="solid"/>
                                    <a:miter/>
                                    <a:headEnd type="none" w="med" len="med"/>
                                    <a:tailEnd type="triangle" w="med" len="med"/>
                                  </a:ln>
                                  <a:effectLst/>
                                </wps:spPr>
                                <wps:bodyPr/>
                              </wps:wsp>
                              <wps:wsp>
                                <wps:cNvPr id="161" name="AutoShape 17"/>
                                <wps:cNvSpPr/>
                                <wps:spPr>
                                  <a:xfrm>
                                    <a:off x="1860" y="1800"/>
                                    <a:ext cx="1417"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78B3424">
                                      <w:pPr>
                                        <w:jc w:val="center"/>
                                      </w:pPr>
                                      <w:r>
                                        <w:rPr>
                                          <w:rFonts w:hint="eastAsia"/>
                                        </w:rPr>
                                        <w:t>调查取证</w:t>
                                      </w:r>
                                    </w:p>
                                  </w:txbxContent>
                                </wps:txbx>
                                <wps:bodyPr vert="horz" anchor="t" upright="1"/>
                              </wps:wsp>
                              <wps:wsp>
                                <wps:cNvPr id="162" name="AutoShape 18"/>
                                <wps:cNvSpPr/>
                                <wps:spPr>
                                  <a:xfrm>
                                    <a:off x="3045" y="5373"/>
                                    <a:ext cx="1814"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9E6850B">
                                      <w:pPr>
                                        <w:jc w:val="center"/>
                                      </w:pPr>
                                      <w:r>
                                        <w:rPr>
                                          <w:rFonts w:hint="eastAsia"/>
                                        </w:rPr>
                                        <w:t>医患双方不同意</w:t>
                                      </w:r>
                                    </w:p>
                                  </w:txbxContent>
                                </wps:txbx>
                                <wps:bodyPr vert="horz" anchor="t" upright="1"/>
                              </wps:wsp>
                              <wps:wsp>
                                <wps:cNvPr id="163" name="AutoShape 19"/>
                                <wps:cNvSpPr/>
                                <wps:spPr>
                                  <a:xfrm>
                                    <a:off x="0" y="537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183B57AB">
                                      <w:pPr>
                                        <w:jc w:val="center"/>
                                      </w:pPr>
                                      <w:r>
                                        <w:rPr>
                                          <w:rFonts w:hint="eastAsia"/>
                                        </w:rPr>
                                        <w:t>医患双方同意</w:t>
                                      </w:r>
                                    </w:p>
                                  </w:txbxContent>
                                </wps:txbx>
                                <wps:bodyPr vert="horz" anchor="t" upright="1"/>
                              </wps:wsp>
                              <wps:wsp>
                                <wps:cNvPr id="164" name="AutoShape 20"/>
                                <wps:cNvCnPr>
                                  <a:stCxn id="154" idx="2"/>
                                  <a:endCxn id="163" idx="0"/>
                                </wps:cNvCnPr>
                                <wps:spPr>
                                  <a:xfrm rot="5400000">
                                    <a:off x="1116" y="3919"/>
                                    <a:ext cx="1189" cy="1719"/>
                                  </a:xfrm>
                                  <a:prstGeom prst="bentConnector3">
                                    <a:avLst>
                                      <a:gd name="adj1" fmla="val 50042"/>
                                    </a:avLst>
                                  </a:prstGeom>
                                  <a:ln w="9525" cap="flat" cmpd="sng">
                                    <a:solidFill>
                                      <a:srgbClr val="000000"/>
                                    </a:solidFill>
                                    <a:prstDash val="solid"/>
                                    <a:miter/>
                                    <a:headEnd type="none" w="med" len="med"/>
                                    <a:tailEnd type="triangle" w="med" len="med"/>
                                  </a:ln>
                                  <a:effectLst/>
                                </wps:spPr>
                                <wps:bodyPr/>
                              </wps:wsp>
                              <wps:wsp>
                                <wps:cNvPr id="165" name="AutoShape 21"/>
                                <wps:cNvCnPr>
                                  <a:stCxn id="154" idx="2"/>
                                  <a:endCxn id="162" idx="0"/>
                                </wps:cNvCnPr>
                                <wps:spPr>
                                  <a:xfrm rot="5400000" flipV="1">
                                    <a:off x="2667" y="4088"/>
                                    <a:ext cx="1189" cy="1382"/>
                                  </a:xfrm>
                                  <a:prstGeom prst="bentConnector3">
                                    <a:avLst>
                                      <a:gd name="adj1" fmla="val 50000"/>
                                    </a:avLst>
                                  </a:prstGeom>
                                  <a:ln w="9525" cap="flat" cmpd="sng">
                                    <a:solidFill>
                                      <a:srgbClr val="000000"/>
                                    </a:solidFill>
                                    <a:prstDash val="solid"/>
                                    <a:miter/>
                                    <a:headEnd type="none" w="med" len="med"/>
                                    <a:tailEnd type="triangle" w="med" len="med"/>
                                  </a:ln>
                                  <a:effectLst/>
                                </wps:spPr>
                                <wps:bodyPr/>
                              </wps:wsp>
                              <wps:wsp>
                                <wps:cNvPr id="166" name="AutoShape 22"/>
                                <wps:cNvSpPr/>
                                <wps:spPr>
                                  <a:xfrm>
                                    <a:off x="1740" y="468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2056D310">
                                      <w:pPr>
                                        <w:jc w:val="center"/>
                                      </w:pPr>
                                      <w:r>
                                        <w:rPr>
                                          <w:rFonts w:hint="eastAsia"/>
                                        </w:rPr>
                                        <w:t>进入调解程序</w:t>
                                      </w:r>
                                    </w:p>
                                  </w:txbxContent>
                                </wps:txbx>
                                <wps:bodyPr vert="horz" anchor="t" upright="1"/>
                              </wps:wsp>
                            </wpg:grpSp>
                          </wpg:grpSp>
                          <wps:wsp>
                            <wps:cNvPr id="167" name="AutoShape 23"/>
                            <wps:cNvSpPr/>
                            <wps:spPr>
                              <a:xfrm>
                                <a:off x="0" y="860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5A004DB">
                                  <w:pPr>
                                    <w:ind w:firstLine="105" w:firstLineChars="50"/>
                                    <w:jc w:val="center"/>
                                  </w:pPr>
                                  <w:r>
                                    <w:rPr>
                                      <w:rFonts w:hint="eastAsia"/>
                                    </w:rPr>
                                    <w:t>支付给患方</w:t>
                                  </w:r>
                                </w:p>
                              </w:txbxContent>
                            </wps:txbx>
                            <wps:bodyPr vert="horz" anchor="t" upright="1"/>
                          </wps:wsp>
                          <wps:wsp>
                            <wps:cNvPr id="168" name="AutoShape 24"/>
                            <wps:cNvSpPr/>
                            <wps:spPr>
                              <a:xfrm>
                                <a:off x="3092" y="8601"/>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70F99D8">
                                  <w:r>
                                    <w:rPr>
                                      <w:rFonts w:hint="eastAsia"/>
                                    </w:rPr>
                                    <w:t>或支付给医院</w:t>
                                  </w:r>
                                </w:p>
                              </w:txbxContent>
                            </wps:txbx>
                            <wps:bodyPr vert="horz" anchor="t" upright="1"/>
                          </wps:wsp>
                          <wps:wsp>
                            <wps:cNvPr id="169" name="AutoShape 25"/>
                            <wps:cNvSpPr/>
                            <wps:spPr>
                              <a:xfrm>
                                <a:off x="5623" y="5571"/>
                                <a:ext cx="1984"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CC97C45">
                                  <w:pPr>
                                    <w:ind w:firstLine="105" w:firstLineChars="50"/>
                                    <w:jc w:val="center"/>
                                  </w:pPr>
                                  <w:r>
                                    <w:rPr>
                                      <w:rFonts w:hint="eastAsia"/>
                                    </w:rPr>
                                    <w:t>引导走诉讼</w:t>
                                  </w:r>
                                </w:p>
                              </w:txbxContent>
                            </wps:txbx>
                            <wps:bodyPr vert="horz" anchor="t" upright="1"/>
                          </wps:wsp>
                          <wps:wsp>
                            <wps:cNvPr id="170" name="AutoShape 26"/>
                            <wps:cNvSpPr/>
                            <wps:spPr>
                              <a:xfrm>
                                <a:off x="3028" y="7254"/>
                                <a:ext cx="1928"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5FA6D38E">
                                  <w:pPr>
                                    <w:ind w:firstLine="105" w:firstLineChars="50"/>
                                    <w:jc w:val="center"/>
                                  </w:pPr>
                                  <w:r>
                                    <w:rPr>
                                      <w:rFonts w:hint="eastAsia"/>
                                    </w:rPr>
                                    <w:t>再进入调解程序</w:t>
                                  </w:r>
                                </w:p>
                              </w:txbxContent>
                            </wps:txbx>
                            <wps:bodyPr vert="horz" anchor="t" upright="1"/>
                          </wps:wsp>
                          <wps:wsp>
                            <wps:cNvPr id="171" name="AutoShape 27"/>
                            <wps:cNvSpPr/>
                            <wps:spPr>
                              <a:xfrm>
                                <a:off x="5621" y="7254"/>
                                <a:ext cx="1984"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43C1ED0C">
                                  <w:pPr>
                                    <w:ind w:firstLine="105" w:firstLineChars="50"/>
                                  </w:pPr>
                                  <w:r>
                                    <w:rPr>
                                      <w:rFonts w:hint="eastAsia"/>
                                    </w:rPr>
                                    <w:t>医患双方不同意</w:t>
                                  </w:r>
                                </w:p>
                              </w:txbxContent>
                            </wps:txbx>
                            <wps:bodyPr vert="horz" anchor="t" upright="1"/>
                          </wps:wsp>
                          <wps:wsp>
                            <wps:cNvPr id="172" name="AutoShape 28"/>
                            <wps:cNvSpPr/>
                            <wps:spPr>
                              <a:xfrm>
                                <a:off x="13" y="7554"/>
                                <a:ext cx="1701" cy="51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7A92E256">
                                  <w:pPr>
                                    <w:ind w:firstLine="105" w:firstLineChars="50"/>
                                    <w:jc w:val="center"/>
                                    <w:rPr>
                                      <w:b/>
                                    </w:rPr>
                                  </w:pPr>
                                  <w:r>
                                    <w:rPr>
                                      <w:rFonts w:hint="eastAsia"/>
                                      <w:b/>
                                    </w:rPr>
                                    <w:t>认定保险责任</w:t>
                                  </w:r>
                                </w:p>
                              </w:txbxContent>
                            </wps:txbx>
                            <wps:bodyPr vert="horz" anchor="t" upright="1"/>
                          </wps:wsp>
                          <wps:wsp>
                            <wps:cNvPr id="173" name="AutoShape 29"/>
                            <wps:cNvCnPr>
                              <a:stCxn id="163" idx="2"/>
                              <a:endCxn id="162" idx="0"/>
                            </wps:cNvCnPr>
                            <wps:spPr>
                              <a:xfrm rot="5400000">
                                <a:off x="102" y="6765"/>
                                <a:ext cx="1479" cy="2"/>
                              </a:xfrm>
                              <a:prstGeom prst="bentConnector3">
                                <a:avLst>
                                  <a:gd name="adj1" fmla="val 50847"/>
                                </a:avLst>
                              </a:prstGeom>
                              <a:ln w="9525" cap="flat" cmpd="sng">
                                <a:solidFill>
                                  <a:srgbClr val="000000"/>
                                </a:solidFill>
                                <a:prstDash val="solid"/>
                                <a:miter/>
                                <a:headEnd type="none" w="med" len="med"/>
                                <a:tailEnd type="triangle" w="med" len="med"/>
                              </a:ln>
                              <a:effectLst/>
                            </wps:spPr>
                            <wps:bodyPr/>
                          </wps:wsp>
                          <wps:wsp>
                            <wps:cNvPr id="174" name="AutoShape 30"/>
                            <wps:cNvSpPr/>
                            <wps:spPr>
                              <a:xfrm>
                                <a:off x="17" y="6606"/>
                                <a:ext cx="1926"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17B219EE">
                                  <w:r>
                                    <w:rPr>
                                      <w:rFonts w:hint="eastAsia"/>
                                    </w:rPr>
                                    <w:t>提交保险人索赔</w:t>
                                  </w:r>
                                </w:p>
                              </w:txbxContent>
                            </wps:txbx>
                            <wps:bodyPr vert="horz" anchor="t" upright="1"/>
                          </wps:wsp>
                          <wps:wsp>
                            <wps:cNvPr id="175" name="AutoShape 31"/>
                            <wps:cNvSpPr/>
                            <wps:spPr>
                              <a:xfrm>
                                <a:off x="3253" y="6351"/>
                                <a:ext cx="1474" cy="51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4866A6F2">
                                  <w:pPr>
                                    <w:ind w:firstLine="105" w:firstLineChars="50"/>
                                    <w:jc w:val="center"/>
                                    <w:rPr>
                                      <w:b/>
                                    </w:rPr>
                                  </w:pPr>
                                  <w:r>
                                    <w:rPr>
                                      <w:rFonts w:hint="eastAsia"/>
                                      <w:b/>
                                    </w:rPr>
                                    <w:t>引导鉴定</w:t>
                                  </w:r>
                                </w:p>
                              </w:txbxContent>
                            </wps:txbx>
                            <wps:bodyPr vert="horz" anchor="t" upright="1"/>
                          </wps:wsp>
                          <wps:wsp>
                            <wps:cNvPr id="176" name="AutoShape 32"/>
                            <wps:cNvCnPr>
                              <a:stCxn id="162" idx="3"/>
                              <a:endCxn id="169" idx="1"/>
                            </wps:cNvCnPr>
                            <wps:spPr>
                              <a:xfrm>
                                <a:off x="4874" y="5795"/>
                                <a:ext cx="749" cy="31"/>
                              </a:xfrm>
                              <a:prstGeom prst="bentConnector3">
                                <a:avLst>
                                  <a:gd name="adj1" fmla="val 49935"/>
                                </a:avLst>
                              </a:prstGeom>
                              <a:ln w="9525" cap="flat" cmpd="sng">
                                <a:solidFill>
                                  <a:srgbClr val="000000"/>
                                </a:solidFill>
                                <a:prstDash val="solid"/>
                                <a:miter/>
                                <a:headEnd type="none" w="med" len="med"/>
                                <a:tailEnd type="triangle" w="med" len="med"/>
                              </a:ln>
                              <a:effectLst/>
                            </wps:spPr>
                            <wps:bodyPr/>
                          </wps:wsp>
                          <wps:wsp>
                            <wps:cNvPr id="177" name="AutoShape 33"/>
                            <wps:cNvCnPr>
                              <a:stCxn id="170" idx="3"/>
                              <a:endCxn id="169" idx="1"/>
                            </wps:cNvCnPr>
                            <wps:spPr>
                              <a:xfrm>
                                <a:off x="4956" y="7509"/>
                                <a:ext cx="665" cy="1"/>
                              </a:xfrm>
                              <a:prstGeom prst="straightConnector1">
                                <a:avLst/>
                              </a:prstGeom>
                              <a:ln w="9525" cap="flat" cmpd="sng">
                                <a:solidFill>
                                  <a:srgbClr val="000000"/>
                                </a:solidFill>
                                <a:prstDash val="solid"/>
                                <a:headEnd type="none" w="med" len="med"/>
                                <a:tailEnd type="triangle" w="med" len="med"/>
                              </a:ln>
                              <a:effectLst/>
                            </wps:spPr>
                            <wps:bodyPr/>
                          </wps:wsp>
                          <wps:wsp>
                            <wps:cNvPr id="178" name="AutoShape 34"/>
                            <wps:cNvCnPr>
                              <a:stCxn id="170" idx="3"/>
                              <a:endCxn id="169" idx="2"/>
                            </wps:cNvCnPr>
                            <wps:spPr>
                              <a:xfrm rot="-5400000">
                                <a:off x="6004" y="6643"/>
                                <a:ext cx="1173" cy="2"/>
                              </a:xfrm>
                              <a:prstGeom prst="bentConnector3">
                                <a:avLst>
                                  <a:gd name="adj1" fmla="val 49958"/>
                                </a:avLst>
                              </a:prstGeom>
                              <a:ln w="9525" cap="flat" cmpd="sng">
                                <a:solidFill>
                                  <a:srgbClr val="000000"/>
                                </a:solidFill>
                                <a:prstDash val="solid"/>
                                <a:miter/>
                                <a:headEnd type="none" w="med" len="med"/>
                                <a:tailEnd type="triangle" w="med" len="med"/>
                              </a:ln>
                              <a:effectLst/>
                            </wps:spPr>
                            <wps:bodyPr/>
                          </wps:wsp>
                          <wps:wsp>
                            <wps:cNvPr id="179" name="AutoShape 35"/>
                            <wps:cNvCnPr>
                              <a:stCxn id="170" idx="1"/>
                              <a:endCxn id="163" idx="3"/>
                            </wps:cNvCnPr>
                            <wps:spPr>
                              <a:xfrm rot="10800000">
                                <a:off x="1716" y="5795"/>
                                <a:ext cx="1312" cy="1714"/>
                              </a:xfrm>
                              <a:prstGeom prst="bentConnector3">
                                <a:avLst>
                                  <a:gd name="adj1" fmla="val 50000"/>
                                </a:avLst>
                              </a:prstGeom>
                              <a:ln w="9525" cap="flat" cmpd="sng">
                                <a:solidFill>
                                  <a:srgbClr val="000000"/>
                                </a:solidFill>
                                <a:prstDash val="solid"/>
                                <a:miter/>
                                <a:headEnd type="none" w="med" len="med"/>
                                <a:tailEnd type="triangle" w="med" len="med"/>
                              </a:ln>
                              <a:effectLst/>
                            </wps:spPr>
                            <wps:bodyPr/>
                          </wps:wsp>
                          <wps:wsp>
                            <wps:cNvPr id="180" name="AutoShape 36"/>
                            <wps:cNvCnPr>
                              <a:stCxn id="170" idx="1"/>
                              <a:endCxn id="168" idx="0"/>
                            </wps:cNvCnPr>
                            <wps:spPr>
                              <a:xfrm rot="-5400000" flipH="1">
                                <a:off x="2124" y="6782"/>
                                <a:ext cx="512" cy="3079"/>
                              </a:xfrm>
                              <a:prstGeom prst="bentConnector3">
                                <a:avLst>
                                  <a:gd name="adj1" fmla="val 47463"/>
                                </a:avLst>
                              </a:prstGeom>
                              <a:ln w="9525" cap="flat" cmpd="sng">
                                <a:solidFill>
                                  <a:srgbClr val="000000"/>
                                </a:solidFill>
                                <a:prstDash val="solid"/>
                                <a:miter/>
                                <a:headEnd type="none" w="med" len="med"/>
                                <a:tailEnd type="triangle" w="med" len="med"/>
                              </a:ln>
                              <a:effectLst/>
                            </wps:spPr>
                            <wps:bodyPr/>
                          </wps:wsp>
                        </wpg:grpSp>
                        <wps:wsp>
                          <wps:cNvPr id="181" name="AutoShape 37"/>
                          <wps:cNvCnPr>
                            <a:stCxn id="170" idx="1"/>
                            <a:endCxn id="168" idx="0"/>
                          </wps:cNvCnPr>
                          <wps:spPr>
                            <a:xfrm rot="5400000">
                              <a:off x="609" y="8346"/>
                              <a:ext cx="514" cy="0"/>
                            </a:xfrm>
                            <a:prstGeom prst="straightConnector1">
                              <a:avLst/>
                            </a:prstGeom>
                            <a:ln w="12700" cap="flat" cmpd="sng">
                              <a:solidFill>
                                <a:srgbClr val="000000"/>
                              </a:solidFill>
                              <a:prstDash val="dash"/>
                              <a:headEnd type="none" w="med" len="med"/>
                              <a:tailEnd type="triangle" w="med" len="med"/>
                            </a:ln>
                            <a:effectLst/>
                          </wps:spPr>
                          <wps:bodyPr/>
                        </wps:wsp>
                      </wpg:grpSp>
                    </wpg:wgp>
                  </a:graphicData>
                </a:graphic>
              </wp:anchor>
            </w:drawing>
          </mc:Choice>
          <mc:Fallback>
            <w:pict>
              <v:group id="_x0000_s1026" o:spid="_x0000_s1026" o:spt="203" style="position:absolute;left:0pt;margin-left:-1.05pt;margin-top:16pt;height:455.65pt;width:380.35pt;z-index:251659264;mso-width-relative:page;mso-height-relative:page;" coordsize="7607,9113" o:gfxdata="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">
                <o:lock v:ext="edit" aspectratio="f"/>
                <v:shape id="AutoShape 3" o:spid="_x0000_s1026" o:spt="34" type="#_x0000_t34" style="position:absolute;left:3398;top:6572;flip:x;height:113;width:1204;rotation:5898240f;" filled="f" stroked="t" coordsize="21600,21600" o:gfxdata="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7kPB7sAAADc&#10;AAAADwAAAAAAAAABACAAAAAiAAAAZHJzL2Rvd25yZXYueG1sUEsBAhQAFAAAAAgAh07iQDMvBZ47&#10;AAAAOQAAABAAAAAAAAAAAQAgAAAACgEAAGRycy9zaGFwZXhtbC54bWxQSwUGAAAAAAYABgBbAQAA&#10;tAMAAAAA&#10;" adj="10800">
                  <v:fill on="f" focussize="0,0"/>
                  <v:stroke weight="1.25pt" color="#000000" joinstyle="miter" endarrow="block"/>
                  <v:imagedata o:title=""/>
                  <o:lock v:ext="edit" aspectratio="f"/>
                </v:shape>
                <v:group id="Group 4" o:spid="_x0000_s1026" o:spt="203" style="position:absolute;left:0;top:0;height:9113;width:7607;" coordsize="7607,9113" o:gfxdata="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lhigXvwAAANwAAAAPAAAAAAAAAAEAIAAAACIAAABkcnMvZG93bnJldi54&#10;bWxQSwECFAAUAAAACACHTuJAMy8FnjsAAAA5AAAAFQAAAAAAAAABACAAAAAOAQAAZHJzL2dyb3Vw&#10;c2hhcGV4bWwueG1sUEsFBgAAAAAGAAYAYAEAAMsDAAAAAA==&#10;">
                  <o:lock v:ext="edit" aspectratio="f"/>
                  <v:group id="Group 5" o:spid="_x0000_s1026" o:spt="203" style="position:absolute;left:0;top:0;height:9113;width:7607;" coordsize="7607,9113" o:gfxdata="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rKjYy+AAAA3AAAAA8AAAAAAAAAAQAgAAAAIgAAAGRycy9kb3ducmV2Lnht&#10;bFBLAQIUABQAAAAIAIdO4kAzLwWeOwAAADkAAAAVAAAAAAAAAAEAIAAAAA0BAABkcnMvZ3JvdXBz&#10;aGFwZXhtbC54bWxQSwUGAAAAAAYABgBgAQAAygMAAAAA&#10;">
                    <o:lock v:ext="edit" aspectratio="f"/>
                    <v:group id="Group 6" o:spid="_x0000_s1026" o:spt="203" style="position:absolute;left:15;top:0;height:6050;width:7275;" coordsize="7275,6050" o:gfxdata="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J4pssy+AAAA3AAAAA8AAAAAAAAAAQAgAAAAIgAAAGRycy9kb3ducmV2Lnht&#10;bFBLAQIUABQAAAAIAIdO4kAzLwWeOwAAADkAAAAVAAAAAAAAAAEAIAAAAA0BAABkcnMvZ3JvdXBz&#10;aGFwZXhtbC54bWxQSwUGAAAAAAYABgBgAQAAygMAAAAA&#10;">
                      <o:lock v:ext="edit" aspectratio="f"/>
                      <v:shape id="AutoShape 7" o:spid="_x0000_s1026" o:spt="109" type="#_x0000_t109" style="position:absolute;left:4065;top:0;height:1050;width:3210;" fillcolor="#FFFFFF" filled="t" stroked="t" coordsize="21600,21600" o:gfxdata="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Ik9q8AAAA&#10;3AAAAA8AAAAAAAAAAQAgAAAAIgAAAGRycy9kb3ducmV2LnhtbFBLAQIUABQAAAAIAIdO4kAzLwWe&#10;OwAAADkAAAAQAAAAAAAAAAEAIAAAAAsBAABkcnMvc2hhcGV4bWwueG1sUEsFBgAAAAAGAAYAWwEA&#10;ALUDAAAAAA==&#10;">
                        <v:fill on="t" focussize="0,0"/>
                        <v:stroke weight="1pt" color="#000000" joinstyle="miter" dashstyle="dash"/>
                        <v:imagedata o:title=""/>
                        <o:lock v:ext="edit" aspectratio="f"/>
                        <v:textbox>
                          <w:txbxContent>
                            <w:p w14:paraId="21987605">
                              <w:pPr>
                                <w:rPr>
                                  <w:b/>
                                </w:rPr>
                              </w:pPr>
                              <w:r>
                                <w:rPr>
                                  <w:rFonts w:hint="eastAsia"/>
                                  <w:b/>
                                </w:rPr>
                                <w:t>报案内容：就诊时间、事件发生时间、大致诊疗过程、患者最终状态、投诉事件、患者诉求等</w:t>
                              </w:r>
                            </w:p>
                          </w:txbxContent>
                        </v:textbox>
                      </v:shape>
                      <v:group id="Group 8" o:spid="_x0000_s1026" o:spt="203" style="position:absolute;left:0;top:167;height:5883;width:5202;" coordsize="5202,5883" o:gfxdata="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Bt4kgvAAAANwAAAAPAAAAAAAAAAEAIAAAACIAAABkcnMvZG93bnJldi54bWxQ&#10;SwECFAAUAAAACACHTuJAMy8FnjsAAAA5AAAAFQAAAAAAAAABACAAAAALAQAAZHJzL2dyb3Vwc2hh&#10;cGV4bWwueG1sUEsFBgAAAAAGAAYAYAEAAMgDAAAAAA==&#10;">
                        <o:lock v:ext="edit" aspectratio="f"/>
                        <v:shape id="AutoShape 9" o:spid="_x0000_s1026" o:spt="109" type="#_x0000_t109" style="position:absolute;left:1860;top:0;height:499;width:1417;" fillcolor="#FFFFFF" filled="t" stroked="t" coordsize="21600,21600" o:gfxdata="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qOLm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0BC7D5A2">
                                <w:pPr>
                                  <w:jc w:val="center"/>
                                </w:pPr>
                                <w:r>
                                  <w:rPr>
                                    <w:rFonts w:hint="eastAsia"/>
                                  </w:rPr>
                                  <w:t>纠纷报案</w:t>
                                </w:r>
                              </w:p>
                            </w:txbxContent>
                          </v:textbox>
                        </v:shape>
                        <v:shape id="AutoShape 10" o:spid="_x0000_s1026" o:spt="109" type="#_x0000_t109" style="position:absolute;left:585;top:2707;height:1477;width:3969;" fillcolor="#FFFFFF" filled="t" stroked="t" coordsize="21600,21600" o:gfxdata="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n8wQrsAAADc&#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1E43A8B1">
                                <w:pPr>
                                  <w:rPr>
                                    <w:b/>
                                  </w:rPr>
                                </w:pPr>
                                <w:r>
                                  <w:rPr>
                                    <w:rFonts w:hint="eastAsia"/>
                                    <w:b/>
                                  </w:rPr>
                                  <w:t>专家分析：是否存在过错及过错类型？</w:t>
                                </w:r>
                              </w:p>
                              <w:p w14:paraId="2C6E1B17">
                                <w:pPr>
                                  <w:rPr>
                                    <w:b/>
                                  </w:rPr>
                                </w:pPr>
                                <w:r>
                                  <w:rPr>
                                    <w:rFonts w:hint="eastAsia"/>
                                  </w:rPr>
                                  <w:t xml:space="preserve">          </w:t>
                                </w:r>
                                <w:r>
                                  <w:rPr>
                                    <w:rFonts w:hint="eastAsia"/>
                                    <w:b/>
                                  </w:rPr>
                                  <w:t>是否违反诊疗常规？</w:t>
                                </w:r>
                              </w:p>
                              <w:p w14:paraId="7403CD18">
                                <w:pPr>
                                  <w:rPr>
                                    <w:b/>
                                  </w:rPr>
                                </w:pPr>
                                <w:r>
                                  <w:rPr>
                                    <w:rFonts w:hint="eastAsia"/>
                                    <w:b/>
                                  </w:rPr>
                                  <w:t xml:space="preserve">          损害金额？</w:t>
                                </w:r>
                              </w:p>
                              <w:p w14:paraId="4D624032">
                                <w:pPr>
                                  <w:rPr>
                                    <w:b/>
                                  </w:rPr>
                                </w:pPr>
                                <w:r>
                                  <w:rPr>
                                    <w:rFonts w:hint="eastAsia"/>
                                    <w:b/>
                                  </w:rPr>
                                  <w:t xml:space="preserve">          处理建议？</w:t>
                                </w:r>
                              </w:p>
                            </w:txbxContent>
                          </v:textbox>
                        </v:shape>
                        <v:shape id="AutoShape 11" o:spid="_x0000_s1026" o:spt="109" type="#_x0000_t109" style="position:absolute;left:106;top:1017;height:515;width:1922;" fillcolor="#FFFFFF" filled="t" stroked="t" coordsize="21600,21600" o:gfxdata="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8FVr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704E15A1">
                                <w:pPr>
                                  <w:jc w:val="center"/>
                                </w:pPr>
                                <w:r>
                                  <w:rPr>
                                    <w:rFonts w:hint="eastAsia"/>
                                  </w:rPr>
                                  <w:t>广东和谐医调委</w:t>
                                </w:r>
                              </w:p>
                            </w:txbxContent>
                          </v:textbox>
                        </v:shape>
                        <v:shape id="AutoShape 12" o:spid="_x0000_s1026" o:spt="109" type="#_x0000_t109" style="position:absolute;left:3180;top:1050;height:499;width:2022;" fillcolor="#FFFFFF" filled="t" stroked="t" coordsize="21600,21600" o:gfxdata="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B2bIb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19CC0E45">
                                <w:pPr>
                                  <w:jc w:val="center"/>
                                </w:pPr>
                                <w:r>
                                  <w:rPr>
                                    <w:rFonts w:hint="eastAsia"/>
                                  </w:rPr>
                                  <w:t>保险经纪公司</w:t>
                                </w:r>
                              </w:p>
                            </w:txbxContent>
                          </v:textbox>
                        </v:shape>
                        <v:shape id="AutoShape 13" o:spid="_x0000_s1026" o:spt="34" type="#_x0000_t34" style="position:absolute;left:1559;top:7;height:1502;width:518;rotation:5898240f;" filled="f" stroked="t" coordsize="21600,21600" o:gfxdata="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uWAILsAAADc&#10;AAAADwAAAAAAAAABACAAAAAiAAAAZHJzL2Rvd25yZXYueG1sUEsBAhQAFAAAAAgAh07iQDMvBZ47&#10;AAAAOQAAABAAAAAAAAAAAQAgAAAACgEAAGRycy9zaGFwZXhtbC54bWxQSwUGAAAAAAYABgBbAQAA&#10;tAMAAAAA&#10;" adj="10800">
                          <v:fill on="f" focussize="0,0"/>
                          <v:stroke color="#000000" joinstyle="miter" endarrow="block"/>
                          <v:imagedata o:title=""/>
                          <o:lock v:ext="edit" aspectratio="f"/>
                        </v:shape>
                        <v:shape id="AutoShape 14" o:spid="_x0000_s1026" o:spt="34" type="#_x0000_t34" style="position:absolute;left:3119;top:-22;flip:y;height:1593;width:551;rotation:-5898240f;" filled="f" stroked="t" coordsize="21600,21600" o:gfxdata="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O4NK/&#10;AAAA3AAAAA8AAAAAAAAAAQAgAAAAIgAAAGRycy9kb3ducmV2LnhtbFBLAQIUABQAAAAIAIdO4kAz&#10;LwWeOwAAADkAAAAQAAAAAAAAAAEAIAAAAA4BAABkcnMvc2hhcGV4bWwueG1sUEsFBgAAAAAGAAYA&#10;WwEAALgDAAAAAA==&#10;" adj="10800">
                          <v:fill on="f" focussize="0,0"/>
                          <v:stroke color="#000000" joinstyle="miter" endarrow="block"/>
                          <v:imagedata o:title=""/>
                          <o:lock v:ext="edit" aspectratio="f"/>
                        </v:shape>
                        <v:shape id="AutoShape 15" o:spid="_x0000_s1026" o:spt="32" type="#_x0000_t32" style="position:absolute;left:1867;top:1300;flip:x;height:1;width:1313;" filled="f" stroked="t" coordsize="21600,21600" o:gfxdata="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94N4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AutoShape 16" o:spid="_x0000_s1026" o:spt="34" type="#_x0000_t34" style="position:absolute;left:1231;top:1368;flip:y;height:1503;width:1175;rotation:-5898240f;" filled="f" stroked="t" coordsize="21600,21600" o:gfxdata="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l1UMb4A&#10;AADcAAAADwAAAAAAAAABACAAAAAiAAAAZHJzL2Rvd25yZXYueG1sUEsBAhQAFAAAAAgAh07iQDMv&#10;BZ47AAAAOQAAABAAAAAAAAAAAQAgAAAADQEAAGRycy9zaGFwZXhtbC54bWxQSwUGAAAAAAYABgBb&#10;AQAAtwMAAAAA&#10;" adj="10809">
                          <v:fill on="f" focussize="0,0"/>
                          <v:stroke color="#000000" joinstyle="miter" endarrow="block"/>
                          <v:imagedata o:title=""/>
                          <o:lock v:ext="edit" aspectratio="f"/>
                        </v:shape>
                        <v:shape id="AutoShape 17" o:spid="_x0000_s1026" o:spt="109" type="#_x0000_t109" style="position:absolute;left:1860;top:1800;height:499;width:1417;" fillcolor="#FFFFFF" filled="t" stroked="t" coordsize="21600,21600" o:gfxdata="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GYyei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078B3424">
                                <w:pPr>
                                  <w:jc w:val="center"/>
                                </w:pPr>
                                <w:r>
                                  <w:rPr>
                                    <w:rFonts w:hint="eastAsia"/>
                                  </w:rPr>
                                  <w:t>调查取证</w:t>
                                </w:r>
                              </w:p>
                            </w:txbxContent>
                          </v:textbox>
                        </v:shape>
                        <v:shape id="AutoShape 18" o:spid="_x0000_s1026" o:spt="109" type="#_x0000_t109" style="position:absolute;left:3045;top:5373;height:510;width:1814;" fillcolor="#FFFFFF" filled="t" stroked="t" coordsize="21600,21600" o:gfxdata="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FKV5+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09E6850B">
                                <w:pPr>
                                  <w:jc w:val="center"/>
                                </w:pPr>
                                <w:r>
                                  <w:rPr>
                                    <w:rFonts w:hint="eastAsia"/>
                                  </w:rPr>
                                  <w:t>医患双方不同意</w:t>
                                </w:r>
                              </w:p>
                            </w:txbxContent>
                          </v:textbox>
                        </v:shape>
                        <v:shape id="AutoShape 19" o:spid="_x0000_s1026" o:spt="109" type="#_x0000_t109" style="position:absolute;left:0;top:5373;height:510;width:1701;" fillcolor="#FFFFFF" filled="t" stroked="t" coordsize="21600,21600" o:gfxdata="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4G8gS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183B57AB">
                                <w:pPr>
                                  <w:jc w:val="center"/>
                                </w:pPr>
                                <w:r>
                                  <w:rPr>
                                    <w:rFonts w:hint="eastAsia"/>
                                  </w:rPr>
                                  <w:t>医患双方同意</w:t>
                                </w:r>
                              </w:p>
                            </w:txbxContent>
                          </v:textbox>
                        </v:shape>
                        <v:shape id="AutoShape 20" o:spid="_x0000_s1026" o:spt="34" type="#_x0000_t34" style="position:absolute;left:1116;top:3919;height:1719;width:1189;rotation:5898240f;" filled="f" stroked="t" coordsize="21600,21600" o:gfxdata="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sPRZugAAANwA&#10;AAAPAAAAAAAAAAEAIAAAACIAAABkcnMvZG93bnJldi54bWxQSwECFAAUAAAACACHTuJAMy8FnjsA&#10;AAA5AAAAEAAAAAAAAAABACAAAAAJAQAAZHJzL3NoYXBleG1sLnhtbFBLBQYAAAAABgAGAFsBAACz&#10;AwAAAAA=&#10;" adj="10809">
                          <v:fill on="f" focussize="0,0"/>
                          <v:stroke color="#000000" joinstyle="miter" endarrow="block"/>
                          <v:imagedata o:title=""/>
                          <o:lock v:ext="edit" aspectratio="f"/>
                        </v:shape>
                        <v:shape id="AutoShape 21" o:spid="_x0000_s1026" o:spt="34" type="#_x0000_t34" style="position:absolute;left:2667;top:4088;flip:y;height:1382;width:1189;rotation:-5898240f;" filled="f" stroked="t" coordsize="21600,21600" o:gfxdata="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I4XxvQAA&#10;ANwAAAAPAAAAAAAAAAEAIAAAACIAAABkcnMvZG93bnJldi54bWxQSwECFAAUAAAACACHTuJAMy8F&#10;njsAAAA5AAAAEAAAAAAAAAABACAAAAAMAQAAZHJzL3NoYXBleG1sLnhtbFBLBQYAAAAABgAGAFsB&#10;AAC2AwAAAAA=&#10;" adj="10800">
                          <v:fill on="f" focussize="0,0"/>
                          <v:stroke color="#000000" joinstyle="miter" endarrow="block"/>
                          <v:imagedata o:title=""/>
                          <o:lock v:ext="edit" aspectratio="f"/>
                        </v:shape>
                        <v:shape id="AutoShape 22" o:spid="_x0000_s1026" o:spt="109" type="#_x0000_t109" style="position:absolute;left:1740;top:4683;height:510;width:1701;" fillcolor="#FFFFFF" filled="t" stroked="t" coordsize="21600,21600" o:gfxdata="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nFRnL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2056D310">
                                <w:pPr>
                                  <w:jc w:val="center"/>
                                </w:pPr>
                                <w:r>
                                  <w:rPr>
                                    <w:rFonts w:hint="eastAsia"/>
                                  </w:rPr>
                                  <w:t>进入调解程序</w:t>
                                </w:r>
                              </w:p>
                            </w:txbxContent>
                          </v:textbox>
                        </v:shape>
                      </v:group>
                    </v:group>
                    <v:shape id="AutoShape 23" o:spid="_x0000_s1026" o:spt="109" type="#_x0000_t109" style="position:absolute;left:0;top:8603;height:510;width:1701;" fillcolor="#FFFFFF" filled="t" stroked="t" coordsize="21600,21600" o:gfxdata="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T30B7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05A004DB">
                            <w:pPr>
                              <w:ind w:firstLine="105" w:firstLineChars="50"/>
                              <w:jc w:val="center"/>
                            </w:pPr>
                            <w:r>
                              <w:rPr>
                                <w:rFonts w:hint="eastAsia"/>
                              </w:rPr>
                              <w:t>支付给患方</w:t>
                            </w:r>
                          </w:p>
                        </w:txbxContent>
                      </v:textbox>
                    </v:shape>
                    <v:shape id="AutoShape 24" o:spid="_x0000_s1026" o:spt="109" type="#_x0000_t109" style="position:absolute;left:3092;top:8601;height:510;width:1701;" fillcolor="#FFFFFF" filled="t" stroked="t" coordsize="21600,21600" o:gfxdata="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KJgdb4A&#10;AADcAAAADwAAAAAAAAABACAAAAAiAAAAZHJzL2Rvd25yZXYueG1sUEsBAhQAFAAAAAgAh07iQDMv&#10;BZ47AAAAOQAAABAAAAAAAAAAAQAgAAAADQEAAGRycy9zaGFwZXhtbC54bWxQSwUGAAAAAAYABgBb&#10;AQAAtwMAAAAA&#10;">
                      <v:fill on="t" focussize="0,0"/>
                      <v:stroke weight="2.5pt" color="#000000" joinstyle="miter"/>
                      <v:imagedata o:title=""/>
                      <o:lock v:ext="edit" aspectratio="f"/>
                      <v:textbox>
                        <w:txbxContent>
                          <w:p w14:paraId="070F99D8">
                            <w:r>
                              <w:rPr>
                                <w:rFonts w:hint="eastAsia"/>
                              </w:rPr>
                              <w:t>或支付给医院</w:t>
                            </w:r>
                          </w:p>
                        </w:txbxContent>
                      </v:textbox>
                    </v:shape>
                    <v:shape id="AutoShape 25" o:spid="_x0000_s1026" o:spt="109" type="#_x0000_t109" style="position:absolute;left:5623;top:5571;height:510;width:1984;" fillcolor="#FFFFFF" filled="t" stroked="t" coordsize="21600,21600" o:gfxdata="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7F7r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0CC97C45">
                            <w:pPr>
                              <w:ind w:firstLine="105" w:firstLineChars="50"/>
                              <w:jc w:val="center"/>
                            </w:pPr>
                            <w:r>
                              <w:rPr>
                                <w:rFonts w:hint="eastAsia"/>
                              </w:rPr>
                              <w:t>引导走诉讼</w:t>
                            </w:r>
                          </w:p>
                        </w:txbxContent>
                      </v:textbox>
                    </v:shape>
                    <v:shape id="AutoShape 26" o:spid="_x0000_s1026" o:spt="109" type="#_x0000_t109" style="position:absolute;left:3028;top:7254;height:510;width:1928;" fillcolor="#FFFFFF" filled="t" stroked="t" coordsize="21600,21600" o:gfxdata="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N+q6/&#10;AAAA3AAAAA8AAAAAAAAAAQAgAAAAIgAAAGRycy9kb3ducmV2LnhtbFBLAQIUABQAAAAIAIdO4kAz&#10;LwWeOwAAADkAAAAQAAAAAAAAAAEAIAAAAA4BAABkcnMvc2hhcGV4bWwueG1sUEsFBgAAAAAGAAYA&#10;WwEAALgDAAAAAA==&#10;">
                      <v:fill on="t" focussize="0,0"/>
                      <v:stroke weight="2.5pt" color="#000000" joinstyle="miter"/>
                      <v:imagedata o:title=""/>
                      <o:lock v:ext="edit" aspectratio="f"/>
                      <v:textbox>
                        <w:txbxContent>
                          <w:p w14:paraId="5FA6D38E">
                            <w:pPr>
                              <w:ind w:firstLine="105" w:firstLineChars="50"/>
                              <w:jc w:val="center"/>
                            </w:pPr>
                            <w:r>
                              <w:rPr>
                                <w:rFonts w:hint="eastAsia"/>
                              </w:rPr>
                              <w:t>再进入调解程序</w:t>
                            </w:r>
                          </w:p>
                        </w:txbxContent>
                      </v:textbox>
                    </v:shape>
                    <v:shape id="AutoShape 27" o:spid="_x0000_s1026" o:spt="109" type="#_x0000_t109" style="position:absolute;left:5621;top:7254;height:510;width:1984;" fillcolor="#FFFFFF" filled="t" stroked="t" coordsize="21600,21600" o:gfxdata="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EFfNb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43C1ED0C">
                            <w:pPr>
                              <w:ind w:firstLine="105" w:firstLineChars="50"/>
                            </w:pPr>
                            <w:r>
                              <w:rPr>
                                <w:rFonts w:hint="eastAsia"/>
                              </w:rPr>
                              <w:t>医患双方不同意</w:t>
                            </w:r>
                          </w:p>
                        </w:txbxContent>
                      </v:textbox>
                    </v:shape>
                    <v:shape id="AutoShape 28" o:spid="_x0000_s1026" o:spt="109" type="#_x0000_t109" style="position:absolute;left:13;top:7554;height:510;width:1701;" fillcolor="#FFFFFF" filled="t" stroked="t" coordsize="21600,21600" o:gfxdata="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W9RzbsAAADc&#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7A92E256">
                            <w:pPr>
                              <w:ind w:firstLine="105" w:firstLineChars="50"/>
                              <w:jc w:val="center"/>
                              <w:rPr>
                                <w:b/>
                              </w:rPr>
                            </w:pPr>
                            <w:r>
                              <w:rPr>
                                <w:rFonts w:hint="eastAsia"/>
                                <w:b/>
                              </w:rPr>
                              <w:t>认定保险责任</w:t>
                            </w:r>
                          </w:p>
                        </w:txbxContent>
                      </v:textbox>
                    </v:shape>
                    <v:shape id="AutoShape 29" o:spid="_x0000_s1026" o:spt="34" type="#_x0000_t34" style="position:absolute;left:102;top:6765;height:2;width:1479;rotation:5898240f;" filled="f" stroked="t" coordsize="21600,21600" o:gfxdata="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hQR28AAAA&#10;3AAAAA8AAAAAAAAAAQAgAAAAIgAAAGRycy9kb3ducmV2LnhtbFBLAQIUABQAAAAIAIdO4kAzLwWe&#10;OwAAADkAAAAQAAAAAAAAAAEAIAAAAAsBAABkcnMvc2hhcGV4bWwueG1sUEsFBgAAAAAGAAYAWwEA&#10;ALUDAAAAAA==&#10;" adj="10983">
                      <v:fill on="f" focussize="0,0"/>
                      <v:stroke color="#000000" joinstyle="miter" endarrow="block"/>
                      <v:imagedata o:title=""/>
                      <o:lock v:ext="edit" aspectratio="f"/>
                    </v:shape>
                    <v:shape id="AutoShape 30" o:spid="_x0000_s1026" o:spt="109" type="#_x0000_t109" style="position:absolute;left:17;top:6606;height:510;width:1926;" fillcolor="#FFFFFF" filled="t" stroked="t" coordsize="21600,21600" o:gfxdata="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Q2/K2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17B219EE">
                            <w:r>
                              <w:rPr>
                                <w:rFonts w:hint="eastAsia"/>
                              </w:rPr>
                              <w:t>提交保险人索赔</w:t>
                            </w:r>
                          </w:p>
                        </w:txbxContent>
                      </v:textbox>
                    </v:shape>
                    <v:shape id="AutoShape 31" o:spid="_x0000_s1026" o:spt="109" type="#_x0000_t109" style="position:absolute;left:3253;top:6351;height:510;width:1474;" fillcolor="#FFFFFF" filled="t" stroked="t" coordsize="21600,21600" o:gfxdata="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obJubsAAADc&#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4866A6F2">
                            <w:pPr>
                              <w:ind w:firstLine="105" w:firstLineChars="50"/>
                              <w:jc w:val="center"/>
                              <w:rPr>
                                <w:b/>
                              </w:rPr>
                            </w:pPr>
                            <w:r>
                              <w:rPr>
                                <w:rFonts w:hint="eastAsia"/>
                                <w:b/>
                              </w:rPr>
                              <w:t>引导鉴定</w:t>
                            </w:r>
                          </w:p>
                        </w:txbxContent>
                      </v:textbox>
                    </v:shape>
                    <v:shape id="AutoShape 32" o:spid="_x0000_s1026" o:spt="34" type="#_x0000_t34" style="position:absolute;left:4874;top:5795;height:31;width:749;" filled="f" stroked="t" coordsize="21600,21600" o:gfxdata="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fNiavQAA&#10;ANwAAAAPAAAAAAAAAAEAIAAAACIAAABkcnMvZG93bnJldi54bWxQSwECFAAUAAAACACHTuJAMy8F&#10;njsAAAA5AAAAEAAAAAAAAAABACAAAAAMAQAAZHJzL3NoYXBleG1sLnhtbFBLBQYAAAAABgAGAFsB&#10;AAC2AwAAAAA=&#10;" adj="10786">
                      <v:fill on="f" focussize="0,0"/>
                      <v:stroke color="#000000" joinstyle="miter" endarrow="block"/>
                      <v:imagedata o:title=""/>
                      <o:lock v:ext="edit" aspectratio="f"/>
                    </v:shape>
                    <v:shape id="AutoShape 33" o:spid="_x0000_s1026" o:spt="32" type="#_x0000_t32" style="position:absolute;left:4956;top:7509;height:1;width:665;" filled="f" stroked="t" coordsize="21600,21600" o:gfxdata="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2TIga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shape>
                    <v:shape id="AutoShape 34" o:spid="_x0000_s1026" o:spt="34" type="#_x0000_t34" style="position:absolute;left:6004;top:6643;height:2;width:1173;rotation:-5898240f;" filled="f" stroked="t" coordsize="21600,21600" o:gfxdata="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mZ&#10;Yj3CAAAA3AAAAA8AAAAAAAAAAQAgAAAAIgAAAGRycy9kb3ducmV2LnhtbFBLAQIUABQAAAAIAIdO&#10;4kAzLwWeOwAAADkAAAAQAAAAAAAAAAEAIAAAABEBAABkcnMvc2hhcGV4bWwueG1sUEsFBgAAAAAG&#10;AAYAWwEAALsDAAAAAA==&#10;" adj="10791">
                      <v:fill on="f" focussize="0,0"/>
                      <v:stroke color="#000000" joinstyle="miter" endarrow="block"/>
                      <v:imagedata o:title=""/>
                      <o:lock v:ext="edit" aspectratio="f"/>
                    </v:shape>
                    <v:shape id="AutoShape 35" o:spid="_x0000_s1026" o:spt="34" type="#_x0000_t34" style="position:absolute;left:1716;top:5795;height:1714;width:1312;rotation:11796480f;" filled="f" stroked="t" coordsize="21600,21600" o:gfxdata="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TX774A&#10;AADcAAAADwAAAAAAAAABACAAAAAiAAAAZHJzL2Rvd25yZXYueG1sUEsBAhQAFAAAAAgAh07iQDMv&#10;BZ47AAAAOQAAABAAAAAAAAAAAQAgAAAADQEAAGRycy9zaGFwZXhtbC54bWxQSwUGAAAAAAYABgBb&#10;AQAAtwMAAAAA&#10;" adj="10800">
                      <v:fill on="f" focussize="0,0"/>
                      <v:stroke color="#000000" joinstyle="miter" endarrow="block"/>
                      <v:imagedata o:title=""/>
                      <o:lock v:ext="edit" aspectratio="f"/>
                    </v:shape>
                    <v:shape id="AutoShape 36" o:spid="_x0000_s1026" o:spt="34" type="#_x0000_t34" style="position:absolute;left:2124;top:6782;flip:x;height:3079;width:512;rotation:5898240f;" filled="f" stroked="t" coordsize="21600,21600" o:gfxdata="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Dtb2vQAA&#10;ANwAAAAPAAAAAAAAAAEAIAAAACIAAABkcnMvZG93bnJldi54bWxQSwECFAAUAAAACACHTuJAMy8F&#10;njsAAAA5AAAAEAAAAAAAAAABACAAAAAMAQAAZHJzL3NoYXBleG1sLnhtbFBLBQYAAAAABgAGAFsB&#10;AAC2AwAAAAA=&#10;" adj="10252">
                      <v:fill on="f" focussize="0,0"/>
                      <v:stroke color="#000000" joinstyle="miter" endarrow="block"/>
                      <v:imagedata o:title=""/>
                      <o:lock v:ext="edit" aspectratio="f"/>
                    </v:shape>
                  </v:group>
                  <v:shape id="AutoShape 37" o:spid="_x0000_s1026" o:spt="32" type="#_x0000_t32" style="position:absolute;left:609;top:8346;height:0;width:514;rotation:5898240f;" filled="f" stroked="t" coordsize="21600,21600" o:gfxdata="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FSrWrsAAADc&#10;AAAADwAAAAAAAAABACAAAAAiAAAAZHJzL2Rvd25yZXYueG1sUEsBAhQAFAAAAAgAh07iQDMvBZ47&#10;AAAAOQAAABAAAAAAAAAAAQAgAAAACgEAAGRycy9zaGFwZXhtbC54bWxQSwUGAAAAAAYABgBbAQAA&#10;tAMAAAAA&#10;">
                    <v:fill on="f" focussize="0,0"/>
                    <v:stroke weight="1pt" color="#000000" joinstyle="round" dashstyle="dash" endarrow="block"/>
                    <v:imagedata o:title=""/>
                    <o:lock v:ext="edit" aspectratio="f"/>
                  </v:shape>
                </v:group>
              </v:group>
            </w:pict>
          </mc:Fallback>
        </mc:AlternateContent>
      </w:r>
    </w:p>
    <w:p w14:paraId="65E68668">
      <w:pPr>
        <w:pStyle w:val="8"/>
        <w:spacing w:before="280" w:beforeLines="90" w:after="280" w:afterLines="90"/>
        <w:ind w:firstLine="0" w:firstLineChars="0"/>
        <w:rPr>
          <w:rFonts w:ascii="宋体" w:hAnsi="宋体"/>
          <w:b/>
          <w:color w:val="auto"/>
          <w:sz w:val="32"/>
          <w:szCs w:val="32"/>
          <w:highlight w:val="none"/>
        </w:rPr>
      </w:pPr>
    </w:p>
    <w:p w14:paraId="7223E9DC">
      <w:pPr>
        <w:pStyle w:val="8"/>
        <w:spacing w:before="280" w:beforeLines="90" w:after="280" w:afterLines="90"/>
        <w:ind w:firstLine="0" w:firstLineChars="0"/>
        <w:rPr>
          <w:rFonts w:ascii="宋体" w:hAnsi="宋体"/>
          <w:b/>
          <w:color w:val="auto"/>
          <w:sz w:val="32"/>
          <w:szCs w:val="32"/>
          <w:highlight w:val="none"/>
        </w:rPr>
      </w:pPr>
    </w:p>
    <w:p w14:paraId="6E310601">
      <w:pPr>
        <w:pStyle w:val="8"/>
        <w:spacing w:before="280" w:beforeLines="90" w:after="280" w:afterLines="90"/>
        <w:ind w:firstLine="0" w:firstLineChars="0"/>
        <w:rPr>
          <w:rFonts w:ascii="宋体" w:hAnsi="宋体"/>
          <w:b/>
          <w:color w:val="auto"/>
          <w:sz w:val="32"/>
          <w:szCs w:val="32"/>
          <w:highlight w:val="none"/>
        </w:rPr>
      </w:pPr>
    </w:p>
    <w:p w14:paraId="2E9359E2">
      <w:pPr>
        <w:pStyle w:val="8"/>
        <w:spacing w:before="280" w:beforeLines="90" w:after="280" w:afterLines="90"/>
        <w:ind w:firstLine="0" w:firstLineChars="0"/>
        <w:rPr>
          <w:rFonts w:ascii="宋体" w:hAnsi="宋体"/>
          <w:b/>
          <w:color w:val="auto"/>
          <w:sz w:val="32"/>
          <w:szCs w:val="32"/>
          <w:highlight w:val="none"/>
        </w:rPr>
      </w:pPr>
    </w:p>
    <w:p w14:paraId="29C9B793">
      <w:pPr>
        <w:pStyle w:val="8"/>
        <w:spacing w:before="280" w:beforeLines="90" w:after="280" w:afterLines="90"/>
        <w:ind w:firstLine="0" w:firstLineChars="0"/>
        <w:rPr>
          <w:rFonts w:ascii="宋体" w:hAnsi="宋体"/>
          <w:b/>
          <w:color w:val="auto"/>
          <w:sz w:val="32"/>
          <w:szCs w:val="32"/>
          <w:highlight w:val="none"/>
        </w:rPr>
      </w:pPr>
    </w:p>
    <w:p w14:paraId="48ABA321">
      <w:pPr>
        <w:pStyle w:val="8"/>
        <w:spacing w:before="280" w:beforeLines="90" w:after="280" w:afterLines="90"/>
        <w:ind w:firstLine="0" w:firstLineChars="0"/>
        <w:rPr>
          <w:rFonts w:ascii="宋体" w:hAnsi="宋体"/>
          <w:b/>
          <w:color w:val="auto"/>
          <w:sz w:val="32"/>
          <w:szCs w:val="32"/>
          <w:highlight w:val="none"/>
        </w:rPr>
      </w:pPr>
    </w:p>
    <w:p w14:paraId="3140B88D">
      <w:pPr>
        <w:pStyle w:val="8"/>
        <w:spacing w:before="280" w:beforeLines="90" w:after="280" w:afterLines="90"/>
        <w:ind w:firstLine="0" w:firstLineChars="0"/>
        <w:rPr>
          <w:rFonts w:ascii="宋体" w:hAnsi="宋体"/>
          <w:b/>
          <w:color w:val="auto"/>
          <w:sz w:val="32"/>
          <w:szCs w:val="32"/>
          <w:highlight w:val="none"/>
        </w:rPr>
      </w:pPr>
    </w:p>
    <w:p w14:paraId="32D00657">
      <w:pPr>
        <w:pStyle w:val="8"/>
        <w:spacing w:before="280" w:beforeLines="90" w:after="280" w:afterLines="90"/>
        <w:ind w:firstLine="0" w:firstLineChars="0"/>
        <w:rPr>
          <w:rFonts w:ascii="宋体" w:hAnsi="宋体"/>
          <w:b/>
          <w:color w:val="auto"/>
          <w:sz w:val="32"/>
          <w:szCs w:val="32"/>
          <w:highlight w:val="none"/>
        </w:rPr>
      </w:pPr>
    </w:p>
    <w:p w14:paraId="45FC70FE">
      <w:pPr>
        <w:pStyle w:val="8"/>
        <w:spacing w:before="280" w:beforeLines="90" w:after="280" w:afterLines="90"/>
        <w:ind w:firstLine="0" w:firstLineChars="0"/>
        <w:rPr>
          <w:rFonts w:ascii="宋体" w:hAnsi="宋体"/>
          <w:b/>
          <w:color w:val="auto"/>
          <w:sz w:val="32"/>
          <w:szCs w:val="32"/>
          <w:highlight w:val="none"/>
        </w:rPr>
      </w:pPr>
    </w:p>
    <w:p w14:paraId="5AF99016">
      <w:pPr>
        <w:pStyle w:val="8"/>
        <w:spacing w:before="280" w:beforeLines="90" w:after="280" w:afterLines="90"/>
        <w:ind w:firstLine="0" w:firstLineChars="0"/>
        <w:rPr>
          <w:rFonts w:ascii="宋体" w:hAnsi="宋体"/>
          <w:b/>
          <w:color w:val="auto"/>
          <w:sz w:val="24"/>
          <w:szCs w:val="24"/>
          <w:highlight w:val="none"/>
        </w:rPr>
      </w:pPr>
    </w:p>
    <w:p w14:paraId="33A6C5A0">
      <w:pPr>
        <w:pStyle w:val="8"/>
        <w:spacing w:before="280" w:beforeLines="90" w:after="280" w:afterLines="90"/>
        <w:ind w:firstLine="0" w:firstLineChars="0"/>
        <w:rPr>
          <w:rFonts w:hint="eastAsia" w:ascii="宋体" w:hAnsi="宋体"/>
          <w:b/>
          <w:color w:val="auto"/>
          <w:sz w:val="24"/>
          <w:szCs w:val="24"/>
          <w:highlight w:val="none"/>
        </w:rPr>
      </w:pPr>
    </w:p>
    <w:p w14:paraId="49921A5A">
      <w:pPr>
        <w:pStyle w:val="8"/>
        <w:spacing w:before="280" w:beforeLines="90" w:after="280" w:afterLines="90"/>
        <w:ind w:firstLine="0" w:firstLineChars="0"/>
        <w:rPr>
          <w:rFonts w:hint="eastAsia" w:ascii="宋体" w:hAnsi="宋体"/>
          <w:b/>
          <w:color w:val="auto"/>
          <w:sz w:val="24"/>
          <w:szCs w:val="24"/>
          <w:highlight w:val="none"/>
        </w:rPr>
      </w:pPr>
    </w:p>
    <w:p w14:paraId="039152DC">
      <w:pPr>
        <w:pStyle w:val="8"/>
        <w:spacing w:before="280" w:beforeLines="90" w:after="280" w:afterLines="90"/>
        <w:ind w:firstLine="0" w:firstLineChars="0"/>
        <w:rPr>
          <w:rFonts w:hint="eastAsia" w:ascii="宋体" w:hAnsi="宋体"/>
          <w:b/>
          <w:color w:val="auto"/>
          <w:sz w:val="24"/>
          <w:szCs w:val="24"/>
          <w:highlight w:val="none"/>
        </w:rPr>
      </w:pPr>
    </w:p>
    <w:p w14:paraId="0FDB65D2">
      <w:pPr>
        <w:pStyle w:val="8"/>
        <w:spacing w:before="280" w:beforeLines="90" w:after="280" w:afterLines="90"/>
        <w:ind w:firstLine="0" w:firstLineChars="0"/>
        <w:rPr>
          <w:rFonts w:hint="eastAsia" w:ascii="宋体" w:hAnsi="宋体"/>
          <w:b/>
          <w:color w:val="auto"/>
          <w:sz w:val="24"/>
          <w:szCs w:val="24"/>
          <w:highlight w:val="none"/>
        </w:rPr>
      </w:pPr>
    </w:p>
    <w:p w14:paraId="639178E2">
      <w:pPr>
        <w:pStyle w:val="8"/>
        <w:spacing w:before="280" w:beforeLines="90" w:after="280" w:afterLines="90"/>
        <w:ind w:firstLine="0" w:firstLineChars="0"/>
        <w:rPr>
          <w:rFonts w:ascii="宋体" w:hAnsi="宋体"/>
          <w:b/>
          <w:color w:val="auto"/>
          <w:highlight w:val="none"/>
        </w:rPr>
      </w:pPr>
      <w:bookmarkStart w:id="16" w:name="_GoBack"/>
      <w:bookmarkEnd w:id="16"/>
      <w:r>
        <w:rPr>
          <w:rFonts w:hint="eastAsia" w:ascii="宋体" w:hAnsi="宋体"/>
          <w:b/>
          <w:color w:val="auto"/>
          <w:sz w:val="24"/>
          <w:szCs w:val="24"/>
          <w:highlight w:val="none"/>
        </w:rPr>
        <w:t>2、自行和解案件处理流程图</w:t>
      </w:r>
    </w:p>
    <w:p w14:paraId="277E0C39">
      <w:pPr>
        <w:pStyle w:val="8"/>
        <w:spacing w:before="280" w:beforeLines="90" w:after="280" w:afterLines="90"/>
        <w:ind w:firstLine="0" w:firstLineChars="0"/>
        <w:rPr>
          <w:rFonts w:ascii="宋体" w:hAnsi="宋体"/>
          <w:b/>
          <w:color w:val="auto"/>
          <w:sz w:val="24"/>
          <w:szCs w:val="24"/>
          <w:highlight w:val="none"/>
        </w:rPr>
      </w:pPr>
      <w:r>
        <w:rPr>
          <w:rFonts w:ascii="宋体" w:hAnsi="宋体"/>
          <w:b/>
          <w:color w:val="auto"/>
          <w:sz w:val="24"/>
          <w:szCs w:val="24"/>
          <w:highlight w:val="none"/>
        </w:rPr>
        <mc:AlternateContent>
          <mc:Choice Requires="wpg">
            <w:drawing>
              <wp:anchor distT="0" distB="0" distL="114300" distR="114300" simplePos="0" relativeHeight="251660288" behindDoc="0" locked="0" layoutInCell="1" allowOverlap="1">
                <wp:simplePos x="0" y="0"/>
                <wp:positionH relativeFrom="column">
                  <wp:posOffset>-409575</wp:posOffset>
                </wp:positionH>
                <wp:positionV relativeFrom="paragraph">
                  <wp:posOffset>175260</wp:posOffset>
                </wp:positionV>
                <wp:extent cx="4629150" cy="5786120"/>
                <wp:effectExtent l="15875" t="6350" r="22225" b="17780"/>
                <wp:wrapNone/>
                <wp:docPr id="105" name="组合 105"/>
                <wp:cNvGraphicFramePr/>
                <a:graphic xmlns:a="http://schemas.openxmlformats.org/drawingml/2006/main">
                  <a:graphicData uri="http://schemas.microsoft.com/office/word/2010/wordprocessingGroup">
                    <wpg:wgp>
                      <wpg:cNvGrpSpPr/>
                      <wpg:grpSpPr>
                        <a:xfrm>
                          <a:off x="0" y="0"/>
                          <a:ext cx="4629150" cy="5786120"/>
                          <a:chOff x="6174" y="122662"/>
                          <a:chExt cx="7290" cy="9112"/>
                        </a:xfrm>
                        <a:effectLst/>
                      </wpg:grpSpPr>
                      <wps:wsp>
                        <wps:cNvPr id="123" name="AutoShape 15"/>
                        <wps:cNvCnPr/>
                        <wps:spPr>
                          <a:xfrm flipH="1">
                            <a:off x="8334" y="124121"/>
                            <a:ext cx="1226" cy="1"/>
                          </a:xfrm>
                          <a:prstGeom prst="straightConnector1">
                            <a:avLst/>
                          </a:prstGeom>
                          <a:ln w="9525" cap="flat" cmpd="sng">
                            <a:solidFill>
                              <a:srgbClr val="000000"/>
                            </a:solidFill>
                            <a:prstDash val="solid"/>
                            <a:headEnd type="none" w="med" len="med"/>
                            <a:tailEnd type="triangle" w="med" len="med"/>
                          </a:ln>
                          <a:effectLst/>
                        </wps:spPr>
                        <wps:bodyPr/>
                      </wps:wsp>
                      <wpg:grpSp>
                        <wpg:cNvPr id="106" name="Group 38"/>
                        <wpg:cNvGrpSpPr/>
                        <wpg:grpSpPr>
                          <a:xfrm>
                            <a:off x="6174" y="122662"/>
                            <a:ext cx="7290" cy="9113"/>
                            <a:chOff x="0" y="0"/>
                            <a:chExt cx="7290" cy="9113"/>
                          </a:xfrm>
                          <a:effectLst/>
                        </wpg:grpSpPr>
                        <wps:wsp>
                          <wps:cNvPr id="107" name="AutoShape 39"/>
                          <wps:cNvCnPr>
                            <a:stCxn id="107" idx="1"/>
                            <a:endCxn id="105" idx="0"/>
                          </wps:cNvCnPr>
                          <wps:spPr>
                            <a:xfrm rot="5400000">
                              <a:off x="573" y="8310"/>
                              <a:ext cx="537" cy="0"/>
                            </a:xfrm>
                            <a:prstGeom prst="straightConnector1">
                              <a:avLst/>
                            </a:prstGeom>
                            <a:ln w="15875" cap="flat" cmpd="sng">
                              <a:solidFill>
                                <a:srgbClr val="000000"/>
                              </a:solidFill>
                              <a:prstDash val="solid"/>
                              <a:headEnd type="none" w="med" len="med"/>
                              <a:tailEnd type="triangle" w="med" len="med"/>
                            </a:ln>
                            <a:effectLst/>
                          </wps:spPr>
                          <wps:bodyPr/>
                        </wps:wsp>
                        <wps:wsp>
                          <wps:cNvPr id="108" name="AutoShape 40"/>
                          <wps:cNvCnPr>
                            <a:stCxn id="107" idx="1"/>
                            <a:endCxn id="105" idx="0"/>
                          </wps:cNvCnPr>
                          <wps:spPr>
                            <a:xfrm rot="5400000">
                              <a:off x="3365" y="6652"/>
                              <a:ext cx="1204" cy="0"/>
                            </a:xfrm>
                            <a:prstGeom prst="straightConnector1">
                              <a:avLst/>
                            </a:prstGeom>
                            <a:ln w="15875" cap="flat" cmpd="sng">
                              <a:solidFill>
                                <a:srgbClr val="000000"/>
                              </a:solidFill>
                              <a:prstDash val="solid"/>
                              <a:headEnd type="none" w="med" len="med"/>
                              <a:tailEnd type="triangle" w="med" len="med"/>
                            </a:ln>
                            <a:effectLst/>
                          </wps:spPr>
                          <wps:bodyPr/>
                        </wps:wsp>
                        <wpg:grpSp>
                          <wpg:cNvPr id="109" name="Group 41"/>
                          <wpg:cNvGrpSpPr/>
                          <wpg:grpSpPr>
                            <a:xfrm>
                              <a:off x="0" y="0"/>
                              <a:ext cx="7290" cy="9113"/>
                              <a:chOff x="0" y="0"/>
                              <a:chExt cx="4629150" cy="5786755"/>
                            </a:xfrm>
                            <a:effectLst/>
                          </wpg:grpSpPr>
                          <wpg:grpSp>
                            <wpg:cNvPr id="110" name="Group 42"/>
                            <wpg:cNvGrpSpPr/>
                            <wpg:grpSpPr>
                              <a:xfrm>
                                <a:off x="0" y="0"/>
                                <a:ext cx="4629150" cy="5786755"/>
                                <a:chOff x="0" y="0"/>
                                <a:chExt cx="7290" cy="9113"/>
                              </a:xfrm>
                              <a:effectLst/>
                            </wpg:grpSpPr>
                            <wpg:grpSp>
                              <wpg:cNvPr id="111" name="Group 43"/>
                              <wpg:cNvGrpSpPr/>
                              <wpg:grpSpPr>
                                <a:xfrm>
                                  <a:off x="15" y="0"/>
                                  <a:ext cx="7275" cy="7765"/>
                                  <a:chOff x="0" y="0"/>
                                  <a:chExt cx="7275" cy="7765"/>
                                </a:xfrm>
                                <a:effectLst/>
                              </wpg:grpSpPr>
                              <wps:wsp>
                                <wps:cNvPr id="112" name="AutoShape 14"/>
                                <wps:cNvSpPr/>
                                <wps:spPr>
                                  <a:xfrm>
                                    <a:off x="4065" y="0"/>
                                    <a:ext cx="3210" cy="105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27A0944C">
                                      <w:pPr>
                                        <w:rPr>
                                          <w:b/>
                                        </w:rPr>
                                      </w:pPr>
                                      <w:r>
                                        <w:rPr>
                                          <w:rFonts w:hint="eastAsia"/>
                                          <w:b/>
                                        </w:rPr>
                                        <w:t>报案内容：就诊时间、事件发生时间、大致诊疗过程、患者最终状态、投诉事件、患者诉求等</w:t>
                                      </w:r>
                                    </w:p>
                                  </w:txbxContent>
                                </wps:txbx>
                                <wps:bodyPr vert="horz" anchor="t" upright="1"/>
                              </wps:wsp>
                              <wpg:grpSp>
                                <wpg:cNvPr id="113" name="Group 45"/>
                                <wpg:cNvGrpSpPr/>
                                <wpg:grpSpPr>
                                  <a:xfrm>
                                    <a:off x="0" y="167"/>
                                    <a:ext cx="5192" cy="7598"/>
                                    <a:chOff x="0" y="0"/>
                                    <a:chExt cx="5192" cy="7598"/>
                                  </a:xfrm>
                                  <a:effectLst/>
                                </wpg:grpSpPr>
                                <wps:wsp>
                                  <wps:cNvPr id="114" name="AutoShape 5"/>
                                  <wps:cNvSpPr/>
                                  <wps:spPr>
                                    <a:xfrm>
                                      <a:off x="1860" y="0"/>
                                      <a:ext cx="1417"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302CBC69">
                                        <w:pPr>
                                          <w:jc w:val="center"/>
                                        </w:pPr>
                                        <w:r>
                                          <w:rPr>
                                            <w:rFonts w:hint="eastAsia"/>
                                          </w:rPr>
                                          <w:t>纠纷报案</w:t>
                                        </w:r>
                                      </w:p>
                                    </w:txbxContent>
                                  </wps:txbx>
                                  <wps:bodyPr vert="horz" anchor="t" upright="1"/>
                                </wps:wsp>
                                <wps:wsp>
                                  <wps:cNvPr id="115" name="AutoShape 7"/>
                                  <wps:cNvSpPr/>
                                  <wps:spPr>
                                    <a:xfrm>
                                      <a:off x="585" y="2647"/>
                                      <a:ext cx="3969" cy="1701"/>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407D880A">
                                        <w:pPr>
                                          <w:rPr>
                                            <w:b/>
                                          </w:rPr>
                                        </w:pPr>
                                        <w:r>
                                          <w:rPr>
                                            <w:rFonts w:hint="eastAsia"/>
                                            <w:b/>
                                          </w:rPr>
                                          <w:t>会诊要求：是否存在过错及过错类型？</w:t>
                                        </w:r>
                                      </w:p>
                                      <w:p w14:paraId="41DDC79E">
                                        <w:pPr>
                                          <w:rPr>
                                            <w:b/>
                                          </w:rPr>
                                        </w:pPr>
                                        <w:r>
                                          <w:rPr>
                                            <w:rFonts w:hint="eastAsia"/>
                                          </w:rPr>
                                          <w:t xml:space="preserve">          </w:t>
                                        </w:r>
                                        <w:r>
                                          <w:rPr>
                                            <w:rFonts w:hint="eastAsia"/>
                                            <w:b/>
                                          </w:rPr>
                                          <w:t>是否违反诊疗常规？</w:t>
                                        </w:r>
                                      </w:p>
                                      <w:p w14:paraId="4ACBB3EF">
                                        <w:pPr>
                                          <w:rPr>
                                            <w:b/>
                                          </w:rPr>
                                        </w:pPr>
                                        <w:r>
                                          <w:rPr>
                                            <w:rFonts w:hint="eastAsia"/>
                                            <w:b/>
                                          </w:rPr>
                                          <w:t xml:space="preserve">          损害金额？</w:t>
                                        </w:r>
                                      </w:p>
                                      <w:p w14:paraId="3164567C">
                                        <w:pPr>
                                          <w:rPr>
                                            <w:b/>
                                          </w:rPr>
                                        </w:pPr>
                                        <w:r>
                                          <w:rPr>
                                            <w:rFonts w:hint="eastAsia"/>
                                            <w:b/>
                                          </w:rPr>
                                          <w:t xml:space="preserve">          在权限内处理</w:t>
                                        </w:r>
                                      </w:p>
                                      <w:p w14:paraId="6A5CFC7A">
                                        <w:pPr>
                                          <w:rPr>
                                            <w:b/>
                                          </w:rPr>
                                        </w:pPr>
                                        <w:r>
                                          <w:rPr>
                                            <w:rFonts w:hint="eastAsia"/>
                                            <w:b/>
                                          </w:rPr>
                                          <w:t xml:space="preserve">          核对资料完整</w:t>
                                        </w:r>
                                      </w:p>
                                    </w:txbxContent>
                                  </wps:txbx>
                                  <wps:bodyPr vert="horz" anchor="t" upright="1"/>
                                </wps:wsp>
                                <wps:wsp>
                                  <wps:cNvPr id="117" name="AutoShape 118"/>
                                  <wps:cNvSpPr/>
                                  <wps:spPr>
                                    <a:xfrm>
                                      <a:off x="331" y="1063"/>
                                      <a:ext cx="1848"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56435637">
                                        <w:pPr>
                                          <w:jc w:val="center"/>
                                        </w:pPr>
                                        <w:r>
                                          <w:rPr>
                                            <w:rFonts w:hint="eastAsia"/>
                                          </w:rPr>
                                          <w:t>广东和谐医调委</w:t>
                                        </w:r>
                                      </w:p>
                                    </w:txbxContent>
                                  </wps:txbx>
                                  <wps:bodyPr vert="horz" anchor="t" upright="1"/>
                                </wps:wsp>
                                <wps:wsp>
                                  <wps:cNvPr id="118" name="AutoShape 120"/>
                                  <wps:cNvCnPr>
                                    <a:stCxn id="113" idx="2"/>
                                    <a:endCxn id="105" idx="0"/>
                                  </wps:cNvCnPr>
                                  <wps:spPr>
                                    <a:xfrm rot="5400000">
                                      <a:off x="1611" y="105"/>
                                      <a:ext cx="564" cy="1352"/>
                                    </a:xfrm>
                                    <a:prstGeom prst="bentConnector3">
                                      <a:avLst>
                                        <a:gd name="adj1" fmla="val 49824"/>
                                      </a:avLst>
                                    </a:prstGeom>
                                    <a:ln w="9525" cap="flat" cmpd="sng">
                                      <a:solidFill>
                                        <a:srgbClr val="000000"/>
                                      </a:solidFill>
                                      <a:prstDash val="solid"/>
                                      <a:miter/>
                                      <a:headEnd type="none" w="med" len="med"/>
                                      <a:tailEnd type="triangle" w="med" len="med"/>
                                    </a:ln>
                                    <a:effectLst/>
                                  </wps:spPr>
                                  <wps:bodyPr/>
                                </wps:wsp>
                                <wps:wsp>
                                  <wps:cNvPr id="122" name="AutoShape 121"/>
                                  <wps:cNvCnPr>
                                    <a:stCxn id="113" idx="2"/>
                                    <a:endCxn id="117" idx="0"/>
                                  </wps:cNvCnPr>
                                  <wps:spPr>
                                    <a:xfrm rot="5400000" flipH="1">
                                      <a:off x="1869" y="5490"/>
                                      <a:ext cx="1158" cy="3057"/>
                                    </a:xfrm>
                                    <a:prstGeom prst="bentConnector5">
                                      <a:avLst>
                                        <a:gd name="adj1" fmla="val -32340"/>
                                        <a:gd name="adj2" fmla="val 50720"/>
                                        <a:gd name="adj3" fmla="val 132427"/>
                                      </a:avLst>
                                    </a:prstGeom>
                                    <a:ln w="9525" cap="flat" cmpd="sng">
                                      <a:solidFill>
                                        <a:srgbClr val="000000"/>
                                      </a:solidFill>
                                      <a:prstDash val="solid"/>
                                      <a:miter/>
                                      <a:headEnd type="none" w="med" len="med"/>
                                      <a:tailEnd type="triangle" w="med" len="med"/>
                                    </a:ln>
                                    <a:effectLst/>
                                  </wps:spPr>
                                  <wps:bodyPr/>
                                </wps:wsp>
                                <wps:wsp>
                                  <wps:cNvPr id="124" name="AutoShape 123"/>
                                  <wps:cNvCnPr>
                                    <a:stCxn id="113" idx="2"/>
                                    <a:endCxn id="117" idx="0"/>
                                  </wps:cNvCnPr>
                                  <wps:spPr>
                                    <a:xfrm rot="-5400000" flipH="1">
                                      <a:off x="1329" y="1406"/>
                                      <a:ext cx="1085" cy="1353"/>
                                    </a:xfrm>
                                    <a:prstGeom prst="bentConnector3">
                                      <a:avLst>
                                        <a:gd name="adj1" fmla="val 49954"/>
                                      </a:avLst>
                                    </a:prstGeom>
                                    <a:ln w="9525" cap="flat" cmpd="sng">
                                      <a:solidFill>
                                        <a:srgbClr val="000000"/>
                                      </a:solidFill>
                                      <a:prstDash val="solid"/>
                                      <a:miter/>
                                      <a:headEnd type="none" w="med" len="med"/>
                                      <a:tailEnd type="triangle" w="med" len="med"/>
                                    </a:ln>
                                    <a:effectLst/>
                                  </wps:spPr>
                                  <wps:bodyPr/>
                                </wps:wsp>
                                <wps:wsp>
                                  <wps:cNvPr id="125" name="AutoShape 124"/>
                                  <wps:cNvSpPr/>
                                  <wps:spPr>
                                    <a:xfrm>
                                      <a:off x="1860" y="1800"/>
                                      <a:ext cx="1417"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603643C1">
                                        <w:pPr>
                                          <w:jc w:val="center"/>
                                        </w:pPr>
                                        <w:r>
                                          <w:rPr>
                                            <w:rFonts w:hint="eastAsia"/>
                                          </w:rPr>
                                          <w:t>医院会诊</w:t>
                                        </w:r>
                                      </w:p>
                                    </w:txbxContent>
                                  </wps:txbx>
                                  <wps:bodyPr vert="horz" anchor="t" upright="1"/>
                                </wps:wsp>
                                <wps:wsp>
                                  <wps:cNvPr id="126" name="AutoShape 125"/>
                                  <wps:cNvSpPr/>
                                  <wps:spPr>
                                    <a:xfrm>
                                      <a:off x="3045" y="5373"/>
                                      <a:ext cx="1814"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772E7283">
                                        <w:pPr>
                                          <w:jc w:val="center"/>
                                        </w:pPr>
                                        <w:r>
                                          <w:rPr>
                                            <w:rFonts w:hint="eastAsia"/>
                                          </w:rPr>
                                          <w:t>患方不同意</w:t>
                                        </w:r>
                                      </w:p>
                                    </w:txbxContent>
                                  </wps:txbx>
                                  <wps:bodyPr vert="horz" anchor="t" upright="1"/>
                                </wps:wsp>
                                <wps:wsp>
                                  <wps:cNvPr id="127" name="AutoShape 126"/>
                                  <wps:cNvSpPr/>
                                  <wps:spPr>
                                    <a:xfrm>
                                      <a:off x="0" y="537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4C334E45">
                                        <w:pPr>
                                          <w:jc w:val="center"/>
                                        </w:pPr>
                                        <w:r>
                                          <w:rPr>
                                            <w:rFonts w:hint="eastAsia"/>
                                          </w:rPr>
                                          <w:t>患方同意</w:t>
                                        </w:r>
                                      </w:p>
                                    </w:txbxContent>
                                  </wps:txbx>
                                  <wps:bodyPr vert="horz" anchor="t" upright="1"/>
                                </wps:wsp>
                                <wps:wsp>
                                  <wps:cNvPr id="128" name="AutoShape 127"/>
                                  <wps:cNvCnPr>
                                    <a:stCxn id="114" idx="2"/>
                                    <a:endCxn id="117" idx="0"/>
                                  </wps:cNvCnPr>
                                  <wps:spPr>
                                    <a:xfrm rot="5400000">
                                      <a:off x="1204" y="4007"/>
                                      <a:ext cx="1025" cy="1663"/>
                                    </a:xfrm>
                                    <a:prstGeom prst="bentConnector3">
                                      <a:avLst>
                                        <a:gd name="adj1" fmla="val 49949"/>
                                      </a:avLst>
                                    </a:prstGeom>
                                    <a:ln w="9525" cap="flat" cmpd="sng">
                                      <a:solidFill>
                                        <a:srgbClr val="000000"/>
                                      </a:solidFill>
                                      <a:prstDash val="solid"/>
                                      <a:miter/>
                                      <a:headEnd type="none" w="med" len="med"/>
                                      <a:tailEnd type="triangle" w="med" len="med"/>
                                    </a:ln>
                                    <a:effectLst/>
                                  </wps:spPr>
                                  <wps:bodyPr/>
                                </wps:wsp>
                                <wps:wsp>
                                  <wps:cNvPr id="129" name="AutoShape 128"/>
                                  <wps:cNvCnPr>
                                    <a:stCxn id="114" idx="2"/>
                                    <a:endCxn id="117" idx="0"/>
                                  </wps:cNvCnPr>
                                  <wps:spPr>
                                    <a:xfrm rot="-5400000" flipH="1">
                                      <a:off x="2726" y="4147"/>
                                      <a:ext cx="1025" cy="1382"/>
                                    </a:xfrm>
                                    <a:prstGeom prst="bentConnector3">
                                      <a:avLst>
                                        <a:gd name="adj1" fmla="val 49949"/>
                                      </a:avLst>
                                    </a:prstGeom>
                                    <a:ln w="9525" cap="flat" cmpd="sng">
                                      <a:solidFill>
                                        <a:srgbClr val="000000"/>
                                      </a:solidFill>
                                      <a:prstDash val="solid"/>
                                      <a:miter/>
                                      <a:headEnd type="none" w="med" len="med"/>
                                      <a:tailEnd type="triangle" w="med" len="med"/>
                                    </a:ln>
                                    <a:effectLst/>
                                  </wps:spPr>
                                  <wps:bodyPr/>
                                </wps:wsp>
                                <wps:wsp>
                                  <wps:cNvPr id="130" name="AutoShape 8"/>
                                  <wps:cNvSpPr/>
                                  <wps:spPr>
                                    <a:xfrm>
                                      <a:off x="1740" y="468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48792DFA">
                                        <w:pPr>
                                          <w:jc w:val="center"/>
                                        </w:pPr>
                                        <w:r>
                                          <w:rPr>
                                            <w:rFonts w:hint="eastAsia"/>
                                          </w:rPr>
                                          <w:t>进入和解流程</w:t>
                                        </w:r>
                                      </w:p>
                                    </w:txbxContent>
                                  </wps:txbx>
                                  <wps:bodyPr vert="horz" anchor="t" upright="1"/>
                                </wps:wsp>
                                <wps:wsp>
                                  <wps:cNvPr id="131" name="AutoShape 119"/>
                                  <wps:cNvSpPr/>
                                  <wps:spPr>
                                    <a:xfrm>
                                      <a:off x="3168" y="1050"/>
                                      <a:ext cx="2024" cy="499"/>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257423CF">
                                        <w:pPr>
                                          <w:jc w:val="center"/>
                                        </w:pPr>
                                        <w:r>
                                          <w:rPr>
                                            <w:rFonts w:hint="eastAsia"/>
                                          </w:rPr>
                                          <w:t>保险经纪公司</w:t>
                                        </w:r>
                                      </w:p>
                                    </w:txbxContent>
                                  </wps:txbx>
                                  <wps:bodyPr vert="horz" anchor="t" upright="1"/>
                                </wps:wsp>
                              </wpg:grpSp>
                            </wpg:grpSp>
                            <wps:wsp>
                              <wps:cNvPr id="132" name="AutoShape 132"/>
                              <wps:cNvSpPr/>
                              <wps:spPr>
                                <a:xfrm>
                                  <a:off x="0" y="8603"/>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0B63B9F3">
                                    <w:pPr>
                                      <w:ind w:firstLine="105" w:firstLineChars="50"/>
                                      <w:jc w:val="center"/>
                                    </w:pPr>
                                    <w:r>
                                      <w:rPr>
                                        <w:rFonts w:hint="eastAsia"/>
                                      </w:rPr>
                                      <w:t>支付给患方</w:t>
                                    </w:r>
                                  </w:p>
                                </w:txbxContent>
                              </wps:txbx>
                              <wps:bodyPr vert="horz" anchor="t" upright="1"/>
                            </wps:wsp>
                            <wps:wsp>
                              <wps:cNvPr id="133" name="AutoShape 135"/>
                              <wps:cNvSpPr/>
                              <wps:spPr>
                                <a:xfrm>
                                  <a:off x="3092" y="8601"/>
                                  <a:ext cx="1701"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5C0F6072">
                                    <w:r>
                                      <w:rPr>
                                        <w:rFonts w:hint="eastAsia"/>
                                      </w:rPr>
                                      <w:t>或支付给医院</w:t>
                                    </w:r>
                                  </w:p>
                                </w:txbxContent>
                              </wps:txbx>
                              <wps:bodyPr vert="horz" anchor="t" upright="1"/>
                            </wps:wsp>
                            <wps:wsp>
                              <wps:cNvPr id="134" name="AutoShape 155"/>
                              <wps:cNvSpPr/>
                              <wps:spPr>
                                <a:xfrm>
                                  <a:off x="3028" y="7254"/>
                                  <a:ext cx="1928"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12B9D561">
                                    <w:pPr>
                                      <w:ind w:firstLine="105" w:firstLineChars="50"/>
                                      <w:jc w:val="center"/>
                                    </w:pPr>
                                    <w:r>
                                      <w:rPr>
                                        <w:rFonts w:hint="eastAsia"/>
                                      </w:rPr>
                                      <w:t>医患双方接受</w:t>
                                    </w:r>
                                  </w:p>
                                </w:txbxContent>
                              </wps:txbx>
                              <wps:bodyPr vert="horz" anchor="t" upright="1"/>
                            </wps:wsp>
                            <wps:wsp>
                              <wps:cNvPr id="135" name="AutoShape 158"/>
                              <wps:cNvSpPr/>
                              <wps:spPr>
                                <a:xfrm>
                                  <a:off x="13" y="7554"/>
                                  <a:ext cx="1701" cy="51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526B10B6">
                                    <w:pPr>
                                      <w:ind w:firstLine="105" w:firstLineChars="50"/>
                                      <w:jc w:val="center"/>
                                      <w:rPr>
                                        <w:b/>
                                      </w:rPr>
                                    </w:pPr>
                                    <w:r>
                                      <w:rPr>
                                        <w:rFonts w:hint="eastAsia"/>
                                        <w:b/>
                                      </w:rPr>
                                      <w:t>认定保险责任</w:t>
                                    </w:r>
                                  </w:p>
                                </w:txbxContent>
                              </wps:txbx>
                              <wps:bodyPr vert="horz" anchor="t" upright="1"/>
                            </wps:wsp>
                            <wps:wsp>
                              <wps:cNvPr id="136" name="AutoShape 159"/>
                              <wps:cNvCnPr>
                                <a:stCxn id="114" idx="2"/>
                              </wps:cNvCnPr>
                              <wps:spPr>
                                <a:xfrm rot="5400000">
                                  <a:off x="103" y="6766"/>
                                  <a:ext cx="1479" cy="2"/>
                                </a:xfrm>
                                <a:prstGeom prst="bentConnector3">
                                  <a:avLst>
                                    <a:gd name="adj1" fmla="val 50847"/>
                                  </a:avLst>
                                </a:prstGeom>
                                <a:ln w="9525" cap="flat" cmpd="sng">
                                  <a:solidFill>
                                    <a:srgbClr val="000000"/>
                                  </a:solidFill>
                                  <a:prstDash val="solid"/>
                                  <a:miter/>
                                  <a:headEnd type="none" w="med" len="med"/>
                                  <a:tailEnd type="triangle" w="med" len="med"/>
                                </a:ln>
                                <a:effectLst/>
                              </wps:spPr>
                              <wps:bodyPr/>
                            </wps:wsp>
                            <wps:wsp>
                              <wps:cNvPr id="137" name="AutoShape 131"/>
                              <wps:cNvSpPr/>
                              <wps:spPr>
                                <a:xfrm>
                                  <a:off x="17" y="6606"/>
                                  <a:ext cx="1836" cy="510"/>
                                </a:xfrm>
                                <a:prstGeom prst="flowChartProcess">
                                  <a:avLst/>
                                </a:prstGeom>
                                <a:solidFill>
                                  <a:srgbClr val="FFFFFF"/>
                                </a:solidFill>
                                <a:ln w="31750" cap="flat" cmpd="sng">
                                  <a:solidFill>
                                    <a:srgbClr val="000000"/>
                                  </a:solidFill>
                                  <a:prstDash val="solid"/>
                                  <a:miter/>
                                  <a:headEnd type="none" w="med" len="med"/>
                                  <a:tailEnd type="none" w="med" len="med"/>
                                </a:ln>
                                <a:effectLst/>
                              </wps:spPr>
                              <wps:txbx>
                                <w:txbxContent>
                                  <w:p w14:paraId="3DE76085">
                                    <w:r>
                                      <w:rPr>
                                        <w:rFonts w:hint="eastAsia"/>
                                      </w:rPr>
                                      <w:t>提交保险人索赔</w:t>
                                    </w:r>
                                  </w:p>
                                </w:txbxContent>
                              </wps:txbx>
                              <wps:bodyPr vert="horz" anchor="t" upright="1"/>
                            </wps:wsp>
                            <wps:wsp>
                              <wps:cNvPr id="138" name="AutoShape 137"/>
                              <wps:cNvSpPr/>
                              <wps:spPr>
                                <a:xfrm>
                                  <a:off x="3253" y="6351"/>
                                  <a:ext cx="1701" cy="510"/>
                                </a:xfrm>
                                <a:prstGeom prst="flowChartProcess">
                                  <a:avLst/>
                                </a:prstGeom>
                                <a:solidFill>
                                  <a:srgbClr val="FFFFFF"/>
                                </a:solidFill>
                                <a:ln w="12700" cap="flat" cmpd="sng">
                                  <a:solidFill>
                                    <a:srgbClr val="000000"/>
                                  </a:solidFill>
                                  <a:prstDash val="dash"/>
                                  <a:miter/>
                                  <a:headEnd type="none" w="med" len="med"/>
                                  <a:tailEnd type="none" w="med" len="med"/>
                                </a:ln>
                                <a:effectLst/>
                              </wps:spPr>
                              <wps:txbx>
                                <w:txbxContent>
                                  <w:p w14:paraId="6578C918">
                                    <w:pPr>
                                      <w:jc w:val="center"/>
                                      <w:rPr>
                                        <w:b/>
                                      </w:rPr>
                                    </w:pPr>
                                    <w:r>
                                      <w:rPr>
                                        <w:rFonts w:hint="eastAsia"/>
                                        <w:b/>
                                      </w:rPr>
                                      <w:t>引导申请调解</w:t>
                                    </w:r>
                                  </w:p>
                                </w:txbxContent>
                              </wps:txbx>
                              <wps:bodyPr vert="horz" anchor="t" upright="1"/>
                            </wps:wsp>
                            <wps:wsp>
                              <wps:cNvPr id="139" name="AutoShape 162"/>
                              <wps:cNvCnPr>
                                <a:stCxn id="114" idx="2"/>
                              </wps:cNvCnPr>
                              <wps:spPr>
                                <a:xfrm>
                                  <a:off x="4874" y="5795"/>
                                  <a:ext cx="749" cy="31"/>
                                </a:xfrm>
                                <a:prstGeom prst="bentConnector3">
                                  <a:avLst>
                                    <a:gd name="adj1" fmla="val 49935"/>
                                  </a:avLst>
                                </a:prstGeom>
                                <a:ln w="9525" cap="flat" cmpd="sng">
                                  <a:solidFill>
                                    <a:srgbClr val="000000"/>
                                  </a:solidFill>
                                  <a:prstDash val="solid"/>
                                  <a:miter/>
                                  <a:headEnd type="none" w="med" len="med"/>
                                  <a:tailEnd type="triangle" w="med" len="med"/>
                                </a:ln>
                                <a:effectLst/>
                              </wps:spPr>
                              <wps:bodyPr/>
                            </wps:wsp>
                            <wps:wsp>
                              <wps:cNvPr id="140" name="AutoShape 163"/>
                              <wps:cNvCnPr>
                                <a:stCxn id="114" idx="2"/>
                              </wps:cNvCnPr>
                              <wps:spPr>
                                <a:xfrm>
                                  <a:off x="4956" y="7509"/>
                                  <a:ext cx="665" cy="1"/>
                                </a:xfrm>
                                <a:prstGeom prst="straightConnector1">
                                  <a:avLst/>
                                </a:prstGeom>
                                <a:ln w="9525" cap="flat" cmpd="sng">
                                  <a:solidFill>
                                    <a:srgbClr val="000000"/>
                                  </a:solidFill>
                                  <a:prstDash val="solid"/>
                                  <a:headEnd type="none" w="med" len="med"/>
                                  <a:tailEnd type="triangle" w="med" len="med"/>
                                </a:ln>
                                <a:effectLst/>
                              </wps:spPr>
                              <wps:bodyPr/>
                            </wps:wsp>
                            <wps:wsp>
                              <wps:cNvPr id="141" name="AutoShape 165"/>
                              <wps:cNvCnPr>
                                <a:stCxn id="114" idx="2"/>
                              </wps:cNvCnPr>
                              <wps:spPr>
                                <a:xfrm rot="10800000">
                                  <a:off x="1716" y="5795"/>
                                  <a:ext cx="1312" cy="1714"/>
                                </a:xfrm>
                                <a:prstGeom prst="bentConnector3">
                                  <a:avLst>
                                    <a:gd name="adj1" fmla="val 50000"/>
                                  </a:avLst>
                                </a:prstGeom>
                                <a:ln w="9525" cap="flat" cmpd="sng">
                                  <a:solidFill>
                                    <a:srgbClr val="000000"/>
                                  </a:solidFill>
                                  <a:prstDash val="solid"/>
                                  <a:miter/>
                                  <a:headEnd type="none" w="med" len="med"/>
                                  <a:tailEnd type="triangle" w="med" len="med"/>
                                </a:ln>
                                <a:effectLst/>
                              </wps:spPr>
                              <wps:bodyPr/>
                            </wps:wsp>
                            <wps:wsp>
                              <wps:cNvPr id="142" name="AutoShape 168"/>
                              <wps:cNvCnPr/>
                              <wps:spPr>
                                <a:xfrm rot="-5400000" flipH="1">
                                  <a:off x="2125" y="6783"/>
                                  <a:ext cx="512" cy="3079"/>
                                </a:xfrm>
                                <a:prstGeom prst="bentConnector3">
                                  <a:avLst>
                                    <a:gd name="adj1" fmla="val 47463"/>
                                  </a:avLst>
                                </a:prstGeom>
                                <a:ln w="9525" cap="flat" cmpd="sng">
                                  <a:solidFill>
                                    <a:srgbClr val="000000"/>
                                  </a:solidFill>
                                  <a:prstDash val="solid"/>
                                  <a:miter/>
                                  <a:headEnd type="none" w="med" len="med"/>
                                  <a:tailEnd type="triangle" w="med" len="med"/>
                                </a:ln>
                                <a:effectLst/>
                              </wps:spPr>
                              <wps:bodyPr/>
                            </wps:wsp>
                          </wpg:grpSp>
                          <wps:wsp>
                            <wps:cNvPr id="143" name="五边形 3"/>
                            <wps:cNvSpPr/>
                            <wps:spPr>
                              <a:xfrm>
                                <a:off x="3570605" y="4518660"/>
                                <a:ext cx="936000" cy="484632"/>
                              </a:xfrm>
                              <a:prstGeom prst="homePlate">
                                <a:avLst>
                                  <a:gd name="adj" fmla="val 50000"/>
                                </a:avLst>
                              </a:prstGeom>
                              <a:solidFill>
                                <a:srgbClr val="6D6D6D"/>
                              </a:solidFill>
                              <a:ln w="25400" cap="flat" cmpd="sng">
                                <a:solidFill>
                                  <a:srgbClr val="4395D1"/>
                                </a:solidFill>
                                <a:prstDash val="solid"/>
                                <a:miter/>
                                <a:headEnd type="none" w="med" len="med"/>
                                <a:tailEnd type="none" w="med" len="med"/>
                              </a:ln>
                              <a:effectLst/>
                            </wps:spPr>
                            <wps:txbx>
                              <w:txbxContent>
                                <w:p w14:paraId="239A7C63">
                                  <w:pPr>
                                    <w:jc w:val="center"/>
                                    <w:rPr>
                                      <w:color w:val="000000"/>
                                    </w:rPr>
                                  </w:pPr>
                                  <w:r>
                                    <w:rPr>
                                      <w:rFonts w:hint="eastAsia"/>
                                      <w:color w:val="000000"/>
                                    </w:rPr>
                                    <w:t>进入调解程序</w:t>
                                  </w:r>
                                </w:p>
                              </w:txbxContent>
                            </wps:txbx>
                            <wps:bodyPr vert="horz" anchor="ctr" upright="1"/>
                          </wps:wsp>
                          <wps:wsp>
                            <wps:cNvPr id="144" name="五边形 4"/>
                            <wps:cNvSpPr/>
                            <wps:spPr>
                              <a:xfrm>
                                <a:off x="3578860" y="3471228"/>
                                <a:ext cx="935990" cy="484505"/>
                              </a:xfrm>
                              <a:prstGeom prst="homePlate">
                                <a:avLst>
                                  <a:gd name="adj" fmla="val 50004"/>
                                </a:avLst>
                              </a:prstGeom>
                              <a:solidFill>
                                <a:srgbClr val="6D6D6D"/>
                              </a:solidFill>
                              <a:ln w="25400" cap="flat" cmpd="sng">
                                <a:solidFill>
                                  <a:srgbClr val="4395D1"/>
                                </a:solidFill>
                                <a:prstDash val="solid"/>
                                <a:miter/>
                                <a:headEnd type="none" w="med" len="med"/>
                                <a:tailEnd type="none" w="med" len="med"/>
                              </a:ln>
                              <a:effectLst/>
                            </wps:spPr>
                            <wps:txbx>
                              <w:txbxContent>
                                <w:p w14:paraId="241B9146">
                                  <w:pPr>
                                    <w:ind w:firstLine="105" w:firstLineChars="50"/>
                                    <w:jc w:val="center"/>
                                  </w:pPr>
                                  <w:r>
                                    <w:rPr>
                                      <w:rFonts w:hint="eastAsia"/>
                                      <w:color w:val="000000"/>
                                    </w:rPr>
                                    <w:t>引导走</w:t>
                                  </w:r>
                                  <w:r>
                                    <w:rPr>
                                      <w:rFonts w:hint="eastAsia"/>
                                    </w:rPr>
                                    <w:t>诉讼</w:t>
                                  </w:r>
                                </w:p>
                                <w:p w14:paraId="701A3570">
                                  <w:pPr>
                                    <w:ind w:firstLine="105" w:firstLineChars="50"/>
                                  </w:pPr>
                                  <w:r>
                                    <w:rPr>
                                      <w:rFonts w:hint="eastAsia"/>
                                    </w:rPr>
                                    <w:t>导走诉讼</w:t>
                                  </w:r>
                                </w:p>
                                <w:p w14:paraId="310E9F73">
                                  <w:pPr>
                                    <w:ind w:firstLine="105" w:firstLineChars="50"/>
                                    <w:jc w:val="center"/>
                                  </w:pPr>
                                  <w:r>
                                    <w:rPr>
                                      <w:rFonts w:hint="eastAsia"/>
                                    </w:rPr>
                                    <w:t>讼</w:t>
                                  </w:r>
                                </w:p>
                                <w:p w14:paraId="30DB647F">
                                  <w:pPr>
                                    <w:pStyle w:val="5"/>
                                    <w:jc w:val="center"/>
                                  </w:pPr>
                                  <w:r>
                                    <w:rPr>
                                      <w:rFonts w:hint="eastAsia"/>
                                      <w:szCs w:val="21"/>
                                    </w:rPr>
                                    <w:t>走司法诉讼</w:t>
                                  </w:r>
                                </w:p>
                              </w:txbxContent>
                            </wps:txbx>
                            <wps:bodyPr vert="horz" anchor="ctr" upright="1"/>
                          </wps:wsp>
                        </wpg:grpSp>
                      </wpg:grpSp>
                      <wps:wsp>
                        <wps:cNvPr id="145" name="AutoShape 14"/>
                        <wps:cNvCnPr/>
                        <wps:spPr>
                          <a:xfrm rot="-5400000" flipH="1">
                            <a:off x="9170" y="122940"/>
                            <a:ext cx="551" cy="1348"/>
                          </a:xfrm>
                          <a:prstGeom prst="bentConnector3">
                            <a:avLst>
                              <a:gd name="adj1" fmla="val 49907"/>
                            </a:avLst>
                          </a:prstGeom>
                          <a:ln w="9525" cap="flat" cmpd="sng">
                            <a:solidFill>
                              <a:srgbClr val="000000"/>
                            </a:solidFill>
                            <a:prstDash val="solid"/>
                            <a:miter/>
                            <a:headEnd type="none" w="med" len="med"/>
                            <a:tailEnd type="triangle" w="med" len="med"/>
                          </a:ln>
                          <a:effectLst/>
                        </wps:spPr>
                        <wps:bodyPr/>
                      </wps:wsp>
                    </wpg:wgp>
                  </a:graphicData>
                </a:graphic>
              </wp:anchor>
            </w:drawing>
          </mc:Choice>
          <mc:Fallback>
            <w:pict>
              <v:group id="_x0000_s1026" o:spid="_x0000_s1026" o:spt="203" style="position:absolute;left:0pt;margin-left:-32.25pt;margin-top:13.8pt;height:455.6pt;width:364.5pt;z-index:251660288;mso-width-relative:page;mso-height-relative:page;" coordorigin="6174,122662" coordsize="7290,9112" o:gfxdata="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">
                <o:lock v:ext="edit" aspectratio="f"/>
                <v:shape id="AutoShape 15" o:spid="_x0000_s1026" o:spt="32" type="#_x0000_t32" style="position:absolute;left:8334;top:124121;flip:x;height:1;width:1226;" filled="f" stroked="t" coordsize="21600,21600" o:gfxdata="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RnH77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group id="Group 38" o:spid="_x0000_s1026" o:spt="203" style="position:absolute;left:6174;top:122662;height:9113;width:7290;" coordsize="7290,9113" o:gfxdata="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bT+gPr0AAADcAAAADwAAAAAAAAABACAAAAAiAAAAZHJzL2Rvd25yZXYueG1s&#10;UEsBAhQAFAAAAAgAh07iQDMvBZ47AAAAOQAAABUAAAAAAAAAAQAgAAAADAEAAGRycy9ncm91cHNo&#10;YXBleG1sLnhtbFBLBQYAAAAABgAGAGABAADJAwAAAAA=&#10;">
                  <o:lock v:ext="edit" aspectratio="f"/>
                  <v:shape id="AutoShape 39" o:spid="_x0000_s1026" o:spt="32" type="#_x0000_t32" style="position:absolute;left:573;top:8310;height:0;width:537;rotation:5898240f;" filled="f" stroked="t" coordsize="21600,21600" o:gfxdata="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sR3K8AAAA&#10;3AAAAA8AAAAAAAAAAQAgAAAAIgAAAGRycy9kb3ducmV2LnhtbFBLAQIUABQAAAAIAIdO4kAzLwWe&#10;OwAAADkAAAAQAAAAAAAAAAEAIAAAAAsBAABkcnMvc2hhcGV4bWwueG1sUEsFBgAAAAAGAAYAWwEA&#10;ALUDAAAAAA==&#10;">
                    <v:fill on="f" focussize="0,0"/>
                    <v:stroke weight="1.25pt" color="#000000" joinstyle="round" endarrow="block"/>
                    <v:imagedata o:title=""/>
                    <o:lock v:ext="edit" aspectratio="f"/>
                  </v:shape>
                  <v:shape id="AutoShape 40" o:spid="_x0000_s1026" o:spt="32" type="#_x0000_t32" style="position:absolute;left:3365;top:6652;height:0;width:1204;rotation:5898240f;" filled="f" stroked="t" coordsize="21600,21600" o:gfxdata="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M9MAvQAA&#10;ANwAAAAPAAAAAAAAAAEAIAAAACIAAABkcnMvZG93bnJldi54bWxQSwECFAAUAAAACACHTuJAMy8F&#10;njsAAAA5AAAAEAAAAAAAAAABACAAAAAMAQAAZHJzL3NoYXBleG1sLnhtbFBLBQYAAAAABgAGAFsB&#10;AAC2AwAAAAA=&#10;">
                    <v:fill on="f" focussize="0,0"/>
                    <v:stroke weight="1.25pt" color="#000000" joinstyle="round" endarrow="block"/>
                    <v:imagedata o:title=""/>
                    <o:lock v:ext="edit" aspectratio="f"/>
                  </v:shape>
                  <v:group id="Group 41" o:spid="_x0000_s1026" o:spt="203" style="position:absolute;left:0;top:0;height:9113;width:7290;" coordsize="4629150,5786755" o:gfxdata="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AcoDRMvAAAANwAAAAPAAAAAAAAAAEAIAAAACIAAABkcnMvZG93bnJldi54bWxQ&#10;SwECFAAUAAAACACHTuJAMy8FnjsAAAA5AAAAFQAAAAAAAAABACAAAAALAQAAZHJzL2dyb3Vwc2hh&#10;cGV4bWwueG1sUEsFBgAAAAAGAAYAYAEAAMgDAAAAAA==&#10;">
                    <o:lock v:ext="edit" aspectratio="f"/>
                    <v:group id="Group 42" o:spid="_x0000_s1026" o:spt="203" style="position:absolute;left:0;top:0;height:5786755;width:4629150;" coordsize="7290,9113" o:gfxdata="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IQwsMvwAAANwAAAAPAAAAAAAAAAEAIAAAACIAAABkcnMvZG93bnJldi54&#10;bWxQSwECFAAUAAAACACHTuJAMy8FnjsAAAA5AAAAFQAAAAAAAAABACAAAAAOAQAAZHJzL2dyb3Vw&#10;c2hhcGV4bWwueG1sUEsFBgAAAAAGAAYAYAEAAMsDAAAAAA==&#10;">
                      <o:lock v:ext="edit" aspectratio="f"/>
                      <v:group id="Group 43" o:spid="_x0000_s1026" o:spt="203" style="position:absolute;left:15;top:0;height:7765;width:7275;" coordsize="7275,7765" o:gfxdata="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cPrpe7AAAA3AAAAA8AAAAAAAAAAQAgAAAAIgAAAGRycy9kb3ducmV2LnhtbFBL&#10;AQIUABQAAAAIAIdO4kAzLwWeOwAAADkAAAAVAAAAAAAAAAEAIAAAAAoBAABkcnMvZ3JvdXBzaGFw&#10;ZXhtbC54bWxQSwUGAAAAAAYABgBgAQAAxwMAAAAA&#10;">
                        <o:lock v:ext="edit" aspectratio="f"/>
                        <v:shape id="AutoShape 14" o:spid="_x0000_s1026" o:spt="109" type="#_x0000_t109" style="position:absolute;left:4065;top:0;height:1050;width:3210;" fillcolor="#FFFFFF" filled="t" stroked="t" coordsize="21600,21600" o:gfxdata="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LC0bbsAAADc&#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27A0944C">
                                <w:pPr>
                                  <w:rPr>
                                    <w:b/>
                                  </w:rPr>
                                </w:pPr>
                                <w:r>
                                  <w:rPr>
                                    <w:rFonts w:hint="eastAsia"/>
                                    <w:b/>
                                  </w:rPr>
                                  <w:t>报案内容：就诊时间、事件发生时间、大致诊疗过程、患者最终状态、投诉事件、患者诉求等</w:t>
                                </w:r>
                              </w:p>
                            </w:txbxContent>
                          </v:textbox>
                        </v:shape>
                        <v:group id="Group 45" o:spid="_x0000_s1026" o:spt="203" style="position:absolute;left:0;top:167;height:7598;width:5192;" coordsize="5192,7598" o:gfxdata="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iRlXu7AAAA3AAAAA8AAAAAAAAAAQAgAAAAIgAAAGRycy9kb3ducmV2LnhtbFBL&#10;AQIUABQAAAAIAIdO4kAzLwWeOwAAADkAAAAVAAAAAAAAAAEAIAAAAAoBAABkcnMvZ3JvdXBzaGFw&#10;ZXhtbC54bWxQSwUGAAAAAAYABgBgAQAAxwMAAAAA&#10;">
                          <o:lock v:ext="edit" aspectratio="f"/>
                          <v:shape id="AutoShape 5" o:spid="_x0000_s1026" o:spt="109" type="#_x0000_t109" style="position:absolute;left:1860;top:0;height:499;width:1417;" fillcolor="#FFFFFF" filled="t" stroked="t" coordsize="21600,21600" o:gfxdata="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ekZDb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302CBC69">
                                  <w:pPr>
                                    <w:jc w:val="center"/>
                                  </w:pPr>
                                  <w:r>
                                    <w:rPr>
                                      <w:rFonts w:hint="eastAsia"/>
                                    </w:rPr>
                                    <w:t>纠纷报案</w:t>
                                  </w:r>
                                </w:p>
                              </w:txbxContent>
                            </v:textbox>
                          </v:shape>
                          <v:shape id="AutoShape 7" o:spid="_x0000_s1026" o:spt="109" type="#_x0000_t109" style="position:absolute;left:585;top:2647;height:1701;width:3969;" fillcolor="#FFFFFF" filled="t" stroked="t" coordsize="21600,21600" o:gfxdata="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tZLBm8AAAA&#10;3AAAAA8AAAAAAAAAAQAgAAAAIgAAAGRycy9kb3ducmV2LnhtbFBLAQIUABQAAAAIAIdO4kAzLwWe&#10;OwAAADkAAAAQAAAAAAAAAAEAIAAAAAsBAABkcnMvc2hhcGV4bWwueG1sUEsFBgAAAAAGAAYAWwEA&#10;ALUDAAAAAA==&#10;">
                            <v:fill on="t" focussize="0,0"/>
                            <v:stroke weight="1pt" color="#000000" joinstyle="miter" dashstyle="dash"/>
                            <v:imagedata o:title=""/>
                            <o:lock v:ext="edit" aspectratio="f"/>
                            <v:textbox>
                              <w:txbxContent>
                                <w:p w14:paraId="407D880A">
                                  <w:pPr>
                                    <w:rPr>
                                      <w:b/>
                                    </w:rPr>
                                  </w:pPr>
                                  <w:r>
                                    <w:rPr>
                                      <w:rFonts w:hint="eastAsia"/>
                                      <w:b/>
                                    </w:rPr>
                                    <w:t>会诊要求：是否存在过错及过错类型？</w:t>
                                  </w:r>
                                </w:p>
                                <w:p w14:paraId="41DDC79E">
                                  <w:pPr>
                                    <w:rPr>
                                      <w:b/>
                                    </w:rPr>
                                  </w:pPr>
                                  <w:r>
                                    <w:rPr>
                                      <w:rFonts w:hint="eastAsia"/>
                                    </w:rPr>
                                    <w:t xml:space="preserve">          </w:t>
                                  </w:r>
                                  <w:r>
                                    <w:rPr>
                                      <w:rFonts w:hint="eastAsia"/>
                                      <w:b/>
                                    </w:rPr>
                                    <w:t>是否违反诊疗常规？</w:t>
                                  </w:r>
                                </w:p>
                                <w:p w14:paraId="4ACBB3EF">
                                  <w:pPr>
                                    <w:rPr>
                                      <w:b/>
                                    </w:rPr>
                                  </w:pPr>
                                  <w:r>
                                    <w:rPr>
                                      <w:rFonts w:hint="eastAsia"/>
                                      <w:b/>
                                    </w:rPr>
                                    <w:t xml:space="preserve">          损害金额？</w:t>
                                  </w:r>
                                </w:p>
                                <w:p w14:paraId="3164567C">
                                  <w:pPr>
                                    <w:rPr>
                                      <w:b/>
                                    </w:rPr>
                                  </w:pPr>
                                  <w:r>
                                    <w:rPr>
                                      <w:rFonts w:hint="eastAsia"/>
                                      <w:b/>
                                    </w:rPr>
                                    <w:t xml:space="preserve">          在权限内处理</w:t>
                                  </w:r>
                                </w:p>
                                <w:p w14:paraId="6A5CFC7A">
                                  <w:pPr>
                                    <w:rPr>
                                      <w:b/>
                                    </w:rPr>
                                  </w:pPr>
                                  <w:r>
                                    <w:rPr>
                                      <w:rFonts w:hint="eastAsia"/>
                                      <w:b/>
                                    </w:rPr>
                                    <w:t xml:space="preserve">          核对资料完整</w:t>
                                  </w:r>
                                </w:p>
                              </w:txbxContent>
                            </v:textbox>
                          </v:shape>
                          <v:shape id="AutoShape 118" o:spid="_x0000_s1026" o:spt="109" type="#_x0000_t109" style="position:absolute;left:331;top:1063;height:499;width:1848;" fillcolor="#FFFFFF" filled="t" stroked="t" coordsize="21600,21600" o:gfxdata="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uHer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56435637">
                                  <w:pPr>
                                    <w:jc w:val="center"/>
                                  </w:pPr>
                                  <w:r>
                                    <w:rPr>
                                      <w:rFonts w:hint="eastAsia"/>
                                    </w:rPr>
                                    <w:t>广东和谐医调委</w:t>
                                  </w:r>
                                </w:p>
                              </w:txbxContent>
                            </v:textbox>
                          </v:shape>
                          <v:shape id="AutoShape 120" o:spid="_x0000_s1026" o:spt="34" type="#_x0000_t34" style="position:absolute;left:1611;top:105;height:1352;width:564;rotation:5898240f;" filled="f" stroked="t" coordsize="21600,21600" o:gfxdata="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6XEiL4A&#10;AADcAAAADwAAAAAAAAABACAAAAAiAAAAZHJzL2Rvd25yZXYueG1sUEsBAhQAFAAAAAgAh07iQDMv&#10;BZ47AAAAOQAAABAAAAAAAAAAAQAgAAAADQEAAGRycy9zaGFwZXhtbC54bWxQSwUGAAAAAAYABgBb&#10;AQAAtwMAAAAA&#10;" adj="10762">
                            <v:fill on="f" focussize="0,0"/>
                            <v:stroke color="#000000" joinstyle="miter" endarrow="block"/>
                            <v:imagedata o:title=""/>
                            <o:lock v:ext="edit" aspectratio="f"/>
                          </v:shape>
                          <v:shape id="AutoShape 121" o:spid="_x0000_s1026" o:spt="36" type="#_x0000_t36" style="position:absolute;left:1869;top:5490;flip:x;height:3057;width:1158;rotation:-5898240f;" filled="f" stroked="t" coordsize="21600,21600" o:gfxdata="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2bSm7sAAADc&#10;AAAADwAAAAAAAAABACAAAAAiAAAAZHJzL2Rvd25yZXYueG1sUEsBAhQAFAAAAAgAh07iQDMvBZ47&#10;AAAAOQAAABAAAAAAAAAAAQAgAAAACgEAAGRycy9zaGFwZXhtbC54bWxQSwUGAAAAAAYABgBbAQAA&#10;tAMAAAAA&#10;" adj="-6985,10956,28604">
                            <v:fill on="f" focussize="0,0"/>
                            <v:stroke color="#000000" joinstyle="miter" endarrow="block"/>
                            <v:imagedata o:title=""/>
                            <o:lock v:ext="edit" aspectratio="f"/>
                          </v:shape>
                          <v:shape id="AutoShape 123" o:spid="_x0000_s1026" o:spt="34" type="#_x0000_t34" style="position:absolute;left:1329;top:1406;flip:x;height:1353;width:1085;rotation:5898240f;" filled="f" stroked="t" coordsize="21600,21600" o:gfxdata="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BeweLgAAADcAAAA&#10;DwAAAAAAAAABACAAAAAiAAAAZHJzL2Rvd25yZXYueG1sUEsBAhQAFAAAAAgAh07iQDMvBZ47AAAA&#10;OQAAABAAAAAAAAAAAQAgAAAABwEAAGRycy9zaGFwZXhtbC54bWxQSwUGAAAAAAYABgBbAQAAsQMA&#10;AAAA&#10;" adj="10790">
                            <v:fill on="f" focussize="0,0"/>
                            <v:stroke color="#000000" joinstyle="miter" endarrow="block"/>
                            <v:imagedata o:title=""/>
                            <o:lock v:ext="edit" aspectratio="f"/>
                          </v:shape>
                          <v:shape id="AutoShape 124" o:spid="_x0000_s1026" o:spt="109" type="#_x0000_t109" style="position:absolute;left:1860;top:1800;height:499;width:1417;" fillcolor="#FFFFFF" filled="t" stroked="t" coordsize="21600,21600" o:gfxdata="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Jdiu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603643C1">
                                  <w:pPr>
                                    <w:jc w:val="center"/>
                                  </w:pPr>
                                  <w:r>
                                    <w:rPr>
                                      <w:rFonts w:hint="eastAsia"/>
                                    </w:rPr>
                                    <w:t>医院会诊</w:t>
                                  </w:r>
                                </w:p>
                              </w:txbxContent>
                            </v:textbox>
                          </v:shape>
                          <v:shape id="AutoShape 125" o:spid="_x0000_s1026" o:spt="109" type="#_x0000_t109" style="position:absolute;left:3045;top:5373;height:510;width:1814;" fillcolor="#FFFFFF" filled="t" stroked="t" coordsize="21600,21600" o:gfxdata="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gb6Fy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772E7283">
                                  <w:pPr>
                                    <w:jc w:val="center"/>
                                  </w:pPr>
                                  <w:r>
                                    <w:rPr>
                                      <w:rFonts w:hint="eastAsia"/>
                                    </w:rPr>
                                    <w:t>患方不同意</w:t>
                                  </w:r>
                                </w:p>
                              </w:txbxContent>
                            </v:textbox>
                          </v:shape>
                          <v:shape id="AutoShape 126" o:spid="_x0000_s1026" o:spt="109" type="#_x0000_t109" style="position:absolute;left:0;top:5373;height:510;width:1701;" fillcolor="#FFFFFF" filled="t" stroked="t" coordsize="21600,21600" o:gfxdata="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dXTce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4C334E45">
                                  <w:pPr>
                                    <w:jc w:val="center"/>
                                  </w:pPr>
                                  <w:r>
                                    <w:rPr>
                                      <w:rFonts w:hint="eastAsia"/>
                                    </w:rPr>
                                    <w:t>患方同意</w:t>
                                  </w:r>
                                </w:p>
                              </w:txbxContent>
                            </v:textbox>
                          </v:shape>
                          <v:shape id="AutoShape 127" o:spid="_x0000_s1026" o:spt="34" type="#_x0000_t34" style="position:absolute;left:1204;top:4007;height:1663;width:1025;rotation:5898240f;" filled="f" stroked="t" coordsize="21600,21600" o:gfxdata="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Sssar4A&#10;AADcAAAADwAAAAAAAAABACAAAAAiAAAAZHJzL2Rvd25yZXYueG1sUEsBAhQAFAAAAAgAh07iQDMv&#10;BZ47AAAAOQAAABAAAAAAAAAAAQAgAAAADQEAAGRycy9zaGFwZXhtbC54bWxQSwUGAAAAAAYABgBb&#10;AQAAtwMAAAAA&#10;" adj="10789">
                            <v:fill on="f" focussize="0,0"/>
                            <v:stroke color="#000000" joinstyle="miter" endarrow="block"/>
                            <v:imagedata o:title=""/>
                            <o:lock v:ext="edit" aspectratio="f"/>
                          </v:shape>
                          <v:shape id="AutoShape 128" o:spid="_x0000_s1026" o:spt="34" type="#_x0000_t34" style="position:absolute;left:2726;top:4147;flip:x;height:1382;width:1025;rotation:5898240f;" filled="f" stroked="t" coordsize="21600,21600" o:gfxdata="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HK3+8AAAA&#10;3AAAAA8AAAAAAAAAAQAgAAAAIgAAAGRycy9kb3ducmV2LnhtbFBLAQIUABQAAAAIAIdO4kAzLwWe&#10;OwAAADkAAAAQAAAAAAAAAAEAIAAAAAsBAABkcnMvc2hhcGV4bWwueG1sUEsFBgAAAAAGAAYAWwEA&#10;ALUDAAAAAA==&#10;" adj="10789">
                            <v:fill on="f" focussize="0,0"/>
                            <v:stroke color="#000000" joinstyle="miter" endarrow="block"/>
                            <v:imagedata o:title=""/>
                            <o:lock v:ext="edit" aspectratio="f"/>
                          </v:shape>
                          <v:shape id="AutoShape 8" o:spid="_x0000_s1026" o:spt="109" type="#_x0000_t109" style="position:absolute;left:1740;top:4683;height:510;width:1701;" fillcolor="#FFFFFF" filled="t" stroked="t" coordsize="21600,21600" o:gfxdata="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dDbr4A&#10;AADcAAAADwAAAAAAAAABACAAAAAiAAAAZHJzL2Rvd25yZXYueG1sUEsBAhQAFAAAAAgAh07iQDMv&#10;BZ47AAAAOQAAABAAAAAAAAAAAQAgAAAADQEAAGRycy9zaGFwZXhtbC54bWxQSwUGAAAAAAYABgBb&#10;AQAAtwMAAAAA&#10;">
                            <v:fill on="t" focussize="0,0"/>
                            <v:stroke weight="2.5pt" color="#000000" joinstyle="miter"/>
                            <v:imagedata o:title=""/>
                            <o:lock v:ext="edit" aspectratio="f"/>
                            <v:textbox>
                              <w:txbxContent>
                                <w:p w14:paraId="48792DFA">
                                  <w:pPr>
                                    <w:jc w:val="center"/>
                                  </w:pPr>
                                  <w:r>
                                    <w:rPr>
                                      <w:rFonts w:hint="eastAsia"/>
                                    </w:rPr>
                                    <w:t>进入和解流程</w:t>
                                  </w:r>
                                </w:p>
                              </w:txbxContent>
                            </v:textbox>
                          </v:shape>
                          <v:shape id="AutoShape 119" o:spid="_x0000_s1026" o:spt="109" type="#_x0000_t109" style="position:absolute;left:3168;top:1050;height:499;width:2024;" fillcolor="#FFFFFF" filled="t" stroked="t" coordsize="21600,21600" o:gfxdata="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vm9b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257423CF">
                                  <w:pPr>
                                    <w:jc w:val="center"/>
                                  </w:pPr>
                                  <w:r>
                                    <w:rPr>
                                      <w:rFonts w:hint="eastAsia"/>
                                    </w:rPr>
                                    <w:t>保险经纪公司</w:t>
                                  </w:r>
                                </w:p>
                              </w:txbxContent>
                            </v:textbox>
                          </v:shape>
                        </v:group>
                      </v:group>
                      <v:shape id="AutoShape 132" o:spid="_x0000_s1026" o:spt="109" type="#_x0000_t109" style="position:absolute;left:0;top:8603;height:510;width:1701;" fillcolor="#FFFFFF" filled="t" stroked="t" coordsize="21600,21600" o:gfxdata="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5eIK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0B63B9F3">
                              <w:pPr>
                                <w:ind w:firstLine="105" w:firstLineChars="50"/>
                                <w:jc w:val="center"/>
                              </w:pPr>
                              <w:r>
                                <w:rPr>
                                  <w:rFonts w:hint="eastAsia"/>
                                </w:rPr>
                                <w:t>支付给患方</w:t>
                              </w:r>
                            </w:p>
                          </w:txbxContent>
                        </v:textbox>
                      </v:shape>
                      <v:shape id="AutoShape 135" o:spid="_x0000_s1026" o:spt="109" type="#_x0000_t109" style="position:absolute;left:3092;top:8601;height:510;width:1701;" fillcolor="#FFFFFF" filled="t" stroked="t" coordsize="21600,21600" o:gfxdata="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bXdGbsAAADc&#10;AAAADwAAAAAAAAABACAAAAAiAAAAZHJzL2Rvd25yZXYueG1sUEsBAhQAFAAAAAgAh07iQDMvBZ47&#10;AAAAOQAAABAAAAAAAAAAAQAgAAAACgEAAGRycy9zaGFwZXhtbC54bWxQSwUGAAAAAAYABgBbAQAA&#10;tAMAAAAA&#10;">
                        <v:fill on="t" focussize="0,0"/>
                        <v:stroke weight="2.5pt" color="#000000" joinstyle="miter"/>
                        <v:imagedata o:title=""/>
                        <o:lock v:ext="edit" aspectratio="f"/>
                        <v:textbox>
                          <w:txbxContent>
                            <w:p w14:paraId="5C0F6072">
                              <w:r>
                                <w:rPr>
                                  <w:rFonts w:hint="eastAsia"/>
                                </w:rPr>
                                <w:t>或支付给医院</w:t>
                              </w:r>
                            </w:p>
                          </w:txbxContent>
                        </v:textbox>
                      </v:shape>
                      <v:shape id="AutoShape 155" o:spid="_x0000_s1026" o:spt="109" type="#_x0000_t109" style="position:absolute;left:3028;top:7254;height:510;width:1928;" fillcolor="#FFFFFF" filled="t" stroked="t" coordsize="21600,21600" o:gfxdata="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cRW2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12B9D561">
                              <w:pPr>
                                <w:ind w:firstLine="105" w:firstLineChars="50"/>
                                <w:jc w:val="center"/>
                              </w:pPr>
                              <w:r>
                                <w:rPr>
                                  <w:rFonts w:hint="eastAsia"/>
                                </w:rPr>
                                <w:t>医患双方接受</w:t>
                              </w:r>
                            </w:p>
                          </w:txbxContent>
                        </v:textbox>
                      </v:shape>
                      <v:shape id="AutoShape 158" o:spid="_x0000_s1026" o:spt="109" type="#_x0000_t109" style="position:absolute;left:13;top:7554;height:510;width:1701;" fillcolor="#FFFFFF" filled="t" stroked="t" coordsize="21600,21600" o:gfxdata="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DscHm5AAAA3AAA&#10;AA8AAAAAAAAAAQAgAAAAIgAAAGRycy9kb3ducmV2LnhtbFBLAQIUABQAAAAIAIdO4kAzLwWeOwAA&#10;ADkAAAAQAAAAAAAAAAEAIAAAAAgBAABkcnMvc2hhcGV4bWwueG1sUEsFBgAAAAAGAAYAWwEAALID&#10;AAAAAA==&#10;">
                        <v:fill on="t" focussize="0,0"/>
                        <v:stroke weight="1pt" color="#000000" joinstyle="miter" dashstyle="dash"/>
                        <v:imagedata o:title=""/>
                        <o:lock v:ext="edit" aspectratio="f"/>
                        <v:textbox>
                          <w:txbxContent>
                            <w:p w14:paraId="526B10B6">
                              <w:pPr>
                                <w:ind w:firstLine="105" w:firstLineChars="50"/>
                                <w:jc w:val="center"/>
                                <w:rPr>
                                  <w:b/>
                                </w:rPr>
                              </w:pPr>
                              <w:r>
                                <w:rPr>
                                  <w:rFonts w:hint="eastAsia"/>
                                  <w:b/>
                                </w:rPr>
                                <w:t>认定保险责任</w:t>
                              </w:r>
                            </w:p>
                          </w:txbxContent>
                        </v:textbox>
                      </v:shape>
                      <v:shape id="AutoShape 159" o:spid="_x0000_s1026" o:spt="34" type="#_x0000_t34" style="position:absolute;left:103;top:6766;height:2;width:1479;rotation:5898240f;" filled="f" stroked="t" coordsize="21600,21600" o:gfxdata="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M8W0W8AAAA&#10;3AAAAA8AAAAAAAAAAQAgAAAAIgAAAGRycy9kb3ducmV2LnhtbFBLAQIUABQAAAAIAIdO4kAzLwWe&#10;OwAAADkAAAAQAAAAAAAAAAEAIAAAAAsBAABkcnMvc2hhcGV4bWwueG1sUEsFBgAAAAAGAAYAWwEA&#10;ALUDAAAAAA==&#10;" adj="10983">
                        <v:fill on="f" focussize="0,0"/>
                        <v:stroke color="#000000" joinstyle="miter" endarrow="block"/>
                        <v:imagedata o:title=""/>
                        <o:lock v:ext="edit" aspectratio="f"/>
                      </v:shape>
                      <v:shape id="AutoShape 131" o:spid="_x0000_s1026" o:spt="109" type="#_x0000_t109" style="position:absolute;left:17;top:6606;height:510;width:1836;" fillcolor="#FFFFFF" filled="t" stroked="t" coordsize="21600,21600" o:gfxdata="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KO2xq8AAAA&#10;3AAAAA8AAAAAAAAAAQAgAAAAIgAAAGRycy9kb3ducmV2LnhtbFBLAQIUABQAAAAIAIdO4kAzLwWe&#10;OwAAADkAAAAQAAAAAAAAAAEAIAAAAAsBAABkcnMvc2hhcGV4bWwueG1sUEsFBgAAAAAGAAYAWwEA&#10;ALUDAAAAAA==&#10;">
                        <v:fill on="t" focussize="0,0"/>
                        <v:stroke weight="2.5pt" color="#000000" joinstyle="miter"/>
                        <v:imagedata o:title=""/>
                        <o:lock v:ext="edit" aspectratio="f"/>
                        <v:textbox>
                          <w:txbxContent>
                            <w:p w14:paraId="3DE76085">
                              <w:r>
                                <w:rPr>
                                  <w:rFonts w:hint="eastAsia"/>
                                </w:rPr>
                                <w:t>提交保险人索赔</w:t>
                              </w:r>
                            </w:p>
                          </w:txbxContent>
                        </v:textbox>
                      </v:shape>
                      <v:shape id="AutoShape 137" o:spid="_x0000_s1026" o:spt="109" type="#_x0000_t109" style="position:absolute;left:3253;top:6351;height:510;width:1701;" fillcolor="#FFFFFF" filled="t" stroked="t" coordsize="21600,21600" o:gfxdata="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7d/nvQAA&#10;ANwAAAAPAAAAAAAAAAEAIAAAACIAAABkcnMvZG93bnJldi54bWxQSwECFAAUAAAACACHTuJAMy8F&#10;njsAAAA5AAAAEAAAAAAAAAABACAAAAAMAQAAZHJzL3NoYXBleG1sLnhtbFBLBQYAAAAABgAGAFsB&#10;AAC2AwAAAAA=&#10;">
                        <v:fill on="t" focussize="0,0"/>
                        <v:stroke weight="1pt" color="#000000" joinstyle="miter" dashstyle="dash"/>
                        <v:imagedata o:title=""/>
                        <o:lock v:ext="edit" aspectratio="f"/>
                        <v:textbox>
                          <w:txbxContent>
                            <w:p w14:paraId="6578C918">
                              <w:pPr>
                                <w:jc w:val="center"/>
                                <w:rPr>
                                  <w:b/>
                                </w:rPr>
                              </w:pPr>
                              <w:r>
                                <w:rPr>
                                  <w:rFonts w:hint="eastAsia"/>
                                  <w:b/>
                                </w:rPr>
                                <w:t>引导申请调解</w:t>
                              </w:r>
                            </w:p>
                          </w:txbxContent>
                        </v:textbox>
                      </v:shape>
                      <v:shape id="AutoShape 162" o:spid="_x0000_s1026" o:spt="34" type="#_x0000_t34" style="position:absolute;left:4874;top:5795;height:31;width:749;" filled="f" stroked="t" coordsize="21600,21600" o:gfxdata="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ifUovQAA&#10;ANwAAAAPAAAAAAAAAAEAIAAAACIAAABkcnMvZG93bnJldi54bWxQSwECFAAUAAAACACHTuJAMy8F&#10;njsAAAA5AAAAEAAAAAAAAAABACAAAAAMAQAAZHJzL3NoYXBleG1sLnhtbFBLBQYAAAAABgAGAFsB&#10;AAC2AwAAAAA=&#10;" adj="10786">
                        <v:fill on="f" focussize="0,0"/>
                        <v:stroke color="#000000" joinstyle="miter" endarrow="block"/>
                        <v:imagedata o:title=""/>
                        <o:lock v:ext="edit" aspectratio="f"/>
                      </v:shape>
                      <v:shape id="AutoShape 163" o:spid="_x0000_s1026" o:spt="32" type="#_x0000_t32" style="position:absolute;left:4956;top:7509;height:1;width:665;" filled="f" stroked="t" coordsize="21600,21600" o:gfxdata="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FnDP&#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shape>
                      <v:shape id="AutoShape 165" o:spid="_x0000_s1026" o:spt="34" type="#_x0000_t34" style="position:absolute;left:1716;top:5795;height:1714;width:1312;rotation:11796480f;" filled="f" stroked="t" coordsize="21600,21600" o:gfxdata="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RVL4A&#10;AADcAAAADwAAAAAAAAABACAAAAAiAAAAZHJzL2Rvd25yZXYueG1sUEsBAhQAFAAAAAgAh07iQDMv&#10;BZ47AAAAOQAAABAAAAAAAAAAAQAgAAAADQEAAGRycy9zaGFwZXhtbC54bWxQSwUGAAAAAAYABgBb&#10;AQAAtwMAAAAA&#10;" adj="10800">
                        <v:fill on="f" focussize="0,0"/>
                        <v:stroke color="#000000" joinstyle="miter" endarrow="block"/>
                        <v:imagedata o:title=""/>
                        <o:lock v:ext="edit" aspectratio="f"/>
                      </v:shape>
                      <v:shape id="AutoShape 168" o:spid="_x0000_s1026" o:spt="34" type="#_x0000_t34" style="position:absolute;left:2125;top:6783;flip:x;height:3079;width:512;rotation:5898240f;" filled="f" stroked="t" coordsize="21600,21600" o:gfxdata="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kpV4C5AAAA3AAA&#10;AA8AAAAAAAAAAQAgAAAAIgAAAGRycy9kb3ducmV2LnhtbFBLAQIUABQAAAAIAIdO4kAzLwWeOwAA&#10;ADkAAAAQAAAAAAAAAAEAIAAAAAgBAABkcnMvc2hhcGV4bWwueG1sUEsFBgAAAAAGAAYAWwEAALID&#10;AAAAAA==&#10;" adj="10252">
                        <v:fill on="f" focussize="0,0"/>
                        <v:stroke color="#000000" joinstyle="miter" endarrow="block"/>
                        <v:imagedata o:title=""/>
                        <o:lock v:ext="edit" aspectratio="f"/>
                      </v:shape>
                    </v:group>
                    <v:shape id="五边形 3" o:spid="_x0000_s1026" o:spt="15" type="#_x0000_t15" style="position:absolute;left:3570605;top:4518660;height:484632;width:936000;v-text-anchor:middle;" fillcolor="#6D6D6D" filled="t" stroked="t" coordsize="21600,21600" o:gfxdata="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9udXW8AAAA&#10;3AAAAA8AAAAAAAAAAQAgAAAAIgAAAGRycy9kb3ducmV2LnhtbFBLAQIUABQAAAAIAIdO4kAzLwWe&#10;OwAAADkAAAAQAAAAAAAAAAEAIAAAAAsBAABkcnMvc2hhcGV4bWwueG1sUEsFBgAAAAAGAAYAWwEA&#10;ALUDAAAAAA==&#10;" adj="16009">
                      <v:fill on="t" focussize="0,0"/>
                      <v:stroke weight="2pt" color="#4395D1" joinstyle="miter"/>
                      <v:imagedata o:title=""/>
                      <o:lock v:ext="edit" aspectratio="f"/>
                      <v:textbox>
                        <w:txbxContent>
                          <w:p w14:paraId="239A7C63">
                            <w:pPr>
                              <w:jc w:val="center"/>
                              <w:rPr>
                                <w:color w:val="000000"/>
                              </w:rPr>
                            </w:pPr>
                            <w:r>
                              <w:rPr>
                                <w:rFonts w:hint="eastAsia"/>
                                <w:color w:val="000000"/>
                              </w:rPr>
                              <w:t>进入调解程序</w:t>
                            </w:r>
                          </w:p>
                        </w:txbxContent>
                      </v:textbox>
                    </v:shape>
                    <v:shape id="五边形 4" o:spid="_x0000_s1026" o:spt="15" type="#_x0000_t15" style="position:absolute;left:3578860;top:3471228;height:484505;width:935990;v-text-anchor:middle;" fillcolor="#6D6D6D" filled="t" stroked="t" coordsize="21600,21600" o:gfxdata="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cIWX7sAAADc&#10;AAAADwAAAAAAAAABACAAAAAiAAAAZHJzL2Rvd25yZXYueG1sUEsBAhQAFAAAAAgAh07iQDMvBZ47&#10;AAAAOQAAABAAAAAAAAAAAQAgAAAACgEAAGRycy9zaGFwZXhtbC54bWxQSwUGAAAAAAYABgBbAQAA&#10;tAMAAAAA&#10;" adj="16010">
                      <v:fill on="t" focussize="0,0"/>
                      <v:stroke weight="2pt" color="#4395D1" joinstyle="miter"/>
                      <v:imagedata o:title=""/>
                      <o:lock v:ext="edit" aspectratio="f"/>
                      <v:textbox>
                        <w:txbxContent>
                          <w:p w14:paraId="241B9146">
                            <w:pPr>
                              <w:ind w:firstLine="105" w:firstLineChars="50"/>
                              <w:jc w:val="center"/>
                            </w:pPr>
                            <w:r>
                              <w:rPr>
                                <w:rFonts w:hint="eastAsia"/>
                                <w:color w:val="000000"/>
                              </w:rPr>
                              <w:t>引导走</w:t>
                            </w:r>
                            <w:r>
                              <w:rPr>
                                <w:rFonts w:hint="eastAsia"/>
                              </w:rPr>
                              <w:t>诉讼</w:t>
                            </w:r>
                          </w:p>
                          <w:p w14:paraId="701A3570">
                            <w:pPr>
                              <w:ind w:firstLine="105" w:firstLineChars="50"/>
                            </w:pPr>
                            <w:r>
                              <w:rPr>
                                <w:rFonts w:hint="eastAsia"/>
                              </w:rPr>
                              <w:t>导走诉讼</w:t>
                            </w:r>
                          </w:p>
                          <w:p w14:paraId="310E9F73">
                            <w:pPr>
                              <w:ind w:firstLine="105" w:firstLineChars="50"/>
                              <w:jc w:val="center"/>
                            </w:pPr>
                            <w:r>
                              <w:rPr>
                                <w:rFonts w:hint="eastAsia"/>
                              </w:rPr>
                              <w:t>讼</w:t>
                            </w:r>
                          </w:p>
                          <w:p w14:paraId="30DB647F">
                            <w:pPr>
                              <w:pStyle w:val="5"/>
                              <w:jc w:val="center"/>
                            </w:pPr>
                            <w:r>
                              <w:rPr>
                                <w:rFonts w:hint="eastAsia"/>
                                <w:szCs w:val="21"/>
                              </w:rPr>
                              <w:t>走司法诉讼</w:t>
                            </w:r>
                          </w:p>
                        </w:txbxContent>
                      </v:textbox>
                    </v:shape>
                  </v:group>
                </v:group>
                <v:shape id="AutoShape 14" o:spid="_x0000_s1026" o:spt="34" type="#_x0000_t34" style="position:absolute;left:9170;top:122940;flip:x;height:1348;width:551;rotation:5898240f;" filled="f" stroked="t" coordsize="21600,21600" o:gfxdata="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fZMhgtwAAANwAAAAP&#10;AAAAAAAAAAEAIAAAACIAAABkcnMvZG93bnJldi54bWxQSwECFAAUAAAACACHTuJAMy8FnjsAAAA5&#10;AAAAEAAAAAAAAAABACAAAAAGAQAAZHJzL3NoYXBleG1sLnhtbFBLBQYAAAAABgAGAFsBAACwAwAA&#10;AAA=&#10;" adj="10780">
                  <v:fill on="f" focussize="0,0"/>
                  <v:stroke color="#000000" joinstyle="miter" endarrow="block"/>
                  <v:imagedata o:title=""/>
                  <o:lock v:ext="edit" aspectratio="f"/>
                </v:shape>
              </v:group>
            </w:pict>
          </mc:Fallback>
        </mc:AlternateContent>
      </w:r>
    </w:p>
    <w:p w14:paraId="30BF6A98">
      <w:pPr>
        <w:jc w:val="left"/>
        <w:rPr>
          <w:rFonts w:ascii="宋体" w:hAnsi="宋体"/>
          <w:b/>
          <w:color w:val="auto"/>
          <w:sz w:val="32"/>
          <w:szCs w:val="32"/>
          <w:highlight w:val="none"/>
        </w:rPr>
      </w:pPr>
    </w:p>
    <w:p w14:paraId="3AA7A15C">
      <w:pPr>
        <w:jc w:val="left"/>
        <w:rPr>
          <w:rFonts w:ascii="宋体" w:hAnsi="宋体"/>
          <w:b/>
          <w:color w:val="auto"/>
          <w:sz w:val="32"/>
          <w:szCs w:val="32"/>
          <w:highlight w:val="none"/>
        </w:rPr>
      </w:pPr>
    </w:p>
    <w:p w14:paraId="24FEFCBC">
      <w:pPr>
        <w:jc w:val="left"/>
        <w:rPr>
          <w:rFonts w:ascii="宋体" w:hAnsi="宋体"/>
          <w:b/>
          <w:color w:val="auto"/>
          <w:sz w:val="32"/>
          <w:szCs w:val="32"/>
          <w:highlight w:val="none"/>
        </w:rPr>
      </w:pPr>
    </w:p>
    <w:p w14:paraId="5D4BA5A5">
      <w:pPr>
        <w:jc w:val="left"/>
        <w:rPr>
          <w:rFonts w:ascii="宋体" w:hAnsi="宋体"/>
          <w:b/>
          <w:color w:val="auto"/>
          <w:sz w:val="32"/>
          <w:szCs w:val="32"/>
          <w:highlight w:val="none"/>
        </w:rPr>
      </w:pPr>
    </w:p>
    <w:p w14:paraId="75D7DA30">
      <w:pPr>
        <w:jc w:val="left"/>
        <w:rPr>
          <w:rFonts w:ascii="宋体" w:hAnsi="宋体"/>
          <w:b/>
          <w:color w:val="auto"/>
          <w:sz w:val="32"/>
          <w:szCs w:val="32"/>
          <w:highlight w:val="none"/>
        </w:rPr>
      </w:pPr>
    </w:p>
    <w:p w14:paraId="3E440115">
      <w:pPr>
        <w:jc w:val="left"/>
        <w:rPr>
          <w:rFonts w:ascii="宋体" w:hAnsi="宋体"/>
          <w:b/>
          <w:color w:val="auto"/>
          <w:sz w:val="32"/>
          <w:szCs w:val="32"/>
          <w:highlight w:val="none"/>
        </w:rPr>
      </w:pPr>
    </w:p>
    <w:p w14:paraId="63D531D6">
      <w:pPr>
        <w:jc w:val="left"/>
        <w:rPr>
          <w:rFonts w:ascii="宋体" w:hAnsi="宋体"/>
          <w:b/>
          <w:color w:val="auto"/>
          <w:sz w:val="32"/>
          <w:szCs w:val="32"/>
          <w:highlight w:val="none"/>
        </w:rPr>
      </w:pPr>
    </w:p>
    <w:p w14:paraId="68865189">
      <w:pPr>
        <w:jc w:val="left"/>
        <w:rPr>
          <w:rFonts w:ascii="宋体" w:hAnsi="宋体"/>
          <w:b/>
          <w:color w:val="auto"/>
          <w:sz w:val="32"/>
          <w:szCs w:val="32"/>
          <w:highlight w:val="none"/>
        </w:rPr>
      </w:pPr>
    </w:p>
    <w:p w14:paraId="6AB1BC44">
      <w:pPr>
        <w:jc w:val="left"/>
        <w:rPr>
          <w:rFonts w:ascii="宋体" w:hAnsi="宋体"/>
          <w:b/>
          <w:color w:val="auto"/>
          <w:sz w:val="32"/>
          <w:szCs w:val="32"/>
          <w:highlight w:val="none"/>
        </w:rPr>
      </w:pPr>
    </w:p>
    <w:p w14:paraId="1319DC93">
      <w:pPr>
        <w:jc w:val="left"/>
        <w:rPr>
          <w:rFonts w:ascii="宋体" w:hAnsi="宋体"/>
          <w:b/>
          <w:color w:val="auto"/>
          <w:sz w:val="32"/>
          <w:szCs w:val="32"/>
          <w:highlight w:val="none"/>
        </w:rPr>
      </w:pPr>
    </w:p>
    <w:p w14:paraId="1BD311DB">
      <w:pPr>
        <w:pStyle w:val="4"/>
        <w:tabs>
          <w:tab w:val="left" w:pos="562"/>
          <w:tab w:val="left" w:pos="3372"/>
          <w:tab w:val="left" w:pos="3653"/>
        </w:tabs>
        <w:rPr>
          <w:rFonts w:ascii="宋体" w:hAnsi="宋体"/>
          <w:color w:val="auto"/>
          <w:sz w:val="32"/>
          <w:szCs w:val="32"/>
          <w:highlight w:val="none"/>
        </w:rPr>
      </w:pPr>
    </w:p>
    <w:p w14:paraId="6D683675">
      <w:pPr>
        <w:pStyle w:val="4"/>
        <w:tabs>
          <w:tab w:val="left" w:pos="562"/>
          <w:tab w:val="left" w:pos="3372"/>
          <w:tab w:val="left" w:pos="3653"/>
        </w:tabs>
        <w:rPr>
          <w:rFonts w:ascii="宋体" w:hAnsi="宋体"/>
          <w:color w:val="auto"/>
          <w:sz w:val="32"/>
          <w:szCs w:val="32"/>
          <w:highlight w:val="none"/>
        </w:rPr>
      </w:pPr>
    </w:p>
    <w:p w14:paraId="672941FA">
      <w:pPr>
        <w:pStyle w:val="4"/>
        <w:tabs>
          <w:tab w:val="left" w:pos="562"/>
          <w:tab w:val="left" w:pos="3372"/>
          <w:tab w:val="left" w:pos="3653"/>
        </w:tabs>
        <w:rPr>
          <w:rFonts w:ascii="宋体" w:hAnsi="宋体"/>
          <w:color w:val="auto"/>
          <w:sz w:val="32"/>
          <w:szCs w:val="32"/>
          <w:highlight w:val="none"/>
        </w:rPr>
      </w:pPr>
    </w:p>
    <w:p w14:paraId="60DD6E64">
      <w:pPr>
        <w:pStyle w:val="4"/>
        <w:tabs>
          <w:tab w:val="left" w:pos="562"/>
          <w:tab w:val="left" w:pos="3372"/>
          <w:tab w:val="left" w:pos="3653"/>
        </w:tabs>
        <w:rPr>
          <w:rFonts w:ascii="宋体" w:hAnsi="宋体"/>
          <w:color w:val="auto"/>
          <w:sz w:val="32"/>
          <w:szCs w:val="32"/>
          <w:highlight w:val="none"/>
        </w:rPr>
      </w:pPr>
    </w:p>
    <w:p w14:paraId="148ABECE">
      <w:pPr>
        <w:jc w:val="left"/>
        <w:rPr>
          <w:rFonts w:ascii="宋体" w:hAnsi="宋体"/>
          <w:b/>
          <w:color w:val="auto"/>
          <w:sz w:val="24"/>
          <w:highlight w:val="none"/>
        </w:rPr>
      </w:pPr>
    </w:p>
    <w:p w14:paraId="4DEDACA2">
      <w:pPr>
        <w:rPr>
          <w:rFonts w:ascii="宋体" w:hAnsi="宋体"/>
          <w:b/>
          <w:color w:val="auto"/>
          <w:sz w:val="24"/>
          <w:highlight w:val="none"/>
        </w:rPr>
      </w:pPr>
    </w:p>
    <w:p w14:paraId="4CE18FB2">
      <w:pPr>
        <w:jc w:val="left"/>
        <w:rPr>
          <w:rFonts w:ascii="宋体" w:hAnsi="宋体"/>
          <w:b/>
          <w:color w:val="auto"/>
          <w:sz w:val="24"/>
          <w:highlight w:val="none"/>
        </w:rPr>
      </w:pPr>
      <w:r>
        <w:rPr>
          <w:rFonts w:hint="eastAsia" w:ascii="宋体" w:hAnsi="宋体"/>
          <w:b/>
          <w:color w:val="auto"/>
          <w:sz w:val="24"/>
          <w:highlight w:val="none"/>
        </w:rPr>
        <w:br w:type="page"/>
      </w:r>
    </w:p>
    <w:p w14:paraId="552FEC0E">
      <w:pPr>
        <w:jc w:val="left"/>
        <w:rPr>
          <w:rFonts w:ascii="宋体" w:hAnsi="宋体"/>
          <w:b/>
          <w:color w:val="auto"/>
          <w:sz w:val="24"/>
          <w:highlight w:val="none"/>
        </w:rPr>
      </w:pPr>
      <w:r>
        <w:rPr>
          <w:rFonts w:hint="eastAsia" w:ascii="宋体" w:hAnsi="宋体"/>
          <w:b/>
          <w:color w:val="auto"/>
          <w:sz w:val="24"/>
          <w:highlight w:val="none"/>
        </w:rPr>
        <w:t>3、诉讼案件处理流程图</w:t>
      </w:r>
    </w:p>
    <w:p w14:paraId="33771532">
      <w:pPr>
        <w:rPr>
          <w:color w:val="auto"/>
          <w:highlight w:val="none"/>
        </w:rPr>
      </w:pPr>
      <w:r>
        <w:rPr>
          <w:color w:val="auto"/>
          <w:highlight w:val="none"/>
        </w:rPr>
        <mc:AlternateContent>
          <mc:Choice Requires="wpg">
            <w:drawing>
              <wp:anchor distT="0" distB="0" distL="114300" distR="114300" simplePos="0" relativeHeight="251661312" behindDoc="0" locked="0" layoutInCell="1" allowOverlap="1">
                <wp:simplePos x="0" y="0"/>
                <wp:positionH relativeFrom="column">
                  <wp:posOffset>-7620</wp:posOffset>
                </wp:positionH>
                <wp:positionV relativeFrom="paragraph">
                  <wp:posOffset>80645</wp:posOffset>
                </wp:positionV>
                <wp:extent cx="5086350" cy="8363585"/>
                <wp:effectExtent l="204470" t="5080" r="43180" b="13335"/>
                <wp:wrapNone/>
                <wp:docPr id="102" name="组合 102"/>
                <wp:cNvGraphicFramePr/>
                <a:graphic xmlns:a="http://schemas.openxmlformats.org/drawingml/2006/main">
                  <a:graphicData uri="http://schemas.microsoft.com/office/word/2010/wordprocessingGroup">
                    <wpg:wgp>
                      <wpg:cNvGrpSpPr/>
                      <wpg:grpSpPr>
                        <a:xfrm>
                          <a:off x="0" y="0"/>
                          <a:ext cx="5086350" cy="8363585"/>
                          <a:chOff x="3628" y="1849"/>
                          <a:chExt cx="8084" cy="13696"/>
                        </a:xfrm>
                      </wpg:grpSpPr>
                      <wpg:grpSp>
                        <wpg:cNvPr id="97" name="组合 97"/>
                        <wpg:cNvGrpSpPr/>
                        <wpg:grpSpPr>
                          <a:xfrm>
                            <a:off x="3628" y="1849"/>
                            <a:ext cx="8084" cy="12369"/>
                            <a:chOff x="3913" y="1847"/>
                            <a:chExt cx="8114" cy="13658"/>
                          </a:xfrm>
                        </wpg:grpSpPr>
                        <wpg:grpSp>
                          <wpg:cNvPr id="95" name="组合 95"/>
                          <wpg:cNvGrpSpPr/>
                          <wpg:grpSpPr>
                            <a:xfrm>
                              <a:off x="3913" y="1847"/>
                              <a:ext cx="8114" cy="13659"/>
                              <a:chOff x="3221" y="1847"/>
                              <a:chExt cx="8114" cy="13659"/>
                            </a:xfrm>
                          </wpg:grpSpPr>
                          <wpg:grpSp>
                            <wpg:cNvPr id="92" name="组合 92"/>
                            <wpg:cNvGrpSpPr/>
                            <wpg:grpSpPr>
                              <a:xfrm>
                                <a:off x="3277" y="1847"/>
                                <a:ext cx="8058" cy="13659"/>
                                <a:chOff x="3277" y="1847"/>
                                <a:chExt cx="8058" cy="13659"/>
                              </a:xfrm>
                            </wpg:grpSpPr>
                            <wps:wsp>
                              <wps:cNvPr id="48" name="直接箭头连接符 48"/>
                              <wps:cNvCnPr/>
                              <wps:spPr>
                                <a:xfrm>
                                  <a:off x="7216" y="2715"/>
                                  <a:ext cx="0" cy="4372"/>
                                </a:xfrm>
                                <a:prstGeom prst="straightConnector1">
                                  <a:avLst/>
                                </a:prstGeom>
                                <a:ln w="9525" cap="flat" cmpd="sng">
                                  <a:solidFill>
                                    <a:srgbClr val="000000"/>
                                  </a:solidFill>
                                  <a:prstDash val="solid"/>
                                  <a:headEnd type="none" w="med" len="med"/>
                                  <a:tailEnd type="triangle" w="med" len="med"/>
                                </a:ln>
                              </wps:spPr>
                              <wps:bodyPr/>
                            </wps:wsp>
                            <wpg:grpSp>
                              <wpg:cNvPr id="91" name="组合 91"/>
                              <wpg:cNvGrpSpPr/>
                              <wpg:grpSpPr>
                                <a:xfrm>
                                  <a:off x="3277" y="1847"/>
                                  <a:ext cx="8058" cy="13659"/>
                                  <a:chOff x="3277" y="1847"/>
                                  <a:chExt cx="8058" cy="13659"/>
                                </a:xfrm>
                              </wpg:grpSpPr>
                              <wps:wsp>
                                <wps:cNvPr id="50" name="矩形 50"/>
                                <wps:cNvSpPr/>
                                <wps:spPr>
                                  <a:xfrm>
                                    <a:off x="6160" y="3215"/>
                                    <a:ext cx="2178" cy="51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74695B">
                                      <w:pPr>
                                        <w:jc w:val="center"/>
                                        <w:rPr>
                                          <w:sz w:val="20"/>
                                          <w:szCs w:val="20"/>
                                        </w:rPr>
                                      </w:pPr>
                                      <w:r>
                                        <w:rPr>
                                          <w:rFonts w:hint="eastAsia"/>
                                          <w:sz w:val="20"/>
                                          <w:szCs w:val="20"/>
                                        </w:rPr>
                                        <w:t>保险经纪公司</w:t>
                                      </w:r>
                                    </w:p>
                                  </w:txbxContent>
                                </wps:txbx>
                                <wps:bodyPr upright="1"/>
                              </wps:wsp>
                              <wpg:grpSp>
                                <wpg:cNvPr id="90" name="组合 90"/>
                                <wpg:cNvGrpSpPr/>
                                <wpg:grpSpPr>
                                  <a:xfrm>
                                    <a:off x="3277" y="1847"/>
                                    <a:ext cx="8058" cy="13659"/>
                                    <a:chOff x="3277" y="1860"/>
                                    <a:chExt cx="8058" cy="13659"/>
                                  </a:xfrm>
                                </wpg:grpSpPr>
                                <wps:wsp>
                                  <wps:cNvPr id="51" name="肘形连接符 51"/>
                                  <wps:cNvCnPr>
                                    <a:endCxn id="54" idx="1"/>
                                  </wps:cNvCnPr>
                                  <wps:spPr>
                                    <a:xfrm rot="5400000" flipV="1">
                                      <a:off x="3384" y="12159"/>
                                      <a:ext cx="4014" cy="2085"/>
                                    </a:xfrm>
                                    <a:prstGeom prst="bentConnector2">
                                      <a:avLst/>
                                    </a:prstGeom>
                                    <a:ln w="9525" cap="flat" cmpd="sng">
                                      <a:solidFill>
                                        <a:srgbClr val="000000"/>
                                      </a:solidFill>
                                      <a:prstDash val="solid"/>
                                      <a:round/>
                                      <a:headEnd type="none" w="med" len="med"/>
                                      <a:tailEnd type="triangle" w="med" len="med"/>
                                    </a:ln>
                                  </wps:spPr>
                                  <wps:bodyPr/>
                                </wps:wsp>
                                <wps:wsp>
                                  <wps:cNvPr id="52" name="肘形连接符 52"/>
                                  <wps:cNvCnPr>
                                    <a:endCxn id="54" idx="1"/>
                                  </wps:cNvCnPr>
                                  <wps:spPr>
                                    <a:xfrm>
                                      <a:off x="8601" y="13704"/>
                                      <a:ext cx="1971" cy="1226"/>
                                    </a:xfrm>
                                    <a:prstGeom prst="bentConnector3">
                                      <a:avLst>
                                        <a:gd name="adj1" fmla="val 100292"/>
                                      </a:avLst>
                                    </a:prstGeom>
                                    <a:ln w="9525" cap="flat" cmpd="sng">
                                      <a:solidFill>
                                        <a:srgbClr val="000000"/>
                                      </a:solidFill>
                                      <a:prstDash val="solid"/>
                                      <a:round/>
                                      <a:headEnd type="none" w="med" len="med"/>
                                      <a:tailEnd type="triangle" w="med" len="med"/>
                                    </a:ln>
                                  </wps:spPr>
                                  <wps:bodyPr/>
                                </wps:wsp>
                                <wps:wsp>
                                  <wps:cNvPr id="53" name="肘形连接符 53"/>
                                  <wps:cNvCnPr>
                                    <a:endCxn id="54" idx="1"/>
                                  </wps:cNvCnPr>
                                  <wps:spPr>
                                    <a:xfrm rot="5400000" flipV="1">
                                      <a:off x="8216" y="9319"/>
                                      <a:ext cx="1534" cy="954"/>
                                    </a:xfrm>
                                    <a:prstGeom prst="bentConnector3">
                                      <a:avLst>
                                        <a:gd name="adj1" fmla="val 2088"/>
                                      </a:avLst>
                                    </a:prstGeom>
                                    <a:ln w="9525" cap="flat" cmpd="sng">
                                      <a:solidFill>
                                        <a:srgbClr val="000000"/>
                                      </a:solidFill>
                                      <a:prstDash val="solid"/>
                                      <a:round/>
                                      <a:headEnd type="none" w="med" len="med"/>
                                      <a:tailEnd type="triangle" w="med" len="med"/>
                                    </a:ln>
                                  </wps:spPr>
                                  <wps:bodyPr/>
                                </wps:wsp>
                                <wps:wsp>
                                  <wps:cNvPr id="54" name="肘形连接符 54"/>
                                  <wps:cNvCnPr>
                                    <a:stCxn id="51" idx="1"/>
                                    <a:endCxn id="54" idx="1"/>
                                  </wps:cNvCnPr>
                                  <wps:spPr>
                                    <a:xfrm rot="-10800000" flipV="1">
                                      <a:off x="4386" y="9065"/>
                                      <a:ext cx="1608" cy="1551"/>
                                    </a:xfrm>
                                    <a:prstGeom prst="bentConnector3">
                                      <a:avLst>
                                        <a:gd name="adj1" fmla="val 100000"/>
                                      </a:avLst>
                                    </a:prstGeom>
                                    <a:ln w="9525" cap="flat" cmpd="sng">
                                      <a:solidFill>
                                        <a:srgbClr val="000000"/>
                                      </a:solidFill>
                                      <a:prstDash val="solid"/>
                                      <a:round/>
                                      <a:headEnd type="none" w="med" len="med"/>
                                      <a:tailEnd type="triangle" w="med" len="med"/>
                                    </a:ln>
                                  </wps:spPr>
                                  <wps:bodyPr/>
                                </wps:wsp>
                                <wps:wsp>
                                  <wps:cNvPr id="55" name="矩形 55"/>
                                  <wps:cNvSpPr/>
                                  <wps:spPr>
                                    <a:xfrm>
                                      <a:off x="6160" y="1860"/>
                                      <a:ext cx="2072" cy="8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DC0067">
                                        <w:pPr>
                                          <w:jc w:val="center"/>
                                          <w:rPr>
                                            <w:sz w:val="20"/>
                                            <w:szCs w:val="20"/>
                                          </w:rPr>
                                        </w:pPr>
                                        <w:r>
                                          <w:rPr>
                                            <w:rFonts w:hint="eastAsia"/>
                                            <w:sz w:val="20"/>
                                            <w:szCs w:val="20"/>
                                          </w:rPr>
                                          <w:t>接到法院传票</w:t>
                                        </w:r>
                                      </w:p>
                                      <w:p w14:paraId="3D261412">
                                        <w:pPr>
                                          <w:jc w:val="center"/>
                                          <w:rPr>
                                            <w:sz w:val="20"/>
                                            <w:szCs w:val="20"/>
                                          </w:rPr>
                                        </w:pPr>
                                        <w:r>
                                          <w:rPr>
                                            <w:rFonts w:hint="eastAsia"/>
                                            <w:sz w:val="20"/>
                                            <w:szCs w:val="20"/>
                                          </w:rPr>
                                          <w:t>医院报案</w:t>
                                        </w:r>
                                      </w:p>
                                    </w:txbxContent>
                                  </wps:txbx>
                                  <wps:bodyPr upright="1"/>
                                </wps:wsp>
                                <wps:wsp>
                                  <wps:cNvPr id="56" name="矩形 56"/>
                                  <wps:cNvSpPr/>
                                  <wps:spPr>
                                    <a:xfrm>
                                      <a:off x="3277" y="3219"/>
                                      <a:ext cx="1657" cy="43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4BA1AB">
                                        <w:pPr>
                                          <w:jc w:val="center"/>
                                          <w:rPr>
                                            <w:sz w:val="20"/>
                                            <w:szCs w:val="20"/>
                                          </w:rPr>
                                        </w:pPr>
                                        <w:r>
                                          <w:rPr>
                                            <w:rFonts w:hint="eastAsia"/>
                                            <w:sz w:val="20"/>
                                            <w:szCs w:val="20"/>
                                          </w:rPr>
                                          <w:t>保险公司</w:t>
                                        </w:r>
                                      </w:p>
                                    </w:txbxContent>
                                  </wps:txbx>
                                  <wps:bodyPr upright="1"/>
                                </wps:wsp>
                                <wps:wsp>
                                  <wps:cNvPr id="57" name="矩形 57"/>
                                  <wps:cNvSpPr/>
                                  <wps:spPr>
                                    <a:xfrm>
                                      <a:off x="4457" y="4677"/>
                                      <a:ext cx="1985" cy="2022"/>
                                    </a:xfrm>
                                    <a:prstGeom prst="rect">
                                      <a:avLst/>
                                    </a:prstGeom>
                                    <a:solidFill>
                                      <a:srgbClr val="FFFFFF"/>
                                    </a:solidFill>
                                    <a:ln w="12700" cap="flat" cmpd="sng">
                                      <a:solidFill>
                                        <a:srgbClr val="000000"/>
                                      </a:solidFill>
                                      <a:prstDash val="dash"/>
                                      <a:miter/>
                                      <a:headEnd type="none" w="med" len="med"/>
                                      <a:tailEnd type="none" w="med" len="med"/>
                                    </a:ln>
                                  </wps:spPr>
                                  <wps:txbx>
                                    <w:txbxContent>
                                      <w:p w14:paraId="33352E4D">
                                        <w:pPr>
                                          <w:rPr>
                                            <w:sz w:val="20"/>
                                            <w:szCs w:val="20"/>
                                          </w:rPr>
                                        </w:pPr>
                                        <w:r>
                                          <w:rPr>
                                            <w:rFonts w:hint="eastAsia"/>
                                            <w:sz w:val="20"/>
                                            <w:szCs w:val="20"/>
                                          </w:rPr>
                                          <w:t>推荐律师复核</w:t>
                                        </w:r>
                                        <w:r>
                                          <w:rPr>
                                            <w:sz w:val="20"/>
                                            <w:szCs w:val="20"/>
                                          </w:rPr>
                                          <w:t>确认</w:t>
                                        </w:r>
                                      </w:p>
                                      <w:p w14:paraId="313F0EFA">
                                        <w:pPr>
                                          <w:rPr>
                                            <w:sz w:val="20"/>
                                            <w:szCs w:val="20"/>
                                          </w:rPr>
                                        </w:pPr>
                                        <w:r>
                                          <w:rPr>
                                            <w:rFonts w:hint="eastAsia"/>
                                            <w:sz w:val="20"/>
                                            <w:szCs w:val="20"/>
                                          </w:rPr>
                                          <w:t>核定</w:t>
                                        </w:r>
                                        <w:r>
                                          <w:rPr>
                                            <w:sz w:val="20"/>
                                            <w:szCs w:val="20"/>
                                          </w:rPr>
                                          <w:t>律师费</w:t>
                                        </w:r>
                                      </w:p>
                                      <w:p w14:paraId="040288DC">
                                        <w:pPr>
                                          <w:rPr>
                                            <w:sz w:val="20"/>
                                            <w:szCs w:val="20"/>
                                          </w:rPr>
                                        </w:pPr>
                                        <w:r>
                                          <w:rPr>
                                            <w:rFonts w:hint="eastAsia"/>
                                            <w:sz w:val="20"/>
                                            <w:szCs w:val="20"/>
                                          </w:rPr>
                                          <w:t>三方</w:t>
                                        </w:r>
                                        <w:r>
                                          <w:rPr>
                                            <w:sz w:val="20"/>
                                            <w:szCs w:val="20"/>
                                          </w:rPr>
                                          <w:t>合同审核</w:t>
                                        </w:r>
                                      </w:p>
                                      <w:p w14:paraId="55E46640">
                                        <w:pPr>
                                          <w:rPr>
                                            <w:sz w:val="20"/>
                                            <w:szCs w:val="20"/>
                                          </w:rPr>
                                        </w:pPr>
                                        <w:r>
                                          <w:rPr>
                                            <w:rFonts w:hint="eastAsia"/>
                                            <w:sz w:val="20"/>
                                            <w:szCs w:val="20"/>
                                          </w:rPr>
                                          <w:t>签订三方委托代理合同</w:t>
                                        </w:r>
                                      </w:p>
                                    </w:txbxContent>
                                  </wps:txbx>
                                  <wps:bodyPr upright="1"/>
                                </wps:wsp>
                                <wps:wsp>
                                  <wps:cNvPr id="58" name="矩形 58"/>
                                  <wps:cNvSpPr/>
                                  <wps:spPr>
                                    <a:xfrm>
                                      <a:off x="6292" y="7102"/>
                                      <a:ext cx="1873" cy="48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80C015">
                                        <w:pPr>
                                          <w:jc w:val="center"/>
                                          <w:rPr>
                                            <w:sz w:val="20"/>
                                            <w:szCs w:val="20"/>
                                          </w:rPr>
                                        </w:pPr>
                                        <w:r>
                                          <w:rPr>
                                            <w:rFonts w:hint="eastAsia"/>
                                            <w:sz w:val="20"/>
                                            <w:szCs w:val="20"/>
                                          </w:rPr>
                                          <w:t>案件评估</w:t>
                                        </w:r>
                                      </w:p>
                                    </w:txbxContent>
                                  </wps:txbx>
                                  <wps:bodyPr upright="1"/>
                                </wps:wsp>
                                <wps:wsp>
                                  <wps:cNvPr id="59" name="矩形 59"/>
                                  <wps:cNvSpPr/>
                                  <wps:spPr>
                                    <a:xfrm>
                                      <a:off x="3488" y="10630"/>
                                      <a:ext cx="1772" cy="58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6A4279">
                                        <w:pPr>
                                          <w:jc w:val="center"/>
                                          <w:rPr>
                                            <w:sz w:val="20"/>
                                            <w:szCs w:val="20"/>
                                          </w:rPr>
                                        </w:pPr>
                                        <w:r>
                                          <w:rPr>
                                            <w:sz w:val="20"/>
                                            <w:szCs w:val="20"/>
                                          </w:rPr>
                                          <w:t>调解</w:t>
                                        </w:r>
                                        <w:r>
                                          <w:rPr>
                                            <w:rFonts w:hint="eastAsia"/>
                                            <w:sz w:val="20"/>
                                            <w:szCs w:val="20"/>
                                          </w:rPr>
                                          <w:t>/和解意向</w:t>
                                        </w:r>
                                      </w:p>
                                    </w:txbxContent>
                                  </wps:txbx>
                                  <wps:bodyPr upright="1"/>
                                </wps:wsp>
                                <wps:wsp>
                                  <wps:cNvPr id="60" name="矩形 60"/>
                                  <wps:cNvSpPr/>
                                  <wps:spPr>
                                    <a:xfrm>
                                      <a:off x="5994" y="8226"/>
                                      <a:ext cx="2505" cy="1678"/>
                                    </a:xfrm>
                                    <a:prstGeom prst="rect">
                                      <a:avLst/>
                                    </a:prstGeom>
                                    <a:solidFill>
                                      <a:srgbClr val="FFFFFF"/>
                                    </a:solidFill>
                                    <a:ln w="12700" cap="flat" cmpd="sng">
                                      <a:solidFill>
                                        <a:srgbClr val="000000"/>
                                      </a:solidFill>
                                      <a:prstDash val="dash"/>
                                      <a:miter/>
                                      <a:headEnd type="none" w="med" len="med"/>
                                      <a:tailEnd type="none" w="med" len="med"/>
                                    </a:ln>
                                  </wps:spPr>
                                  <wps:txbx>
                                    <w:txbxContent>
                                      <w:p w14:paraId="62E00E80">
                                        <w:pPr>
                                          <w:spacing w:line="240" w:lineRule="exact"/>
                                          <w:rPr>
                                            <w:sz w:val="20"/>
                                            <w:szCs w:val="20"/>
                                          </w:rPr>
                                        </w:pPr>
                                        <w:r>
                                          <w:rPr>
                                            <w:rFonts w:hint="eastAsia"/>
                                            <w:sz w:val="20"/>
                                            <w:szCs w:val="20"/>
                                          </w:rPr>
                                          <w:t>案件</w:t>
                                        </w:r>
                                        <w:r>
                                          <w:rPr>
                                            <w:sz w:val="20"/>
                                            <w:szCs w:val="20"/>
                                          </w:rPr>
                                          <w:t>评估：</w:t>
                                        </w:r>
                                        <w:r>
                                          <w:rPr>
                                            <w:rFonts w:hint="eastAsia"/>
                                            <w:sz w:val="20"/>
                                            <w:szCs w:val="20"/>
                                          </w:rPr>
                                          <w:t>（根据</w:t>
                                        </w:r>
                                        <w:r>
                                          <w:rPr>
                                            <w:sz w:val="20"/>
                                            <w:szCs w:val="20"/>
                                          </w:rPr>
                                          <w:t>案件</w:t>
                                        </w:r>
                                        <w:r>
                                          <w:rPr>
                                            <w:rFonts w:hint="eastAsia"/>
                                            <w:sz w:val="20"/>
                                            <w:szCs w:val="20"/>
                                          </w:rPr>
                                          <w:t>复杂</w:t>
                                        </w:r>
                                        <w:r>
                                          <w:rPr>
                                            <w:sz w:val="20"/>
                                            <w:szCs w:val="20"/>
                                          </w:rPr>
                                          <w:t>程度）</w:t>
                                        </w:r>
                                      </w:p>
                                      <w:p w14:paraId="2663523C">
                                        <w:pPr>
                                          <w:spacing w:line="240" w:lineRule="exact"/>
                                          <w:rPr>
                                            <w:sz w:val="20"/>
                                            <w:szCs w:val="20"/>
                                          </w:rPr>
                                        </w:pPr>
                                        <w:r>
                                          <w:rPr>
                                            <w:rFonts w:hint="eastAsia"/>
                                            <w:sz w:val="20"/>
                                            <w:szCs w:val="20"/>
                                          </w:rPr>
                                          <w:t>1、</w:t>
                                        </w:r>
                                        <w:r>
                                          <w:rPr>
                                            <w:sz w:val="20"/>
                                            <w:szCs w:val="20"/>
                                          </w:rPr>
                                          <w:t>医学专家</w:t>
                                        </w:r>
                                        <w:r>
                                          <w:rPr>
                                            <w:rFonts w:hint="eastAsia"/>
                                            <w:sz w:val="20"/>
                                            <w:szCs w:val="20"/>
                                          </w:rPr>
                                          <w:t>案件</w:t>
                                        </w:r>
                                        <w:r>
                                          <w:rPr>
                                            <w:sz w:val="20"/>
                                            <w:szCs w:val="20"/>
                                          </w:rPr>
                                          <w:t>分析</w:t>
                                        </w:r>
                                      </w:p>
                                      <w:p w14:paraId="7786C4C2">
                                        <w:pPr>
                                          <w:spacing w:line="240" w:lineRule="exact"/>
                                          <w:rPr>
                                            <w:sz w:val="20"/>
                                            <w:szCs w:val="20"/>
                                          </w:rPr>
                                        </w:pPr>
                                        <w:r>
                                          <w:rPr>
                                            <w:rFonts w:hint="eastAsia"/>
                                            <w:sz w:val="20"/>
                                            <w:szCs w:val="20"/>
                                          </w:rPr>
                                          <w:t>2、诉讼</w:t>
                                        </w:r>
                                        <w:r>
                                          <w:rPr>
                                            <w:sz w:val="20"/>
                                            <w:szCs w:val="20"/>
                                          </w:rPr>
                                          <w:t>案件风险评估小组案件分析评估</w:t>
                                        </w:r>
                                      </w:p>
                                    </w:txbxContent>
                                  </wps:txbx>
                                  <wps:bodyPr upright="1"/>
                                </wps:wsp>
                                <wps:wsp>
                                  <wps:cNvPr id="61" name="矩形 61"/>
                                  <wps:cNvSpPr/>
                                  <wps:spPr>
                                    <a:xfrm>
                                      <a:off x="9698" y="13378"/>
                                      <a:ext cx="1595" cy="89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89DA00">
                                        <w:pPr>
                                          <w:rPr>
                                            <w:sz w:val="20"/>
                                            <w:szCs w:val="20"/>
                                          </w:rPr>
                                        </w:pPr>
                                        <w:r>
                                          <w:rPr>
                                            <w:rFonts w:hint="eastAsia"/>
                                            <w:sz w:val="20"/>
                                            <w:szCs w:val="20"/>
                                          </w:rPr>
                                          <w:t>二审应诉（流程参考</w:t>
                                        </w:r>
                                        <w:r>
                                          <w:rPr>
                                            <w:sz w:val="20"/>
                                            <w:szCs w:val="20"/>
                                          </w:rPr>
                                          <w:t>一审）</w:t>
                                        </w:r>
                                      </w:p>
                                    </w:txbxContent>
                                  </wps:txbx>
                                  <wps:bodyPr upright="1"/>
                                </wps:wsp>
                                <wps:wsp>
                                  <wps:cNvPr id="62" name="矩形 62"/>
                                  <wps:cNvSpPr/>
                                  <wps:spPr>
                                    <a:xfrm>
                                      <a:off x="9740" y="14965"/>
                                      <a:ext cx="1595" cy="4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54174D">
                                        <w:pPr>
                                          <w:jc w:val="center"/>
                                          <w:rPr>
                                            <w:sz w:val="20"/>
                                            <w:szCs w:val="20"/>
                                          </w:rPr>
                                        </w:pPr>
                                        <w:r>
                                          <w:rPr>
                                            <w:rFonts w:hint="eastAsia"/>
                                            <w:sz w:val="20"/>
                                            <w:szCs w:val="20"/>
                                          </w:rPr>
                                          <w:t>二审裁判</w:t>
                                        </w:r>
                                      </w:p>
                                    </w:txbxContent>
                                  </wps:txbx>
                                  <wps:bodyPr upright="1"/>
                                </wps:wsp>
                                <wps:wsp>
                                  <wps:cNvPr id="63" name="矩形 63"/>
                                  <wps:cNvSpPr/>
                                  <wps:spPr>
                                    <a:xfrm>
                                      <a:off x="6458" y="14946"/>
                                      <a:ext cx="2042" cy="57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C99578">
                                        <w:pPr>
                                          <w:jc w:val="center"/>
                                          <w:rPr>
                                            <w:sz w:val="20"/>
                                            <w:szCs w:val="20"/>
                                          </w:rPr>
                                        </w:pPr>
                                        <w:r>
                                          <w:rPr>
                                            <w:rFonts w:hint="eastAsia"/>
                                            <w:sz w:val="20"/>
                                            <w:szCs w:val="20"/>
                                          </w:rPr>
                                          <w:t>保险核定并赔付</w:t>
                                        </w:r>
                                      </w:p>
                                    </w:txbxContent>
                                  </wps:txbx>
                                  <wps:bodyPr upright="1"/>
                                </wps:wsp>
                                <wps:wsp>
                                  <wps:cNvPr id="64" name="矩形 64"/>
                                  <wps:cNvSpPr/>
                                  <wps:spPr>
                                    <a:xfrm>
                                      <a:off x="8044" y="4733"/>
                                      <a:ext cx="2731" cy="1953"/>
                                    </a:xfrm>
                                    <a:prstGeom prst="rect">
                                      <a:avLst/>
                                    </a:prstGeom>
                                    <a:solidFill>
                                      <a:srgbClr val="FFFFFF"/>
                                    </a:solidFill>
                                    <a:ln w="12700" cap="flat" cmpd="sng">
                                      <a:solidFill>
                                        <a:srgbClr val="000000"/>
                                      </a:solidFill>
                                      <a:prstDash val="dash"/>
                                      <a:miter/>
                                      <a:headEnd type="none" w="med" len="med"/>
                                      <a:tailEnd type="none" w="med" len="med"/>
                                    </a:ln>
                                  </wps:spPr>
                                  <wps:txbx>
                                    <w:txbxContent>
                                      <w:p w14:paraId="517F80CD">
                                        <w:pPr>
                                          <w:rPr>
                                            <w:sz w:val="18"/>
                                            <w:szCs w:val="18"/>
                                          </w:rPr>
                                        </w:pPr>
                                        <w:r>
                                          <w:rPr>
                                            <w:rFonts w:hint="eastAsia"/>
                                            <w:sz w:val="18"/>
                                            <w:szCs w:val="18"/>
                                          </w:rPr>
                                          <w:t>联系</w:t>
                                        </w:r>
                                        <w:r>
                                          <w:rPr>
                                            <w:sz w:val="18"/>
                                            <w:szCs w:val="18"/>
                                          </w:rPr>
                                          <w:t>医疗机构：</w:t>
                                        </w:r>
                                      </w:p>
                                      <w:p w14:paraId="04553A09">
                                        <w:pPr>
                                          <w:rPr>
                                            <w:sz w:val="18"/>
                                            <w:szCs w:val="18"/>
                                          </w:rPr>
                                        </w:pPr>
                                        <w:r>
                                          <w:rPr>
                                            <w:rFonts w:hint="eastAsia"/>
                                            <w:sz w:val="18"/>
                                            <w:szCs w:val="18"/>
                                          </w:rPr>
                                          <w:t>案件</w:t>
                                        </w:r>
                                        <w:r>
                                          <w:rPr>
                                            <w:sz w:val="18"/>
                                            <w:szCs w:val="18"/>
                                          </w:rPr>
                                          <w:t>是否曾调解</w:t>
                                        </w:r>
                                        <w:r>
                                          <w:rPr>
                                            <w:rFonts w:hint="eastAsia"/>
                                            <w:sz w:val="18"/>
                                            <w:szCs w:val="18"/>
                                          </w:rPr>
                                          <w:t>？</w:t>
                                        </w:r>
                                      </w:p>
                                      <w:p w14:paraId="33D61376">
                                        <w:pPr>
                                          <w:rPr>
                                            <w:sz w:val="18"/>
                                            <w:szCs w:val="18"/>
                                          </w:rPr>
                                        </w:pPr>
                                        <w:r>
                                          <w:rPr>
                                            <w:rFonts w:hint="eastAsia"/>
                                            <w:sz w:val="18"/>
                                            <w:szCs w:val="18"/>
                                          </w:rPr>
                                          <w:t>案件是否曾</w:t>
                                        </w:r>
                                        <w:r>
                                          <w:rPr>
                                            <w:sz w:val="18"/>
                                            <w:szCs w:val="18"/>
                                          </w:rPr>
                                          <w:t>鉴定？</w:t>
                                        </w:r>
                                      </w:p>
                                      <w:p w14:paraId="6A62FE07">
                                        <w:pPr>
                                          <w:rPr>
                                            <w:sz w:val="18"/>
                                            <w:szCs w:val="18"/>
                                          </w:rPr>
                                        </w:pPr>
                                        <w:r>
                                          <w:rPr>
                                            <w:rFonts w:hint="eastAsia"/>
                                            <w:sz w:val="18"/>
                                            <w:szCs w:val="18"/>
                                          </w:rPr>
                                          <w:t>医院</w:t>
                                        </w:r>
                                        <w:r>
                                          <w:rPr>
                                            <w:sz w:val="18"/>
                                            <w:szCs w:val="18"/>
                                          </w:rPr>
                                          <w:t>是否需要指派律师</w:t>
                                        </w:r>
                                        <w:r>
                                          <w:rPr>
                                            <w:rFonts w:hint="eastAsia"/>
                                            <w:sz w:val="18"/>
                                            <w:szCs w:val="18"/>
                                          </w:rPr>
                                          <w:t>？</w:t>
                                        </w:r>
                                      </w:p>
                                      <w:p w14:paraId="13AC3B4B">
                                        <w:pPr>
                                          <w:rPr>
                                            <w:sz w:val="18"/>
                                            <w:szCs w:val="18"/>
                                          </w:rPr>
                                        </w:pPr>
                                        <w:r>
                                          <w:rPr>
                                            <w:rFonts w:hint="eastAsia"/>
                                            <w:sz w:val="18"/>
                                            <w:szCs w:val="18"/>
                                          </w:rPr>
                                          <w:t>告知</w:t>
                                        </w:r>
                                        <w:r>
                                          <w:rPr>
                                            <w:sz w:val="18"/>
                                            <w:szCs w:val="18"/>
                                          </w:rPr>
                                          <w:t>及发送材料清单</w:t>
                                        </w:r>
                                        <w:r>
                                          <w:rPr>
                                            <w:rFonts w:hint="eastAsia"/>
                                            <w:sz w:val="18"/>
                                            <w:szCs w:val="18"/>
                                          </w:rPr>
                                          <w:t>？</w:t>
                                        </w:r>
                                      </w:p>
                                    </w:txbxContent>
                                  </wps:txbx>
                                  <wps:bodyPr upright="1"/>
                                </wps:wsp>
                                <wps:wsp>
                                  <wps:cNvPr id="65" name="矩形 65"/>
                                  <wps:cNvSpPr/>
                                  <wps:spPr>
                                    <a:xfrm>
                                      <a:off x="9322" y="3230"/>
                                      <a:ext cx="1712" cy="462"/>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F4731C">
                                        <w:pPr>
                                          <w:jc w:val="center"/>
                                          <w:rPr>
                                            <w:sz w:val="20"/>
                                            <w:szCs w:val="20"/>
                                          </w:rPr>
                                        </w:pPr>
                                        <w:r>
                                          <w:rPr>
                                            <w:sz w:val="20"/>
                                            <w:szCs w:val="20"/>
                                          </w:rPr>
                                          <w:t>医疗机构</w:t>
                                        </w:r>
                                      </w:p>
                                    </w:txbxContent>
                                  </wps:txbx>
                                  <wps:bodyPr upright="1"/>
                                </wps:wsp>
                                <wps:wsp>
                                  <wps:cNvPr id="68" name="矩形 68"/>
                                  <wps:cNvSpPr/>
                                  <wps:spPr>
                                    <a:xfrm>
                                      <a:off x="8351" y="10563"/>
                                      <a:ext cx="2217" cy="79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3043FA">
                                        <w:pPr>
                                          <w:jc w:val="center"/>
                                          <w:rPr>
                                            <w:sz w:val="20"/>
                                            <w:szCs w:val="20"/>
                                          </w:rPr>
                                        </w:pPr>
                                        <w:r>
                                          <w:rPr>
                                            <w:rFonts w:hint="eastAsia"/>
                                            <w:sz w:val="20"/>
                                            <w:szCs w:val="20"/>
                                          </w:rPr>
                                          <w:t>选定鉴定</w:t>
                                        </w:r>
                                        <w:r>
                                          <w:rPr>
                                            <w:sz w:val="20"/>
                                            <w:szCs w:val="20"/>
                                          </w:rPr>
                                          <w:t>机构，进入鉴定</w:t>
                                        </w:r>
                                        <w:r>
                                          <w:rPr>
                                            <w:rFonts w:hint="eastAsia"/>
                                            <w:sz w:val="20"/>
                                            <w:szCs w:val="20"/>
                                          </w:rPr>
                                          <w:t>程序</w:t>
                                        </w:r>
                                      </w:p>
                                    </w:txbxContent>
                                  </wps:txbx>
                                  <wps:bodyPr upright="1"/>
                                </wps:wsp>
                                <wps:wsp>
                                  <wps:cNvPr id="69" name="矩形 69"/>
                                  <wps:cNvSpPr/>
                                  <wps:spPr>
                                    <a:xfrm>
                                      <a:off x="8361" y="12007"/>
                                      <a:ext cx="2216" cy="5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581DA60">
                                        <w:pPr>
                                          <w:jc w:val="center"/>
                                          <w:rPr>
                                            <w:sz w:val="20"/>
                                            <w:szCs w:val="20"/>
                                          </w:rPr>
                                        </w:pPr>
                                        <w:r>
                                          <w:rPr>
                                            <w:rFonts w:hint="eastAsia"/>
                                            <w:sz w:val="20"/>
                                            <w:szCs w:val="20"/>
                                          </w:rPr>
                                          <w:t>一审判决</w:t>
                                        </w:r>
                                      </w:p>
                                    </w:txbxContent>
                                  </wps:txbx>
                                  <wps:bodyPr upright="1"/>
                                </wps:wsp>
                                <wps:wsp>
                                  <wps:cNvPr id="70" name="流程图: 决策 70"/>
                                  <wps:cNvSpPr/>
                                  <wps:spPr>
                                    <a:xfrm>
                                      <a:off x="6338" y="13242"/>
                                      <a:ext cx="2289" cy="897"/>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14:paraId="67728C4B">
                                        <w:pPr>
                                          <w:spacing w:line="240" w:lineRule="exact"/>
                                          <w:rPr>
                                            <w:sz w:val="20"/>
                                            <w:szCs w:val="20"/>
                                          </w:rPr>
                                        </w:pPr>
                                        <w:r>
                                          <w:rPr>
                                            <w:rFonts w:hint="eastAsia"/>
                                            <w:sz w:val="20"/>
                                            <w:szCs w:val="20"/>
                                          </w:rPr>
                                          <w:t>是否上诉</w:t>
                                        </w:r>
                                      </w:p>
                                    </w:txbxContent>
                                  </wps:txbx>
                                  <wps:bodyPr upright="1"/>
                                </wps:wsp>
                                <wps:wsp>
                                  <wps:cNvPr id="71" name="肘形连接符 71"/>
                                  <wps:cNvCnPr>
                                    <a:stCxn id="51" idx="1"/>
                                    <a:endCxn id="54" idx="1"/>
                                  </wps:cNvCnPr>
                                  <wps:spPr>
                                    <a:xfrm rot="5400000" flipV="1">
                                      <a:off x="6805" y="4478"/>
                                      <a:ext cx="1911" cy="380"/>
                                    </a:xfrm>
                                    <a:prstGeom prst="bentConnector3">
                                      <a:avLst>
                                        <a:gd name="adj1" fmla="val 100759"/>
                                      </a:avLst>
                                    </a:prstGeom>
                                    <a:ln w="9525" cap="flat" cmpd="sng">
                                      <a:solidFill>
                                        <a:srgbClr val="000000"/>
                                      </a:solidFill>
                                      <a:prstDash val="solid"/>
                                      <a:round/>
                                      <a:headEnd type="none" w="med" len="med"/>
                                      <a:tailEnd type="triangle" w="med" len="med"/>
                                    </a:ln>
                                  </wps:spPr>
                                  <wps:bodyPr/>
                                </wps:wsp>
                                <wps:wsp>
                                  <wps:cNvPr id="72" name="肘形连接符 72"/>
                                  <wps:cNvCnPr>
                                    <a:stCxn id="51" idx="1"/>
                                    <a:endCxn id="54" idx="1"/>
                                  </wps:cNvCnPr>
                                  <wps:spPr>
                                    <a:xfrm rot="-5400000">
                                      <a:off x="9801" y="4417"/>
                                      <a:ext cx="2188" cy="227"/>
                                    </a:xfrm>
                                    <a:prstGeom prst="bentConnector4">
                                      <a:avLst>
                                        <a:gd name="adj1" fmla="val -847"/>
                                        <a:gd name="adj2" fmla="val 264977"/>
                                      </a:avLst>
                                    </a:prstGeom>
                                    <a:ln w="9525" cap="flat" cmpd="sng">
                                      <a:solidFill>
                                        <a:srgbClr val="000000"/>
                                      </a:solidFill>
                                      <a:prstDash val="solid"/>
                                      <a:round/>
                                      <a:headEnd type="none" w="med" len="med"/>
                                      <a:tailEnd type="triangle" w="med" len="med"/>
                                    </a:ln>
                                  </wps:spPr>
                                  <wps:bodyPr/>
                                </wps:wsp>
                                <wps:wsp>
                                  <wps:cNvPr id="73" name="直接箭头连接符 73"/>
                                  <wps:cNvCnPr>
                                    <a:stCxn id="51" idx="1"/>
                                    <a:endCxn id="54" idx="1"/>
                                  </wps:cNvCnPr>
                                  <wps:spPr>
                                    <a:xfrm flipH="1">
                                      <a:off x="8347" y="3407"/>
                                      <a:ext cx="974" cy="0"/>
                                    </a:xfrm>
                                    <a:prstGeom prst="straightConnector1">
                                      <a:avLst/>
                                    </a:prstGeom>
                                    <a:ln w="9525" cap="flat" cmpd="sng">
                                      <a:solidFill>
                                        <a:srgbClr val="000000"/>
                                      </a:solidFill>
                                      <a:prstDash val="solid"/>
                                      <a:headEnd type="none" w="med" len="med"/>
                                      <a:tailEnd type="triangle" w="med" len="med"/>
                                    </a:ln>
                                  </wps:spPr>
                                  <wps:bodyPr/>
                                </wps:wsp>
                                <wps:wsp>
                                  <wps:cNvPr id="74" name="肘形连接符 74"/>
                                  <wps:cNvCnPr>
                                    <a:stCxn id="51" idx="1"/>
                                    <a:endCxn id="54" idx="1"/>
                                  </wps:cNvCnPr>
                                  <wps:spPr>
                                    <a:xfrm rot="10800000" flipH="1" flipV="1">
                                      <a:off x="3277" y="3438"/>
                                      <a:ext cx="1196" cy="2212"/>
                                    </a:xfrm>
                                    <a:prstGeom prst="bentConnector4">
                                      <a:avLst>
                                        <a:gd name="adj1" fmla="val -31356"/>
                                        <a:gd name="adj2" fmla="val 99954"/>
                                      </a:avLst>
                                    </a:prstGeom>
                                    <a:ln w="9525" cap="flat" cmpd="sng">
                                      <a:solidFill>
                                        <a:srgbClr val="000000"/>
                                      </a:solidFill>
                                      <a:prstDash val="solid"/>
                                      <a:round/>
                                      <a:headEnd type="none" w="med" len="med"/>
                                      <a:tailEnd type="triangle" w="med" len="med"/>
                                    </a:ln>
                                  </wps:spPr>
                                  <wps:bodyPr/>
                                </wps:wsp>
                                <wps:wsp>
                                  <wps:cNvPr id="75" name="肘形连接符 75"/>
                                  <wps:cNvCnPr>
                                    <a:stCxn id="51" idx="1"/>
                                    <a:endCxn id="54" idx="1"/>
                                  </wps:cNvCnPr>
                                  <wps:spPr>
                                    <a:xfrm flipV="1">
                                      <a:off x="6468" y="3720"/>
                                      <a:ext cx="312" cy="1929"/>
                                    </a:xfrm>
                                    <a:prstGeom prst="bentConnector3">
                                      <a:avLst>
                                        <a:gd name="adj1" fmla="val 99250"/>
                                      </a:avLst>
                                    </a:prstGeom>
                                    <a:ln w="9525" cap="flat" cmpd="sng">
                                      <a:solidFill>
                                        <a:srgbClr val="000000"/>
                                      </a:solidFill>
                                      <a:prstDash val="solid"/>
                                      <a:round/>
                                      <a:headEnd type="none" w="med" len="med"/>
                                      <a:tailEnd type="triangle" w="med" len="med"/>
                                    </a:ln>
                                  </wps:spPr>
                                  <wps:bodyPr/>
                                </wps:wsp>
                                <wps:wsp>
                                  <wps:cNvPr id="76" name="直接箭头连接符 76"/>
                                  <wps:cNvCnPr>
                                    <a:stCxn id="51" idx="1"/>
                                    <a:endCxn id="54" idx="1"/>
                                  </wps:cNvCnPr>
                                  <wps:spPr>
                                    <a:xfrm flipH="1">
                                      <a:off x="4938" y="3420"/>
                                      <a:ext cx="1230" cy="0"/>
                                    </a:xfrm>
                                    <a:prstGeom prst="straightConnector1">
                                      <a:avLst/>
                                    </a:prstGeom>
                                    <a:ln w="9525" cap="flat" cmpd="sng">
                                      <a:solidFill>
                                        <a:srgbClr val="000000"/>
                                      </a:solidFill>
                                      <a:prstDash val="solid"/>
                                      <a:headEnd type="none" w="med" len="med"/>
                                      <a:tailEnd type="triangle" w="med" len="med"/>
                                    </a:ln>
                                  </wps:spPr>
                                  <wps:bodyPr/>
                                </wps:wsp>
                                <wps:wsp>
                                  <wps:cNvPr id="77" name="直接箭头连接符 77"/>
                                  <wps:cNvCnPr>
                                    <a:stCxn id="50" idx="2"/>
                                    <a:endCxn id="54" idx="1"/>
                                  </wps:cNvCnPr>
                                  <wps:spPr>
                                    <a:xfrm flipH="1">
                                      <a:off x="7223" y="7590"/>
                                      <a:ext cx="5" cy="622"/>
                                    </a:xfrm>
                                    <a:prstGeom prst="straightConnector1">
                                      <a:avLst/>
                                    </a:prstGeom>
                                    <a:ln w="9525" cap="flat" cmpd="sng">
                                      <a:solidFill>
                                        <a:srgbClr val="000000"/>
                                      </a:solidFill>
                                      <a:prstDash val="solid"/>
                                      <a:headEnd type="none" w="med" len="med"/>
                                      <a:tailEnd type="triangle" w="med" len="med"/>
                                    </a:ln>
                                  </wps:spPr>
                                  <wps:bodyPr/>
                                </wps:wsp>
                                <wps:wsp>
                                  <wps:cNvPr id="78" name="肘形连接符 78"/>
                                  <wps:cNvCnPr>
                                    <a:stCxn id="50" idx="2"/>
                                    <a:endCxn id="54" idx="1"/>
                                  </wps:cNvCnPr>
                                  <wps:spPr>
                                    <a:xfrm rot="-10800000" flipV="1">
                                      <a:off x="7503" y="12277"/>
                                      <a:ext cx="858" cy="991"/>
                                    </a:xfrm>
                                    <a:prstGeom prst="bentConnector2">
                                      <a:avLst/>
                                    </a:prstGeom>
                                    <a:ln w="9525" cap="flat" cmpd="sng">
                                      <a:solidFill>
                                        <a:srgbClr val="000000"/>
                                      </a:solidFill>
                                      <a:prstDash val="solid"/>
                                      <a:round/>
                                      <a:headEnd type="none" w="med" len="med"/>
                                      <a:tailEnd type="triangle" w="med" len="med"/>
                                    </a:ln>
                                  </wps:spPr>
                                  <wps:bodyPr/>
                                </wps:wsp>
                                <wps:wsp>
                                  <wps:cNvPr id="79" name="直接箭头连接符 79"/>
                                  <wps:cNvCnPr>
                                    <a:stCxn id="50" idx="2"/>
                                    <a:endCxn id="54" idx="1"/>
                                  </wps:cNvCnPr>
                                  <wps:spPr>
                                    <a:xfrm flipH="1">
                                      <a:off x="8508" y="15184"/>
                                      <a:ext cx="1242" cy="0"/>
                                    </a:xfrm>
                                    <a:prstGeom prst="straightConnector1">
                                      <a:avLst/>
                                    </a:prstGeom>
                                    <a:ln w="9525" cap="flat" cmpd="sng">
                                      <a:solidFill>
                                        <a:srgbClr val="000000"/>
                                      </a:solidFill>
                                      <a:prstDash val="solid"/>
                                      <a:headEnd type="none" w="med" len="med"/>
                                      <a:tailEnd type="triangle" w="med" len="med"/>
                                    </a:ln>
                                  </wps:spPr>
                                  <wps:bodyPr/>
                                </wps:wsp>
                                <wps:wsp>
                                  <wps:cNvPr id="80" name="文本框 80"/>
                                  <wps:cNvSpPr txBox="1"/>
                                  <wps:spPr>
                                    <a:xfrm>
                                      <a:off x="8816" y="13232"/>
                                      <a:ext cx="491" cy="439"/>
                                    </a:xfrm>
                                    <a:prstGeom prst="rect">
                                      <a:avLst/>
                                    </a:prstGeom>
                                    <a:solidFill>
                                      <a:srgbClr val="FFFFFF"/>
                                    </a:solidFill>
                                    <a:ln w="6350" cap="flat" cmpd="sng">
                                      <a:solidFill>
                                        <a:srgbClr val="FFFFFF"/>
                                      </a:solidFill>
                                      <a:prstDash val="solid"/>
                                      <a:round/>
                                      <a:headEnd type="none" w="med" len="med"/>
                                      <a:tailEnd type="none" w="med" len="med"/>
                                    </a:ln>
                                  </wps:spPr>
                                  <wps:txbx>
                                    <w:txbxContent>
                                      <w:p w14:paraId="61BDE4D5">
                                        <w:pPr>
                                          <w:rPr>
                                            <w:sz w:val="20"/>
                                            <w:szCs w:val="20"/>
                                          </w:rPr>
                                        </w:pPr>
                                        <w:r>
                                          <w:rPr>
                                            <w:rFonts w:hint="eastAsia"/>
                                            <w:sz w:val="20"/>
                                            <w:szCs w:val="20"/>
                                          </w:rPr>
                                          <w:t>是</w:t>
                                        </w:r>
                                      </w:p>
                                    </w:txbxContent>
                                  </wps:txbx>
                                  <wps:bodyPr upright="1"/>
                                </wps:wsp>
                                <wps:wsp>
                                  <wps:cNvPr id="81" name="文本框 81"/>
                                  <wps:cNvSpPr txBox="1"/>
                                  <wps:spPr>
                                    <a:xfrm>
                                      <a:off x="7598" y="14153"/>
                                      <a:ext cx="545" cy="513"/>
                                    </a:xfrm>
                                    <a:prstGeom prst="rect">
                                      <a:avLst/>
                                    </a:prstGeom>
                                    <a:solidFill>
                                      <a:srgbClr val="FFFFFF"/>
                                    </a:solidFill>
                                    <a:ln w="6350" cap="flat" cmpd="sng">
                                      <a:solidFill>
                                        <a:srgbClr val="FFFFFF"/>
                                      </a:solidFill>
                                      <a:prstDash val="solid"/>
                                      <a:round/>
                                      <a:headEnd type="none" w="med" len="med"/>
                                      <a:tailEnd type="none" w="med" len="med"/>
                                    </a:ln>
                                  </wps:spPr>
                                  <wps:txbx>
                                    <w:txbxContent>
                                      <w:p w14:paraId="747FBD8B">
                                        <w:r>
                                          <w:rPr>
                                            <w:rFonts w:hint="eastAsia"/>
                                          </w:rPr>
                                          <w:t>否</w:t>
                                        </w:r>
                                      </w:p>
                                    </w:txbxContent>
                                  </wps:txbx>
                                  <wps:bodyPr upright="1"/>
                                </wps:wsp>
                                <wps:wsp>
                                  <wps:cNvPr id="83" name="直接箭头连接符 83"/>
                                  <wps:cNvCnPr>
                                    <a:stCxn id="50" idx="2"/>
                                    <a:endCxn id="54" idx="0"/>
                                  </wps:cNvCnPr>
                                  <wps:spPr>
                                    <a:xfrm>
                                      <a:off x="9460" y="11357"/>
                                      <a:ext cx="9" cy="650"/>
                                    </a:xfrm>
                                    <a:prstGeom prst="straightConnector1">
                                      <a:avLst/>
                                    </a:prstGeom>
                                    <a:ln w="9525" cap="flat" cmpd="sng">
                                      <a:solidFill>
                                        <a:srgbClr val="000000"/>
                                      </a:solidFill>
                                      <a:prstDash val="solid"/>
                                      <a:headEnd type="none" w="med" len="med"/>
                                      <a:tailEnd type="triangle" w="med" len="med"/>
                                    </a:ln>
                                  </wps:spPr>
                                  <wps:bodyPr/>
                                </wps:wsp>
                                <wps:wsp>
                                  <wps:cNvPr id="86" name="肘形连接符 86"/>
                                  <wps:cNvCnPr>
                                    <a:stCxn id="61" idx="3"/>
                                    <a:endCxn id="54" idx="0"/>
                                  </wps:cNvCnPr>
                                  <wps:spPr>
                                    <a:xfrm flipV="1">
                                      <a:off x="5510" y="10960"/>
                                      <a:ext cx="2841" cy="2751"/>
                                    </a:xfrm>
                                    <a:prstGeom prst="bentConnector3">
                                      <a:avLst>
                                        <a:gd name="adj1" fmla="val 14046"/>
                                      </a:avLst>
                                    </a:prstGeom>
                                    <a:ln w="9525" cap="flat" cmpd="sng">
                                      <a:solidFill>
                                        <a:srgbClr val="000000"/>
                                      </a:solidFill>
                                      <a:prstDash val="solid"/>
                                      <a:round/>
                                      <a:headEnd type="none" w="med" len="med"/>
                                      <a:tailEnd type="triangle" w="med" len="med"/>
                                    </a:ln>
                                  </wps:spPr>
                                  <wps:bodyPr/>
                                </wps:wsp>
                                <wps:wsp>
                                  <wps:cNvPr id="87" name="直接箭头连接符 87"/>
                                  <wps:cNvCnPr>
                                    <a:stCxn id="61" idx="3"/>
                                    <a:endCxn id="54" idx="0"/>
                                  </wps:cNvCnPr>
                                  <wps:spPr>
                                    <a:xfrm flipH="1" flipV="1">
                                      <a:off x="5318" y="10776"/>
                                      <a:ext cx="3020" cy="15"/>
                                    </a:xfrm>
                                    <a:prstGeom prst="straightConnector1">
                                      <a:avLst/>
                                    </a:prstGeom>
                                    <a:ln w="9525" cap="flat" cmpd="sng">
                                      <a:solidFill>
                                        <a:srgbClr val="000000"/>
                                      </a:solidFill>
                                      <a:prstDash val="solid"/>
                                      <a:headEnd type="none" w="med" len="med"/>
                                      <a:tailEnd type="triangle" w="med" len="med"/>
                                    </a:ln>
                                  </wps:spPr>
                                  <wps:bodyPr/>
                                </wps:wsp>
                                <wps:wsp>
                                  <wps:cNvPr id="88" name="文本框 88"/>
                                  <wps:cNvSpPr txBox="1"/>
                                  <wps:spPr>
                                    <a:xfrm>
                                      <a:off x="5972" y="11933"/>
                                      <a:ext cx="545" cy="580"/>
                                    </a:xfrm>
                                    <a:prstGeom prst="rect">
                                      <a:avLst/>
                                    </a:prstGeom>
                                    <a:solidFill>
                                      <a:srgbClr val="FFFFFF"/>
                                    </a:solidFill>
                                    <a:ln w="6350" cap="flat" cmpd="sng">
                                      <a:solidFill>
                                        <a:srgbClr val="FFFFFF"/>
                                      </a:solidFill>
                                      <a:prstDash val="solid"/>
                                      <a:round/>
                                      <a:headEnd type="none" w="med" len="med"/>
                                      <a:tailEnd type="none" w="med" len="med"/>
                                    </a:ln>
                                  </wps:spPr>
                                  <wps:txbx>
                                    <w:txbxContent>
                                      <w:p w14:paraId="35082AA3">
                                        <w:r>
                                          <w:rPr>
                                            <w:rFonts w:hint="eastAsia"/>
                                          </w:rPr>
                                          <w:t>否</w:t>
                                        </w:r>
                                      </w:p>
                                    </w:txbxContent>
                                  </wps:txbx>
                                  <wps:bodyPr upright="1"/>
                                </wps:wsp>
                                <wps:wsp>
                                  <wps:cNvPr id="89" name="文本框 89"/>
                                  <wps:cNvSpPr txBox="1"/>
                                  <wps:spPr>
                                    <a:xfrm>
                                      <a:off x="4383" y="14391"/>
                                      <a:ext cx="491" cy="506"/>
                                    </a:xfrm>
                                    <a:prstGeom prst="rect">
                                      <a:avLst/>
                                    </a:prstGeom>
                                    <a:solidFill>
                                      <a:srgbClr val="FFFFFF"/>
                                    </a:solidFill>
                                    <a:ln w="6350" cap="flat" cmpd="sng">
                                      <a:solidFill>
                                        <a:srgbClr val="FFFFFF"/>
                                      </a:solidFill>
                                      <a:prstDash val="solid"/>
                                      <a:round/>
                                      <a:headEnd type="none" w="med" len="med"/>
                                      <a:tailEnd type="none" w="med" len="med"/>
                                    </a:ln>
                                  </wps:spPr>
                                  <wps:txbx>
                                    <w:txbxContent>
                                      <w:p w14:paraId="6202BCE1">
                                        <w:pPr>
                                          <w:rPr>
                                            <w:sz w:val="20"/>
                                            <w:szCs w:val="20"/>
                                          </w:rPr>
                                        </w:pPr>
                                        <w:r>
                                          <w:rPr>
                                            <w:rFonts w:hint="eastAsia"/>
                                            <w:sz w:val="20"/>
                                            <w:szCs w:val="20"/>
                                          </w:rPr>
                                          <w:t>是</w:t>
                                        </w:r>
                                      </w:p>
                                    </w:txbxContent>
                                  </wps:txbx>
                                  <wps:bodyPr upright="1"/>
                                </wps:wsp>
                              </wpg:grpSp>
                            </wpg:grpSp>
                          </wpg:grpSp>
                          <wps:wsp>
                            <wps:cNvPr id="93" name="矩形 93"/>
                            <wps:cNvSpPr/>
                            <wps:spPr>
                              <a:xfrm>
                                <a:off x="3435" y="11865"/>
                                <a:ext cx="1915" cy="906"/>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7ADDE1">
                                  <w:pPr>
                                    <w:jc w:val="center"/>
                                    <w:rPr>
                                      <w:sz w:val="20"/>
                                      <w:szCs w:val="20"/>
                                    </w:rPr>
                                  </w:pPr>
                                  <w:r>
                                    <w:rPr>
                                      <w:rFonts w:hint="eastAsia"/>
                                      <w:sz w:val="20"/>
                                      <w:szCs w:val="20"/>
                                    </w:rPr>
                                    <w:t>保险公司确认调解/和解</w:t>
                                  </w:r>
                                  <w:r>
                                    <w:rPr>
                                      <w:sz w:val="20"/>
                                      <w:szCs w:val="20"/>
                                    </w:rPr>
                                    <w:t>方案</w:t>
                                  </w:r>
                                </w:p>
                              </w:txbxContent>
                            </wps:txbx>
                            <wps:bodyPr upright="1"/>
                          </wps:wsp>
                          <wps:wsp>
                            <wps:cNvPr id="94" name="流程图: 决策 94"/>
                            <wps:cNvSpPr/>
                            <wps:spPr>
                              <a:xfrm>
                                <a:off x="3221" y="13262"/>
                                <a:ext cx="2289" cy="897"/>
                              </a:xfrm>
                              <a:prstGeom prst="flowChartDecision">
                                <a:avLst/>
                              </a:prstGeom>
                              <a:solidFill>
                                <a:srgbClr val="FFFFFF"/>
                              </a:solidFill>
                              <a:ln w="9525" cap="flat" cmpd="sng">
                                <a:solidFill>
                                  <a:srgbClr val="000000"/>
                                </a:solidFill>
                                <a:prstDash val="solid"/>
                                <a:miter/>
                                <a:headEnd type="none" w="med" len="med"/>
                                <a:tailEnd type="none" w="med" len="med"/>
                              </a:ln>
                            </wps:spPr>
                            <wps:txbx>
                              <w:txbxContent>
                                <w:p w14:paraId="39120F76">
                                  <w:pPr>
                                    <w:rPr>
                                      <w:sz w:val="18"/>
                                      <w:szCs w:val="18"/>
                                    </w:rPr>
                                  </w:pPr>
                                  <w:r>
                                    <w:rPr>
                                      <w:rFonts w:hint="eastAsia"/>
                                      <w:sz w:val="18"/>
                                      <w:szCs w:val="18"/>
                                    </w:rPr>
                                    <w:t>是否成功</w:t>
                                  </w:r>
                                </w:p>
                              </w:txbxContent>
                            </wps:txbx>
                            <wps:bodyPr upright="1"/>
                          </wps:wsp>
                        </wpg:grpSp>
                        <wps:wsp>
                          <wps:cNvPr id="96" name="直接箭头连接符 96"/>
                          <wps:cNvCnPr>
                            <a:stCxn id="61" idx="3"/>
                            <a:endCxn id="54" idx="0"/>
                          </wps:cNvCnPr>
                          <wps:spPr>
                            <a:xfrm>
                              <a:off x="8179" y="14152"/>
                              <a:ext cx="0" cy="778"/>
                            </a:xfrm>
                            <a:prstGeom prst="straightConnector1">
                              <a:avLst/>
                            </a:prstGeom>
                            <a:ln w="9525" cap="flat" cmpd="sng">
                              <a:solidFill>
                                <a:srgbClr val="000000"/>
                              </a:solidFill>
                              <a:prstDash val="solid"/>
                              <a:headEnd type="none" w="med" len="med"/>
                              <a:tailEnd type="triangle" w="med" len="med"/>
                            </a:ln>
                          </wps:spPr>
                          <wps:bodyPr/>
                        </wps:wsp>
                      </wpg:grpSp>
                      <wps:wsp>
                        <wps:cNvPr id="98" name="肘形连接符 98"/>
                        <wps:cNvCnPr>
                          <a:stCxn id="54" idx="2"/>
                          <a:endCxn id="78" idx="0"/>
                        </wps:cNvCnPr>
                        <wps:spPr>
                          <a:xfrm rot="5400000" flipV="1">
                            <a:off x="8422" y="13667"/>
                            <a:ext cx="830" cy="1934"/>
                          </a:xfrm>
                          <a:prstGeom prst="bentConnector3">
                            <a:avLst>
                              <a:gd name="adj1" fmla="val 50000"/>
                            </a:avLst>
                          </a:prstGeom>
                          <a:ln w="9525" cap="flat" cmpd="sng">
                            <a:solidFill>
                              <a:srgbClr val="000000"/>
                            </a:solidFill>
                            <a:prstDash val="solid"/>
                            <a:round/>
                            <a:headEnd type="none" w="med" len="med"/>
                            <a:tailEnd type="triangle" w="med" len="med"/>
                          </a:ln>
                        </wps:spPr>
                        <wps:bodyPr/>
                      </wps:wsp>
                      <wps:wsp>
                        <wps:cNvPr id="99" name="文本框 99"/>
                        <wps:cNvSpPr txBox="1"/>
                        <wps:spPr>
                          <a:xfrm>
                            <a:off x="8911" y="15049"/>
                            <a:ext cx="1785" cy="45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45BBCE09">
                              <w:pPr>
                                <w:jc w:val="center"/>
                              </w:pPr>
                              <w:r>
                                <w:rPr>
                                  <w:rFonts w:hint="eastAsia"/>
                                </w:rPr>
                                <w:t>或支付给医院</w:t>
                              </w:r>
                            </w:p>
                          </w:txbxContent>
                        </wps:txbx>
                        <wps:bodyPr upright="1"/>
                      </wps:wsp>
                      <wps:wsp>
                        <wps:cNvPr id="100" name="文本框 100"/>
                        <wps:cNvSpPr txBox="1"/>
                        <wps:spPr>
                          <a:xfrm>
                            <a:off x="5595" y="15051"/>
                            <a:ext cx="1514" cy="495"/>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4F00D801">
                              <w:pPr>
                                <w:jc w:val="center"/>
                              </w:pPr>
                              <w:r>
                                <w:rPr>
                                  <w:rFonts w:hint="eastAsia"/>
                                </w:rPr>
                                <w:t>支付给患方</w:t>
                              </w:r>
                            </w:p>
                          </w:txbxContent>
                        </wps:txbx>
                        <wps:bodyPr upright="1"/>
                      </wps:wsp>
                      <wps:wsp>
                        <wps:cNvPr id="101" name="肘形连接符 101"/>
                        <wps:cNvCnPr>
                          <a:stCxn id="54" idx="2"/>
                          <a:endCxn id="79" idx="0"/>
                        </wps:cNvCnPr>
                        <wps:spPr>
                          <a:xfrm rot="5400000">
                            <a:off x="6695" y="13876"/>
                            <a:ext cx="832" cy="1518"/>
                          </a:xfrm>
                          <a:prstGeom prst="bentConnector3">
                            <a:avLst>
                              <a:gd name="adj1" fmla="val 50000"/>
                            </a:avLst>
                          </a:prstGeom>
                          <a:ln w="9525" cap="flat" cmpd="sng">
                            <a:solidFill>
                              <a:srgbClr val="000000"/>
                            </a:solidFill>
                            <a:prstDash val="solid"/>
                            <a:round/>
                            <a:headEnd type="none" w="med" len="med"/>
                            <a:tailEnd type="triangle" w="med" len="med"/>
                          </a:ln>
                        </wps:spPr>
                        <wps:bodyPr/>
                      </wps:wsp>
                    </wpg:wgp>
                  </a:graphicData>
                </a:graphic>
              </wp:anchor>
            </w:drawing>
          </mc:Choice>
          <mc:Fallback>
            <w:pict>
              <v:group id="_x0000_s1026" o:spid="_x0000_s1026" o:spt="203" style="position:absolute;left:0pt;margin-left:-0.6pt;margin-top:6.35pt;height:658.55pt;width:400.5pt;z-index:251661312;mso-width-relative:page;mso-height-relative:page;" coordorigin="3628,1849" coordsize="8084,13696" o:gfxdata="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">
                <o:lock v:ext="edit" aspectratio="f"/>
                <v:group id="_x0000_s1026" o:spid="_x0000_s1026" o:spt="203" style="position:absolute;left:3628;top:1849;height:12369;width:8084;" coordorigin="3913,1847" coordsize="8114,13658" o:gfxdata="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NAo7vwAAANsAAAAPAAAAAAAAAAEAIAAAACIAAABkcnMvZG93bnJldi54&#10;bWxQSwECFAAUAAAACACHTuJAMy8FnjsAAAA5AAAAFQAAAAAAAAABACAAAAAOAQAAZHJzL2dyb3Vw&#10;c2hhcGV4bWwueG1sUEsFBgAAAAAGAAYAYAEAAMsDAAAAAA==&#10;">
                  <o:lock v:ext="edit" aspectratio="f"/>
                  <v:group id="_x0000_s1026" o:spid="_x0000_s1026" o:spt="203" style="position:absolute;left:3913;top:1847;height:13659;width:8114;" coordorigin="3221,1847" coordsize="8114,13659" o:gfxdata="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6ox17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3277;top:1847;height:13659;width:8058;" coordorigin="3277,1847" coordsize="8058,13659" o:gfxdata="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AQ6mjvwAAANsAAAAPAAAAAAAAAAEAIAAAACIAAABkcnMvZG93bnJldi54&#10;bWxQSwECFAAUAAAACACHTuJAMy8FnjsAAAA5AAAAFQAAAAAAAAABACAAAAAOAQAAZHJzL2dyb3Vw&#10;c2hhcGV4bWwueG1sUEsFBgAAAAAGAAYAYAEAAMsDAAAAAA==&#10;">
                      <o:lock v:ext="edit" aspectratio="f"/>
                      <v:shape id="_x0000_s1026" o:spid="_x0000_s1026" o:spt="32" type="#_x0000_t32" style="position:absolute;left:7216;top:2715;height:4372;width:0;" filled="f" stroked="t" coordsize="21600,21600" o:gfxdata="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knK4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group id="_x0000_s1026" o:spid="_x0000_s1026" o:spt="203" style="position:absolute;left:3277;top:1847;height:13659;width:8058;" coordorigin="3277,1847" coordsize="8058,13659" o:gfxdata="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CRN9S+AAAA2wAAAA8AAAAAAAAAAQAgAAAAIgAAAGRycy9kb3ducmV2Lnht&#10;bFBLAQIUABQAAAAIAIdO4kAzLwWeOwAAADkAAAAVAAAAAAAAAAEAIAAAAA0BAABkcnMvZ3JvdXBz&#10;aGFwZXhtbC54bWxQSwUGAAAAAAYABgBgAQAAygMAAAAA&#10;">
                        <o:lock v:ext="edit" aspectratio="f"/>
                        <v:rect id="_x0000_s1026" o:spid="_x0000_s1026" o:spt="1" style="position:absolute;left:6160;top:3215;height:518;width:2178;" fillcolor="#FFFFFF" filled="t" stroked="t" coordsize="21600,21600" o:gfxdata="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9qdR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2374695B">
                                <w:pPr>
                                  <w:jc w:val="center"/>
                                  <w:rPr>
                                    <w:sz w:val="20"/>
                                    <w:szCs w:val="20"/>
                                  </w:rPr>
                                </w:pPr>
                                <w:r>
                                  <w:rPr>
                                    <w:rFonts w:hint="eastAsia"/>
                                    <w:sz w:val="20"/>
                                    <w:szCs w:val="20"/>
                                  </w:rPr>
                                  <w:t>保险经纪公司</w:t>
                                </w:r>
                              </w:p>
                            </w:txbxContent>
                          </v:textbox>
                        </v:rect>
                        <v:group id="_x0000_s1026" o:spid="_x0000_s1026" o:spt="203" style="position:absolute;left:3277;top:1847;height:13659;width:8058;" coordorigin="3277,1860" coordsize="8058,13659"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shape id="_x0000_s1026" o:spid="_x0000_s1026" o:spt="33" type="#_x0000_t33" style="position:absolute;left:3384;top:12159;flip:y;height:2085;width:4014;rotation:-5898240f;" filled="f" stroked="t" coordsize="21600,21600" o:gfxdata="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n5n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34" type="#_x0000_t34" style="position:absolute;left:8601;top:13704;height:1226;width:1971;" filled="f" stroked="t" coordsize="21600,21600" o:gfxdata="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48Z17sAAADb&#10;AAAADwAAAAAAAAABACAAAAAiAAAAZHJzL2Rvd25yZXYueG1sUEsBAhQAFAAAAAgAh07iQDMvBZ47&#10;AAAAOQAAABAAAAAAAAAAAQAgAAAACgEAAGRycy9zaGFwZXhtbC54bWxQSwUGAAAAAAYABgBbAQAA&#10;tAMAAAAA&#10;" adj="21663">
                            <v:fill on="f" focussize="0,0"/>
                            <v:stroke color="#000000" joinstyle="round" endarrow="block"/>
                            <v:imagedata o:title=""/>
                            <o:lock v:ext="edit" aspectratio="f"/>
                          </v:shape>
                          <v:shape id="_x0000_s1026" o:spid="_x0000_s1026" o:spt="34" type="#_x0000_t34" style="position:absolute;left:8216;top:9319;flip:y;height:954;width:1534;rotation:-5898240f;" filled="f" stroked="t" coordsize="21600,21600" o:gfxdata="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CRla8AAAA&#10;2wAAAA8AAAAAAAAAAQAgAAAAIgAAAGRycy9kb3ducmV2LnhtbFBLAQIUABQAAAAIAIdO4kAzLwWe&#10;OwAAADkAAAAQAAAAAAAAAAEAIAAAAAsBAABkcnMvc2hhcGV4bWwueG1sUEsFBgAAAAAGAAYAWwEA&#10;ALUDAAAAAA==&#10;" adj="451">
                            <v:fill on="f" focussize="0,0"/>
                            <v:stroke color="#000000" joinstyle="round" endarrow="block"/>
                            <v:imagedata o:title=""/>
                            <o:lock v:ext="edit" aspectratio="f"/>
                          </v:shape>
                          <v:shape id="_x0000_s1026" o:spid="_x0000_s1026" o:spt="34" type="#_x0000_t34" style="position:absolute;left:4386;top:9065;flip:y;height:1551;width:1608;rotation:11796480f;" filled="f" stroked="t" coordsize="21600,21600" o:gfxdata="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XeOWvQAA&#10;ANsAAAAPAAAAAAAAAAEAIAAAACIAAABkcnMvZG93bnJldi54bWxQSwECFAAUAAAACACHTuJAMy8F&#10;njsAAAA5AAAAEAAAAAAAAAABACAAAAAMAQAAZHJzL3NoYXBleG1sLnhtbFBLBQYAAAAABgAGAFsB&#10;AAC2AwAAAAA=&#10;" adj="21600">
                            <v:fill on="f" focussize="0,0"/>
                            <v:stroke color="#000000" joinstyle="round" endarrow="block"/>
                            <v:imagedata o:title=""/>
                            <o:lock v:ext="edit" aspectratio="f"/>
                          </v:shape>
                          <v:rect id="_x0000_s1026" o:spid="_x0000_s1026" o:spt="1" style="position:absolute;left:6160;top:1860;height:870;width:2072;" fillcolor="#FFFFFF" filled="t" stroked="t" coordsize="21600,21600" o:gfxdata="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4EEy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4ADC0067">
                                  <w:pPr>
                                    <w:jc w:val="center"/>
                                    <w:rPr>
                                      <w:sz w:val="20"/>
                                      <w:szCs w:val="20"/>
                                    </w:rPr>
                                  </w:pPr>
                                  <w:r>
                                    <w:rPr>
                                      <w:rFonts w:hint="eastAsia"/>
                                      <w:sz w:val="20"/>
                                      <w:szCs w:val="20"/>
                                    </w:rPr>
                                    <w:t>接到法院传票</w:t>
                                  </w:r>
                                </w:p>
                                <w:p w14:paraId="3D261412">
                                  <w:pPr>
                                    <w:jc w:val="center"/>
                                    <w:rPr>
                                      <w:sz w:val="20"/>
                                      <w:szCs w:val="20"/>
                                    </w:rPr>
                                  </w:pPr>
                                  <w:r>
                                    <w:rPr>
                                      <w:rFonts w:hint="eastAsia"/>
                                      <w:sz w:val="20"/>
                                      <w:szCs w:val="20"/>
                                    </w:rPr>
                                    <w:t>医院报案</w:t>
                                  </w:r>
                                </w:p>
                              </w:txbxContent>
                            </v:textbox>
                          </v:rect>
                          <v:rect id="_x0000_s1026" o:spid="_x0000_s1026" o:spt="1" style="position:absolute;left:3277;top:3219;height:438;width:1657;" fillcolor="#FFFFFF" filled="t" stroked="t" coordsize="21600,21600" o:gfxdata="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NTmr6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44BA1AB">
                                  <w:pPr>
                                    <w:jc w:val="center"/>
                                    <w:rPr>
                                      <w:sz w:val="20"/>
                                      <w:szCs w:val="20"/>
                                    </w:rPr>
                                  </w:pPr>
                                  <w:r>
                                    <w:rPr>
                                      <w:rFonts w:hint="eastAsia"/>
                                      <w:sz w:val="20"/>
                                      <w:szCs w:val="20"/>
                                    </w:rPr>
                                    <w:t>保险公司</w:t>
                                  </w:r>
                                </w:p>
                              </w:txbxContent>
                            </v:textbox>
                          </v:rect>
                          <v:rect id="_x0000_s1026" o:spid="_x0000_s1026" o:spt="1" style="position:absolute;left:4457;top:4677;height:2022;width:1985;" fillcolor="#FFFFFF" filled="t" stroked="t" coordsize="21600,21600" o:gfxdata="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sTOc7sAAADb&#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33352E4D">
                                  <w:pPr>
                                    <w:rPr>
                                      <w:sz w:val="20"/>
                                      <w:szCs w:val="20"/>
                                    </w:rPr>
                                  </w:pPr>
                                  <w:r>
                                    <w:rPr>
                                      <w:rFonts w:hint="eastAsia"/>
                                      <w:sz w:val="20"/>
                                      <w:szCs w:val="20"/>
                                    </w:rPr>
                                    <w:t>推荐律师复核</w:t>
                                  </w:r>
                                  <w:r>
                                    <w:rPr>
                                      <w:sz w:val="20"/>
                                      <w:szCs w:val="20"/>
                                    </w:rPr>
                                    <w:t>确认</w:t>
                                  </w:r>
                                </w:p>
                                <w:p w14:paraId="313F0EFA">
                                  <w:pPr>
                                    <w:rPr>
                                      <w:sz w:val="20"/>
                                      <w:szCs w:val="20"/>
                                    </w:rPr>
                                  </w:pPr>
                                  <w:r>
                                    <w:rPr>
                                      <w:rFonts w:hint="eastAsia"/>
                                      <w:sz w:val="20"/>
                                      <w:szCs w:val="20"/>
                                    </w:rPr>
                                    <w:t>核定</w:t>
                                  </w:r>
                                  <w:r>
                                    <w:rPr>
                                      <w:sz w:val="20"/>
                                      <w:szCs w:val="20"/>
                                    </w:rPr>
                                    <w:t>律师费</w:t>
                                  </w:r>
                                </w:p>
                                <w:p w14:paraId="040288DC">
                                  <w:pPr>
                                    <w:rPr>
                                      <w:sz w:val="20"/>
                                      <w:szCs w:val="20"/>
                                    </w:rPr>
                                  </w:pPr>
                                  <w:r>
                                    <w:rPr>
                                      <w:rFonts w:hint="eastAsia"/>
                                      <w:sz w:val="20"/>
                                      <w:szCs w:val="20"/>
                                    </w:rPr>
                                    <w:t>三方</w:t>
                                  </w:r>
                                  <w:r>
                                    <w:rPr>
                                      <w:sz w:val="20"/>
                                      <w:szCs w:val="20"/>
                                    </w:rPr>
                                    <w:t>合同审核</w:t>
                                  </w:r>
                                </w:p>
                                <w:p w14:paraId="55E46640">
                                  <w:pPr>
                                    <w:rPr>
                                      <w:sz w:val="20"/>
                                      <w:szCs w:val="20"/>
                                    </w:rPr>
                                  </w:pPr>
                                  <w:r>
                                    <w:rPr>
                                      <w:rFonts w:hint="eastAsia"/>
                                      <w:sz w:val="20"/>
                                      <w:szCs w:val="20"/>
                                    </w:rPr>
                                    <w:t>签订三方委托代理合同</w:t>
                                  </w:r>
                                </w:p>
                              </w:txbxContent>
                            </v:textbox>
                          </v:rect>
                          <v:rect id="_x0000_s1026" o:spid="_x0000_s1026" o:spt="1" style="position:absolute;left:6292;top:7102;height:488;width:1873;" fillcolor="#FFFFFF" filled="t" stroked="t" coordsize="21600,21600" o:gfxdata="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gKtX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0C80C015">
                                  <w:pPr>
                                    <w:jc w:val="center"/>
                                    <w:rPr>
                                      <w:sz w:val="20"/>
                                      <w:szCs w:val="20"/>
                                    </w:rPr>
                                  </w:pPr>
                                  <w:r>
                                    <w:rPr>
                                      <w:rFonts w:hint="eastAsia"/>
                                      <w:sz w:val="20"/>
                                      <w:szCs w:val="20"/>
                                    </w:rPr>
                                    <w:t>案件评估</w:t>
                                  </w:r>
                                </w:p>
                              </w:txbxContent>
                            </v:textbox>
                          </v:rect>
                          <v:rect id="_x0000_s1026" o:spid="_x0000_s1026" o:spt="1" style="position:absolute;left:3488;top:10630;height:589;width:1772;" fillcolor="#FFFFFF" filled="t" stroked="t" coordsize="21600,21600" o:gfxdata="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wOz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7F6A4279">
                                  <w:pPr>
                                    <w:jc w:val="center"/>
                                    <w:rPr>
                                      <w:sz w:val="20"/>
                                      <w:szCs w:val="20"/>
                                    </w:rPr>
                                  </w:pPr>
                                  <w:r>
                                    <w:rPr>
                                      <w:sz w:val="20"/>
                                      <w:szCs w:val="20"/>
                                    </w:rPr>
                                    <w:t>调解</w:t>
                                  </w:r>
                                  <w:r>
                                    <w:rPr>
                                      <w:rFonts w:hint="eastAsia"/>
                                      <w:sz w:val="20"/>
                                      <w:szCs w:val="20"/>
                                    </w:rPr>
                                    <w:t>/和解意向</w:t>
                                  </w:r>
                                </w:p>
                              </w:txbxContent>
                            </v:textbox>
                          </v:rect>
                          <v:rect id="_x0000_s1026" o:spid="_x0000_s1026" o:spt="1" style="position:absolute;left:5994;top:8226;height:1678;width:2505;" fillcolor="#FFFFFF" filled="t" stroked="t" coordsize="21600,21600" o:gfxdata="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DQZy6tAAAANsAAAAPAAAA&#10;AAAAAAEAIAAAACIAAABkcnMvZG93bnJldi54bWxQSwECFAAUAAAACACHTuJAMy8FnjsAAAA5AAAA&#10;EAAAAAAAAAABACAAAAADAQAAZHJzL3NoYXBleG1sLnhtbFBLBQYAAAAABgAGAFsBAACtAwAAAAA=&#10;">
                            <v:fill on="t" focussize="0,0"/>
                            <v:stroke weight="1pt" color="#000000" joinstyle="miter" dashstyle="dash"/>
                            <v:imagedata o:title=""/>
                            <o:lock v:ext="edit" aspectratio="f"/>
                            <v:textbox>
                              <w:txbxContent>
                                <w:p w14:paraId="62E00E80">
                                  <w:pPr>
                                    <w:spacing w:line="240" w:lineRule="exact"/>
                                    <w:rPr>
                                      <w:sz w:val="20"/>
                                      <w:szCs w:val="20"/>
                                    </w:rPr>
                                  </w:pPr>
                                  <w:r>
                                    <w:rPr>
                                      <w:rFonts w:hint="eastAsia"/>
                                      <w:sz w:val="20"/>
                                      <w:szCs w:val="20"/>
                                    </w:rPr>
                                    <w:t>案件</w:t>
                                  </w:r>
                                  <w:r>
                                    <w:rPr>
                                      <w:sz w:val="20"/>
                                      <w:szCs w:val="20"/>
                                    </w:rPr>
                                    <w:t>评估：</w:t>
                                  </w:r>
                                  <w:r>
                                    <w:rPr>
                                      <w:rFonts w:hint="eastAsia"/>
                                      <w:sz w:val="20"/>
                                      <w:szCs w:val="20"/>
                                    </w:rPr>
                                    <w:t>（根据</w:t>
                                  </w:r>
                                  <w:r>
                                    <w:rPr>
                                      <w:sz w:val="20"/>
                                      <w:szCs w:val="20"/>
                                    </w:rPr>
                                    <w:t>案件</w:t>
                                  </w:r>
                                  <w:r>
                                    <w:rPr>
                                      <w:rFonts w:hint="eastAsia"/>
                                      <w:sz w:val="20"/>
                                      <w:szCs w:val="20"/>
                                    </w:rPr>
                                    <w:t>复杂</w:t>
                                  </w:r>
                                  <w:r>
                                    <w:rPr>
                                      <w:sz w:val="20"/>
                                      <w:szCs w:val="20"/>
                                    </w:rPr>
                                    <w:t>程度）</w:t>
                                  </w:r>
                                </w:p>
                                <w:p w14:paraId="2663523C">
                                  <w:pPr>
                                    <w:spacing w:line="240" w:lineRule="exact"/>
                                    <w:rPr>
                                      <w:sz w:val="20"/>
                                      <w:szCs w:val="20"/>
                                    </w:rPr>
                                  </w:pPr>
                                  <w:r>
                                    <w:rPr>
                                      <w:rFonts w:hint="eastAsia"/>
                                      <w:sz w:val="20"/>
                                      <w:szCs w:val="20"/>
                                    </w:rPr>
                                    <w:t>1、</w:t>
                                  </w:r>
                                  <w:r>
                                    <w:rPr>
                                      <w:sz w:val="20"/>
                                      <w:szCs w:val="20"/>
                                    </w:rPr>
                                    <w:t>医学专家</w:t>
                                  </w:r>
                                  <w:r>
                                    <w:rPr>
                                      <w:rFonts w:hint="eastAsia"/>
                                      <w:sz w:val="20"/>
                                      <w:szCs w:val="20"/>
                                    </w:rPr>
                                    <w:t>案件</w:t>
                                  </w:r>
                                  <w:r>
                                    <w:rPr>
                                      <w:sz w:val="20"/>
                                      <w:szCs w:val="20"/>
                                    </w:rPr>
                                    <w:t>分析</w:t>
                                  </w:r>
                                </w:p>
                                <w:p w14:paraId="7786C4C2">
                                  <w:pPr>
                                    <w:spacing w:line="240" w:lineRule="exact"/>
                                    <w:rPr>
                                      <w:sz w:val="20"/>
                                      <w:szCs w:val="20"/>
                                    </w:rPr>
                                  </w:pPr>
                                  <w:r>
                                    <w:rPr>
                                      <w:rFonts w:hint="eastAsia"/>
                                      <w:sz w:val="20"/>
                                      <w:szCs w:val="20"/>
                                    </w:rPr>
                                    <w:t>2、诉讼</w:t>
                                  </w:r>
                                  <w:r>
                                    <w:rPr>
                                      <w:sz w:val="20"/>
                                      <w:szCs w:val="20"/>
                                    </w:rPr>
                                    <w:t>案件风险评估小组案件分析评估</w:t>
                                  </w:r>
                                </w:p>
                              </w:txbxContent>
                            </v:textbox>
                          </v:rect>
                          <v:rect id="_x0000_s1026" o:spid="_x0000_s1026" o:spt="1" style="position:absolute;left:9698;top:13378;height:891;width:1595;" fillcolor="#FFFFFF" filled="t" stroked="t" coordsize="21600,21600" o:gfxdata="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WyH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189DA00">
                                  <w:pPr>
                                    <w:rPr>
                                      <w:sz w:val="20"/>
                                      <w:szCs w:val="20"/>
                                    </w:rPr>
                                  </w:pPr>
                                  <w:r>
                                    <w:rPr>
                                      <w:rFonts w:hint="eastAsia"/>
                                      <w:sz w:val="20"/>
                                      <w:szCs w:val="20"/>
                                    </w:rPr>
                                    <w:t>二审应诉（流程参考</w:t>
                                  </w:r>
                                  <w:r>
                                    <w:rPr>
                                      <w:sz w:val="20"/>
                                      <w:szCs w:val="20"/>
                                    </w:rPr>
                                    <w:t>一审）</w:t>
                                  </w:r>
                                </w:p>
                              </w:txbxContent>
                            </v:textbox>
                          </v:rect>
                          <v:rect id="_x0000_s1026" o:spid="_x0000_s1026" o:spt="1" style="position:absolute;left:9740;top:14965;height:475;width:1595;" fillcolor="#FFFFFF" filled="t" stroked="t" coordsize="21600,21600" o:gfxdata="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IEVgC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754174D">
                                  <w:pPr>
                                    <w:jc w:val="center"/>
                                    <w:rPr>
                                      <w:sz w:val="20"/>
                                      <w:szCs w:val="20"/>
                                    </w:rPr>
                                  </w:pPr>
                                  <w:r>
                                    <w:rPr>
                                      <w:rFonts w:hint="eastAsia"/>
                                      <w:sz w:val="20"/>
                                      <w:szCs w:val="20"/>
                                    </w:rPr>
                                    <w:t>二审裁判</w:t>
                                  </w:r>
                                </w:p>
                              </w:txbxContent>
                            </v:textbox>
                          </v:rect>
                          <v:rect id="_x0000_s1026" o:spid="_x0000_s1026" o:spt="1" style="position:absolute;left:6458;top:14946;height:573;width:2042;" fillcolor="#FFFFFF" filled="t" stroked="t" coordsize="21600,21600" o:gfxdata="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SPOb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BC99578">
                                  <w:pPr>
                                    <w:jc w:val="center"/>
                                    <w:rPr>
                                      <w:sz w:val="20"/>
                                      <w:szCs w:val="20"/>
                                    </w:rPr>
                                  </w:pPr>
                                  <w:r>
                                    <w:rPr>
                                      <w:rFonts w:hint="eastAsia"/>
                                      <w:sz w:val="20"/>
                                      <w:szCs w:val="20"/>
                                    </w:rPr>
                                    <w:t>保险核定并赔付</w:t>
                                  </w:r>
                                </w:p>
                              </w:txbxContent>
                            </v:textbox>
                          </v:rect>
                          <v:rect id="_x0000_s1026" o:spid="_x0000_s1026" o:spt="1" style="position:absolute;left:8044;top:4733;height:1953;width:2731;" fillcolor="#FFFFFF" filled="t" stroked="t" coordsize="21600,21600" o:gfxdata="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HqaubsAAADb&#10;AAAADwAAAAAAAAABACAAAAAiAAAAZHJzL2Rvd25yZXYueG1sUEsBAhQAFAAAAAgAh07iQDMvBZ47&#10;AAAAOQAAABAAAAAAAAAAAQAgAAAACgEAAGRycy9zaGFwZXhtbC54bWxQSwUGAAAAAAYABgBbAQAA&#10;tAMAAAAA&#10;">
                            <v:fill on="t" focussize="0,0"/>
                            <v:stroke weight="1pt" color="#000000" joinstyle="miter" dashstyle="dash"/>
                            <v:imagedata o:title=""/>
                            <o:lock v:ext="edit" aspectratio="f"/>
                            <v:textbox>
                              <w:txbxContent>
                                <w:p w14:paraId="517F80CD">
                                  <w:pPr>
                                    <w:rPr>
                                      <w:sz w:val="18"/>
                                      <w:szCs w:val="18"/>
                                    </w:rPr>
                                  </w:pPr>
                                  <w:r>
                                    <w:rPr>
                                      <w:rFonts w:hint="eastAsia"/>
                                      <w:sz w:val="18"/>
                                      <w:szCs w:val="18"/>
                                    </w:rPr>
                                    <w:t>联系</w:t>
                                  </w:r>
                                  <w:r>
                                    <w:rPr>
                                      <w:sz w:val="18"/>
                                      <w:szCs w:val="18"/>
                                    </w:rPr>
                                    <w:t>医疗机构：</w:t>
                                  </w:r>
                                </w:p>
                                <w:p w14:paraId="04553A09">
                                  <w:pPr>
                                    <w:rPr>
                                      <w:sz w:val="18"/>
                                      <w:szCs w:val="18"/>
                                    </w:rPr>
                                  </w:pPr>
                                  <w:r>
                                    <w:rPr>
                                      <w:rFonts w:hint="eastAsia"/>
                                      <w:sz w:val="18"/>
                                      <w:szCs w:val="18"/>
                                    </w:rPr>
                                    <w:t>案件</w:t>
                                  </w:r>
                                  <w:r>
                                    <w:rPr>
                                      <w:sz w:val="18"/>
                                      <w:szCs w:val="18"/>
                                    </w:rPr>
                                    <w:t>是否曾调解</w:t>
                                  </w:r>
                                  <w:r>
                                    <w:rPr>
                                      <w:rFonts w:hint="eastAsia"/>
                                      <w:sz w:val="18"/>
                                      <w:szCs w:val="18"/>
                                    </w:rPr>
                                    <w:t>？</w:t>
                                  </w:r>
                                </w:p>
                                <w:p w14:paraId="33D61376">
                                  <w:pPr>
                                    <w:rPr>
                                      <w:sz w:val="18"/>
                                      <w:szCs w:val="18"/>
                                    </w:rPr>
                                  </w:pPr>
                                  <w:r>
                                    <w:rPr>
                                      <w:rFonts w:hint="eastAsia"/>
                                      <w:sz w:val="18"/>
                                      <w:szCs w:val="18"/>
                                    </w:rPr>
                                    <w:t>案件是否曾</w:t>
                                  </w:r>
                                  <w:r>
                                    <w:rPr>
                                      <w:sz w:val="18"/>
                                      <w:szCs w:val="18"/>
                                    </w:rPr>
                                    <w:t>鉴定？</w:t>
                                  </w:r>
                                </w:p>
                                <w:p w14:paraId="6A62FE07">
                                  <w:pPr>
                                    <w:rPr>
                                      <w:sz w:val="18"/>
                                      <w:szCs w:val="18"/>
                                    </w:rPr>
                                  </w:pPr>
                                  <w:r>
                                    <w:rPr>
                                      <w:rFonts w:hint="eastAsia"/>
                                      <w:sz w:val="18"/>
                                      <w:szCs w:val="18"/>
                                    </w:rPr>
                                    <w:t>医院</w:t>
                                  </w:r>
                                  <w:r>
                                    <w:rPr>
                                      <w:sz w:val="18"/>
                                      <w:szCs w:val="18"/>
                                    </w:rPr>
                                    <w:t>是否需要指派律师</w:t>
                                  </w:r>
                                  <w:r>
                                    <w:rPr>
                                      <w:rFonts w:hint="eastAsia"/>
                                      <w:sz w:val="18"/>
                                      <w:szCs w:val="18"/>
                                    </w:rPr>
                                    <w:t>？</w:t>
                                  </w:r>
                                </w:p>
                                <w:p w14:paraId="13AC3B4B">
                                  <w:pPr>
                                    <w:rPr>
                                      <w:sz w:val="18"/>
                                      <w:szCs w:val="18"/>
                                    </w:rPr>
                                  </w:pPr>
                                  <w:r>
                                    <w:rPr>
                                      <w:rFonts w:hint="eastAsia"/>
                                      <w:sz w:val="18"/>
                                      <w:szCs w:val="18"/>
                                    </w:rPr>
                                    <w:t>告知</w:t>
                                  </w:r>
                                  <w:r>
                                    <w:rPr>
                                      <w:sz w:val="18"/>
                                      <w:szCs w:val="18"/>
                                    </w:rPr>
                                    <w:t>及发送材料清单</w:t>
                                  </w:r>
                                  <w:r>
                                    <w:rPr>
                                      <w:rFonts w:hint="eastAsia"/>
                                      <w:sz w:val="18"/>
                                      <w:szCs w:val="18"/>
                                    </w:rPr>
                                    <w:t>？</w:t>
                                  </w:r>
                                </w:p>
                              </w:txbxContent>
                            </v:textbox>
                          </v:rect>
                          <v:rect id="_x0000_s1026" o:spid="_x0000_s1026" o:spt="1" style="position:absolute;left:9322;top:3230;height:462;width:1712;" fillcolor="#FFFFFF" filled="t" stroked="t" coordsize="21600,21600" o:gfxdata="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3tznS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5AF4731C">
                                  <w:pPr>
                                    <w:jc w:val="center"/>
                                    <w:rPr>
                                      <w:sz w:val="20"/>
                                      <w:szCs w:val="20"/>
                                    </w:rPr>
                                  </w:pPr>
                                  <w:r>
                                    <w:rPr>
                                      <w:sz w:val="20"/>
                                      <w:szCs w:val="20"/>
                                    </w:rPr>
                                    <w:t>医疗机构</w:t>
                                  </w:r>
                                </w:p>
                              </w:txbxContent>
                            </v:textbox>
                          </v:rect>
                          <v:rect id="_x0000_s1026" o:spid="_x0000_s1026" o:spt="1" style="position:absolute;left:8351;top:10563;height:794;width:2217;" fillcolor="#FFFFFF" filled="t" stroked="t" coordsize="21600,21600" o:gfxdata="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I+xh6rgAAADb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w:txbxContent>
                                <w:p w14:paraId="433043FA">
                                  <w:pPr>
                                    <w:jc w:val="center"/>
                                    <w:rPr>
                                      <w:sz w:val="20"/>
                                      <w:szCs w:val="20"/>
                                    </w:rPr>
                                  </w:pPr>
                                  <w:r>
                                    <w:rPr>
                                      <w:rFonts w:hint="eastAsia"/>
                                      <w:sz w:val="20"/>
                                      <w:szCs w:val="20"/>
                                    </w:rPr>
                                    <w:t>选定鉴定</w:t>
                                  </w:r>
                                  <w:r>
                                    <w:rPr>
                                      <w:sz w:val="20"/>
                                      <w:szCs w:val="20"/>
                                    </w:rPr>
                                    <w:t>机构，进入鉴定</w:t>
                                  </w:r>
                                  <w:r>
                                    <w:rPr>
                                      <w:rFonts w:hint="eastAsia"/>
                                      <w:sz w:val="20"/>
                                      <w:szCs w:val="20"/>
                                    </w:rPr>
                                    <w:t>程序</w:t>
                                  </w:r>
                                </w:p>
                              </w:txbxContent>
                            </v:textbox>
                          </v:rect>
                          <v:rect id="_x0000_s1026" o:spid="_x0000_s1026" o:spt="1" style="position:absolute;left:8361;top:12007;height:515;width:2216;" fillcolor="#FFFFFF" filled="t" stroked="t" coordsize="21600,21600" o:gfxdata="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KDEc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0581DA60">
                                  <w:pPr>
                                    <w:jc w:val="center"/>
                                    <w:rPr>
                                      <w:sz w:val="20"/>
                                      <w:szCs w:val="20"/>
                                    </w:rPr>
                                  </w:pPr>
                                  <w:r>
                                    <w:rPr>
                                      <w:rFonts w:hint="eastAsia"/>
                                      <w:sz w:val="20"/>
                                      <w:szCs w:val="20"/>
                                    </w:rPr>
                                    <w:t>一审判决</w:t>
                                  </w:r>
                                </w:p>
                              </w:txbxContent>
                            </v:textbox>
                          </v:rect>
                          <v:shape id="_x0000_s1026" o:spid="_x0000_s1026" o:spt="110" type="#_x0000_t110" style="position:absolute;left:6338;top:13242;height:897;width:2289;" fillcolor="#FFFFFF" filled="t" stroked="t" coordsize="21600,21600" o:gfxdata="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kMRW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7728C4B">
                                  <w:pPr>
                                    <w:spacing w:line="240" w:lineRule="exact"/>
                                    <w:rPr>
                                      <w:sz w:val="20"/>
                                      <w:szCs w:val="20"/>
                                    </w:rPr>
                                  </w:pPr>
                                  <w:r>
                                    <w:rPr>
                                      <w:rFonts w:hint="eastAsia"/>
                                      <w:sz w:val="20"/>
                                      <w:szCs w:val="20"/>
                                    </w:rPr>
                                    <w:t>是否上诉</w:t>
                                  </w:r>
                                </w:p>
                              </w:txbxContent>
                            </v:textbox>
                          </v:shape>
                          <v:shape id="_x0000_s1026" o:spid="_x0000_s1026" o:spt="34" type="#_x0000_t34" style="position:absolute;left:6805;top:4478;flip:y;height:380;width:1911;rotation:-5898240f;" filled="f" stroked="t" coordsize="21600,21600" o:gfxdata="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AgVBL4A&#10;AADbAAAADwAAAAAAAAABACAAAAAiAAAAZHJzL2Rvd25yZXYueG1sUEsBAhQAFAAAAAgAh07iQDMv&#10;BZ47AAAAOQAAABAAAAAAAAAAAQAgAAAADQEAAGRycy9zaGFwZXhtbC54bWxQSwUGAAAAAAYABgBb&#10;AQAAtwMAAAAA&#10;" adj="21764">
                            <v:fill on="f" focussize="0,0"/>
                            <v:stroke color="#000000" joinstyle="round" endarrow="block"/>
                            <v:imagedata o:title=""/>
                            <o:lock v:ext="edit" aspectratio="f"/>
                          </v:shape>
                          <v:shape id="_x0000_s1026" o:spid="_x0000_s1026" o:spt="35" type="#_x0000_t35" style="position:absolute;left:9801;top:4417;height:227;width:2188;rotation:-5898240f;" filled="f" stroked="t" coordsize="21600,21600" o:gfxdata="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Zi3XLsAAADb&#10;AAAADwAAAAAAAAABACAAAAAiAAAAZHJzL2Rvd25yZXYueG1sUEsBAhQAFAAAAAgAh07iQDMvBZ47&#10;AAAAOQAAABAAAAAAAAAAAQAgAAAACgEAAGRycy9zaGFwZXhtbC54bWxQSwUGAAAAAAYABgBbAQAA&#10;tAMAAAAA&#10;" adj="-183,57235">
                            <v:fill on="f" focussize="0,0"/>
                            <v:stroke color="#000000" joinstyle="round" endarrow="block"/>
                            <v:imagedata o:title=""/>
                            <o:lock v:ext="edit" aspectratio="f"/>
                          </v:shape>
                          <v:shape id="_x0000_s1026" o:spid="_x0000_s1026" o:spt="32" type="#_x0000_t32" style="position:absolute;left:8347;top:3407;flip:x;height:0;width:974;" filled="f" stroked="t" coordsize="21600,21600" o:gfxdata="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vDHg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35" type="#_x0000_t35" style="position:absolute;left:3277;top:3438;flip:x y;height:2212;width:1196;rotation:11796480f;" filled="f" stroked="t" coordsize="21600,21600" o:gfxdata="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e+f5vQAA&#10;ANsAAAAPAAAAAAAAAAEAIAAAACIAAABkcnMvZG93bnJldi54bWxQSwECFAAUAAAACACHTuJAMy8F&#10;njsAAAA5AAAAEAAAAAAAAAABACAAAAAMAQAAZHJzL3NoYXBleG1sLnhtbFBLBQYAAAAABgAGAFsB&#10;AAC2AwAAAAA=&#10;" adj="-6773,21590">
                            <v:fill on="f" focussize="0,0"/>
                            <v:stroke color="#000000" joinstyle="round" endarrow="block"/>
                            <v:imagedata o:title=""/>
                            <o:lock v:ext="edit" aspectratio="f"/>
                          </v:shape>
                          <v:shape id="_x0000_s1026" o:spid="_x0000_s1026" o:spt="34" type="#_x0000_t34" style="position:absolute;left:6468;top:3720;flip:y;height:1929;width:312;" filled="f" stroked="t" coordsize="21600,21600" o:gfxdata="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j/y7S8AAAA&#10;2wAAAA8AAAAAAAAAAQAgAAAAIgAAAGRycy9kb3ducmV2LnhtbFBLAQIUABQAAAAIAIdO4kAzLwWe&#10;OwAAADkAAAAQAAAAAAAAAAEAIAAAAAsBAABkcnMvc2hhcGV4bWwueG1sUEsFBgAAAAAGAAYAWwEA&#10;ALUDAAAAAA==&#10;" adj="21438">
                            <v:fill on="f" focussize="0,0"/>
                            <v:stroke color="#000000" joinstyle="round" endarrow="block"/>
                            <v:imagedata o:title=""/>
                            <o:lock v:ext="edit" aspectratio="f"/>
                          </v:shape>
                          <v:shape id="_x0000_s1026" o:spid="_x0000_s1026" o:spt="32" type="#_x0000_t32" style="position:absolute;left:4938;top:3420;flip:x;height:0;width:1230;" filled="f" stroked="t" coordsize="21600,21600" o:gfxdata="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h2QbvQAA&#10;ANs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_x0000_s1026" o:spid="_x0000_s1026" o:spt="32" type="#_x0000_t32" style="position:absolute;left:7223;top:7590;flip:x;height:622;width:5;" filled="f" stroked="t" coordsize="21600,21600" o:gfxdata="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LwYC/&#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shape>
                          <v:shape id="_x0000_s1026" o:spid="_x0000_s1026" o:spt="33" type="#_x0000_t33" style="position:absolute;left:7503;top:12277;flip:y;height:991;width:858;rotation:11796480f;" filled="f" stroked="t" coordsize="21600,21600" o:gfxdata="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GWXr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_x0000_s1026" o:spid="_x0000_s1026" o:spt="32" type="#_x0000_t32" style="position:absolute;left:8508;top:15184;flip:x;height:0;width:1242;" filled="f" stroked="t" coordsize="21600,21600" o:gfxdata="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xjwa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202" type="#_x0000_t202" style="position:absolute;left:8816;top:13232;height:439;width:491;" fillcolor="#FFFFFF" filled="t" stroked="t" coordsize="21600,21600" o:gfxdata="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vyixmtwAAANsAAAAP&#10;AAAAAAAAAAEAIAAAACIAAABkcnMvZG93bnJldi54bWxQSwECFAAUAAAACACHTuJAMy8FnjsAAAA5&#10;AAAAEAAAAAAAAAABACAAAAAGAQAAZHJzL3NoYXBleG1sLnhtbFBLBQYAAAAABgAGAFsBAACwAwAA&#10;AAA=&#10;">
                            <v:fill on="t" focussize="0,0"/>
                            <v:stroke weight="0.5pt" color="#FFFFFF" joinstyle="round"/>
                            <v:imagedata o:title=""/>
                            <o:lock v:ext="edit" aspectratio="f"/>
                            <v:textbox>
                              <w:txbxContent>
                                <w:p w14:paraId="61BDE4D5">
                                  <w:pPr>
                                    <w:rPr>
                                      <w:sz w:val="20"/>
                                      <w:szCs w:val="20"/>
                                    </w:rPr>
                                  </w:pPr>
                                  <w:r>
                                    <w:rPr>
                                      <w:rFonts w:hint="eastAsia"/>
                                      <w:sz w:val="20"/>
                                      <w:szCs w:val="20"/>
                                    </w:rPr>
                                    <w:t>是</w:t>
                                  </w:r>
                                </w:p>
                              </w:txbxContent>
                            </v:textbox>
                          </v:shape>
                          <v:shape id="_x0000_s1026" o:spid="_x0000_s1026" o:spt="202" type="#_x0000_t202" style="position:absolute;left:7598;top:14153;height:513;width:545;" fillcolor="#FFFFFF" filled="t" stroked="t" coordsize="21600,21600" o:gfxdata="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Gif28AAAA&#10;2wAAAA8AAAAAAAAAAQAgAAAAIgAAAGRycy9kb3ducmV2LnhtbFBLAQIUABQAAAAIAIdO4kAzLwWe&#10;OwAAADkAAAAQAAAAAAAAAAEAIAAAAAsBAABkcnMvc2hhcGV4bWwueG1sUEsFBgAAAAAGAAYAWwEA&#10;ALUDAAAAAA==&#10;">
                            <v:fill on="t" focussize="0,0"/>
                            <v:stroke weight="0.5pt" color="#FFFFFF" joinstyle="round"/>
                            <v:imagedata o:title=""/>
                            <o:lock v:ext="edit" aspectratio="f"/>
                            <v:textbox>
                              <w:txbxContent>
                                <w:p w14:paraId="747FBD8B">
                                  <w:r>
                                    <w:rPr>
                                      <w:rFonts w:hint="eastAsia"/>
                                    </w:rPr>
                                    <w:t>否</w:t>
                                  </w:r>
                                </w:p>
                              </w:txbxContent>
                            </v:textbox>
                          </v:shape>
                          <v:shape id="_x0000_s1026" o:spid="_x0000_s1026" o:spt="32" type="#_x0000_t32" style="position:absolute;left:9460;top:11357;height:650;width:9;" filled="f" stroked="t" coordsize="21600,21600" o:gfxdata="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1TiC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34" type="#_x0000_t34" style="position:absolute;left:5510;top:10960;flip:y;height:2751;width:2841;" filled="f" stroked="t" coordsize="21600,21600" o:gfxdata="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tbEm74A&#10;AADbAAAADwAAAAAAAAABACAAAAAiAAAAZHJzL2Rvd25yZXYueG1sUEsBAhQAFAAAAAgAh07iQDMv&#10;BZ47AAAAOQAAABAAAAAAAAAAAQAgAAAADQEAAGRycy9zaGFwZXhtbC54bWxQSwUGAAAAAAYABgBb&#10;AQAAtwMAAAAA&#10;" adj="3034">
                            <v:fill on="f" focussize="0,0"/>
                            <v:stroke color="#000000" joinstyle="round" endarrow="block"/>
                            <v:imagedata o:title=""/>
                            <o:lock v:ext="edit" aspectratio="f"/>
                          </v:shape>
                          <v:shape id="_x0000_s1026" o:spid="_x0000_s1026" o:spt="32" type="#_x0000_t32" style="position:absolute;left:5318;top:10776;flip:x y;height:15;width:3020;" filled="f" stroked="t" coordsize="21600,21600" o:gfxdata="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l8o4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_x0000_s1026" o:spid="_x0000_s1026" o:spt="202" type="#_x0000_t202" style="position:absolute;left:5972;top:11933;height:580;width:545;" fillcolor="#FFFFFF" filled="t" stroked="t" coordsize="21600,21600" o:gfxdata="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RvCBgtwAAANsAAAAP&#10;AAAAAAAAAAEAIAAAACIAAABkcnMvZG93bnJldi54bWxQSwECFAAUAAAACACHTuJAMy8FnjsAAAA5&#10;AAAAEAAAAAAAAAABACAAAAAGAQAAZHJzL3NoYXBleG1sLnhtbFBLBQYAAAAABgAGAFsBAACwAwAA&#10;AAA=&#10;">
                            <v:fill on="t" focussize="0,0"/>
                            <v:stroke weight="0.5pt" color="#FFFFFF" joinstyle="round"/>
                            <v:imagedata o:title=""/>
                            <o:lock v:ext="edit" aspectratio="f"/>
                            <v:textbox>
                              <w:txbxContent>
                                <w:p w14:paraId="35082AA3">
                                  <w:r>
                                    <w:rPr>
                                      <w:rFonts w:hint="eastAsia"/>
                                    </w:rPr>
                                    <w:t>否</w:t>
                                  </w:r>
                                </w:p>
                              </w:txbxContent>
                            </v:textbox>
                          </v:shape>
                          <v:shape id="_x0000_s1026" o:spid="_x0000_s1026" o:spt="202" type="#_x0000_t202" style="position:absolute;left:4383;top:14391;height:506;width:491;" fillcolor="#FFFFFF" filled="t" stroked="t" coordsize="21600,21600" o:gfxdata="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whfu8AAAA&#10;2wAAAA8AAAAAAAAAAQAgAAAAIgAAAGRycy9kb3ducmV2LnhtbFBLAQIUABQAAAAIAIdO4kAzLwWe&#10;OwAAADkAAAAQAAAAAAAAAAEAIAAAAAsBAABkcnMvc2hhcGV4bWwueG1sUEsFBgAAAAAGAAYAWwEA&#10;ALUDAAAAAA==&#10;">
                            <v:fill on="t" focussize="0,0"/>
                            <v:stroke weight="0.5pt" color="#FFFFFF" joinstyle="round"/>
                            <v:imagedata o:title=""/>
                            <o:lock v:ext="edit" aspectratio="f"/>
                            <v:textbox>
                              <w:txbxContent>
                                <w:p w14:paraId="6202BCE1">
                                  <w:pPr>
                                    <w:rPr>
                                      <w:sz w:val="20"/>
                                      <w:szCs w:val="20"/>
                                    </w:rPr>
                                  </w:pPr>
                                  <w:r>
                                    <w:rPr>
                                      <w:rFonts w:hint="eastAsia"/>
                                      <w:sz w:val="20"/>
                                      <w:szCs w:val="20"/>
                                    </w:rPr>
                                    <w:t>是</w:t>
                                  </w:r>
                                </w:p>
                              </w:txbxContent>
                            </v:textbox>
                          </v:shape>
                        </v:group>
                      </v:group>
                    </v:group>
                    <v:rect id="_x0000_s1026" o:spid="_x0000_s1026" o:spt="1" style="position:absolute;left:3435;top:11865;height:906;width:1915;" fillcolor="#FFFFFF" filled="t" stroked="t" coordsize="21600,21600" o:gfxdata="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nYO8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B7ADDE1">
                            <w:pPr>
                              <w:jc w:val="center"/>
                              <w:rPr>
                                <w:sz w:val="20"/>
                                <w:szCs w:val="20"/>
                              </w:rPr>
                            </w:pPr>
                            <w:r>
                              <w:rPr>
                                <w:rFonts w:hint="eastAsia"/>
                                <w:sz w:val="20"/>
                                <w:szCs w:val="20"/>
                              </w:rPr>
                              <w:t>保险公司确认调解/和解</w:t>
                            </w:r>
                            <w:r>
                              <w:rPr>
                                <w:sz w:val="20"/>
                                <w:szCs w:val="20"/>
                              </w:rPr>
                              <w:t>方案</w:t>
                            </w:r>
                          </w:p>
                        </w:txbxContent>
                      </v:textbox>
                    </v:rect>
                    <v:shape id="_x0000_s1026" o:spid="_x0000_s1026" o:spt="110" type="#_x0000_t110" style="position:absolute;left:3221;top:13262;height:897;width:2289;" fillcolor="#FFFFFF" filled="t" stroked="t" coordsize="21600,21600" o:gfxdata="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BPR7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39120F76">
                            <w:pPr>
                              <w:rPr>
                                <w:sz w:val="18"/>
                                <w:szCs w:val="18"/>
                              </w:rPr>
                            </w:pPr>
                            <w:r>
                              <w:rPr>
                                <w:rFonts w:hint="eastAsia"/>
                                <w:sz w:val="18"/>
                                <w:szCs w:val="18"/>
                              </w:rPr>
                              <w:t>是否成功</w:t>
                            </w:r>
                          </w:p>
                        </w:txbxContent>
                      </v:textbox>
                    </v:shape>
                  </v:group>
                  <v:shape id="_x0000_s1026" o:spid="_x0000_s1026" o:spt="32" type="#_x0000_t32" style="position:absolute;left:8179;top:14152;height:778;width:0;" filled="f" stroked="t" coordsize="21600,21600" o:gfxdata="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vrXT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group>
                <v:shape id="_x0000_s1026" o:spid="_x0000_s1026" o:spt="34" type="#_x0000_t34" style="position:absolute;left:8422;top:13667;flip:y;height:1934;width:830;rotation:-5898240f;" filled="f" stroked="t" coordsize="21600,21600" o:gfxdata="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PMigugAAANsA&#10;AAAPAAAAAAAAAAEAIAAAACIAAABkcnMvZG93bnJldi54bWxQSwECFAAUAAAACACHTuJAMy8FnjsA&#10;AAA5AAAAEAAAAAAAAAABACAAAAAJAQAAZHJzL3NoYXBleG1sLnhtbFBLBQYAAAAABgAGAFsBAACz&#10;AwAAAAA=&#10;" adj="10800">
                  <v:fill on="f" focussize="0,0"/>
                  <v:stroke color="#000000" joinstyle="round" endarrow="block"/>
                  <v:imagedata o:title=""/>
                  <o:lock v:ext="edit" aspectratio="f"/>
                </v:shape>
                <v:shape id="_x0000_s1026" o:spid="_x0000_s1026" o:spt="202" type="#_x0000_t202" style="position:absolute;left:8911;top:15049;height:450;width:1785;" fillcolor="#FFFFFF" filled="t" stroked="t" coordsize="21600,21600" o:gfxdata="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AHSjhtwAAANsAAAAP&#10;AAAAAAAAAAEAIAAAACIAAABkcnMvZG93bnJldi54bWxQSwECFAAUAAAACACHTuJAMy8FnjsAAAA5&#10;AAAAEAAAAAAAAAABACAAAAAGAQAAZHJzL3NoYXBleG1sLnhtbFBLBQYAAAAABgAGAFsBAACwAwAA&#10;AAA=&#10;">
                  <v:fill on="t" focussize="0,0"/>
                  <v:stroke weight="0.5pt" color="#000000" joinstyle="round"/>
                  <v:imagedata o:title=""/>
                  <o:lock v:ext="edit" aspectratio="f"/>
                  <v:textbox>
                    <w:txbxContent>
                      <w:p w14:paraId="45BBCE09">
                        <w:pPr>
                          <w:jc w:val="center"/>
                        </w:pPr>
                        <w:r>
                          <w:rPr>
                            <w:rFonts w:hint="eastAsia"/>
                          </w:rPr>
                          <w:t>或支付给医院</w:t>
                        </w:r>
                      </w:p>
                    </w:txbxContent>
                  </v:textbox>
                </v:shape>
                <v:shape id="_x0000_s1026" o:spid="_x0000_s1026" o:spt="202" type="#_x0000_t202" style="position:absolute;left:5595;top:15051;height:495;width:1514;" fillcolor="#FFFFFF" filled="t" stroked="t" coordsize="21600,21600" o:gfxdata="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KQWNrsAAADc&#10;AAAADwAAAAAAAAABACAAAAAiAAAAZHJzL2Rvd25yZXYueG1sUEsBAhQAFAAAAAgAh07iQDMvBZ47&#10;AAAAOQAAABAAAAAAAAAAAQAgAAAACgEAAGRycy9zaGFwZXhtbC54bWxQSwUGAAAAAAYABgBbAQAA&#10;tAMAAAAA&#10;">
                  <v:fill on="t" focussize="0,0"/>
                  <v:stroke weight="0.5pt" color="#000000" joinstyle="round"/>
                  <v:imagedata o:title=""/>
                  <o:lock v:ext="edit" aspectratio="f"/>
                  <v:textbox>
                    <w:txbxContent>
                      <w:p w14:paraId="4F00D801">
                        <w:pPr>
                          <w:jc w:val="center"/>
                        </w:pPr>
                        <w:r>
                          <w:rPr>
                            <w:rFonts w:hint="eastAsia"/>
                          </w:rPr>
                          <w:t>支付给患方</w:t>
                        </w:r>
                      </w:p>
                    </w:txbxContent>
                  </v:textbox>
                </v:shape>
                <v:shape id="_x0000_s1026" o:spid="_x0000_s1026" o:spt="34" type="#_x0000_t34" style="position:absolute;left:6695;top:13876;height:1518;width:832;rotation:5898240f;" filled="f" stroked="t" coordsize="21600,21600" o:gfxdata="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fOS0r4A&#10;AADcAAAADwAAAAAAAAABACAAAAAiAAAAZHJzL2Rvd25yZXYueG1sUEsBAhQAFAAAAAgAh07iQDMv&#10;BZ47AAAAOQAAABAAAAAAAAAAAQAgAAAADQEAAGRycy9zaGFwZXhtbC54bWxQSwUGAAAAAAYABgBb&#10;AQAAtwMAAAAA&#10;" adj="10800">
                  <v:fill on="f" focussize="0,0"/>
                  <v:stroke color="#000000" joinstyle="round" endarrow="block"/>
                  <v:imagedata o:title=""/>
                  <o:lock v:ext="edit" aspectratio="f"/>
                </v:shape>
              </v:group>
            </w:pict>
          </mc:Fallback>
        </mc:AlternateContent>
      </w:r>
    </w:p>
    <w:p w14:paraId="5A840E5D">
      <w:pPr>
        <w:pStyle w:val="4"/>
        <w:tabs>
          <w:tab w:val="left" w:pos="562"/>
          <w:tab w:val="left" w:pos="3372"/>
          <w:tab w:val="left" w:pos="3653"/>
        </w:tabs>
        <w:rPr>
          <w:color w:val="auto"/>
          <w:highlight w:val="none"/>
        </w:rPr>
      </w:pPr>
    </w:p>
    <w:p w14:paraId="0A312E3D">
      <w:pPr>
        <w:pStyle w:val="4"/>
        <w:tabs>
          <w:tab w:val="left" w:pos="562"/>
          <w:tab w:val="left" w:pos="3372"/>
          <w:tab w:val="left" w:pos="3653"/>
        </w:tabs>
        <w:rPr>
          <w:color w:val="auto"/>
          <w:highlight w:val="none"/>
        </w:rPr>
      </w:pPr>
    </w:p>
    <w:p w14:paraId="543303A9">
      <w:pPr>
        <w:pStyle w:val="4"/>
        <w:tabs>
          <w:tab w:val="left" w:pos="562"/>
          <w:tab w:val="left" w:pos="3372"/>
          <w:tab w:val="left" w:pos="3653"/>
        </w:tabs>
        <w:rPr>
          <w:color w:val="auto"/>
          <w:highlight w:val="none"/>
        </w:rPr>
      </w:pPr>
    </w:p>
    <w:p w14:paraId="00280B6E">
      <w:pPr>
        <w:pStyle w:val="4"/>
        <w:tabs>
          <w:tab w:val="left" w:pos="562"/>
          <w:tab w:val="left" w:pos="3372"/>
          <w:tab w:val="left" w:pos="3653"/>
        </w:tabs>
        <w:rPr>
          <w:color w:val="auto"/>
          <w:highlight w:val="none"/>
        </w:rPr>
      </w:pPr>
    </w:p>
    <w:p w14:paraId="4452157D">
      <w:pPr>
        <w:pStyle w:val="4"/>
        <w:tabs>
          <w:tab w:val="left" w:pos="562"/>
          <w:tab w:val="left" w:pos="3372"/>
          <w:tab w:val="left" w:pos="3653"/>
        </w:tabs>
        <w:rPr>
          <w:color w:val="auto"/>
          <w:highlight w:val="none"/>
        </w:rPr>
      </w:pPr>
    </w:p>
    <w:p w14:paraId="4FA13C09">
      <w:pPr>
        <w:pStyle w:val="4"/>
        <w:tabs>
          <w:tab w:val="left" w:pos="562"/>
          <w:tab w:val="left" w:pos="3372"/>
          <w:tab w:val="left" w:pos="3653"/>
        </w:tabs>
        <w:rPr>
          <w:color w:val="auto"/>
          <w:highlight w:val="none"/>
        </w:rPr>
      </w:pPr>
    </w:p>
    <w:p w14:paraId="1A7C3B5F">
      <w:pPr>
        <w:pStyle w:val="4"/>
        <w:tabs>
          <w:tab w:val="left" w:pos="562"/>
          <w:tab w:val="left" w:pos="3372"/>
          <w:tab w:val="left" w:pos="3653"/>
        </w:tabs>
        <w:rPr>
          <w:color w:val="auto"/>
          <w:highlight w:val="none"/>
        </w:rPr>
      </w:pPr>
    </w:p>
    <w:p w14:paraId="272FEA4F">
      <w:pPr>
        <w:pStyle w:val="4"/>
        <w:tabs>
          <w:tab w:val="left" w:pos="562"/>
          <w:tab w:val="left" w:pos="3372"/>
          <w:tab w:val="left" w:pos="3653"/>
        </w:tabs>
        <w:rPr>
          <w:color w:val="auto"/>
          <w:highlight w:val="none"/>
        </w:rPr>
      </w:pPr>
    </w:p>
    <w:p w14:paraId="5D4A4ECA">
      <w:pPr>
        <w:pStyle w:val="4"/>
        <w:tabs>
          <w:tab w:val="left" w:pos="562"/>
          <w:tab w:val="left" w:pos="3372"/>
          <w:tab w:val="left" w:pos="3653"/>
        </w:tabs>
        <w:rPr>
          <w:color w:val="auto"/>
          <w:highlight w:val="none"/>
        </w:rPr>
      </w:pPr>
    </w:p>
    <w:p w14:paraId="3453E3C9">
      <w:pPr>
        <w:pStyle w:val="4"/>
        <w:tabs>
          <w:tab w:val="left" w:pos="562"/>
          <w:tab w:val="left" w:pos="3372"/>
          <w:tab w:val="left" w:pos="3653"/>
        </w:tabs>
        <w:rPr>
          <w:color w:val="auto"/>
          <w:highlight w:val="none"/>
        </w:rPr>
      </w:pPr>
    </w:p>
    <w:p w14:paraId="19CCF17B">
      <w:pPr>
        <w:pStyle w:val="4"/>
        <w:tabs>
          <w:tab w:val="left" w:pos="562"/>
          <w:tab w:val="left" w:pos="3372"/>
          <w:tab w:val="left" w:pos="3653"/>
        </w:tabs>
        <w:rPr>
          <w:color w:val="auto"/>
          <w:highlight w:val="none"/>
        </w:rPr>
      </w:pPr>
    </w:p>
    <w:p w14:paraId="21444552">
      <w:pPr>
        <w:pStyle w:val="4"/>
        <w:tabs>
          <w:tab w:val="left" w:pos="562"/>
          <w:tab w:val="left" w:pos="3372"/>
          <w:tab w:val="left" w:pos="3653"/>
        </w:tabs>
        <w:rPr>
          <w:color w:val="auto"/>
          <w:highlight w:val="none"/>
        </w:rPr>
      </w:pPr>
    </w:p>
    <w:p w14:paraId="5F227510">
      <w:pPr>
        <w:pStyle w:val="4"/>
        <w:tabs>
          <w:tab w:val="left" w:pos="562"/>
          <w:tab w:val="left" w:pos="3372"/>
          <w:tab w:val="left" w:pos="3653"/>
        </w:tabs>
        <w:rPr>
          <w:color w:val="auto"/>
          <w:highlight w:val="none"/>
        </w:rPr>
      </w:pPr>
    </w:p>
    <w:p w14:paraId="467F7404">
      <w:pPr>
        <w:pStyle w:val="4"/>
        <w:tabs>
          <w:tab w:val="left" w:pos="562"/>
          <w:tab w:val="left" w:pos="3372"/>
          <w:tab w:val="left" w:pos="3653"/>
        </w:tabs>
        <w:rPr>
          <w:color w:val="auto"/>
          <w:highlight w:val="none"/>
        </w:rPr>
      </w:pPr>
    </w:p>
    <w:p w14:paraId="3B9F40A3">
      <w:pPr>
        <w:pStyle w:val="4"/>
        <w:tabs>
          <w:tab w:val="left" w:pos="562"/>
          <w:tab w:val="left" w:pos="3372"/>
          <w:tab w:val="left" w:pos="3653"/>
        </w:tabs>
        <w:rPr>
          <w:color w:val="auto"/>
          <w:highlight w:val="none"/>
        </w:rPr>
      </w:pPr>
    </w:p>
    <w:p w14:paraId="4979F9F1">
      <w:pPr>
        <w:pStyle w:val="4"/>
        <w:tabs>
          <w:tab w:val="left" w:pos="562"/>
          <w:tab w:val="left" w:pos="3372"/>
          <w:tab w:val="left" w:pos="3653"/>
        </w:tabs>
        <w:rPr>
          <w:color w:val="auto"/>
          <w:highlight w:val="none"/>
        </w:rPr>
      </w:pPr>
    </w:p>
    <w:p w14:paraId="268786ED">
      <w:pPr>
        <w:pStyle w:val="4"/>
        <w:tabs>
          <w:tab w:val="left" w:pos="562"/>
          <w:tab w:val="left" w:pos="3372"/>
          <w:tab w:val="left" w:pos="3653"/>
        </w:tabs>
        <w:rPr>
          <w:color w:val="auto"/>
          <w:highlight w:val="none"/>
        </w:rPr>
      </w:pPr>
    </w:p>
    <w:p w14:paraId="1EAAD460">
      <w:pPr>
        <w:pStyle w:val="4"/>
        <w:tabs>
          <w:tab w:val="left" w:pos="562"/>
          <w:tab w:val="left" w:pos="3372"/>
          <w:tab w:val="left" w:pos="3653"/>
        </w:tabs>
        <w:rPr>
          <w:color w:val="auto"/>
          <w:highlight w:val="none"/>
        </w:rPr>
      </w:pPr>
    </w:p>
    <w:p w14:paraId="0B12878F">
      <w:pPr>
        <w:pStyle w:val="4"/>
        <w:tabs>
          <w:tab w:val="left" w:pos="562"/>
          <w:tab w:val="left" w:pos="3372"/>
          <w:tab w:val="left" w:pos="3653"/>
        </w:tabs>
        <w:rPr>
          <w:color w:val="auto"/>
          <w:highlight w:val="none"/>
        </w:rPr>
      </w:pPr>
    </w:p>
    <w:p w14:paraId="4892F7FD">
      <w:pPr>
        <w:pStyle w:val="4"/>
        <w:tabs>
          <w:tab w:val="left" w:pos="562"/>
          <w:tab w:val="left" w:pos="3372"/>
          <w:tab w:val="left" w:pos="3653"/>
        </w:tabs>
        <w:rPr>
          <w:color w:val="auto"/>
          <w:highlight w:val="none"/>
        </w:rPr>
      </w:pPr>
    </w:p>
    <w:p w14:paraId="2C76C513">
      <w:pPr>
        <w:pStyle w:val="4"/>
        <w:tabs>
          <w:tab w:val="left" w:pos="562"/>
          <w:tab w:val="left" w:pos="3372"/>
          <w:tab w:val="left" w:pos="3653"/>
        </w:tabs>
        <w:rPr>
          <w:color w:val="auto"/>
          <w:highlight w:val="none"/>
        </w:rPr>
      </w:pPr>
    </w:p>
    <w:p w14:paraId="44DCFA48">
      <w:pPr>
        <w:pStyle w:val="4"/>
        <w:tabs>
          <w:tab w:val="left" w:pos="562"/>
          <w:tab w:val="left" w:pos="3372"/>
          <w:tab w:val="left" w:pos="3653"/>
        </w:tabs>
        <w:rPr>
          <w:color w:val="auto"/>
          <w:highlight w:val="none"/>
        </w:rPr>
      </w:pPr>
    </w:p>
    <w:p w14:paraId="6814A2EE">
      <w:pPr>
        <w:pStyle w:val="4"/>
        <w:tabs>
          <w:tab w:val="left" w:pos="562"/>
          <w:tab w:val="left" w:pos="3372"/>
          <w:tab w:val="left" w:pos="3653"/>
        </w:tabs>
        <w:rPr>
          <w:color w:val="auto"/>
          <w:highlight w:val="none"/>
        </w:rPr>
      </w:pPr>
    </w:p>
    <w:p w14:paraId="171D5BFF">
      <w:pPr>
        <w:pStyle w:val="4"/>
        <w:tabs>
          <w:tab w:val="left" w:pos="562"/>
          <w:tab w:val="left" w:pos="3372"/>
          <w:tab w:val="left" w:pos="3653"/>
        </w:tabs>
        <w:rPr>
          <w:color w:val="auto"/>
          <w:highlight w:val="none"/>
        </w:rPr>
      </w:pPr>
    </w:p>
    <w:p w14:paraId="5A3D60F2">
      <w:pPr>
        <w:pStyle w:val="4"/>
        <w:tabs>
          <w:tab w:val="left" w:pos="562"/>
          <w:tab w:val="left" w:pos="3372"/>
          <w:tab w:val="left" w:pos="3653"/>
        </w:tabs>
        <w:rPr>
          <w:color w:val="auto"/>
          <w:highlight w:val="none"/>
        </w:rPr>
      </w:pPr>
    </w:p>
    <w:p w14:paraId="098B367D">
      <w:pPr>
        <w:pStyle w:val="4"/>
        <w:tabs>
          <w:tab w:val="left" w:pos="562"/>
          <w:tab w:val="left" w:pos="3372"/>
          <w:tab w:val="left" w:pos="3653"/>
        </w:tabs>
        <w:rPr>
          <w:color w:val="auto"/>
          <w:highlight w:val="none"/>
        </w:rPr>
      </w:pPr>
    </w:p>
    <w:p w14:paraId="37598D71">
      <w:pPr>
        <w:pStyle w:val="4"/>
        <w:tabs>
          <w:tab w:val="left" w:pos="562"/>
          <w:tab w:val="left" w:pos="3372"/>
          <w:tab w:val="left" w:pos="3653"/>
        </w:tabs>
        <w:rPr>
          <w:color w:val="auto"/>
          <w:highlight w:val="none"/>
        </w:rPr>
      </w:pPr>
    </w:p>
    <w:p w14:paraId="4DF48CC7">
      <w:pPr>
        <w:pStyle w:val="4"/>
        <w:tabs>
          <w:tab w:val="left" w:pos="562"/>
          <w:tab w:val="left" w:pos="3372"/>
          <w:tab w:val="left" w:pos="3653"/>
        </w:tabs>
        <w:rPr>
          <w:color w:val="auto"/>
          <w:highlight w:val="none"/>
        </w:rPr>
      </w:pPr>
    </w:p>
    <w:p w14:paraId="52D42D85">
      <w:pPr>
        <w:jc w:val="left"/>
        <w:rPr>
          <w:rFonts w:ascii="宋体" w:hAnsi="宋体"/>
          <w:b/>
          <w:color w:val="auto"/>
          <w:sz w:val="24"/>
          <w:highlight w:val="none"/>
        </w:rPr>
      </w:pPr>
      <w:r>
        <w:rPr>
          <w:rFonts w:hint="eastAsia" w:ascii="宋体" w:hAnsi="宋体"/>
          <w:b/>
          <w:color w:val="auto"/>
          <w:sz w:val="24"/>
          <w:highlight w:val="none"/>
        </w:rPr>
        <w:br w:type="page"/>
      </w:r>
    </w:p>
    <w:p w14:paraId="6D698CB1">
      <w:pPr>
        <w:jc w:val="left"/>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二、接、报案程序</w:t>
      </w:r>
    </w:p>
    <w:p w14:paraId="2159FA25">
      <w:pPr>
        <w:widowControl w:val="0"/>
        <w:numPr>
          <w:ilvl w:val="0"/>
          <w:numId w:val="2"/>
        </w:numPr>
        <w:spacing w:beforeLines="90" w:afterLines="90"/>
        <w:ind w:left="980" w:hanging="420" w:firstLineChars="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接、报案方式</w:t>
      </w:r>
    </w:p>
    <w:p w14:paraId="0935E1C6">
      <w:pPr>
        <w:spacing w:beforeLines="50"/>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医疗责任保险案件分电话报案与系统报案</w:t>
      </w:r>
      <w:r>
        <w:rPr>
          <w:rFonts w:hint="eastAsia" w:ascii="宋体" w:hAnsi="宋体" w:eastAsia="宋体" w:cs="Times New Roman"/>
          <w:bCs/>
          <w:color w:val="auto"/>
          <w:kern w:val="2"/>
          <w:sz w:val="24"/>
          <w:szCs w:val="24"/>
          <w:highlight w:val="none"/>
          <w:lang w:eastAsia="zh-CN"/>
        </w:rPr>
        <w:t>两</w:t>
      </w:r>
      <w:r>
        <w:rPr>
          <w:rFonts w:hint="eastAsia" w:ascii="宋体" w:hAnsi="宋体" w:eastAsia="宋体" w:cs="Times New Roman"/>
          <w:bCs/>
          <w:color w:val="auto"/>
          <w:kern w:val="2"/>
          <w:sz w:val="24"/>
          <w:szCs w:val="24"/>
          <w:highlight w:val="none"/>
        </w:rPr>
        <w:t>种形式。</w:t>
      </w:r>
      <w:r>
        <w:rPr>
          <w:rFonts w:hint="eastAsia" w:ascii="宋体" w:hAnsi="宋体" w:eastAsia="宋体" w:cs="Times New Roman"/>
          <w:bCs/>
          <w:color w:val="auto"/>
          <w:kern w:val="2"/>
          <w:sz w:val="24"/>
          <w:szCs w:val="24"/>
          <w:highlight w:val="none"/>
          <w:lang w:val="en-US" w:eastAsia="zh-CN"/>
        </w:rPr>
        <w:t>医疗机构通过以下任一种途径报案视为向保险公司履行保险事故通知义务。</w:t>
      </w:r>
    </w:p>
    <w:p w14:paraId="4393B5B8">
      <w:pPr>
        <w:spacing w:beforeLines="50" w:afterLines="50"/>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lang w:val="en-US" w:eastAsia="zh-CN"/>
        </w:rPr>
        <w:t>1、</w:t>
      </w:r>
      <w:r>
        <w:rPr>
          <w:rFonts w:hint="eastAsia" w:ascii="宋体" w:hAnsi="宋体" w:eastAsia="宋体" w:cs="Times New Roman"/>
          <w:bCs/>
          <w:color w:val="auto"/>
          <w:kern w:val="2"/>
          <w:sz w:val="24"/>
          <w:szCs w:val="24"/>
          <w:highlight w:val="none"/>
        </w:rPr>
        <w:t>电话报案</w:t>
      </w:r>
    </w:p>
    <w:p w14:paraId="2472EA13">
      <w:pPr>
        <w:spacing w:beforeLines="50" w:line="360" w:lineRule="auto"/>
        <w:ind w:firstLine="480" w:firstLineChars="200"/>
        <w:rPr>
          <w:rFonts w:hint="eastAsia"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（1）“</w:t>
      </w:r>
      <w:r>
        <w:rPr>
          <w:rFonts w:hint="eastAsia" w:ascii="宋体" w:hAnsi="宋体" w:eastAsia="宋体" w:cs="Times New Roman"/>
          <w:bCs/>
          <w:color w:val="auto"/>
          <w:kern w:val="2"/>
          <w:sz w:val="24"/>
          <w:szCs w:val="24"/>
          <w:highlight w:val="none"/>
          <w:lang w:val="en-US" w:eastAsia="zh-CN"/>
        </w:rPr>
        <w:t>广州公益医患纠纷人民调解委员会</w:t>
      </w:r>
      <w:r>
        <w:rPr>
          <w:rFonts w:hint="eastAsia" w:ascii="宋体" w:hAnsi="宋体" w:eastAsia="宋体" w:cs="Times New Roman"/>
          <w:bCs/>
          <w:color w:val="auto"/>
          <w:kern w:val="2"/>
          <w:sz w:val="24"/>
          <w:szCs w:val="24"/>
          <w:highlight w:val="none"/>
        </w:rPr>
        <w:t>”报案：</w:t>
      </w:r>
      <w:r>
        <w:rPr>
          <w:rFonts w:hint="eastAsia" w:ascii="宋体" w:hAnsi="宋体" w:eastAsia="宋体" w:cs="Times New Roman"/>
          <w:bCs/>
          <w:color w:val="auto"/>
          <w:kern w:val="2"/>
          <w:sz w:val="24"/>
          <w:szCs w:val="24"/>
          <w:highlight w:val="none"/>
          <w:lang w:val="en-US" w:eastAsia="zh-CN"/>
        </w:rPr>
        <w:t>020-83589360</w:t>
      </w:r>
      <w:r>
        <w:rPr>
          <w:rFonts w:hint="eastAsia" w:ascii="宋体" w:hAnsi="宋体" w:eastAsia="宋体" w:cs="Times New Roman"/>
          <w:bCs/>
          <w:color w:val="auto"/>
          <w:kern w:val="2"/>
          <w:sz w:val="24"/>
          <w:szCs w:val="24"/>
          <w:highlight w:val="none"/>
        </w:rPr>
        <w:t xml:space="preserve">  </w:t>
      </w:r>
      <w:r>
        <w:rPr>
          <w:rFonts w:hint="eastAsia" w:ascii="宋体" w:hAnsi="宋体" w:eastAsia="宋体" w:cs="Times New Roman"/>
          <w:bCs/>
          <w:color w:val="auto"/>
          <w:kern w:val="2"/>
          <w:sz w:val="24"/>
          <w:szCs w:val="24"/>
          <w:highlight w:val="none"/>
          <w:lang w:val="en-US" w:eastAsia="zh-CN"/>
        </w:rPr>
        <w:t xml:space="preserve">  </w:t>
      </w:r>
      <w:r>
        <w:rPr>
          <w:rFonts w:hint="eastAsia" w:ascii="宋体" w:hAnsi="宋体" w:eastAsia="宋体" w:cs="Times New Roman"/>
          <w:bCs/>
          <w:color w:val="auto"/>
          <w:kern w:val="2"/>
          <w:sz w:val="24"/>
          <w:szCs w:val="24"/>
          <w:highlight w:val="none"/>
        </w:rPr>
        <w:t xml:space="preserve">   </w:t>
      </w:r>
    </w:p>
    <w:p w14:paraId="0AE9C35E">
      <w:pPr>
        <w:spacing w:beforeLines="50" w:line="360" w:lineRule="auto"/>
        <w:ind w:firstLine="480" w:firstLineChars="200"/>
        <w:rPr>
          <w:rFonts w:hint="eastAsia" w:ascii="宋体" w:hAnsi="宋体" w:eastAsia="宋体" w:cs="Times New Roman"/>
          <w:bCs/>
          <w:color w:val="auto"/>
          <w:kern w:val="2"/>
          <w:sz w:val="24"/>
          <w:szCs w:val="24"/>
          <w:highlight w:val="none"/>
          <w:lang w:val="en-US" w:eastAsia="zh-CN"/>
        </w:rPr>
      </w:pPr>
      <w:r>
        <w:rPr>
          <w:rFonts w:hint="eastAsia" w:ascii="宋体" w:hAnsi="宋体" w:eastAsia="宋体" w:cs="Times New Roman"/>
          <w:bCs/>
          <w:color w:val="auto"/>
          <w:kern w:val="2"/>
          <w:sz w:val="24"/>
          <w:szCs w:val="24"/>
          <w:highlight w:val="none"/>
        </w:rPr>
        <w:t>（</w:t>
      </w:r>
      <w:r>
        <w:rPr>
          <w:rFonts w:hint="eastAsia" w:ascii="宋体" w:hAnsi="宋体" w:eastAsia="宋体" w:cs="Times New Roman"/>
          <w:bCs/>
          <w:color w:val="auto"/>
          <w:kern w:val="2"/>
          <w:sz w:val="24"/>
          <w:szCs w:val="24"/>
          <w:highlight w:val="none"/>
          <w:lang w:val="en-US" w:eastAsia="zh-CN"/>
        </w:rPr>
        <w:t>2</w:t>
      </w:r>
      <w:r>
        <w:rPr>
          <w:rFonts w:hint="eastAsia" w:ascii="宋体" w:hAnsi="宋体" w:eastAsia="宋体" w:cs="Times New Roman"/>
          <w:bCs/>
          <w:color w:val="auto"/>
          <w:kern w:val="2"/>
          <w:sz w:val="24"/>
          <w:szCs w:val="24"/>
          <w:highlight w:val="none"/>
        </w:rPr>
        <w:t>）江泰经纪公司报案电话：</w:t>
      </w:r>
      <w:r>
        <w:rPr>
          <w:rFonts w:hint="eastAsia" w:ascii="宋体" w:hAnsi="宋体" w:eastAsia="宋体" w:cs="Times New Roman"/>
          <w:bCs/>
          <w:color w:val="auto"/>
          <w:kern w:val="2"/>
          <w:sz w:val="24"/>
          <w:szCs w:val="24"/>
          <w:highlight w:val="none"/>
          <w:lang w:val="en-US" w:eastAsia="zh-CN"/>
        </w:rPr>
        <w:t>400-833-9277</w:t>
      </w:r>
    </w:p>
    <w:p w14:paraId="32FA38AB">
      <w:pPr>
        <w:spacing w:beforeLines="50" w:line="360" w:lineRule="auto"/>
        <w:ind w:firstLine="480" w:firstLineChars="200"/>
        <w:rPr>
          <w:rFonts w:hint="eastAsia" w:ascii="宋体" w:hAnsi="宋体" w:eastAsia="宋体" w:cs="Times New Roman"/>
          <w:bCs/>
          <w:color w:val="auto"/>
          <w:kern w:val="2"/>
          <w:sz w:val="24"/>
          <w:szCs w:val="24"/>
          <w:highlight w:val="none"/>
          <w:lang w:val="en-US" w:eastAsia="zh-CN"/>
        </w:rPr>
      </w:pPr>
      <w:r>
        <w:rPr>
          <w:rFonts w:hint="eastAsia" w:ascii="宋体" w:hAnsi="宋体" w:eastAsia="宋体" w:cs="Times New Roman"/>
          <w:bCs/>
          <w:color w:val="auto"/>
          <w:kern w:val="2"/>
          <w:sz w:val="24"/>
          <w:szCs w:val="24"/>
          <w:highlight w:val="none"/>
          <w:lang w:eastAsia="zh-CN"/>
        </w:rPr>
        <w:t>（</w:t>
      </w:r>
      <w:r>
        <w:rPr>
          <w:rFonts w:hint="eastAsia" w:ascii="宋体" w:hAnsi="宋体" w:eastAsia="宋体" w:cs="Times New Roman"/>
          <w:bCs/>
          <w:color w:val="auto"/>
          <w:kern w:val="2"/>
          <w:sz w:val="24"/>
          <w:szCs w:val="24"/>
          <w:highlight w:val="none"/>
          <w:lang w:val="en-US" w:eastAsia="zh-CN"/>
        </w:rPr>
        <w:t>3</w:t>
      </w:r>
      <w:r>
        <w:rPr>
          <w:rFonts w:hint="eastAsia" w:ascii="宋体" w:hAnsi="宋体" w:eastAsia="宋体" w:cs="Times New Roman"/>
          <w:bCs/>
          <w:color w:val="auto"/>
          <w:kern w:val="2"/>
          <w:sz w:val="24"/>
          <w:szCs w:val="24"/>
          <w:highlight w:val="none"/>
          <w:lang w:eastAsia="zh-CN"/>
        </w:rPr>
        <w:t>）保险公司报案电话：</w:t>
      </w:r>
    </w:p>
    <w:p w14:paraId="21631C6D">
      <w:pPr>
        <w:widowControl w:val="0"/>
        <w:autoSpaceDE w:val="0"/>
        <w:autoSpaceDN w:val="0"/>
        <w:adjustRightInd w:val="0"/>
        <w:spacing w:line="480" w:lineRule="exact"/>
        <w:ind w:left="0" w:leftChars="0" w:firstLine="480" w:firstLineChars="200"/>
        <w:jc w:val="left"/>
        <w:rPr>
          <w:rFonts w:hint="eastAsia" w:ascii="宋体" w:hAnsi="宋体" w:eastAsia="宋体" w:cs="Times New Roman"/>
          <w:bCs/>
          <w:color w:val="auto"/>
          <w:kern w:val="0"/>
          <w:sz w:val="24"/>
          <w:szCs w:val="24"/>
          <w:highlight w:val="none"/>
          <w:lang w:val="en-US" w:eastAsia="zh-CN" w:bidi="ar-SA"/>
        </w:rPr>
      </w:pPr>
      <w:r>
        <w:rPr>
          <w:rFonts w:hint="eastAsia" w:ascii="宋体" w:hAnsi="宋体" w:eastAsia="宋体" w:cs="Times New Roman"/>
          <w:bCs/>
          <w:color w:val="auto"/>
          <w:kern w:val="0"/>
          <w:sz w:val="24"/>
          <w:szCs w:val="24"/>
          <w:highlight w:val="none"/>
          <w:lang w:val="en-US" w:eastAsia="zh-CN" w:bidi="ar-SA"/>
        </w:rPr>
        <w:t>2、系统报案：参保医疗机构可通过广东和谐医调委医疗纠纷信息系统进行报案。系统地址：http://183.6.169.155/yhpt/</w:t>
      </w:r>
    </w:p>
    <w:p w14:paraId="6C550BD6">
      <w:pPr>
        <w:widowControl w:val="0"/>
        <w:autoSpaceDE w:val="0"/>
        <w:autoSpaceDN w:val="0"/>
        <w:adjustRightInd w:val="0"/>
        <w:spacing w:line="480" w:lineRule="exact"/>
        <w:ind w:left="0" w:leftChars="0" w:firstLine="480" w:firstLineChars="200"/>
        <w:jc w:val="left"/>
        <w:rPr>
          <w:rFonts w:hint="default" w:ascii="宋体" w:hAnsi="宋体" w:eastAsia="宋体" w:cs="Times New Roman"/>
          <w:color w:val="auto"/>
          <w:kern w:val="0"/>
          <w:sz w:val="28"/>
          <w:szCs w:val="20"/>
          <w:highlight w:val="none"/>
          <w:lang w:val="en-US" w:eastAsia="zh-CN" w:bidi="ar-SA"/>
        </w:rPr>
      </w:pPr>
      <w:r>
        <w:rPr>
          <w:rFonts w:hint="eastAsia" w:ascii="宋体" w:hAnsi="宋体" w:eastAsia="宋体" w:cs="Times New Roman"/>
          <w:bCs/>
          <w:color w:val="auto"/>
          <w:kern w:val="0"/>
          <w:sz w:val="24"/>
          <w:szCs w:val="24"/>
          <w:highlight w:val="none"/>
          <w:lang w:val="en-US" w:eastAsia="zh-CN" w:bidi="ar-SA"/>
        </w:rPr>
        <w:t>3、邮件报案：广东医责险统一报案邮箱：2980826981@qq.com</w:t>
      </w:r>
    </w:p>
    <w:p w14:paraId="0446C736">
      <w:pPr>
        <w:widowControl w:val="0"/>
        <w:numPr>
          <w:ilvl w:val="0"/>
          <w:numId w:val="2"/>
        </w:numPr>
        <w:spacing w:beforeLines="90" w:afterLines="90"/>
        <w:ind w:left="980" w:hanging="420" w:firstLineChars="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接、报案内容</w:t>
      </w:r>
    </w:p>
    <w:p w14:paraId="3BF5AC89">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报案内容包括：保单号；参保医疗机构名称；参保医疗机构报案人及联系电话；医疗纠纷发生时间（患</w:t>
      </w:r>
      <w:r>
        <w:rPr>
          <w:rFonts w:hint="eastAsia" w:ascii="宋体" w:hAnsi="宋体" w:eastAsia="宋体" w:cs="Times New Roman"/>
          <w:bCs/>
          <w:color w:val="auto"/>
          <w:kern w:val="2"/>
          <w:sz w:val="24"/>
          <w:szCs w:val="24"/>
          <w:highlight w:val="none"/>
          <w:lang w:eastAsia="zh-CN"/>
        </w:rPr>
        <w:t>方</w:t>
      </w:r>
      <w:r>
        <w:rPr>
          <w:rFonts w:hint="eastAsia" w:ascii="宋体" w:hAnsi="宋体" w:eastAsia="宋体" w:cs="Times New Roman"/>
          <w:bCs/>
          <w:color w:val="auto"/>
          <w:kern w:val="2"/>
          <w:sz w:val="24"/>
          <w:szCs w:val="24"/>
          <w:highlight w:val="none"/>
        </w:rPr>
        <w:t>首次投诉时间、参保医疗机构报案时间）；医疗纠纷病情简述；患</w:t>
      </w:r>
      <w:r>
        <w:rPr>
          <w:rFonts w:hint="eastAsia" w:ascii="宋体" w:hAnsi="宋体" w:eastAsia="宋体" w:cs="Times New Roman"/>
          <w:bCs/>
          <w:color w:val="auto"/>
          <w:kern w:val="2"/>
          <w:sz w:val="24"/>
          <w:szCs w:val="24"/>
          <w:highlight w:val="none"/>
          <w:lang w:eastAsia="zh-CN"/>
        </w:rPr>
        <w:t>方</w:t>
      </w:r>
      <w:r>
        <w:rPr>
          <w:rFonts w:hint="eastAsia" w:ascii="宋体" w:hAnsi="宋体" w:eastAsia="宋体" w:cs="Times New Roman"/>
          <w:bCs/>
          <w:color w:val="auto"/>
          <w:kern w:val="2"/>
          <w:sz w:val="24"/>
          <w:szCs w:val="24"/>
          <w:highlight w:val="none"/>
        </w:rPr>
        <w:t>诉求；医疗机构意见等。</w:t>
      </w:r>
    </w:p>
    <w:p w14:paraId="57BD93F0">
      <w:pPr>
        <w:spacing w:beforeLines="90" w:afterLines="90"/>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三、医调委介入程序</w:t>
      </w:r>
    </w:p>
    <w:p w14:paraId="37840488">
      <w:pPr>
        <w:widowControl w:val="0"/>
        <w:spacing w:beforeLines="50"/>
        <w:ind w:firstLine="420" w:firstLineChars="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（一）特发、重大案件现场处理</w:t>
      </w:r>
    </w:p>
    <w:p w14:paraId="3951F4E0">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对于特发、重大案件，医疗机构在案件发生后立即通知当地医调委，由医调委按照程序组织调解员进行现场调查、取证，介入调解。</w:t>
      </w:r>
    </w:p>
    <w:p w14:paraId="3F333C2B">
      <w:pPr>
        <w:widowControl w:val="0"/>
        <w:spacing w:beforeLines="50"/>
        <w:ind w:firstLine="420" w:firstLineChars="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（二）医调委案件处理程序</w:t>
      </w:r>
    </w:p>
    <w:p w14:paraId="320D6BA4">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“广东</w:t>
      </w:r>
      <w:r>
        <w:rPr>
          <w:rFonts w:hint="eastAsia" w:ascii="宋体" w:hAnsi="宋体" w:eastAsia="宋体" w:cs="Times New Roman"/>
          <w:bCs/>
          <w:color w:val="auto"/>
          <w:kern w:val="2"/>
          <w:sz w:val="24"/>
          <w:szCs w:val="24"/>
          <w:highlight w:val="none"/>
          <w:lang w:eastAsia="zh-CN"/>
        </w:rPr>
        <w:t>和谐</w:t>
      </w:r>
      <w:r>
        <w:rPr>
          <w:rFonts w:hint="eastAsia" w:ascii="宋体" w:hAnsi="宋体" w:eastAsia="宋体" w:cs="Times New Roman"/>
          <w:bCs/>
          <w:color w:val="auto"/>
          <w:kern w:val="2"/>
          <w:sz w:val="24"/>
          <w:szCs w:val="24"/>
          <w:highlight w:val="none"/>
        </w:rPr>
        <w:t>医调委”根据医疗纠纷案件赔付金额（不含法律费用），作以下区分处理：</w:t>
      </w:r>
    </w:p>
    <w:p w14:paraId="39F214F8">
      <w:pPr>
        <w:spacing w:beforeLines="50" w:line="360" w:lineRule="auto"/>
        <w:ind w:firstLine="480" w:firstLineChars="200"/>
        <w:rPr>
          <w:rFonts w:hint="eastAsia"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1、赔付金额（不含法律费用）在2万元以内（含2万元）的医疗纠纷案件（不含法律费用），人民调解员有权自主</w:t>
      </w:r>
      <w:r>
        <w:rPr>
          <w:rFonts w:hint="eastAsia" w:ascii="宋体" w:hAnsi="宋体" w:eastAsia="宋体" w:cs="Times New Roman"/>
          <w:bCs/>
          <w:color w:val="auto"/>
          <w:kern w:val="2"/>
          <w:sz w:val="24"/>
          <w:szCs w:val="24"/>
          <w:highlight w:val="none"/>
          <w:lang w:eastAsia="zh-CN"/>
        </w:rPr>
        <w:t>引导</w:t>
      </w:r>
      <w:r>
        <w:rPr>
          <w:rFonts w:hint="eastAsia" w:ascii="宋体" w:hAnsi="宋体" w:eastAsia="宋体" w:cs="Times New Roman"/>
          <w:bCs/>
          <w:color w:val="auto"/>
          <w:kern w:val="2"/>
          <w:sz w:val="24"/>
          <w:szCs w:val="24"/>
          <w:highlight w:val="none"/>
        </w:rPr>
        <w:t>医患纠纷当事人达成调解协议，达成调解协议后，保险公司根据保险合同将协议赔偿款项直接支付给患方或医疗机构。</w:t>
      </w:r>
    </w:p>
    <w:p w14:paraId="74609FB0">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2、赔付金额（不含法律费用）在2万元以上，</w:t>
      </w:r>
      <w:r>
        <w:rPr>
          <w:rFonts w:hint="eastAsia" w:ascii="宋体" w:hAnsi="宋体" w:eastAsia="宋体" w:cs="Times New Roman"/>
          <w:bCs/>
          <w:color w:val="auto"/>
          <w:kern w:val="2"/>
          <w:sz w:val="24"/>
          <w:szCs w:val="24"/>
          <w:highlight w:val="none"/>
          <w:lang w:val="en-US" w:eastAsia="zh-CN"/>
        </w:rPr>
        <w:t>2</w:t>
      </w:r>
      <w:r>
        <w:rPr>
          <w:rFonts w:hint="eastAsia" w:ascii="宋体" w:hAnsi="宋体" w:eastAsia="宋体" w:cs="Times New Roman"/>
          <w:bCs/>
          <w:color w:val="auto"/>
          <w:kern w:val="2"/>
          <w:sz w:val="24"/>
          <w:szCs w:val="24"/>
          <w:highlight w:val="none"/>
        </w:rPr>
        <w:t>0万元以内（含</w:t>
      </w:r>
      <w:r>
        <w:rPr>
          <w:rFonts w:hint="eastAsia" w:ascii="宋体" w:hAnsi="宋体" w:eastAsia="宋体" w:cs="Times New Roman"/>
          <w:bCs/>
          <w:color w:val="auto"/>
          <w:kern w:val="2"/>
          <w:sz w:val="24"/>
          <w:szCs w:val="24"/>
          <w:highlight w:val="none"/>
          <w:lang w:val="en-US" w:eastAsia="zh-CN"/>
        </w:rPr>
        <w:t>2</w:t>
      </w:r>
      <w:r>
        <w:rPr>
          <w:rFonts w:hint="eastAsia" w:ascii="宋体" w:hAnsi="宋体" w:eastAsia="宋体" w:cs="Times New Roman"/>
          <w:bCs/>
          <w:color w:val="auto"/>
          <w:kern w:val="2"/>
          <w:sz w:val="24"/>
          <w:szCs w:val="24"/>
          <w:highlight w:val="none"/>
        </w:rPr>
        <w:t>0万元）的医疗纠纷案件（不含法律费用），由“广东</w:t>
      </w:r>
      <w:r>
        <w:rPr>
          <w:rFonts w:hint="eastAsia" w:ascii="宋体" w:hAnsi="宋体" w:eastAsia="宋体" w:cs="Times New Roman"/>
          <w:bCs/>
          <w:color w:val="auto"/>
          <w:kern w:val="2"/>
          <w:sz w:val="24"/>
          <w:szCs w:val="24"/>
          <w:highlight w:val="none"/>
          <w:lang w:eastAsia="zh-CN"/>
        </w:rPr>
        <w:t>和谐</w:t>
      </w:r>
      <w:r>
        <w:rPr>
          <w:rFonts w:hint="eastAsia" w:ascii="宋体" w:hAnsi="宋体" w:eastAsia="宋体" w:cs="Times New Roman"/>
          <w:bCs/>
          <w:color w:val="auto"/>
          <w:kern w:val="2"/>
          <w:sz w:val="24"/>
          <w:szCs w:val="24"/>
          <w:highlight w:val="none"/>
        </w:rPr>
        <w:t>医调委”组织专家对案件病历等相关材料进行书面分析并核定损失。人民调解员按照专家分析意见进行调解，达成调解协议后，保险公司根据保险合同将协议赔偿款项直接支付给患方或医疗机构。</w:t>
      </w:r>
    </w:p>
    <w:p w14:paraId="04CBC8DF">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3、赔付金额（不含法律费用）在</w:t>
      </w:r>
      <w:r>
        <w:rPr>
          <w:rFonts w:hint="eastAsia" w:ascii="宋体" w:hAnsi="宋体" w:eastAsia="宋体" w:cs="Times New Roman"/>
          <w:bCs/>
          <w:color w:val="auto"/>
          <w:kern w:val="2"/>
          <w:sz w:val="24"/>
          <w:szCs w:val="24"/>
          <w:highlight w:val="none"/>
          <w:lang w:val="en-US" w:eastAsia="zh-CN"/>
        </w:rPr>
        <w:t>2</w:t>
      </w:r>
      <w:r>
        <w:rPr>
          <w:rFonts w:hint="eastAsia" w:ascii="宋体" w:hAnsi="宋体" w:eastAsia="宋体" w:cs="Times New Roman"/>
          <w:bCs/>
          <w:color w:val="auto"/>
          <w:kern w:val="2"/>
          <w:sz w:val="24"/>
          <w:szCs w:val="24"/>
          <w:highlight w:val="none"/>
        </w:rPr>
        <w:t>0万元以上的医疗纠纷案件（不含法律费用），由“</w:t>
      </w:r>
      <w:r>
        <w:rPr>
          <w:rFonts w:hint="eastAsia" w:ascii="宋体" w:hAnsi="宋体" w:eastAsia="宋体" w:cs="Times New Roman"/>
          <w:bCs/>
          <w:color w:val="auto"/>
          <w:kern w:val="2"/>
          <w:sz w:val="24"/>
          <w:szCs w:val="24"/>
          <w:highlight w:val="none"/>
          <w:lang w:eastAsia="zh-CN"/>
        </w:rPr>
        <w:t>广东和谐</w:t>
      </w:r>
      <w:r>
        <w:rPr>
          <w:rFonts w:hint="eastAsia" w:ascii="宋体" w:hAnsi="宋体" w:eastAsia="宋体" w:cs="Times New Roman"/>
          <w:bCs/>
          <w:color w:val="auto"/>
          <w:kern w:val="2"/>
          <w:sz w:val="24"/>
          <w:szCs w:val="24"/>
          <w:highlight w:val="none"/>
        </w:rPr>
        <w:t>医调委”组织召开</w:t>
      </w:r>
      <w:r>
        <w:rPr>
          <w:rFonts w:hint="eastAsia" w:ascii="宋体" w:hAnsi="宋体" w:eastAsia="宋体" w:cs="Times New Roman"/>
          <w:bCs/>
          <w:color w:val="auto"/>
          <w:kern w:val="2"/>
          <w:sz w:val="24"/>
          <w:szCs w:val="24"/>
          <w:highlight w:val="none"/>
          <w:lang w:eastAsia="zh-CN"/>
        </w:rPr>
        <w:t>听证</w:t>
      </w:r>
      <w:r>
        <w:rPr>
          <w:rFonts w:hint="eastAsia" w:ascii="宋体" w:hAnsi="宋体" w:eastAsia="宋体" w:cs="Times New Roman"/>
          <w:bCs/>
          <w:color w:val="auto"/>
          <w:kern w:val="2"/>
          <w:sz w:val="24"/>
          <w:szCs w:val="24"/>
          <w:highlight w:val="none"/>
        </w:rPr>
        <w:t>会，由到会医学、法律专家现场就案件进行分析并核定损失。人民调解员按照</w:t>
      </w:r>
      <w:r>
        <w:rPr>
          <w:rFonts w:hint="eastAsia" w:ascii="宋体" w:hAnsi="宋体" w:eastAsia="宋体" w:cs="Times New Roman"/>
          <w:bCs/>
          <w:color w:val="auto"/>
          <w:kern w:val="2"/>
          <w:sz w:val="24"/>
          <w:szCs w:val="24"/>
          <w:highlight w:val="none"/>
          <w:lang w:eastAsia="zh-CN"/>
        </w:rPr>
        <w:t>听证</w:t>
      </w:r>
      <w:r>
        <w:rPr>
          <w:rFonts w:hint="eastAsia" w:ascii="宋体" w:hAnsi="宋体" w:eastAsia="宋体" w:cs="Times New Roman"/>
          <w:bCs/>
          <w:color w:val="auto"/>
          <w:kern w:val="2"/>
          <w:sz w:val="24"/>
          <w:szCs w:val="24"/>
          <w:highlight w:val="none"/>
        </w:rPr>
        <w:t>会专家分析意见进行调解，达成调解协议后，保险公司根据保险合同将协议赔偿款项直接支付给患方或医疗机构。</w:t>
      </w:r>
    </w:p>
    <w:p w14:paraId="36E8E775">
      <w:pPr>
        <w:spacing w:beforeLines="50" w:line="360" w:lineRule="auto"/>
        <w:ind w:firstLine="480" w:firstLineChars="200"/>
        <w:rPr>
          <w:rFonts w:hint="eastAsia"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4、对于经过医疗事故鉴定、医疗损害鉴定程序并已有明确生效结论，继续或重新进行调解的案件，人民调解员根据鉴定结论进行调解，达成调解协议后，保险公司根据保险合同将协议赔偿款项直接支付给患方或医疗机构。</w:t>
      </w:r>
    </w:p>
    <w:p w14:paraId="7A8A5475">
      <w:pPr>
        <w:spacing w:beforeLines="50" w:line="360" w:lineRule="auto"/>
        <w:rPr>
          <w:rFonts w:hint="eastAsia" w:ascii="宋体" w:hAnsi="宋体" w:eastAsia="宋体" w:cs="Times New Roman"/>
          <w:b/>
          <w:bCs w:val="0"/>
          <w:color w:val="auto"/>
          <w:kern w:val="2"/>
          <w:sz w:val="24"/>
          <w:szCs w:val="24"/>
          <w:highlight w:val="none"/>
          <w:lang w:eastAsia="zh-CN"/>
        </w:rPr>
      </w:pPr>
      <w:r>
        <w:rPr>
          <w:rFonts w:hint="eastAsia" w:ascii="宋体" w:hAnsi="宋体" w:eastAsia="宋体" w:cs="Times New Roman"/>
          <w:b/>
          <w:bCs w:val="0"/>
          <w:color w:val="auto"/>
          <w:kern w:val="2"/>
          <w:sz w:val="24"/>
          <w:szCs w:val="24"/>
          <w:highlight w:val="none"/>
          <w:lang w:eastAsia="zh-CN"/>
        </w:rPr>
        <w:t>四、自主处理案件处理程序</w:t>
      </w:r>
    </w:p>
    <w:p w14:paraId="389A7368">
      <w:pPr>
        <w:spacing w:beforeLines="50" w:line="360" w:lineRule="auto"/>
        <w:rPr>
          <w:rFonts w:hint="eastAsia" w:ascii="宋体" w:hAnsi="宋体" w:eastAsia="宋体" w:cs="Times New Roman"/>
          <w:b/>
          <w:bCs w:val="0"/>
          <w:color w:val="auto"/>
          <w:kern w:val="2"/>
          <w:sz w:val="24"/>
          <w:szCs w:val="24"/>
          <w:highlight w:val="none"/>
          <w:lang w:eastAsia="zh-CN"/>
        </w:rPr>
      </w:pPr>
      <w:r>
        <w:rPr>
          <w:rFonts w:hint="eastAsia" w:ascii="宋体" w:hAnsi="宋体" w:eastAsia="宋体" w:cs="Times New Roman"/>
          <w:bCs/>
          <w:color w:val="auto"/>
          <w:kern w:val="2"/>
          <w:sz w:val="24"/>
          <w:szCs w:val="24"/>
          <w:highlight w:val="none"/>
          <w:lang w:val="en-US" w:eastAsia="zh-CN"/>
        </w:rPr>
        <w:t xml:space="preserve">    </w:t>
      </w:r>
      <w:r>
        <w:rPr>
          <w:rFonts w:hint="eastAsia" w:ascii="宋体" w:hAnsi="宋体" w:eastAsia="宋体" w:cs="Times New Roman"/>
          <w:bCs/>
          <w:color w:val="auto"/>
          <w:kern w:val="2"/>
          <w:sz w:val="24"/>
          <w:szCs w:val="24"/>
          <w:highlight w:val="none"/>
        </w:rPr>
        <w:t>医疗机构根据合同特别约定的</w:t>
      </w:r>
      <w:r>
        <w:rPr>
          <w:rFonts w:hint="eastAsia" w:ascii="宋体" w:hAnsi="宋体" w:eastAsia="宋体" w:cs="Times New Roman"/>
          <w:bCs/>
          <w:color w:val="auto"/>
          <w:kern w:val="2"/>
          <w:sz w:val="24"/>
          <w:szCs w:val="24"/>
          <w:highlight w:val="none"/>
          <w:lang w:eastAsia="zh-CN"/>
        </w:rPr>
        <w:t>自主处理</w:t>
      </w:r>
      <w:r>
        <w:rPr>
          <w:rFonts w:hint="eastAsia" w:ascii="宋体" w:hAnsi="宋体" w:eastAsia="宋体" w:cs="Times New Roman"/>
          <w:bCs/>
          <w:color w:val="auto"/>
          <w:kern w:val="2"/>
          <w:sz w:val="24"/>
          <w:szCs w:val="24"/>
          <w:highlight w:val="none"/>
        </w:rPr>
        <w:t>权限</w:t>
      </w:r>
      <w:r>
        <w:rPr>
          <w:rFonts w:hint="eastAsia" w:ascii="宋体" w:hAnsi="宋体" w:eastAsia="宋体" w:cs="Times New Roman"/>
          <w:bCs/>
          <w:color w:val="auto"/>
          <w:kern w:val="2"/>
          <w:sz w:val="24"/>
          <w:szCs w:val="24"/>
          <w:highlight w:val="none"/>
          <w:lang w:eastAsia="zh-CN"/>
        </w:rPr>
        <w:t>，自行与患者进行协商和解，在一万元内（不含法律费用）达成赔（补）偿协议，医疗机构整理好索赔资料提交保险公司进行索赔，保险公司根据医疗机构的申请将协议赔偿款项支付给患者或医疗机构。</w:t>
      </w:r>
    </w:p>
    <w:p w14:paraId="11AE3955">
      <w:pPr>
        <w:numPr>
          <w:ilvl w:val="0"/>
          <w:numId w:val="3"/>
        </w:numPr>
        <w:spacing w:beforeLines="50" w:line="360" w:lineRule="auto"/>
        <w:rPr>
          <w:rFonts w:hint="eastAsia" w:ascii="宋体" w:hAnsi="宋体" w:eastAsia="宋体" w:cs="Times New Roman"/>
          <w:b/>
          <w:bCs w:val="0"/>
          <w:color w:val="auto"/>
          <w:kern w:val="2"/>
          <w:sz w:val="24"/>
          <w:szCs w:val="24"/>
          <w:highlight w:val="none"/>
          <w:lang w:eastAsia="zh-CN"/>
        </w:rPr>
      </w:pPr>
      <w:r>
        <w:rPr>
          <w:rFonts w:hint="eastAsia" w:ascii="宋体" w:hAnsi="宋体" w:eastAsia="宋体" w:cs="Times New Roman"/>
          <w:b/>
          <w:bCs w:val="0"/>
          <w:color w:val="auto"/>
          <w:kern w:val="2"/>
          <w:sz w:val="24"/>
          <w:szCs w:val="24"/>
          <w:highlight w:val="none"/>
          <w:lang w:eastAsia="zh-CN"/>
        </w:rPr>
        <w:t>司法诉讼案件处理程序</w:t>
      </w:r>
    </w:p>
    <w:p w14:paraId="1560182E">
      <w:pPr>
        <w:numPr>
          <w:ilvl w:val="0"/>
          <w:numId w:val="0"/>
        </w:numPr>
        <w:spacing w:beforeLines="50" w:line="360" w:lineRule="auto"/>
        <w:rPr>
          <w:rFonts w:hint="eastAsia" w:ascii="宋体" w:hAnsi="宋体" w:eastAsia="宋体" w:cs="Times New Roman"/>
          <w:b/>
          <w:bCs w:val="0"/>
          <w:color w:val="auto"/>
          <w:kern w:val="2"/>
          <w:sz w:val="24"/>
          <w:szCs w:val="24"/>
          <w:highlight w:val="none"/>
          <w:lang w:val="en-US" w:eastAsia="zh-CN"/>
        </w:rPr>
      </w:pPr>
      <w:r>
        <w:rPr>
          <w:rFonts w:hint="eastAsia" w:ascii="宋体" w:hAnsi="宋体" w:eastAsia="宋体" w:cs="Times New Roman"/>
          <w:b/>
          <w:bCs w:val="0"/>
          <w:color w:val="auto"/>
          <w:kern w:val="2"/>
          <w:sz w:val="24"/>
          <w:szCs w:val="24"/>
          <w:highlight w:val="none"/>
          <w:lang w:val="en-US" w:eastAsia="zh-CN"/>
        </w:rPr>
        <w:t xml:space="preserve">   江泰经纪公司对司法诉讼案件进行流程管理及协调：</w:t>
      </w:r>
    </w:p>
    <w:p w14:paraId="661C574D">
      <w:pPr>
        <w:widowControl w:val="0"/>
        <w:autoSpaceDE w:val="0"/>
        <w:autoSpaceDN w:val="0"/>
        <w:adjustRightInd w:val="0"/>
        <w:spacing w:line="480" w:lineRule="exact"/>
        <w:ind w:left="0" w:leftChars="0" w:firstLine="482"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（一）医责险诉讼案件报案及资料提交</w:t>
      </w:r>
    </w:p>
    <w:p w14:paraId="4946AA20">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u w:val="none"/>
          <w:lang w:val="en-US" w:eastAsia="zh-CN" w:bidi="ar-SA"/>
        </w:rPr>
      </w:pPr>
      <w:r>
        <w:rPr>
          <w:rFonts w:hint="eastAsia" w:ascii="宋体" w:hAnsi="宋体" w:eastAsia="宋体" w:cs="Times New Roman"/>
          <w:color w:val="auto"/>
          <w:kern w:val="0"/>
          <w:sz w:val="24"/>
          <w:szCs w:val="24"/>
          <w:highlight w:val="none"/>
          <w:lang w:val="en-US" w:eastAsia="zh-CN" w:bidi="ar-SA"/>
        </w:rPr>
        <w:t xml:space="preserve">各参保医疗机构应在收到法院诉讼传票后1个工作日内，将法院传票及原告诉状扫描件发至江泰法务部邮箱：2660254699@qq.com，同时，医疗机构需自查案件是否已进行医责险报案，尚未报案的，应及时填写《报案登记表》发送至广东医责险统一报案邮箱 </w:t>
      </w:r>
      <w:r>
        <w:rPr>
          <w:rFonts w:hint="eastAsia" w:ascii="宋体" w:hAnsi="宋体" w:eastAsia="宋体" w:cs="Times New Roman"/>
          <w:color w:val="auto"/>
          <w:kern w:val="0"/>
          <w:sz w:val="24"/>
          <w:szCs w:val="24"/>
          <w:highlight w:val="none"/>
          <w:u w:val="none"/>
          <w:lang w:val="en-US" w:eastAsia="zh-CN" w:bidi="ar-SA"/>
        </w:rPr>
        <w:t>：</w:t>
      </w:r>
      <w:r>
        <w:rPr>
          <w:rFonts w:hint="eastAsia" w:ascii="宋体" w:hAnsi="宋体" w:eastAsia="宋体" w:cs="Times New Roman"/>
          <w:color w:val="auto"/>
          <w:kern w:val="0"/>
          <w:sz w:val="24"/>
          <w:szCs w:val="24"/>
          <w:highlight w:val="none"/>
          <w:u w:val="none"/>
          <w:lang w:val="en-US" w:eastAsia="zh-CN" w:bidi="ar-SA"/>
        </w:rPr>
        <w:fldChar w:fldCharType="begin"/>
      </w:r>
      <w:r>
        <w:rPr>
          <w:rFonts w:hint="eastAsia" w:ascii="宋体" w:hAnsi="宋体" w:eastAsia="宋体" w:cs="Times New Roman"/>
          <w:color w:val="auto"/>
          <w:kern w:val="0"/>
          <w:sz w:val="24"/>
          <w:szCs w:val="24"/>
          <w:highlight w:val="none"/>
          <w:u w:val="none"/>
          <w:lang w:val="en-US" w:eastAsia="zh-CN" w:bidi="ar-SA"/>
        </w:rPr>
        <w:instrText xml:space="preserve"> HYPERLINK "mailto:2980826981@qq.com，或通过广东省医患纠纷系统信息化平台进行线上报案。江泰收到医疗机构保险报案后将《报案登记表》转保险公司报案管理邮箱。" </w:instrText>
      </w:r>
      <w:r>
        <w:rPr>
          <w:rFonts w:hint="eastAsia" w:ascii="宋体" w:hAnsi="宋体" w:eastAsia="宋体" w:cs="Times New Roman"/>
          <w:color w:val="auto"/>
          <w:kern w:val="0"/>
          <w:sz w:val="24"/>
          <w:szCs w:val="24"/>
          <w:highlight w:val="none"/>
          <w:u w:val="none"/>
          <w:lang w:val="en-US" w:eastAsia="zh-CN" w:bidi="ar-SA"/>
        </w:rPr>
        <w:fldChar w:fldCharType="separate"/>
      </w:r>
      <w:r>
        <w:rPr>
          <w:rFonts w:hint="eastAsia" w:ascii="Calibri" w:hAnsi="Calibri" w:eastAsia="宋体" w:cs="Times New Roman"/>
          <w:color w:val="auto"/>
          <w:kern w:val="0"/>
          <w:sz w:val="24"/>
          <w:szCs w:val="24"/>
          <w:highlight w:val="none"/>
          <w:u w:val="none"/>
          <w:lang w:val="en-US" w:eastAsia="zh-CN" w:bidi="ar-SA"/>
        </w:rPr>
        <w:t>2980826981@qq.com，或通过广东省医患纠纷系统信息化平台进行线上报案。江泰收到医疗机构保险报案后将《报案登记表》转保险公司报案管理邮箱。</w:t>
      </w:r>
      <w:r>
        <w:rPr>
          <w:rFonts w:hint="eastAsia" w:ascii="宋体" w:hAnsi="宋体" w:eastAsia="宋体" w:cs="Times New Roman"/>
          <w:color w:val="auto"/>
          <w:kern w:val="0"/>
          <w:sz w:val="24"/>
          <w:szCs w:val="24"/>
          <w:highlight w:val="none"/>
          <w:u w:val="none"/>
          <w:lang w:val="en-US" w:eastAsia="zh-CN" w:bidi="ar-SA"/>
        </w:rPr>
        <w:fldChar w:fldCharType="end"/>
      </w:r>
    </w:p>
    <w:p w14:paraId="6B133EE3">
      <w:pPr>
        <w:widowControl w:val="0"/>
        <w:spacing w:after="120" w:afterLines="0"/>
        <w:ind w:left="0" w:leftChars="0" w:firstLine="0" w:firstLineChars="0"/>
        <w:jc w:val="both"/>
        <w:rPr>
          <w:rFonts w:hint="eastAsia" w:ascii="Calibri" w:hAnsi="Times New Roman" w:eastAsia="宋体" w:cs="Times New Roman"/>
          <w:b/>
          <w:bCs/>
          <w:color w:val="auto"/>
          <w:kern w:val="2"/>
          <w:sz w:val="24"/>
          <w:szCs w:val="24"/>
          <w:highlight w:val="none"/>
          <w:lang w:val="en-US" w:eastAsia="zh-CN" w:bidi="ar-SA"/>
        </w:rPr>
      </w:pPr>
    </w:p>
    <w:p w14:paraId="4F89DD54">
      <w:pPr>
        <w:widowControl w:val="0"/>
        <w:numPr>
          <w:ilvl w:val="0"/>
          <w:numId w:val="4"/>
        </w:numPr>
        <w:spacing w:after="120" w:afterLines="0"/>
        <w:ind w:left="0" w:leftChars="0" w:firstLine="482" w:firstLineChars="200"/>
        <w:jc w:val="both"/>
        <w:rPr>
          <w:rFonts w:hint="eastAsia" w:ascii="Calibri" w:hAnsi="Times New Roman" w:eastAsia="宋体" w:cs="Times New Roman"/>
          <w:b/>
          <w:bCs/>
          <w:color w:val="auto"/>
          <w:kern w:val="2"/>
          <w:sz w:val="24"/>
          <w:szCs w:val="24"/>
          <w:highlight w:val="none"/>
          <w:lang w:val="en-US" w:eastAsia="zh-CN" w:bidi="ar-SA"/>
        </w:rPr>
      </w:pPr>
      <w:r>
        <w:rPr>
          <w:rFonts w:hint="eastAsia" w:ascii="Calibri" w:hAnsi="Times New Roman" w:eastAsia="宋体" w:cs="Times New Roman"/>
          <w:b/>
          <w:bCs/>
          <w:color w:val="auto"/>
          <w:kern w:val="2"/>
          <w:sz w:val="24"/>
          <w:szCs w:val="24"/>
          <w:highlight w:val="none"/>
          <w:lang w:val="en-US" w:eastAsia="zh-CN" w:bidi="ar-SA"/>
        </w:rPr>
        <w:t>关于律师代理协议的签订</w:t>
      </w:r>
    </w:p>
    <w:p w14:paraId="3DBDFB10">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诉讼案件委托事项以参保医疗机构、律师、保险公司签订三方委托协议为原则，医疗机构要求与律师签订双方委托协议的，若无特殊情况，尊重医院意愿。具体操作如下 ：</w:t>
      </w:r>
    </w:p>
    <w:p w14:paraId="703E5E57">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参保医疗机构、律师和保险公司签订三方委托协议的，则待三方确认协议文本无误，并经医疗机构、律师签字、盖章确认后寄送保险公司最终盖章确认，保险公司盖章后应回寄医院、律师协议文本各一份（亦可先由保险公司盖章确认后再寄送医疗机构、律师确认，并由医疗机构或律师之中最后签署协议的一方负责回寄保险公司）。</w:t>
      </w:r>
    </w:p>
    <w:p w14:paraId="477C7A46">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2、参保医疗机构和律师签订双方委托协议的，应在协议签订后提供协议文本的扫描件给江泰法务部及保险公司备案。</w:t>
      </w:r>
    </w:p>
    <w:p w14:paraId="13C44979">
      <w:pPr>
        <w:widowControl w:val="0"/>
        <w:spacing w:after="120" w:afterLines="0"/>
        <w:ind w:left="420" w:leftChars="200"/>
        <w:jc w:val="both"/>
        <w:rPr>
          <w:rFonts w:hint="eastAsia" w:ascii="Times New Roman" w:hAnsi="Times New Roman" w:eastAsia="宋体" w:cs="Times New Roman"/>
          <w:color w:val="auto"/>
          <w:kern w:val="2"/>
          <w:sz w:val="16"/>
          <w:szCs w:val="16"/>
          <w:highlight w:val="none"/>
          <w:lang w:val="en-US" w:eastAsia="zh-CN" w:bidi="ar-SA"/>
        </w:rPr>
      </w:pPr>
    </w:p>
    <w:p w14:paraId="78E60475">
      <w:pPr>
        <w:widowControl w:val="0"/>
        <w:numPr>
          <w:ilvl w:val="0"/>
          <w:numId w:val="4"/>
        </w:numPr>
        <w:spacing w:after="120" w:afterLines="0"/>
        <w:ind w:left="0" w:leftChars="0" w:firstLine="482" w:firstLineChars="200"/>
        <w:jc w:val="both"/>
        <w:rPr>
          <w:rFonts w:hint="eastAsia" w:ascii="Calibri" w:hAnsi="Times New Roman" w:eastAsia="宋体" w:cs="Times New Roman"/>
          <w:b/>
          <w:bCs/>
          <w:color w:val="auto"/>
          <w:kern w:val="2"/>
          <w:sz w:val="24"/>
          <w:szCs w:val="24"/>
          <w:highlight w:val="none"/>
          <w:lang w:val="en-US" w:eastAsia="zh-CN" w:bidi="ar-SA"/>
        </w:rPr>
      </w:pPr>
      <w:r>
        <w:rPr>
          <w:rFonts w:hint="eastAsia" w:ascii="Calibri" w:hAnsi="Times New Roman" w:eastAsia="宋体" w:cs="Times New Roman"/>
          <w:b/>
          <w:bCs/>
          <w:color w:val="auto"/>
          <w:kern w:val="2"/>
          <w:sz w:val="24"/>
          <w:szCs w:val="24"/>
          <w:highlight w:val="none"/>
          <w:lang w:val="en-US" w:eastAsia="zh-CN" w:bidi="ar-SA"/>
        </w:rPr>
        <w:t>律师费的计算与支付</w:t>
      </w:r>
    </w:p>
    <w:p w14:paraId="41B7BE0F">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1、律师费的计算</w:t>
      </w:r>
    </w:p>
    <w:p w14:paraId="74E492AC">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律师费按照广东省律师服务政府指导价《广东省物价局、司法厅律师服务收费管理实施办法》的通知 （粤价〔2006〕298号）中涉及财产的民事、行政诉讼收费标准计算。特殊情况律师费的计算：</w:t>
      </w:r>
    </w:p>
    <w:p w14:paraId="22D096AF">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原告起诉参保医疗机构的诉求中，除投诉医疗机构的诊疗行为存在不足外，还附带投诉医疗机构其他方面的问题，如：行政管理、服务态度、收费不合理等的，此类案件亦属医责险统保范围内，律师需针对医院诊疗行为及原告附带投诉部分整体作答辩工作，律师费应按照整个赔案计算，不以所谓“保险责任范围内的比例”为区分。</w:t>
      </w:r>
    </w:p>
    <w:p w14:paraId="4C73DD93">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（2）原告因同一患者的损害事由起诉两家及以上医疗机构，其中一家为参保医疗机构，其余为非保医疗机构的，律师费按照整个赔案计算。</w:t>
      </w:r>
    </w:p>
    <w:p w14:paraId="016D95F9">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3）原告因同一患者的损害事由起诉两家或以上参保医疗机构的，因诉讼案件之于每家医疗机构在其保单内均为独立赔案，故每家医疗机构就该诉案的律师费应作为独立赔案分别计算整个案件的律师费。具体操作如下 ：</w:t>
      </w:r>
    </w:p>
    <w:p w14:paraId="3F39020C">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①每家被诉参保医疗机构均已各自委托法律顾问或指定律师代理的，每家医疗机构的律师费独立计算；</w:t>
      </w:r>
    </w:p>
    <w:p w14:paraId="229E1191">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②参保医疗机构需江泰法务部协助推荐律师的，江泰法务部应首先咨询各被诉医疗机构是否同意共同委托一位律师代理应诉，如各医疗机构均同意，则由江泰法务部推荐合适的律师代理案件，律师费按一个赔案上浮20%计算；如各被诉医疗机构不能同意或就律师人选不能达成一致的，江泰法务部另行分别为各被诉医疗机构推荐代理律师，每家被诉医疗机构的律师费按照广东省律师服务政府指导价《广东省物价局、司法厅律师服务收费管理实施办法》的通知 （粤价〔2006〕298号）中涉及财产的民事、行政诉讼收费标准计算。</w:t>
      </w:r>
    </w:p>
    <w:p w14:paraId="1C9D6560">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2、律师费的支付</w:t>
      </w:r>
    </w:p>
    <w:p w14:paraId="75FFC99D">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鉴于医疗损害诉讼案件本身的特点 ，律师费支付原则上采预支付形式。具体操作如下 ：</w:t>
      </w:r>
    </w:p>
    <w:p w14:paraId="1A75908D">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参保医疗机构自行委托法律顾问或指定律师代理案件，并与律师签订双方委托协议的，由医疗机构先行支付律师费，待案件结案后连同案件其他赔偿项目一并向保险公司索赔。具体支付方式以医院与律师的约定为准。</w:t>
      </w:r>
    </w:p>
    <w:p w14:paraId="03D0AD23">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参保医疗机构自行委托、指定，或经由江泰法务部推荐律师代理案件，并采取与保险公司、律师签订三方委托协议形式的，由保险公司直接支付律师费给律师。律师费支付分两部分进行，一期费用在三方签订协议后、开庭前由保险公司先行支付一半，余款（二期费用）在一审判决后支付完毕；若有二审的，律师费在二审开庭前由保险公司进行支付。</w:t>
      </w:r>
    </w:p>
    <w:p w14:paraId="257D52C2">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3）参保医疗机构人员及律师在诉讼过程中产生的合理的、必要的差旅费用（交通费、住宿费、伙食费等）不计入案件律师费，凭票实报实销。差旅费标准参照《财政部关于调整中央和国家机关差旅住宿费标准等有关问题的通知》财行〔2015〕497号一般公务员标准执行，差旅费伙食费按照100元/人/天的标准进行补助，如有最新标准，按最新标准执行。</w:t>
      </w:r>
    </w:p>
    <w:p w14:paraId="6EC385C8">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3、另有约定的处理</w:t>
      </w:r>
    </w:p>
    <w:p w14:paraId="17A6314F">
      <w:pPr>
        <w:widowControl w:val="0"/>
        <w:autoSpaceDE w:val="0"/>
        <w:autoSpaceDN w:val="0"/>
        <w:adjustRightInd w:val="0"/>
        <w:spacing w:line="480" w:lineRule="exact"/>
        <w:ind w:left="0" w:leftChars="0" w:firstLine="480" w:firstLineChars="200"/>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（1）若律师与医疗机构之间事前就个案律师费计算事项和支付方式另有更优惠约定的，保险公司按照该约定支付律师费。</w:t>
      </w:r>
    </w:p>
    <w:p w14:paraId="76D7E2B1">
      <w:pPr>
        <w:widowControl w:val="0"/>
        <w:autoSpaceDE w:val="0"/>
        <w:autoSpaceDN w:val="0"/>
        <w:adjustRightInd w:val="0"/>
        <w:spacing w:line="480" w:lineRule="exact"/>
        <w:ind w:left="0" w:leftChars="0" w:firstLine="480" w:firstLineChars="200"/>
        <w:jc w:val="left"/>
        <w:rPr>
          <w:rFonts w:hint="eastAsia" w:ascii="宋体" w:hAnsi="宋体" w:eastAsia="宋体" w:cs="Times New Roman"/>
          <w:b w:val="0"/>
          <w:bCs/>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（2）若保险公司与其推荐的合作律师事前就个案律师费计算事项和支付方式另有约定的，由保险公司按照该约定与律师另行结算并支付律师费。</w:t>
      </w:r>
    </w:p>
    <w:p w14:paraId="4C3278C0">
      <w:pPr>
        <w:numPr>
          <w:ilvl w:val="0"/>
          <w:numId w:val="0"/>
        </w:numPr>
        <w:spacing w:beforeLines="50" w:line="360" w:lineRule="auto"/>
        <w:ind w:firstLine="480" w:firstLineChars="200"/>
        <w:rPr>
          <w:rFonts w:hint="eastAsia" w:ascii="宋体" w:hAnsi="宋体" w:eastAsia="宋体" w:cs="Times New Roman"/>
          <w:b w:val="0"/>
          <w:bCs/>
          <w:color w:val="auto"/>
          <w:kern w:val="2"/>
          <w:sz w:val="24"/>
          <w:szCs w:val="24"/>
          <w:highlight w:val="none"/>
          <w:lang w:val="en-US" w:eastAsia="zh-CN"/>
        </w:rPr>
      </w:pPr>
      <w:r>
        <w:rPr>
          <w:rFonts w:hint="eastAsia" w:ascii="宋体" w:hAnsi="宋体" w:eastAsia="宋体" w:cs="Times New Roman"/>
          <w:b w:val="0"/>
          <w:bCs/>
          <w:color w:val="auto"/>
          <w:kern w:val="2"/>
          <w:sz w:val="24"/>
          <w:szCs w:val="24"/>
          <w:highlight w:val="none"/>
          <w:lang w:val="en-US" w:eastAsia="zh-CN"/>
        </w:rPr>
        <w:t>4、江泰经纪公司视案件的实际情况和复杂程度，启动案件诉讼案件风险评估程序，在案件审理过程中司法鉴定程序启动前邀请专家对案件焦点、应诉要点进行分析；</w:t>
      </w:r>
    </w:p>
    <w:p w14:paraId="377F8F4A">
      <w:pPr>
        <w:numPr>
          <w:ilvl w:val="0"/>
          <w:numId w:val="0"/>
        </w:numPr>
        <w:spacing w:beforeLines="50" w:line="360" w:lineRule="auto"/>
        <w:ind w:firstLine="480" w:firstLineChars="200"/>
        <w:rPr>
          <w:rFonts w:hint="eastAsia" w:ascii="宋体" w:hAnsi="宋体" w:eastAsia="宋体" w:cs="Times New Roman"/>
          <w:b w:val="0"/>
          <w:bCs/>
          <w:color w:val="auto"/>
          <w:kern w:val="2"/>
          <w:sz w:val="24"/>
          <w:szCs w:val="24"/>
          <w:highlight w:val="none"/>
          <w:lang w:val="en-US" w:eastAsia="zh-CN"/>
        </w:rPr>
      </w:pPr>
      <w:r>
        <w:rPr>
          <w:rFonts w:hint="eastAsia" w:ascii="宋体" w:hAnsi="宋体" w:eastAsia="宋体" w:cs="Times New Roman"/>
          <w:b w:val="0"/>
          <w:bCs/>
          <w:color w:val="auto"/>
          <w:kern w:val="2"/>
          <w:sz w:val="24"/>
          <w:szCs w:val="24"/>
          <w:highlight w:val="none"/>
          <w:lang w:val="en-US" w:eastAsia="zh-CN"/>
        </w:rPr>
        <w:t xml:space="preserve"> 5、案件审理终结后，案件代理律师或医疗机构应及时将法院裁决/调解/判决文书发至江泰经纪公司，江泰经纪公司收到裁决/调解/判决文书后应及时报保险公司。江泰经纪公司及保险公司可就案件是否上诉/再审等问题提出建议供医院参考，医疗机构有权最终决定是否申请上诉/再审。</w:t>
      </w:r>
    </w:p>
    <w:p w14:paraId="1DB0A728">
      <w:pPr>
        <w:numPr>
          <w:ilvl w:val="0"/>
          <w:numId w:val="0"/>
        </w:numPr>
        <w:spacing w:beforeLines="50" w:line="360" w:lineRule="auto"/>
        <w:ind w:firstLine="480" w:firstLineChars="200"/>
        <w:rPr>
          <w:rFonts w:hint="eastAsia" w:ascii="宋体" w:hAnsi="宋体" w:eastAsia="宋体" w:cs="Times New Roman"/>
          <w:b w:val="0"/>
          <w:bCs/>
          <w:color w:val="auto"/>
          <w:kern w:val="2"/>
          <w:sz w:val="24"/>
          <w:szCs w:val="24"/>
          <w:highlight w:val="none"/>
          <w:lang w:val="en-US" w:eastAsia="zh-CN"/>
        </w:rPr>
      </w:pPr>
      <w:r>
        <w:rPr>
          <w:rFonts w:hint="eastAsia" w:ascii="宋体" w:hAnsi="宋体" w:eastAsia="宋体" w:cs="Times New Roman"/>
          <w:b w:val="0"/>
          <w:bCs/>
          <w:color w:val="auto"/>
          <w:kern w:val="2"/>
          <w:sz w:val="24"/>
          <w:szCs w:val="24"/>
          <w:highlight w:val="none"/>
          <w:lang w:val="en-US" w:eastAsia="zh-CN"/>
        </w:rPr>
        <w:t xml:space="preserve"> 6、江泰经纪公司跟进案件处理进度，对于在法官或仲裁员主持下达成调解或医患自行和解的案件，督促保险公司在正式调解/和解前确认调解/和解方案。</w:t>
      </w:r>
    </w:p>
    <w:p w14:paraId="5A4B06A9">
      <w:pPr>
        <w:spacing w:beforeLines="90" w:afterLines="90"/>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lang w:eastAsia="zh-CN"/>
        </w:rPr>
        <w:t>六</w:t>
      </w:r>
      <w:r>
        <w:rPr>
          <w:rFonts w:hint="eastAsia" w:ascii="宋体" w:hAnsi="宋体" w:eastAsia="宋体" w:cs="Times New Roman"/>
          <w:b/>
          <w:color w:val="auto"/>
          <w:kern w:val="2"/>
          <w:sz w:val="24"/>
          <w:szCs w:val="24"/>
          <w:highlight w:val="none"/>
        </w:rPr>
        <w:t>、保险索赔、理赔程序</w:t>
      </w:r>
    </w:p>
    <w:p w14:paraId="04E9E1DE">
      <w:pPr>
        <w:spacing w:beforeLines="50" w:line="360" w:lineRule="auto"/>
        <w:ind w:firstLine="482" w:firstLineChars="200"/>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1、调解结案案件索赔、理赔程序</w:t>
      </w:r>
    </w:p>
    <w:p w14:paraId="267007D3">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调解成功的案件，由“医调委”将医疗机构递交的资料代转江泰经纪公司,由江泰经纪公司协助医疗机构进行索赔,保险公司根据保险合同将协议赔偿款项直接支付给患方或医疗机构。</w:t>
      </w:r>
    </w:p>
    <w:p w14:paraId="59BEF152">
      <w:pPr>
        <w:spacing w:beforeLines="50" w:line="360" w:lineRule="auto"/>
        <w:ind w:firstLine="482" w:firstLineChars="200"/>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2、</w:t>
      </w:r>
      <w:r>
        <w:rPr>
          <w:rFonts w:hint="eastAsia" w:ascii="宋体" w:hAnsi="宋体" w:eastAsia="宋体" w:cs="Times New Roman"/>
          <w:b/>
          <w:bCs/>
          <w:color w:val="auto"/>
          <w:kern w:val="2"/>
          <w:sz w:val="24"/>
          <w:szCs w:val="24"/>
          <w:highlight w:val="none"/>
          <w:lang w:eastAsia="zh-CN"/>
        </w:rPr>
        <w:t>自主处理</w:t>
      </w:r>
      <w:r>
        <w:rPr>
          <w:rFonts w:hint="eastAsia" w:ascii="宋体" w:hAnsi="宋体" w:eastAsia="宋体" w:cs="Times New Roman"/>
          <w:b/>
          <w:bCs/>
          <w:color w:val="auto"/>
          <w:kern w:val="2"/>
          <w:sz w:val="24"/>
          <w:szCs w:val="24"/>
          <w:highlight w:val="none"/>
        </w:rPr>
        <w:t>结案案件索赔、理赔程序</w:t>
      </w:r>
    </w:p>
    <w:p w14:paraId="130B61B7">
      <w:pPr>
        <w:spacing w:beforeLines="50" w:line="360" w:lineRule="auto"/>
        <w:ind w:firstLine="480" w:firstLineChars="200"/>
        <w:rPr>
          <w:rFonts w:hint="eastAsia" w:ascii="宋体" w:hAnsi="宋体" w:eastAsia="宋体" w:cs="Times New Roman"/>
          <w:bCs/>
          <w:color w:val="auto"/>
          <w:kern w:val="2"/>
          <w:sz w:val="24"/>
          <w:szCs w:val="24"/>
          <w:highlight w:val="none"/>
          <w:lang w:eastAsia="zh-CN"/>
        </w:rPr>
      </w:pPr>
      <w:r>
        <w:rPr>
          <w:rFonts w:hint="eastAsia" w:ascii="宋体" w:hAnsi="宋体" w:eastAsia="宋体" w:cs="Times New Roman"/>
          <w:bCs/>
          <w:color w:val="auto"/>
          <w:kern w:val="2"/>
          <w:sz w:val="24"/>
          <w:szCs w:val="24"/>
          <w:highlight w:val="none"/>
        </w:rPr>
        <w:t>医疗机构根据本合同特别约定，使用</w:t>
      </w:r>
      <w:r>
        <w:rPr>
          <w:rFonts w:hint="eastAsia" w:ascii="宋体" w:hAnsi="宋体" w:eastAsia="宋体" w:cs="Times New Roman"/>
          <w:bCs/>
          <w:color w:val="auto"/>
          <w:kern w:val="2"/>
          <w:sz w:val="24"/>
          <w:szCs w:val="24"/>
          <w:highlight w:val="none"/>
          <w:lang w:eastAsia="zh-CN"/>
        </w:rPr>
        <w:t>自主处理</w:t>
      </w:r>
      <w:r>
        <w:rPr>
          <w:rFonts w:hint="eastAsia" w:ascii="宋体" w:hAnsi="宋体" w:eastAsia="宋体" w:cs="Times New Roman"/>
          <w:bCs/>
          <w:color w:val="auto"/>
          <w:kern w:val="2"/>
          <w:sz w:val="24"/>
          <w:szCs w:val="24"/>
          <w:highlight w:val="none"/>
        </w:rPr>
        <w:t>权限，与患方进行协商并达成一致的医疗纠纷案件，统一将索赔资料递交“医调委”，由“医调委”转交江泰经纪公司,由江泰经纪公司协助医疗机构进行索赔, 保险公司根据保险合同将协议赔偿款项直接支付给患方或医疗机构。</w:t>
      </w:r>
    </w:p>
    <w:p w14:paraId="5DAD950D">
      <w:pPr>
        <w:spacing w:beforeLines="50" w:line="360" w:lineRule="auto"/>
        <w:ind w:firstLine="482" w:firstLineChars="200"/>
        <w:rPr>
          <w:rFonts w:ascii="宋体" w:hAnsi="宋体" w:eastAsia="宋体" w:cs="Times New Roman"/>
          <w:bCs/>
          <w:color w:val="auto"/>
          <w:kern w:val="2"/>
          <w:sz w:val="24"/>
          <w:szCs w:val="24"/>
          <w:highlight w:val="none"/>
        </w:rPr>
      </w:pPr>
      <w:r>
        <w:rPr>
          <w:rFonts w:hint="eastAsia" w:ascii="宋体" w:hAnsi="宋体" w:eastAsia="宋体" w:cs="Times New Roman"/>
          <w:b/>
          <w:bCs/>
          <w:color w:val="auto"/>
          <w:kern w:val="2"/>
          <w:sz w:val="24"/>
          <w:szCs w:val="24"/>
          <w:highlight w:val="none"/>
        </w:rPr>
        <w:t>3、仲裁、</w:t>
      </w:r>
      <w:r>
        <w:rPr>
          <w:rFonts w:hint="eastAsia" w:ascii="宋体" w:hAnsi="宋体" w:eastAsia="宋体" w:cs="Times New Roman"/>
          <w:b/>
          <w:bCs/>
          <w:color w:val="auto"/>
          <w:kern w:val="2"/>
          <w:sz w:val="24"/>
          <w:szCs w:val="24"/>
          <w:highlight w:val="none"/>
          <w:lang w:eastAsia="zh-CN"/>
        </w:rPr>
        <w:t>诉讼等</w:t>
      </w:r>
      <w:r>
        <w:rPr>
          <w:rFonts w:hint="eastAsia" w:ascii="宋体" w:hAnsi="宋体" w:eastAsia="宋体" w:cs="Times New Roman"/>
          <w:b/>
          <w:bCs/>
          <w:color w:val="auto"/>
          <w:kern w:val="2"/>
          <w:sz w:val="24"/>
          <w:szCs w:val="24"/>
          <w:highlight w:val="none"/>
        </w:rPr>
        <w:t>司法途径结案案件索赔、理赔程序</w:t>
      </w:r>
    </w:p>
    <w:p w14:paraId="5C622D55">
      <w:pPr>
        <w:spacing w:beforeLines="50" w:line="360" w:lineRule="auto"/>
        <w:ind w:firstLine="480" w:firstLineChars="200"/>
        <w:rPr>
          <w:rFonts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经仲裁裁决程序、法院判决或法院调解程序结案的案件，统一由江泰经纪公司协助</w:t>
      </w:r>
      <w:r>
        <w:rPr>
          <w:rFonts w:ascii="宋体" w:hAnsi="宋体" w:eastAsia="宋体" w:cs="Times New Roman"/>
          <w:bCs/>
          <w:color w:val="auto"/>
          <w:kern w:val="2"/>
          <w:sz w:val="24"/>
          <w:szCs w:val="24"/>
          <w:highlight w:val="none"/>
        </w:rPr>
        <w:t>医疗机构进行索赔，</w:t>
      </w:r>
      <w:r>
        <w:rPr>
          <w:rFonts w:hint="eastAsia" w:ascii="宋体" w:hAnsi="宋体" w:eastAsia="宋体" w:cs="Times New Roman"/>
          <w:bCs/>
          <w:color w:val="auto"/>
          <w:kern w:val="2"/>
          <w:sz w:val="24"/>
          <w:szCs w:val="24"/>
          <w:highlight w:val="none"/>
        </w:rPr>
        <w:t>保险公司根据保险合同将赔偿款项直接支付给患方或医疗机构。</w:t>
      </w:r>
    </w:p>
    <w:p w14:paraId="25563FB7">
      <w:pPr>
        <w:spacing w:beforeLines="50" w:line="360" w:lineRule="auto"/>
        <w:ind w:firstLine="482" w:firstLineChars="200"/>
        <w:rPr>
          <w:rFonts w:ascii="宋体" w:hAnsi="宋体" w:eastAsia="宋体" w:cs="Times New Roman"/>
          <w:b/>
          <w:bCs/>
          <w:color w:val="auto"/>
          <w:kern w:val="2"/>
          <w:sz w:val="24"/>
          <w:szCs w:val="24"/>
          <w:highlight w:val="none"/>
        </w:rPr>
      </w:pPr>
      <w:r>
        <w:rPr>
          <w:rFonts w:ascii="宋体" w:hAnsi="宋体" w:eastAsia="宋体" w:cs="Times New Roman"/>
          <w:b/>
          <w:bCs/>
          <w:color w:val="auto"/>
          <w:kern w:val="2"/>
          <w:sz w:val="24"/>
          <w:szCs w:val="24"/>
          <w:highlight w:val="none"/>
        </w:rPr>
        <w:t>4</w:t>
      </w:r>
      <w:r>
        <w:rPr>
          <w:rFonts w:hint="eastAsia" w:ascii="宋体" w:hAnsi="宋体" w:eastAsia="宋体" w:cs="Times New Roman"/>
          <w:b/>
          <w:bCs/>
          <w:color w:val="auto"/>
          <w:kern w:val="2"/>
          <w:sz w:val="24"/>
          <w:szCs w:val="24"/>
          <w:highlight w:val="none"/>
        </w:rPr>
        <w:t>、</w:t>
      </w:r>
      <w:r>
        <w:rPr>
          <w:rFonts w:ascii="宋体" w:hAnsi="宋体" w:eastAsia="宋体" w:cs="Times New Roman"/>
          <w:b/>
          <w:bCs/>
          <w:color w:val="auto"/>
          <w:kern w:val="2"/>
          <w:sz w:val="24"/>
          <w:szCs w:val="24"/>
          <w:highlight w:val="none"/>
        </w:rPr>
        <w:t>行政介入</w:t>
      </w:r>
      <w:r>
        <w:rPr>
          <w:rFonts w:hint="eastAsia" w:ascii="宋体" w:hAnsi="宋体" w:eastAsia="宋体" w:cs="Times New Roman"/>
          <w:b/>
          <w:bCs/>
          <w:color w:val="auto"/>
          <w:kern w:val="2"/>
          <w:sz w:val="24"/>
          <w:szCs w:val="24"/>
          <w:highlight w:val="none"/>
        </w:rPr>
        <w:t>处理</w:t>
      </w:r>
      <w:r>
        <w:rPr>
          <w:rFonts w:ascii="宋体" w:hAnsi="宋体" w:eastAsia="宋体" w:cs="Times New Roman"/>
          <w:b/>
          <w:bCs/>
          <w:color w:val="auto"/>
          <w:kern w:val="2"/>
          <w:sz w:val="24"/>
          <w:szCs w:val="24"/>
          <w:highlight w:val="none"/>
        </w:rPr>
        <w:t>结案</w:t>
      </w:r>
      <w:r>
        <w:rPr>
          <w:rFonts w:hint="eastAsia" w:ascii="宋体" w:hAnsi="宋体" w:eastAsia="宋体" w:cs="Times New Roman"/>
          <w:b/>
          <w:bCs/>
          <w:color w:val="auto"/>
          <w:kern w:val="2"/>
          <w:sz w:val="24"/>
          <w:szCs w:val="24"/>
          <w:highlight w:val="none"/>
        </w:rPr>
        <w:t>案件</w:t>
      </w:r>
      <w:r>
        <w:rPr>
          <w:rFonts w:ascii="宋体" w:hAnsi="宋体" w:eastAsia="宋体" w:cs="Times New Roman"/>
          <w:b/>
          <w:bCs/>
          <w:color w:val="auto"/>
          <w:kern w:val="2"/>
          <w:sz w:val="24"/>
          <w:szCs w:val="24"/>
          <w:highlight w:val="none"/>
        </w:rPr>
        <w:t>索赔、理赔程序</w:t>
      </w:r>
    </w:p>
    <w:p w14:paraId="294FEFF2">
      <w:pPr>
        <w:spacing w:beforeLines="50" w:line="360" w:lineRule="auto"/>
        <w:ind w:firstLine="480" w:firstLineChars="200"/>
        <w:rPr>
          <w:rFonts w:hint="eastAsia" w:ascii="宋体" w:hAnsi="宋体" w:eastAsia="宋体" w:cs="Times New Roman"/>
          <w:bCs/>
          <w:color w:val="auto"/>
          <w:kern w:val="2"/>
          <w:sz w:val="24"/>
          <w:szCs w:val="24"/>
          <w:highlight w:val="none"/>
        </w:rPr>
      </w:pPr>
      <w:r>
        <w:rPr>
          <w:rFonts w:hint="eastAsia" w:ascii="宋体" w:hAnsi="宋体" w:eastAsia="宋体" w:cs="Times New Roman"/>
          <w:bCs/>
          <w:color w:val="auto"/>
          <w:kern w:val="2"/>
          <w:sz w:val="24"/>
          <w:szCs w:val="24"/>
          <w:highlight w:val="none"/>
        </w:rPr>
        <w:t>依据行政介入处理</w:t>
      </w:r>
      <w:r>
        <w:rPr>
          <w:rFonts w:ascii="宋体" w:hAnsi="宋体" w:eastAsia="宋体" w:cs="Times New Roman"/>
          <w:bCs/>
          <w:color w:val="auto"/>
          <w:kern w:val="2"/>
          <w:sz w:val="24"/>
          <w:szCs w:val="24"/>
          <w:highlight w:val="none"/>
        </w:rPr>
        <w:t>意见结案</w:t>
      </w:r>
      <w:r>
        <w:rPr>
          <w:rFonts w:hint="eastAsia" w:ascii="宋体" w:hAnsi="宋体" w:eastAsia="宋体" w:cs="Times New Roman"/>
          <w:bCs/>
          <w:color w:val="auto"/>
          <w:kern w:val="2"/>
          <w:sz w:val="24"/>
          <w:szCs w:val="24"/>
          <w:highlight w:val="none"/>
        </w:rPr>
        <w:t>的</w:t>
      </w:r>
      <w:r>
        <w:rPr>
          <w:rFonts w:ascii="宋体" w:hAnsi="宋体" w:eastAsia="宋体" w:cs="Times New Roman"/>
          <w:bCs/>
          <w:color w:val="auto"/>
          <w:kern w:val="2"/>
          <w:sz w:val="24"/>
          <w:szCs w:val="24"/>
          <w:highlight w:val="none"/>
        </w:rPr>
        <w:t>案件</w:t>
      </w:r>
      <w:r>
        <w:rPr>
          <w:rFonts w:hint="eastAsia" w:ascii="宋体" w:hAnsi="宋体" w:eastAsia="宋体" w:cs="Times New Roman"/>
          <w:bCs/>
          <w:color w:val="auto"/>
          <w:kern w:val="2"/>
          <w:sz w:val="24"/>
          <w:szCs w:val="24"/>
          <w:highlight w:val="none"/>
        </w:rPr>
        <w:t>，统一由“</w:t>
      </w:r>
      <w:r>
        <w:rPr>
          <w:rFonts w:hint="eastAsia" w:ascii="宋体" w:hAnsi="宋体" w:eastAsia="宋体" w:cs="Times New Roman"/>
          <w:bCs/>
          <w:color w:val="auto"/>
          <w:kern w:val="2"/>
          <w:sz w:val="24"/>
          <w:szCs w:val="24"/>
          <w:highlight w:val="none"/>
          <w:lang w:eastAsia="zh-CN"/>
        </w:rPr>
        <w:t>广东和谐</w:t>
      </w:r>
      <w:r>
        <w:rPr>
          <w:rFonts w:hint="eastAsia" w:ascii="宋体" w:hAnsi="宋体" w:eastAsia="宋体" w:cs="Times New Roman"/>
          <w:bCs/>
          <w:color w:val="auto"/>
          <w:kern w:val="2"/>
          <w:sz w:val="24"/>
          <w:szCs w:val="24"/>
          <w:highlight w:val="none"/>
        </w:rPr>
        <w:t>医调委”将医疗机构递交的索赔资料代转江泰保险经纪公司,由江泰保险经纪公司协助医疗机构进行索赔,保险公司根据保险合同将协议赔偿款项直接支付给患方或医疗机构。</w:t>
      </w:r>
    </w:p>
    <w:p w14:paraId="5B78A73A">
      <w:pPr>
        <w:numPr>
          <w:ilvl w:val="0"/>
          <w:numId w:val="0"/>
        </w:numPr>
        <w:spacing w:beforeLines="50" w:line="360" w:lineRule="auto"/>
        <w:ind w:firstLine="482" w:firstLineChars="200"/>
        <w:rPr>
          <w:rFonts w:hint="eastAsia" w:ascii="宋体" w:hAnsi="宋体" w:eastAsia="宋体" w:cs="Times New Roman"/>
          <w:b/>
          <w:bCs/>
          <w:color w:val="auto"/>
          <w:kern w:val="2"/>
          <w:sz w:val="24"/>
          <w:szCs w:val="24"/>
          <w:highlight w:val="none"/>
          <w:lang w:eastAsia="zh-CN"/>
        </w:rPr>
      </w:pPr>
      <w:r>
        <w:rPr>
          <w:rFonts w:hint="eastAsia" w:ascii="宋体" w:hAnsi="宋体" w:eastAsia="宋体" w:cs="Times New Roman"/>
          <w:b/>
          <w:bCs/>
          <w:color w:val="auto"/>
          <w:kern w:val="2"/>
          <w:sz w:val="24"/>
          <w:szCs w:val="24"/>
          <w:highlight w:val="none"/>
          <w:lang w:val="en-US" w:eastAsia="zh-CN"/>
        </w:rPr>
        <w:t>5、</w:t>
      </w:r>
      <w:r>
        <w:rPr>
          <w:rFonts w:hint="eastAsia" w:ascii="宋体" w:hAnsi="宋体" w:eastAsia="宋体" w:cs="Times New Roman"/>
          <w:b/>
          <w:bCs/>
          <w:color w:val="auto"/>
          <w:kern w:val="2"/>
          <w:sz w:val="24"/>
          <w:szCs w:val="24"/>
          <w:highlight w:val="none"/>
          <w:lang w:eastAsia="zh-CN"/>
        </w:rPr>
        <w:t>索赔资料要求：</w:t>
      </w:r>
    </w:p>
    <w:p w14:paraId="3548DEB8">
      <w:pPr>
        <w:numPr>
          <w:ilvl w:val="0"/>
          <w:numId w:val="0"/>
        </w:numPr>
        <w:spacing w:beforeLines="50" w:line="360" w:lineRule="auto"/>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根据案件类型，以及是否涉及患者死亡、伤残，医方应提供对应的索赔资料如下表所列：</w:t>
      </w:r>
    </w:p>
    <w:p w14:paraId="3580E018">
      <w:pPr>
        <w:widowControl w:val="0"/>
        <w:spacing w:beforeLines="90" w:afterLines="90"/>
        <w:ind w:firstLine="482" w:firstLineChars="20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（1）调解案件；仲裁、诉讼等司法途径案件；行政介入处理案件：</w:t>
      </w:r>
    </w:p>
    <w:p w14:paraId="41E1707C">
      <w:pPr>
        <w:widowControl w:val="0"/>
        <w:numPr>
          <w:ilvl w:val="0"/>
          <w:numId w:val="5"/>
        </w:numPr>
        <w:spacing w:beforeLines="50"/>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医疗机构执业许可证、组织机构代码证（或事业单位法人证书）复印件；</w:t>
      </w:r>
    </w:p>
    <w:p w14:paraId="0A5F2FEE">
      <w:pPr>
        <w:widowControl w:val="0"/>
        <w:numPr>
          <w:ilvl w:val="0"/>
          <w:numId w:val="5"/>
        </w:numPr>
        <w:spacing w:beforeLines="50"/>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当事医务人员执业证复印件；</w:t>
      </w:r>
    </w:p>
    <w:p w14:paraId="31A41A4C">
      <w:pPr>
        <w:widowControl w:val="0"/>
        <w:numPr>
          <w:ilvl w:val="0"/>
          <w:numId w:val="5"/>
        </w:numPr>
        <w:spacing w:beforeLines="50"/>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医院授权委托书原件及代理人身份证复印件；</w:t>
      </w:r>
    </w:p>
    <w:p w14:paraId="33AFE91A">
      <w:pPr>
        <w:widowControl w:val="0"/>
        <w:numPr>
          <w:ilvl w:val="0"/>
          <w:numId w:val="5"/>
        </w:numPr>
        <w:spacing w:beforeLines="50"/>
        <w:ind w:firstLine="480" w:firstLineChars="200"/>
        <w:jc w:val="both"/>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法定代表人身份证明书；</w:t>
      </w:r>
    </w:p>
    <w:p w14:paraId="4EC693E8">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患者身份证明材料复印件；</w:t>
      </w:r>
    </w:p>
    <w:p w14:paraId="21296299">
      <w:pPr>
        <w:widowControl w:val="0"/>
        <w:numPr>
          <w:ilvl w:val="0"/>
          <w:numId w:val="5"/>
        </w:numPr>
        <w:spacing w:beforeLines="50"/>
        <w:ind w:firstLine="480" w:firstLineChars="200"/>
        <w:jc w:val="both"/>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患方相关权利人身份证明及关系证明复印件、授权委托书及委托代理人身份证复印件。</w:t>
      </w:r>
    </w:p>
    <w:p w14:paraId="254F2596">
      <w:pPr>
        <w:widowControl w:val="0"/>
        <w:numPr>
          <w:ilvl w:val="0"/>
          <w:numId w:val="5"/>
        </w:numPr>
        <w:spacing w:beforeLines="50"/>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病历资料复印件；</w:t>
      </w:r>
    </w:p>
    <w:p w14:paraId="11C1C23A">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患者伤残、死亡证明材料复印件（根据案件系患者死亡或伤残，分别对应提供），医鉴报告等；</w:t>
      </w:r>
    </w:p>
    <w:p w14:paraId="71958D0C">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医疗费用单据、其他费用单据等损失证明材料原件或复印件；</w:t>
      </w:r>
    </w:p>
    <w:p w14:paraId="7B3C0FF1">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调解协议书；仲裁裁决</w:t>
      </w:r>
      <w:r>
        <w:rPr>
          <w:rFonts w:ascii="宋体" w:hAnsi="宋体" w:eastAsia="宋体" w:cs="Times New Roman"/>
          <w:bCs/>
          <w:color w:val="auto"/>
          <w:kern w:val="2"/>
          <w:sz w:val="24"/>
          <w:szCs w:val="24"/>
          <w:highlight w:val="none"/>
          <w:lang w:val="en-US" w:eastAsia="zh-CN" w:bidi="ar-SA"/>
        </w:rPr>
        <w:t>书</w:t>
      </w:r>
      <w:r>
        <w:rPr>
          <w:rFonts w:hint="eastAsia" w:ascii="宋体" w:hAnsi="宋体" w:eastAsia="宋体" w:cs="Times New Roman"/>
          <w:bCs/>
          <w:color w:val="auto"/>
          <w:kern w:val="2"/>
          <w:sz w:val="24"/>
          <w:szCs w:val="24"/>
          <w:highlight w:val="none"/>
          <w:lang w:val="en-US" w:eastAsia="zh-CN" w:bidi="ar-SA"/>
        </w:rPr>
        <w:t>/</w:t>
      </w:r>
      <w:r>
        <w:rPr>
          <w:rFonts w:ascii="宋体" w:hAnsi="宋体" w:eastAsia="宋体" w:cs="Times New Roman"/>
          <w:bCs/>
          <w:color w:val="auto"/>
          <w:kern w:val="2"/>
          <w:sz w:val="24"/>
          <w:szCs w:val="24"/>
          <w:highlight w:val="none"/>
          <w:lang w:val="en-US" w:eastAsia="zh-CN" w:bidi="ar-SA"/>
        </w:rPr>
        <w:t>法院</w:t>
      </w:r>
      <w:r>
        <w:rPr>
          <w:rFonts w:hint="eastAsia" w:ascii="宋体" w:hAnsi="宋体" w:eastAsia="宋体" w:cs="Times New Roman"/>
          <w:bCs/>
          <w:color w:val="auto"/>
          <w:kern w:val="2"/>
          <w:sz w:val="24"/>
          <w:szCs w:val="24"/>
          <w:highlight w:val="none"/>
          <w:lang w:val="en-US" w:eastAsia="zh-CN" w:bidi="ar-SA"/>
        </w:rPr>
        <w:t>判决书/</w:t>
      </w:r>
      <w:r>
        <w:rPr>
          <w:rFonts w:ascii="宋体" w:hAnsi="宋体" w:eastAsia="宋体" w:cs="Times New Roman"/>
          <w:bCs/>
          <w:color w:val="auto"/>
          <w:kern w:val="2"/>
          <w:sz w:val="24"/>
          <w:szCs w:val="24"/>
          <w:highlight w:val="none"/>
          <w:lang w:val="en-US" w:eastAsia="zh-CN" w:bidi="ar-SA"/>
        </w:rPr>
        <w:t>法院调解书</w:t>
      </w:r>
      <w:r>
        <w:rPr>
          <w:rFonts w:hint="eastAsia" w:ascii="宋体" w:hAnsi="宋体" w:eastAsia="宋体" w:cs="Times New Roman"/>
          <w:bCs/>
          <w:color w:val="auto"/>
          <w:kern w:val="2"/>
          <w:sz w:val="24"/>
          <w:szCs w:val="24"/>
          <w:highlight w:val="none"/>
          <w:lang w:val="en-US" w:eastAsia="zh-CN" w:bidi="ar-SA"/>
        </w:rPr>
        <w:t>/法院裁定书/</w:t>
      </w:r>
      <w:r>
        <w:rPr>
          <w:rFonts w:ascii="宋体" w:hAnsi="宋体" w:eastAsia="宋体" w:cs="Times New Roman"/>
          <w:bCs/>
          <w:color w:val="auto"/>
          <w:kern w:val="2"/>
          <w:sz w:val="24"/>
          <w:szCs w:val="24"/>
          <w:highlight w:val="none"/>
          <w:lang w:val="en-US" w:eastAsia="zh-CN" w:bidi="ar-SA"/>
        </w:rPr>
        <w:t>行政</w:t>
      </w:r>
      <w:r>
        <w:rPr>
          <w:rFonts w:hint="eastAsia" w:ascii="宋体" w:hAnsi="宋体" w:eastAsia="宋体" w:cs="Times New Roman"/>
          <w:bCs/>
          <w:color w:val="auto"/>
          <w:kern w:val="2"/>
          <w:sz w:val="24"/>
          <w:szCs w:val="24"/>
          <w:highlight w:val="none"/>
          <w:lang w:val="en-US" w:eastAsia="zh-CN" w:bidi="ar-SA"/>
        </w:rPr>
        <w:t>介入</w:t>
      </w:r>
      <w:r>
        <w:rPr>
          <w:rFonts w:ascii="宋体" w:hAnsi="宋体" w:eastAsia="宋体" w:cs="Times New Roman"/>
          <w:bCs/>
          <w:color w:val="auto"/>
          <w:kern w:val="2"/>
          <w:sz w:val="24"/>
          <w:szCs w:val="24"/>
          <w:highlight w:val="none"/>
          <w:lang w:val="en-US" w:eastAsia="zh-CN" w:bidi="ar-SA"/>
        </w:rPr>
        <w:t>处理意见</w:t>
      </w:r>
      <w:r>
        <w:rPr>
          <w:rFonts w:hint="eastAsia" w:ascii="宋体" w:hAnsi="宋体" w:eastAsia="宋体" w:cs="Times New Roman"/>
          <w:bCs/>
          <w:color w:val="auto"/>
          <w:kern w:val="2"/>
          <w:sz w:val="24"/>
          <w:szCs w:val="24"/>
          <w:highlight w:val="none"/>
          <w:lang w:val="en-US" w:eastAsia="zh-CN" w:bidi="ar-SA"/>
        </w:rPr>
        <w:t>（仲裁</w:t>
      </w:r>
      <w:r>
        <w:rPr>
          <w:rFonts w:ascii="宋体" w:hAnsi="宋体" w:eastAsia="宋体" w:cs="Times New Roman"/>
          <w:bCs/>
          <w:color w:val="auto"/>
          <w:kern w:val="2"/>
          <w:sz w:val="24"/>
          <w:szCs w:val="24"/>
          <w:highlight w:val="none"/>
          <w:lang w:val="en-US" w:eastAsia="zh-CN" w:bidi="ar-SA"/>
        </w:rPr>
        <w:t>、</w:t>
      </w:r>
      <w:r>
        <w:rPr>
          <w:rFonts w:hint="eastAsia" w:ascii="宋体" w:hAnsi="宋体" w:eastAsia="宋体" w:cs="Times New Roman"/>
          <w:bCs/>
          <w:color w:val="auto"/>
          <w:kern w:val="2"/>
          <w:sz w:val="24"/>
          <w:szCs w:val="24"/>
          <w:highlight w:val="none"/>
          <w:lang w:val="en-US" w:eastAsia="zh-CN" w:bidi="ar-SA"/>
        </w:rPr>
        <w:t>诉讼等</w:t>
      </w:r>
      <w:r>
        <w:rPr>
          <w:rFonts w:ascii="宋体" w:hAnsi="宋体" w:eastAsia="宋体" w:cs="Times New Roman"/>
          <w:bCs/>
          <w:color w:val="auto"/>
          <w:kern w:val="2"/>
          <w:sz w:val="24"/>
          <w:szCs w:val="24"/>
          <w:highlight w:val="none"/>
          <w:lang w:val="en-US" w:eastAsia="zh-CN" w:bidi="ar-SA"/>
        </w:rPr>
        <w:t>司法途径案件、行政介入处理案件必需）；</w:t>
      </w:r>
    </w:p>
    <w:p w14:paraId="39E79DDB">
      <w:pPr>
        <w:widowControl w:val="0"/>
        <w:numPr>
          <w:ilvl w:val="0"/>
          <w:numId w:val="5"/>
        </w:numPr>
        <w:spacing w:beforeLines="50" w:line="360" w:lineRule="auto"/>
        <w:ind w:firstLine="480" w:firstLineChars="200"/>
        <w:jc w:val="both"/>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代理律师结案报告（仲裁、诉讼等司法途径案件必需）；</w:t>
      </w:r>
    </w:p>
    <w:p w14:paraId="5DF9DE2A">
      <w:pPr>
        <w:widowControl w:val="0"/>
        <w:numPr>
          <w:ilvl w:val="0"/>
          <w:numId w:val="5"/>
        </w:numPr>
        <w:spacing w:beforeLines="50" w:line="360" w:lineRule="auto"/>
        <w:ind w:firstLine="480" w:firstLineChars="200"/>
        <w:jc w:val="both"/>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应诉通知书（法院或仲裁委出具，仲裁、诉讼等司法途径案件必需）；</w:t>
      </w:r>
    </w:p>
    <w:p w14:paraId="4CFCB13A">
      <w:pPr>
        <w:widowControl w:val="0"/>
        <w:numPr>
          <w:ilvl w:val="0"/>
          <w:numId w:val="5"/>
        </w:numPr>
        <w:spacing w:beforeLines="50" w:line="360" w:lineRule="auto"/>
        <w:ind w:firstLine="480" w:firstLineChars="200"/>
        <w:jc w:val="both"/>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民事起诉状或仲裁申请书（仲裁、诉讼等司法途径案件必需）；</w:t>
      </w:r>
    </w:p>
    <w:p w14:paraId="15531DCB">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医疗责任保险索赔申请书、确认书原件；</w:t>
      </w:r>
    </w:p>
    <w:p w14:paraId="2016DC45">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赔款证明或患者收款收据原件或复印件；</w:t>
      </w:r>
    </w:p>
    <w:p w14:paraId="2FDE4830">
      <w:pPr>
        <w:widowControl w:val="0"/>
        <w:numPr>
          <w:ilvl w:val="0"/>
          <w:numId w:val="5"/>
        </w:numPr>
        <w:spacing w:beforeLines="50" w:line="360" w:lineRule="auto"/>
        <w:ind w:firstLine="480" w:firstLineChars="200"/>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医方或患方银行账户信息。</w:t>
      </w:r>
    </w:p>
    <w:p w14:paraId="0FDE8EE7">
      <w:pPr>
        <w:widowControl w:val="0"/>
        <w:spacing w:beforeLines="90" w:afterLines="90"/>
        <w:ind w:firstLine="482" w:firstLineChars="200"/>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（2）自行和解案件：</w:t>
      </w:r>
    </w:p>
    <w:p w14:paraId="632E3C9D">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①医疗机构执业许可证、组织机构代码证（或事业单位法人证书）复印件；</w:t>
      </w:r>
    </w:p>
    <w:p w14:paraId="104B3E32">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②当事医务人员执业证复印件；</w:t>
      </w:r>
    </w:p>
    <w:p w14:paraId="7E8F6803">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③医院授权委托书原件及代理人身份证复印件；</w:t>
      </w:r>
    </w:p>
    <w:p w14:paraId="6E3A7EEA">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④法定代表人身份证明书；</w:t>
      </w:r>
    </w:p>
    <w:p w14:paraId="0367AAB7">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⑤病历资料复印件；</w:t>
      </w:r>
    </w:p>
    <w:p w14:paraId="35628F26">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⑥患者伤残、死亡证明材料复印件（根据案件系患者死亡或伤残，分别对应提供）；</w:t>
      </w:r>
    </w:p>
    <w:p w14:paraId="79129720">
      <w:pPr>
        <w:widowControl w:val="0"/>
        <w:spacing w:beforeLines="50" w:line="360" w:lineRule="auto"/>
        <w:ind w:firstLine="420" w:firstLineChars="175"/>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⑦医方免除医疗费的损失证明（医疗费用单据、其他费用单据等损失证明材料原件）；</w:t>
      </w:r>
    </w:p>
    <w:p w14:paraId="47DFB3A9">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⑧医患自行和解协议书；</w:t>
      </w:r>
    </w:p>
    <w:p w14:paraId="506FF645">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⑨医疗责任保险索赔申请书、确认书原件；</w:t>
      </w:r>
    </w:p>
    <w:p w14:paraId="34E40D80">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⑩赔款证明或患者收款收据原件或复印件；</w:t>
      </w:r>
    </w:p>
    <w:p w14:paraId="4290E866">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⑪</w:t>
      </w:r>
      <w:r>
        <w:rPr>
          <w:rFonts w:hint="eastAsia" w:ascii="宋体" w:hAnsi="宋体" w:eastAsia="宋体" w:cs="Times New Roman"/>
          <w:bCs/>
          <w:color w:val="auto"/>
          <w:kern w:val="2"/>
          <w:sz w:val="24"/>
          <w:szCs w:val="24"/>
          <w:highlight w:val="none"/>
          <w:lang w:val="en-US" w:eastAsia="zh-CN" w:bidi="ar-SA"/>
        </w:rPr>
        <w:t>医方或患方银行账户信息；</w:t>
      </w:r>
    </w:p>
    <w:p w14:paraId="058386A3">
      <w:pPr>
        <w:widowControl w:val="0"/>
        <w:spacing w:beforeLines="50" w:line="360" w:lineRule="auto"/>
        <w:ind w:firstLine="420" w:firstLineChars="175"/>
        <w:jc w:val="both"/>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⑫</w:t>
      </w:r>
      <w:r>
        <w:rPr>
          <w:rFonts w:hint="eastAsia" w:ascii="宋体" w:hAnsi="宋体" w:eastAsia="宋体" w:cs="Times New Roman"/>
          <w:bCs/>
          <w:color w:val="auto"/>
          <w:kern w:val="2"/>
          <w:sz w:val="24"/>
          <w:szCs w:val="24"/>
          <w:highlight w:val="none"/>
          <w:lang w:val="en-US" w:eastAsia="zh-CN" w:bidi="ar-SA"/>
        </w:rPr>
        <w:t>患者身份证明材料复印件；</w:t>
      </w:r>
    </w:p>
    <w:p w14:paraId="711C15C3">
      <w:pPr>
        <w:widowControl w:val="0"/>
        <w:spacing w:beforeLines="50" w:line="360" w:lineRule="auto"/>
        <w:ind w:firstLine="420" w:firstLineChars="175"/>
        <w:jc w:val="both"/>
        <w:rPr>
          <w:rFonts w:hint="eastAsia" w:ascii="微软雅黑" w:hAnsi="微软雅黑" w:eastAsia="微软雅黑"/>
          <w:color w:val="auto"/>
          <w:kern w:val="44"/>
          <w:sz w:val="32"/>
          <w:szCs w:val="32"/>
          <w:highlight w:val="none"/>
        </w:rPr>
        <w:sectPr>
          <w:pgSz w:w="11906" w:h="16838"/>
          <w:pgMar w:top="1418" w:right="1588" w:bottom="1246" w:left="1701" w:header="851" w:footer="515" w:gutter="0"/>
          <w:cols w:space="720" w:num="1"/>
          <w:docGrid w:type="lines" w:linePitch="312" w:charSpace="0"/>
        </w:sectPr>
      </w:pPr>
      <w:r>
        <w:rPr>
          <w:rFonts w:ascii="宋体" w:hAnsi="宋体" w:eastAsia="宋体" w:cs="Times New Roman"/>
          <w:bCs/>
          <w:color w:val="auto"/>
          <w:kern w:val="2"/>
          <w:sz w:val="24"/>
          <w:szCs w:val="24"/>
          <w:highlight w:val="none"/>
          <w:lang w:val="en-US" w:eastAsia="zh-CN" w:bidi="ar-SA"/>
        </w:rPr>
        <w:t>⑬</w:t>
      </w:r>
      <w:r>
        <w:rPr>
          <w:rFonts w:hint="eastAsia" w:ascii="宋体" w:hAnsi="宋体" w:eastAsia="宋体" w:cs="Times New Roman"/>
          <w:bCs/>
          <w:color w:val="auto"/>
          <w:kern w:val="2"/>
          <w:sz w:val="24"/>
          <w:szCs w:val="24"/>
          <w:highlight w:val="none"/>
          <w:lang w:val="en-US" w:eastAsia="zh-CN" w:bidi="ar-SA"/>
        </w:rPr>
        <w:t>患方相关权利人身份证明及关系证明复印件、授权委托书及委托代理人身份证复印件（死亡案件必需。如医院无法提供，由医院承诺不得再次追究保险责任。）</w:t>
      </w:r>
    </w:p>
    <w:p w14:paraId="4D03482A">
      <w:pPr>
        <w:jc w:val="center"/>
        <w:rPr>
          <w:rFonts w:ascii="微软雅黑" w:hAnsi="微软雅黑" w:eastAsia="微软雅黑" w:cs="微软雅黑"/>
          <w:b/>
          <w:bCs/>
          <w:color w:val="auto"/>
          <w:sz w:val="36"/>
          <w:szCs w:val="36"/>
          <w:highlight w:val="none"/>
        </w:rPr>
      </w:pPr>
      <w:bookmarkStart w:id="1" w:name="_Toc26640"/>
      <w:r>
        <w:rPr>
          <w:rFonts w:hint="eastAsia" w:ascii="微软雅黑" w:hAnsi="微软雅黑" w:eastAsia="微软雅黑" w:cs="微软雅黑"/>
          <w:b/>
          <w:bCs/>
          <w:color w:val="auto"/>
          <w:sz w:val="36"/>
          <w:szCs w:val="36"/>
          <w:highlight w:val="none"/>
        </w:rPr>
        <w:t>附件二</w:t>
      </w:r>
      <w:bookmarkEnd w:id="0"/>
      <w:bookmarkStart w:id="2" w:name="_Toc324192728"/>
      <w:r>
        <w:rPr>
          <w:rFonts w:hint="eastAsia" w:ascii="微软雅黑" w:hAnsi="微软雅黑" w:eastAsia="微软雅黑" w:cs="微软雅黑"/>
          <w:b/>
          <w:bCs/>
          <w:color w:val="auto"/>
          <w:sz w:val="36"/>
          <w:szCs w:val="36"/>
          <w:highlight w:val="none"/>
        </w:rPr>
        <w:t>：广东省医疗责任保险赔偿处理办法（暂行）</w:t>
      </w:r>
      <w:bookmarkEnd w:id="1"/>
      <w:bookmarkEnd w:id="2"/>
    </w:p>
    <w:p w14:paraId="5EB0AF97">
      <w:pPr>
        <w:shd w:val="clear" w:color="auto" w:fill="FFFFFF"/>
        <w:spacing w:before="100" w:beforeAutospacing="1" w:after="100" w:afterAutospacing="1" w:line="360" w:lineRule="auto"/>
        <w:ind w:left="750" w:hanging="750"/>
        <w:jc w:val="center"/>
        <w:rPr>
          <w:rFonts w:hint="eastAsia" w:ascii="宋体" w:hAnsi="宋体" w:eastAsia="宋体" w:cs="宋体"/>
          <w:color w:val="auto"/>
          <w:kern w:val="2"/>
          <w:sz w:val="21"/>
          <w:szCs w:val="21"/>
          <w:highlight w:val="none"/>
        </w:rPr>
      </w:pPr>
      <w:bookmarkStart w:id="3" w:name="_Toc1829"/>
      <w:r>
        <w:rPr>
          <w:rFonts w:hint="eastAsia" w:ascii="宋体" w:hAnsi="宋体" w:eastAsia="宋体" w:cs="宋体"/>
          <w:b/>
          <w:bCs/>
          <w:color w:val="auto"/>
          <w:kern w:val="2"/>
          <w:sz w:val="21"/>
          <w:szCs w:val="21"/>
          <w:highlight w:val="none"/>
        </w:rPr>
        <w:t>第一章  总则</w:t>
      </w:r>
      <w:bookmarkEnd w:id="3"/>
    </w:p>
    <w:p w14:paraId="008A2D1F">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为及时、准确处理医疗责任保险赔偿，保护医疗机构和患者的合法利益，促进广东省医疗责任保险持续发展，确保调赔结合机制长效稳定运行，特制订本办法。</w:t>
      </w:r>
    </w:p>
    <w:p w14:paraId="50D6F4BD">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广东省医疗责任保险全省统保项目涉及的所有赔偿处理事项，按照本办法规定执行。</w:t>
      </w:r>
    </w:p>
    <w:p w14:paraId="13DC2BB1">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医疗纠纷人民调解委员会（以下简称“医调委”）是经司法行政部门同意设立的行业性、专业性医患纠纷第三方人民调解组织。负责对参保医疗机构发生的医疗纠纷案件进行调查、调解</w:t>
      </w:r>
      <w:r>
        <w:rPr>
          <w:rFonts w:hint="eastAsia" w:ascii="宋体" w:hAnsi="宋体" w:eastAsia="宋体" w:cs="宋体"/>
          <w:b/>
          <w:bCs/>
          <w:color w:val="auto"/>
          <w:kern w:val="2"/>
          <w:sz w:val="21"/>
          <w:szCs w:val="21"/>
          <w:highlight w:val="none"/>
        </w:rPr>
        <w:t>。</w:t>
      </w:r>
    </w:p>
    <w:p w14:paraId="2B6CA69A">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广东和谐医患纠纷人民调解委员会（以下简称“广东和谐医调委”）是依托于广东省人民调解员协会，并经广东省司法厅同意设立的行业性、专业性的医患纠纷第三方人民调解组织</w:t>
      </w:r>
      <w:r>
        <w:rPr>
          <w:rFonts w:hint="eastAsia" w:ascii="宋体" w:hAnsi="宋体" w:eastAsia="宋体" w:cs="宋体"/>
          <w:b/>
          <w:bCs/>
          <w:color w:val="auto"/>
          <w:kern w:val="2"/>
          <w:sz w:val="21"/>
          <w:szCs w:val="21"/>
          <w:highlight w:val="none"/>
        </w:rPr>
        <w:t>。</w:t>
      </w:r>
    </w:p>
    <w:p w14:paraId="7E46E061">
      <w:pPr>
        <w:shd w:val="clear" w:color="auto" w:fill="FFFFFF"/>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“广东和谐医调委”负责邀请医学、法律专家从专业角度对参保医疗机构发生的医疗纠纷案件进行性质认定、责任认定和赔偿损失认定，医学、法律专家的认定意见作为保险公司的理赔依据。</w:t>
      </w:r>
    </w:p>
    <w:p w14:paraId="3C7EC9C8">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江泰保险经纪股份有限公司（以下简称“江泰保险经纪公司”)负责协助参保医疗机构对发生的医疗纠纷案件进行后续索赔，确保保险公司依法依约、及时赔付。</w:t>
      </w:r>
    </w:p>
    <w:p w14:paraId="49619D0A">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参保医疗机构发生医疗纠纷案件后，应向“医调委”提出调解申请，“医调委”根据医疗纠纷案件双方当事人的申请进行调解处理。</w:t>
      </w:r>
      <w:r>
        <w:rPr>
          <w:rFonts w:hint="eastAsia" w:ascii="宋体" w:hAnsi="宋体" w:eastAsia="宋体" w:cs="宋体"/>
          <w:b/>
          <w:bCs/>
          <w:color w:val="auto"/>
          <w:kern w:val="2"/>
          <w:sz w:val="21"/>
          <w:szCs w:val="21"/>
          <w:highlight w:val="none"/>
        </w:rPr>
        <w:t xml:space="preserve">  </w:t>
      </w:r>
    </w:p>
    <w:p w14:paraId="144ED53A">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医疗机构、保险公司对涉及医疗纠纷案件的性质认定、责任认定和赔偿损失认定等有重大异议，可以提请医疗责任保险赔案合议会（以下简称“合议会”）进行审议。</w:t>
      </w:r>
    </w:p>
    <w:p w14:paraId="74304A24">
      <w:pPr>
        <w:numPr>
          <w:ilvl w:val="2"/>
          <w:numId w:val="6"/>
        </w:numPr>
        <w:shd w:val="clear" w:color="auto" w:fill="FFFFFF"/>
        <w:spacing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经“医调委”调解仍无法达成协议的医疗纠纷案件，调解员应引导医疗纠纷案件双方当事人依法申请医疗损害鉴定、医疗事故技术鉴定或通过司法诉讼、仲裁以及行政调解等合法方式解决纠纷。对于调解不成功，再通过法律规定程序和方式处理的医疗纠纷案件，保险公司依照相关法律规定并按照保险合同约定理赔。</w:t>
      </w:r>
    </w:p>
    <w:p w14:paraId="7A00D708">
      <w:pPr>
        <w:numPr>
          <w:ilvl w:val="2"/>
          <w:numId w:val="6"/>
        </w:numPr>
        <w:shd w:val="clear" w:color="auto" w:fill="FFFFFF"/>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江泰保险经纪公司在协助参保医疗机构进行保险索赔时，应当遵循公正、公平的原则，依据事实和相关法律、法规、保险合同规定进行处理。</w:t>
      </w:r>
    </w:p>
    <w:p w14:paraId="1E362F2B">
      <w:pPr>
        <w:shd w:val="clear" w:color="auto" w:fill="FFFFFF"/>
        <w:spacing w:before="100" w:beforeAutospacing="1" w:after="100" w:afterAutospacing="1" w:line="360" w:lineRule="auto"/>
        <w:ind w:left="750" w:hanging="750"/>
        <w:jc w:val="center"/>
        <w:rPr>
          <w:rFonts w:hint="eastAsia" w:ascii="宋体" w:hAnsi="宋体" w:eastAsia="宋体" w:cs="宋体"/>
          <w:color w:val="auto"/>
          <w:kern w:val="2"/>
          <w:sz w:val="21"/>
          <w:szCs w:val="21"/>
          <w:highlight w:val="none"/>
        </w:rPr>
      </w:pPr>
      <w:bookmarkStart w:id="4" w:name="_Toc27148"/>
      <w:r>
        <w:rPr>
          <w:rFonts w:hint="eastAsia" w:ascii="宋体" w:hAnsi="宋体" w:eastAsia="宋体" w:cs="宋体"/>
          <w:b/>
          <w:bCs/>
          <w:color w:val="auto"/>
          <w:kern w:val="2"/>
          <w:sz w:val="21"/>
          <w:szCs w:val="21"/>
          <w:highlight w:val="none"/>
        </w:rPr>
        <w:t>第二章  案件赔偿处理程序</w:t>
      </w:r>
      <w:bookmarkEnd w:id="4"/>
    </w:p>
    <w:p w14:paraId="0558353B">
      <w:pPr>
        <w:numPr>
          <w:ilvl w:val="2"/>
          <w:numId w:val="6"/>
        </w:numPr>
        <w:shd w:val="clear" w:color="auto" w:fill="FFFFFF"/>
        <w:spacing w:before="100" w:beforeAutospacing="1" w:after="100" w:afterAutospacing="1" w:line="360" w:lineRule="auto"/>
        <w:ind w:left="0" w:firstLine="40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广东省医疗责任保险赔案处理按照以下程序执行。</w:t>
      </w:r>
    </w:p>
    <w:p w14:paraId="4170D104">
      <w:pPr>
        <w:shd w:val="clear" w:color="auto" w:fill="FFFFFF"/>
        <w:spacing w:before="100" w:beforeAutospacing="1" w:after="100" w:afterAutospacing="1"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接、报案程序</w:t>
      </w:r>
    </w:p>
    <w:p w14:paraId="18628D7D">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医疗纠纷案件发生时，参保医疗机构应及时通知“广东和谐医调委”和书面报案至</w:t>
      </w:r>
      <w:r>
        <w:rPr>
          <w:rFonts w:hint="eastAsia" w:ascii="宋体" w:hAnsi="宋体" w:eastAsia="宋体" w:cs="宋体"/>
          <w:bCs/>
          <w:color w:val="auto"/>
          <w:kern w:val="2"/>
          <w:sz w:val="21"/>
          <w:szCs w:val="21"/>
          <w:highlight w:val="none"/>
        </w:rPr>
        <w:t>广东医疗责任保险统保项目统一报案邮箱或在广东和谐医调委医疗纠纷信息系统报案</w:t>
      </w:r>
      <w:r>
        <w:rPr>
          <w:rFonts w:hint="eastAsia" w:ascii="宋体" w:hAnsi="宋体" w:eastAsia="宋体" w:cs="宋体"/>
          <w:color w:val="auto"/>
          <w:kern w:val="2"/>
          <w:sz w:val="21"/>
          <w:szCs w:val="21"/>
          <w:highlight w:val="none"/>
        </w:rPr>
        <w:t>。</w:t>
      </w:r>
    </w:p>
    <w:p w14:paraId="4549F713">
      <w:pPr>
        <w:shd w:val="clear" w:color="auto" w:fill="FFFFFF"/>
        <w:spacing w:before="100" w:beforeAutospacing="1" w:after="100" w:afterAutospacing="1" w:line="360" w:lineRule="auto"/>
        <w:ind w:firstLine="422" w:firstLineChars="200"/>
        <w:jc w:val="center"/>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快速通道程序</w:t>
      </w:r>
    </w:p>
    <w:p w14:paraId="184F79F4">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对事实清楚，法律责任明确，属于保险责任事故的医疗纠纷案件且双方当事人自主达成和解的案件适用本程序。</w:t>
      </w:r>
    </w:p>
    <w:p w14:paraId="6763147F">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依据保险合同授权，参保医疗机构可以在合同授权权限内与患者签署和解协议。参保医疗机构与患者达成和解协议、支付赔款的5个工作日之内，应将医患双方当事人主体材料、纠纷经过书面材料、和解赔偿（补偿）协议、赔款（补偿）支付证明等案件材料一并提交给“广东和谐医调委”。</w:t>
      </w:r>
    </w:p>
    <w:p w14:paraId="0AF36651">
      <w:pPr>
        <w:shd w:val="clear" w:color="auto" w:fill="FFFFFF"/>
        <w:spacing w:before="100" w:beforeAutospacing="1" w:after="100" w:afterAutospacing="1" w:line="360" w:lineRule="auto"/>
        <w:ind w:left="105" w:leftChars="5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“广东和谐医调委”在收到案件材料的3个工作日内对案件进行登记、核实，并将上述材料提交给江泰保险经纪公司。</w:t>
      </w:r>
    </w:p>
    <w:p w14:paraId="38875FA7">
      <w:pPr>
        <w:shd w:val="clear" w:color="auto" w:fill="FFFFFF"/>
        <w:spacing w:before="100" w:beforeAutospacing="1" w:after="100" w:afterAutospacing="1" w:line="360" w:lineRule="auto"/>
        <w:ind w:left="105" w:leftChars="5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江泰保险经纪公司对案件资料进行审核，对材料完备的案件于2个工作日内提交保险公司。对于案件材料不齐待补，或存在理赔争议的案件，江泰保险经纪公司应在案件材料补齐后，或理赔争议消除后的2个工作日内将全部材料提交保险公司。</w:t>
      </w:r>
    </w:p>
    <w:p w14:paraId="6FDAE2C7">
      <w:pPr>
        <w:shd w:val="clear" w:color="auto" w:fill="FFFFFF"/>
        <w:spacing w:before="100" w:beforeAutospacing="1" w:after="100" w:afterAutospacing="1" w:line="360" w:lineRule="auto"/>
        <w:ind w:left="141" w:leftChars="67" w:firstLine="420" w:firstLineChars="200"/>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保险公司在接到案件索赔材料后按保险合同约定的时效内向参保医疗机构赔偿，</w:t>
      </w:r>
      <w:r>
        <w:rPr>
          <w:rFonts w:hint="eastAsia" w:ascii="宋体" w:hAnsi="宋体" w:eastAsia="宋体" w:cs="宋体"/>
          <w:bCs/>
          <w:color w:val="auto"/>
          <w:kern w:val="2"/>
          <w:sz w:val="21"/>
          <w:szCs w:val="21"/>
          <w:highlight w:val="none"/>
        </w:rPr>
        <w:t>或依医疗机构申请，将赔偿款项直接支付给患方。</w:t>
      </w:r>
    </w:p>
    <w:p w14:paraId="11DDEAF1">
      <w:pPr>
        <w:shd w:val="clear" w:color="auto" w:fill="FFFFFF"/>
        <w:spacing w:before="100" w:beforeAutospacing="1" w:after="100" w:afterAutospacing="1" w:line="360" w:lineRule="auto"/>
        <w:ind w:left="141" w:leftChars="67" w:firstLine="422" w:firstLineChars="20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调解处理程序</w:t>
      </w:r>
    </w:p>
    <w:p w14:paraId="0545F7AC">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对于赔付金额</w:t>
      </w:r>
      <w:r>
        <w:rPr>
          <w:rFonts w:hint="eastAsia" w:ascii="宋体" w:hAnsi="宋体" w:eastAsia="宋体" w:cs="宋体"/>
          <w:bCs/>
          <w:color w:val="auto"/>
          <w:kern w:val="2"/>
          <w:sz w:val="21"/>
          <w:szCs w:val="21"/>
          <w:highlight w:val="none"/>
        </w:rPr>
        <w:t>（不含法律费用）</w:t>
      </w:r>
      <w:r>
        <w:rPr>
          <w:rFonts w:hint="eastAsia" w:ascii="宋体" w:hAnsi="宋体" w:eastAsia="宋体" w:cs="宋体"/>
          <w:color w:val="auto"/>
          <w:kern w:val="2"/>
          <w:sz w:val="21"/>
          <w:szCs w:val="21"/>
          <w:highlight w:val="none"/>
        </w:rPr>
        <w:t>在20万元以内（含20万元）的医疗纠纷案件，保险公司授权“广东和谐医调委”自主主导医疗纠纷案件双方当事人达成调解协议；“广东和谐医调委”在保险公司授权权限内成功调解的案件，应当在签署调解协议后自案件全部材料收集完毕之日起3个工作日内将相关材料、调解协议书副本提交江泰保险经纪公司。</w:t>
      </w:r>
    </w:p>
    <w:p w14:paraId="4812CE0A">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江泰保险经纪公司对案件资料进行审核，对材料完备的案件于2个工作日内提交保险公司。对于案件材料不齐待补，或存在理赔争议的案件，江泰保险经纪公司应在案件材料补齐后，或理赔争议消除后的2个工作日内将全部材料提交保险公司。</w:t>
      </w:r>
    </w:p>
    <w:p w14:paraId="62530CEA">
      <w:pPr>
        <w:shd w:val="clear" w:color="auto" w:fill="FFFFFF"/>
        <w:spacing w:before="100" w:beforeAutospacing="1" w:after="100" w:afterAutospacing="1" w:line="360" w:lineRule="auto"/>
        <w:ind w:left="141" w:leftChars="67" w:firstLine="420" w:firstLineChars="200"/>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保险公司在接到索赔案件材料后按保险合同约定的时效向参保医疗机构赔偿，</w:t>
      </w:r>
      <w:r>
        <w:rPr>
          <w:rFonts w:hint="eastAsia" w:ascii="宋体" w:hAnsi="宋体" w:eastAsia="宋体" w:cs="宋体"/>
          <w:bCs/>
          <w:color w:val="auto"/>
          <w:kern w:val="2"/>
          <w:sz w:val="21"/>
          <w:szCs w:val="21"/>
          <w:highlight w:val="none"/>
        </w:rPr>
        <w:t>或依医疗机构申请，将赔偿款项直接支付给患方。</w:t>
      </w:r>
    </w:p>
    <w:p w14:paraId="34EE2F37">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对赔付金额</w:t>
      </w:r>
      <w:r>
        <w:rPr>
          <w:rFonts w:hint="eastAsia" w:ascii="宋体" w:hAnsi="宋体" w:eastAsia="宋体" w:cs="宋体"/>
          <w:bCs/>
          <w:color w:val="auto"/>
          <w:kern w:val="2"/>
          <w:sz w:val="21"/>
          <w:szCs w:val="21"/>
          <w:highlight w:val="none"/>
        </w:rPr>
        <w:t>（不含法律费用）</w:t>
      </w:r>
      <w:r>
        <w:rPr>
          <w:rFonts w:hint="eastAsia" w:ascii="宋体" w:hAnsi="宋体" w:eastAsia="宋体" w:cs="宋体"/>
          <w:color w:val="auto"/>
          <w:kern w:val="2"/>
          <w:sz w:val="21"/>
          <w:szCs w:val="21"/>
          <w:highlight w:val="none"/>
        </w:rPr>
        <w:t>在20万元以上的医疗纠纷案件，“广东和谐医调委”应召开医疗责任保险赔案评鉴会（以下简称“评鉴会”），根据相应的法律法规对医疗纠纷案件进行性质认定、责任认定和赔偿损失认定。</w:t>
      </w:r>
    </w:p>
    <w:p w14:paraId="0832EADC">
      <w:pPr>
        <w:shd w:val="clear" w:color="auto" w:fill="FFFFFF"/>
        <w:spacing w:before="100" w:beforeAutospacing="1" w:after="100" w:afterAutospacing="1" w:line="360" w:lineRule="auto"/>
        <w:ind w:left="105" w:leftChars="5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保险公司应根据评鉴会的认定结论和医疗纠纷案件双方当事人签署的调解协议做出理赔决定并支付保险赔偿金，或依医疗机构申请，将赔偿款项直接支付给患方。</w:t>
      </w:r>
    </w:p>
    <w:p w14:paraId="01B36446">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评鉴会由人民调解员主持、医学专家、法律专家、保险公司代表列席。参加评鉴会的医学和法律专家从“广东和谐医调委”建立的专家库中选取。</w:t>
      </w:r>
    </w:p>
    <w:p w14:paraId="3948A681">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鉴会原则上设不少于4个表决席位，其中医学专家表决席位不少于3个，法律专家表决席位不少于1个。提请评鉴会审议的医疗纠纷案件由医学专家、法律专家共同负责医疗纠纷案件的性质认定和责任认定；由法律专家负责赔偿损失认定。</w:t>
      </w:r>
    </w:p>
    <w:p w14:paraId="69A7EA12">
      <w:pPr>
        <w:shd w:val="clear" w:color="auto" w:fill="FFFFFF"/>
        <w:spacing w:before="100" w:beforeAutospacing="1" w:after="100" w:afterAutospacing="1" w:line="360" w:lineRule="auto"/>
        <w:ind w:left="105" w:leftChars="5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评鉴会工作结束后，由参加评鉴的成员应签字确认评鉴结果，该结果将作为人民调解员的调解依据</w:t>
      </w:r>
    </w:p>
    <w:p w14:paraId="165B045B">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评鉴会成员在鉴定医疗纠纷案件时，如果与医疗纠纷案件双方当事人存在利害关系，应当回避。</w:t>
      </w:r>
    </w:p>
    <w:p w14:paraId="7A1B0005">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负责医疗纠纷案件调解的人民调解员应当在签署调解协议后自案件全部材料收集完毕之日起3个工作日内将案件相关材料和调解协议书提交江泰保险经纪公司。</w:t>
      </w:r>
    </w:p>
    <w:p w14:paraId="178BB578">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江泰保险经纪公司对案件资料进行审核，对材料完备的案件于2个工作日内提交保险公司。对于案件材料不齐待补，或存在理赔争议的案件，江泰保险经纪公司应在案件材料补齐后，或理赔争议消除后的2个工作日内将全部材料提交保险公司。</w:t>
      </w:r>
    </w:p>
    <w:p w14:paraId="24A8AC75">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保险公司在接到评鉴结论、调解协议书副本和案件相关材料后按保险合同约定的时效向参保医疗机构赔偿，或依医疗机构申请，将赔偿款项直接支付给患方。</w:t>
      </w:r>
    </w:p>
    <w:p w14:paraId="599FC63C">
      <w:pPr>
        <w:shd w:val="clear" w:color="auto" w:fill="FFFFFF"/>
        <w:spacing w:before="100" w:beforeAutospacing="1" w:after="100" w:afterAutospacing="1" w:line="360" w:lineRule="auto"/>
        <w:ind w:left="750" w:firstLine="422" w:firstLineChars="200"/>
        <w:jc w:val="center"/>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其它处理程序</w:t>
      </w:r>
    </w:p>
    <w:p w14:paraId="34F53A9E">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医疗纠纷案件双方当事人通过行政调解、仲裁或诉讼的案件，保险公司依法按照保险合同约定进行赔偿。</w:t>
      </w:r>
    </w:p>
    <w:p w14:paraId="12AC0DD6">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参保医疗机构依据生效的行政调解书、仲裁裁决书、法院裁定书、法院判决书赔偿患者后，将赔付证明连同有关证明材料提交“广东和谐医调委”，“广东和谐医调委”经调查核实后转江泰保险经纪公司提交保险公司，经保险公司审核属实且符合广东医疗责任保险理赔范围的，保险公司在收到所有材料后按照保险服务承诺时效向医疗机构支付赔款，或依医疗机构申请，将赔偿款项直接支付给患方。</w:t>
      </w:r>
    </w:p>
    <w:p w14:paraId="15913353">
      <w:pPr>
        <w:shd w:val="clear" w:color="auto" w:fill="FFFFFF"/>
        <w:spacing w:before="100" w:beforeAutospacing="1" w:after="100" w:afterAutospacing="1" w:line="360" w:lineRule="auto"/>
        <w:ind w:left="105" w:leftChars="5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于依据行政调解书、仲裁庭或法院出具的和（调）解书所确定的赔偿，保险公司有异议的，可以要求“广东和谐医调委”组织专家分析，保险公司根据专家分析意见并在收到所有材料后按保险合同约定的时效向医疗机构支付赔款，或依医疗机构申请，将赔偿款项直接支付给患方。</w:t>
      </w:r>
    </w:p>
    <w:p w14:paraId="049ADEFB">
      <w:pPr>
        <w:numPr>
          <w:ilvl w:val="2"/>
          <w:numId w:val="6"/>
        </w:numPr>
        <w:shd w:val="clear" w:color="auto" w:fill="FFFFFF"/>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诉讼/仲裁案件由江泰保险经纪公司推荐的律师或者应医疗机构推荐的律师代理应诉，代理律师应取得医疗机构授权委托书；在医疗机构、保险公司共同确定代理律师后，由律师、医疗机构、保险公司签定委托代理合同。律师代理费按照本合同约定的律师费收费标准执行</w:t>
      </w:r>
      <w:r>
        <w:rPr>
          <w:rFonts w:hint="eastAsia" w:ascii="宋体" w:hAnsi="宋体" w:eastAsia="宋体" w:cs="宋体"/>
          <w:bCs/>
          <w:color w:val="auto"/>
          <w:kern w:val="2"/>
          <w:sz w:val="21"/>
          <w:szCs w:val="21"/>
          <w:highlight w:val="none"/>
        </w:rPr>
        <w:t>，律师代理费由保险公司按规定支付。</w:t>
      </w:r>
    </w:p>
    <w:p w14:paraId="1DDA0876">
      <w:pPr>
        <w:numPr>
          <w:ilvl w:val="2"/>
          <w:numId w:val="6"/>
        </w:numPr>
        <w:shd w:val="clear" w:color="auto" w:fill="FFFFFF"/>
        <w:spacing w:before="100" w:beforeAutospacing="1" w:after="100" w:afterAutospacing="1"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w:t>
      </w:r>
      <w:r>
        <w:rPr>
          <w:rFonts w:hint="eastAsia" w:ascii="宋体" w:hAnsi="宋体" w:eastAsia="宋体" w:cs="宋体"/>
          <w:color w:val="auto"/>
          <w:kern w:val="2"/>
          <w:sz w:val="21"/>
          <w:szCs w:val="21"/>
          <w:highlight w:val="none"/>
        </w:rPr>
        <w:t>广东和谐医调委”应积极与各地政府、司法等部门组建成立的人民调解组织或第三方调解援助机构密切协作，根据实际情况和各项条件作好参保医疗机构的医疗损害赔偿处理工作。</w:t>
      </w:r>
    </w:p>
    <w:p w14:paraId="43839668">
      <w:pPr>
        <w:shd w:val="clear" w:color="auto" w:fill="FFFFFF"/>
        <w:spacing w:before="100" w:beforeAutospacing="1" w:after="100" w:afterAutospacing="1" w:line="360" w:lineRule="auto"/>
        <w:ind w:firstLine="422" w:firstLineChars="200"/>
        <w:jc w:val="center"/>
        <w:rPr>
          <w:rFonts w:hint="eastAsia" w:ascii="宋体" w:hAnsi="宋体" w:eastAsia="宋体" w:cs="宋体"/>
          <w:color w:val="auto"/>
          <w:kern w:val="2"/>
          <w:sz w:val="21"/>
          <w:szCs w:val="21"/>
          <w:highlight w:val="none"/>
        </w:rPr>
      </w:pPr>
      <w:bookmarkStart w:id="5" w:name="_Toc10290"/>
      <w:bookmarkStart w:id="6" w:name="_Toc26306"/>
      <w:bookmarkStart w:id="7" w:name="_Toc2159"/>
      <w:r>
        <w:rPr>
          <w:rFonts w:hint="eastAsia" w:ascii="宋体" w:hAnsi="宋体" w:eastAsia="宋体" w:cs="宋体"/>
          <w:b/>
          <w:bCs/>
          <w:color w:val="auto"/>
          <w:kern w:val="2"/>
          <w:sz w:val="21"/>
          <w:szCs w:val="21"/>
          <w:highlight w:val="none"/>
        </w:rPr>
        <w:t>第三章 合议会程序</w:t>
      </w:r>
      <w:bookmarkEnd w:id="5"/>
      <w:bookmarkEnd w:id="6"/>
      <w:bookmarkEnd w:id="7"/>
    </w:p>
    <w:p w14:paraId="0E9CDB93">
      <w:pPr>
        <w:numPr>
          <w:ilvl w:val="2"/>
          <w:numId w:val="6"/>
        </w:numPr>
        <w:spacing w:before="100" w:beforeAutospacing="1" w:after="100" w:afterAutospacing="1"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机构、保险公司对涉及医疗纠纷案件的性质认定、责任认定和赔偿损失认定等有重大异议，可以提请医疗责任保险赔案合议会（以下简称“合议会”）进行审议或申请司法鉴定。保险公司应依据合议决定或司法鉴定结论做出理赔决定。</w:t>
      </w:r>
    </w:p>
    <w:p w14:paraId="53960AA6">
      <w:pPr>
        <w:numPr>
          <w:ilvl w:val="2"/>
          <w:numId w:val="6"/>
        </w:numPr>
        <w:spacing w:before="100" w:beforeAutospacing="1" w:after="100" w:afterAutospacing="1" w:line="360" w:lineRule="auto"/>
        <w:ind w:firstLine="420" w:firstLineChars="200"/>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合议会由“广东和谐医调委”组织召开。会议成员由保险公司代表及其医学及法律专家、广东和谐医调委代表、医疗机构代表、广东和谐医调委邀请的医学及法律专家组成。在事实清楚、责任明确的基础上，充分协商做出会议决定，并由参会人员签字确认。</w:t>
      </w:r>
    </w:p>
    <w:p w14:paraId="66043509">
      <w:pPr>
        <w:widowControl/>
        <w:numPr>
          <w:ilvl w:val="2"/>
          <w:numId w:val="6"/>
        </w:numPr>
        <w:spacing w:before="100" w:beforeAutospacing="1" w:after="100" w:afterAutospacing="1" w:line="360" w:lineRule="auto"/>
        <w:ind w:firstLine="422" w:firstLineChars="200"/>
        <w:jc w:val="left"/>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 xml:space="preserve"> </w:t>
      </w:r>
      <w:r>
        <w:rPr>
          <w:rFonts w:hint="eastAsia" w:ascii="宋体" w:hAnsi="宋体" w:eastAsia="宋体" w:cs="宋体"/>
          <w:color w:val="auto"/>
          <w:kern w:val="2"/>
          <w:sz w:val="21"/>
          <w:szCs w:val="21"/>
          <w:highlight w:val="none"/>
        </w:rPr>
        <w:t>按照合议决定成功调解的医疗纠纷案件，负责调解的人民调解员应当在医疗纠纷案件双方当事人签订调解协议后的3个工作日内将合议决定、调解协议书副本和案件相关材料提交江泰保险经纪公司。</w:t>
      </w:r>
    </w:p>
    <w:p w14:paraId="34D76FCD">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江泰保险经纪公司在接到合议决定、调解协议书副本和案件相关材料后的2个工作日内向保险公司提交。</w:t>
      </w:r>
    </w:p>
    <w:p w14:paraId="18FD9F67">
      <w:pPr>
        <w:shd w:val="clear" w:color="auto" w:fill="FFFFFF"/>
        <w:spacing w:before="100" w:beforeAutospacing="1" w:after="100" w:afterAutospacing="1" w:line="360" w:lineRule="auto"/>
        <w:ind w:left="141" w:leftChars="67"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对于案件材料不齐待补的案件，江泰保险经纪公司应在案件材料补齐后的2个工作日内将全部材料提交保险公司。</w:t>
      </w:r>
    </w:p>
    <w:p w14:paraId="0BF6E4FC">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保险公司在接到合议决定、调解协议书副本和相关材料后按保险服务承诺的时效向参保医疗机构赔偿，或依医疗机构申请，将赔偿款项直接支付给患方。</w:t>
      </w:r>
    </w:p>
    <w:p w14:paraId="7B6513D0">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医疗</w:t>
      </w:r>
      <w:r>
        <w:rPr>
          <w:rFonts w:hint="eastAsia" w:ascii="宋体" w:hAnsi="宋体" w:eastAsia="宋体" w:cs="宋体"/>
          <w:bCs/>
          <w:color w:val="auto"/>
          <w:kern w:val="2"/>
          <w:sz w:val="21"/>
          <w:szCs w:val="21"/>
          <w:highlight w:val="none"/>
        </w:rPr>
        <w:t>机构、保险公司不接受 “合议会” 就保险理赔作出的决定，任一方可通过司法诉讼或仲裁途径处理保险理赔争议，保险公司按照司法诉讼或仲裁结果进行赔付。</w:t>
      </w:r>
    </w:p>
    <w:p w14:paraId="6246B3C4">
      <w:pPr>
        <w:shd w:val="clear" w:color="auto" w:fill="FFFFFF"/>
        <w:tabs>
          <w:tab w:val="left" w:pos="1316"/>
          <w:tab w:val="center" w:pos="4955"/>
        </w:tabs>
        <w:spacing w:before="100" w:beforeAutospacing="1" w:after="100" w:afterAutospacing="1" w:line="360" w:lineRule="auto"/>
        <w:ind w:left="750" w:firstLine="3162" w:firstLineChars="1500"/>
        <w:jc w:val="both"/>
        <w:rPr>
          <w:rFonts w:hint="eastAsia" w:ascii="宋体" w:hAnsi="宋体" w:eastAsia="宋体" w:cs="宋体"/>
          <w:color w:val="auto"/>
          <w:kern w:val="2"/>
          <w:sz w:val="21"/>
          <w:szCs w:val="21"/>
          <w:highlight w:val="none"/>
        </w:rPr>
      </w:pPr>
      <w:bookmarkStart w:id="8" w:name="_Toc26407"/>
      <w:bookmarkStart w:id="9" w:name="_Toc3167"/>
      <w:bookmarkStart w:id="10" w:name="_Toc5248"/>
      <w:r>
        <w:rPr>
          <w:rFonts w:hint="eastAsia" w:ascii="宋体" w:hAnsi="宋体" w:eastAsia="宋体" w:cs="宋体"/>
          <w:b/>
          <w:bCs/>
          <w:color w:val="auto"/>
          <w:kern w:val="2"/>
          <w:sz w:val="21"/>
          <w:szCs w:val="21"/>
          <w:highlight w:val="none"/>
        </w:rPr>
        <w:t>第四章  附则</w:t>
      </w:r>
      <w:bookmarkEnd w:id="8"/>
      <w:bookmarkEnd w:id="9"/>
      <w:bookmarkEnd w:id="10"/>
    </w:p>
    <w:p w14:paraId="7F0DD070">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参与医疗责任保险赔案处理的各方应当严格遵守本办法规定并遵照执行，如有违反，应当及时纠正，拒不纠正的视为构成对广东省医疗责任保险的违约行为，“广东和谐医调委”有权根据相应规定进行处理。</w:t>
      </w:r>
    </w:p>
    <w:p w14:paraId="51BF0AC4">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本办法涉及的各方对医患双方负有保密义务。未经医患双方同意不得泄露患者隐私。</w:t>
      </w:r>
    </w:p>
    <w:p w14:paraId="0F905E90">
      <w:pPr>
        <w:widowControl/>
        <w:numPr>
          <w:ilvl w:val="2"/>
          <w:numId w:val="6"/>
        </w:numPr>
        <w:spacing w:before="100" w:beforeAutospacing="1" w:after="100" w:afterAutospacing="1"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本办法为广东省医疗责任保险的组成部分，由“广东和谐医调委”负责制订、修改、解释。</w:t>
      </w:r>
    </w:p>
    <w:p w14:paraId="16220B9A">
      <w:pPr>
        <w:widowControl/>
        <w:numPr>
          <w:ilvl w:val="2"/>
          <w:numId w:val="6"/>
        </w:numPr>
        <w:spacing w:before="100" w:beforeAutospacing="1" w:after="100" w:afterAutospacing="1"/>
        <w:jc w:val="left"/>
        <w:rPr>
          <w:rFonts w:ascii="宋体" w:hAnsi="宋体" w:cs="宋体"/>
          <w:color w:val="auto"/>
          <w:sz w:val="24"/>
          <w:highlight w:val="none"/>
        </w:rPr>
      </w:pPr>
      <w:r>
        <w:rPr>
          <w:rFonts w:hint="eastAsia" w:ascii="宋体" w:hAnsi="宋体" w:eastAsia="宋体" w:cs="宋体"/>
          <w:color w:val="auto"/>
          <w:kern w:val="2"/>
          <w:sz w:val="21"/>
          <w:szCs w:val="21"/>
          <w:highlight w:val="none"/>
        </w:rPr>
        <w:t>本办法自</w:t>
      </w:r>
      <w:r>
        <w:rPr>
          <w:rFonts w:hint="eastAsia" w:ascii="宋体" w:hAnsi="宋体" w:eastAsia="宋体" w:cs="宋体"/>
          <w:color w:val="auto"/>
          <w:kern w:val="2"/>
          <w:sz w:val="21"/>
          <w:szCs w:val="21"/>
          <w:highlight w:val="none"/>
          <w:lang w:val="en-US" w:eastAsia="zh-CN"/>
        </w:rPr>
        <w:t>2021</w:t>
      </w:r>
      <w:r>
        <w:rPr>
          <w:rFonts w:hint="eastAsia" w:ascii="宋体" w:hAnsi="宋体" w:eastAsia="宋体" w:cs="宋体"/>
          <w:color w:val="auto"/>
          <w:kern w:val="2"/>
          <w:sz w:val="21"/>
          <w:szCs w:val="21"/>
          <w:highlight w:val="none"/>
        </w:rPr>
        <w:t>年</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月</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日起施行。</w:t>
      </w:r>
    </w:p>
    <w:p w14:paraId="21401C31">
      <w:pPr>
        <w:rPr>
          <w:rFonts w:ascii="微软雅黑" w:hAnsi="微软雅黑" w:eastAsia="微软雅黑" w:cs="微软雅黑"/>
          <w:b/>
          <w:bCs/>
          <w:color w:val="auto"/>
          <w:sz w:val="36"/>
          <w:szCs w:val="36"/>
          <w:highlight w:val="none"/>
        </w:rPr>
      </w:pPr>
      <w:bookmarkStart w:id="11" w:name="_Toc5167"/>
    </w:p>
    <w:p w14:paraId="38A2B394">
      <w:pPr>
        <w:rPr>
          <w:rFonts w:ascii="微软雅黑" w:hAnsi="微软雅黑" w:eastAsia="微软雅黑" w:cs="微软雅黑"/>
          <w:b/>
          <w:bCs/>
          <w:color w:val="auto"/>
          <w:sz w:val="36"/>
          <w:szCs w:val="36"/>
          <w:highlight w:val="none"/>
        </w:rPr>
      </w:pPr>
      <w:r>
        <w:rPr>
          <w:rFonts w:hint="eastAsia" w:ascii="微软雅黑" w:hAnsi="微软雅黑" w:eastAsia="微软雅黑" w:cs="微软雅黑"/>
          <w:b/>
          <w:bCs/>
          <w:color w:val="auto"/>
          <w:sz w:val="36"/>
          <w:szCs w:val="36"/>
          <w:highlight w:val="none"/>
        </w:rPr>
        <w:br w:type="page"/>
      </w:r>
    </w:p>
    <w:p w14:paraId="7DC1CC73">
      <w:pPr>
        <w:jc w:val="center"/>
        <w:rPr>
          <w:rFonts w:ascii="微软雅黑" w:hAnsi="微软雅黑" w:eastAsia="微软雅黑" w:cs="微软雅黑"/>
          <w:b/>
          <w:bCs/>
          <w:color w:val="auto"/>
          <w:sz w:val="36"/>
          <w:szCs w:val="36"/>
          <w:highlight w:val="none"/>
        </w:rPr>
      </w:pPr>
      <w:r>
        <w:rPr>
          <w:rFonts w:hint="eastAsia" w:ascii="微软雅黑" w:hAnsi="微软雅黑" w:eastAsia="微软雅黑" w:cs="微软雅黑"/>
          <w:b/>
          <w:bCs/>
          <w:color w:val="auto"/>
          <w:sz w:val="36"/>
          <w:szCs w:val="36"/>
          <w:highlight w:val="none"/>
        </w:rPr>
        <w:t>附件三：广东省医疗机构医疗责任保险统保条款</w:t>
      </w:r>
      <w:bookmarkEnd w:id="11"/>
    </w:p>
    <w:p w14:paraId="21B571F1">
      <w:pPr>
        <w:snapToGrid w:val="0"/>
        <w:spacing w:after="0" w:afterLines="-2147483648" w:line="360" w:lineRule="auto"/>
        <w:jc w:val="center"/>
        <w:rPr>
          <w:rFonts w:hint="eastAsia" w:ascii="宋体" w:hAnsi="宋体"/>
          <w:b/>
          <w:bCs/>
          <w:color w:val="000000" w:themeColor="text1"/>
          <w:sz w:val="28"/>
          <w:szCs w:val="21"/>
          <w14:textFill>
            <w14:solidFill>
              <w14:schemeClr w14:val="tx1"/>
            </w14:solidFill>
          </w14:textFill>
        </w:rPr>
      </w:pPr>
      <w:bookmarkStart w:id="12" w:name="_Hlk74819352"/>
      <w:r>
        <w:rPr>
          <w:rFonts w:ascii="宋体" w:hAnsi="宋体"/>
          <w:b/>
          <w:bCs/>
          <w:color w:val="000000" w:themeColor="text1"/>
          <w:sz w:val="28"/>
          <w:szCs w:val="21"/>
          <w14:textFill>
            <w14:solidFill>
              <w14:schemeClr w14:val="tx1"/>
            </w14:solidFill>
          </w14:textFill>
        </w:rPr>
        <w:t>医疗责任保险条款</w:t>
      </w:r>
      <w:bookmarkEnd w:id="12"/>
    </w:p>
    <w:p w14:paraId="5EF12FD2">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总则</w:t>
      </w:r>
    </w:p>
    <w:p w14:paraId="522ED054">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第一条  </w:t>
      </w:r>
      <w:r>
        <w:rPr>
          <w:rFonts w:ascii="宋体" w:hAnsi="宋体"/>
          <w:color w:val="000000" w:themeColor="text1"/>
          <w:szCs w:val="21"/>
          <w14:textFill>
            <w14:solidFill>
              <w14:schemeClr w14:val="tx1"/>
            </w14:solidFill>
          </w14:textFill>
        </w:rPr>
        <w:t>本保险合同由保险合同文本、保险条款、投保单、批单、补充协议以及其他文件组成。凡涉及本保险合同的约定，均应采用书面形式。</w:t>
      </w:r>
    </w:p>
    <w:p w14:paraId="540DAEB6">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第二条  </w:t>
      </w:r>
      <w:r>
        <w:rPr>
          <w:rFonts w:hint="eastAsia" w:ascii="宋体" w:hAnsi="宋体" w:cs="宋体"/>
          <w:color w:val="000000" w:themeColor="text1"/>
          <w:szCs w:val="21"/>
          <w14:textFill>
            <w14:solidFill>
              <w14:schemeClr w14:val="tx1"/>
            </w14:solidFill>
          </w14:textFill>
        </w:rPr>
        <w:t>凡在中国境内</w:t>
      </w:r>
      <w:r>
        <w:rPr>
          <w:rFonts w:hint="eastAsia" w:ascii="宋体" w:hAnsi="宋体"/>
          <w:color w:val="000000" w:themeColor="text1"/>
          <w:szCs w:val="21"/>
          <w14:textFill>
            <w14:solidFill>
              <w14:schemeClr w14:val="tx1"/>
            </w14:solidFill>
          </w14:textFill>
        </w:rPr>
        <w:t>（不包括港澳台地区，下同）</w:t>
      </w:r>
      <w:r>
        <w:rPr>
          <w:rFonts w:hint="eastAsia" w:ascii="宋体" w:hAnsi="宋体" w:cs="宋体"/>
          <w:color w:val="000000" w:themeColor="text1"/>
          <w:szCs w:val="21"/>
          <w14:textFill>
            <w14:solidFill>
              <w14:schemeClr w14:val="tx1"/>
            </w14:solidFill>
          </w14:textFill>
        </w:rPr>
        <w:t>依照中华人民共和国法律（不包括香港、澳门及台湾地区法律，下同）</w:t>
      </w:r>
      <w:r>
        <w:rPr>
          <w:rFonts w:ascii="宋体" w:hAnsi="宋体"/>
          <w:color w:val="000000" w:themeColor="text1"/>
          <w:szCs w:val="21"/>
          <w14:textFill>
            <w14:solidFill>
              <w14:schemeClr w14:val="tx1"/>
            </w14:solidFill>
          </w14:textFill>
        </w:rPr>
        <w:t>设立、有固定场所并取得《医疗机构执业许可证》的医疗机构（以下简称“医疗机构”），均可作为本保险合同的投保人、被保险人。</w:t>
      </w:r>
    </w:p>
    <w:p w14:paraId="66EBAC96">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p>
    <w:p w14:paraId="4CE92E63">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保险责任</w:t>
      </w:r>
    </w:p>
    <w:p w14:paraId="519FB1F5">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第三条  </w:t>
      </w:r>
      <w:r>
        <w:rPr>
          <w:rFonts w:ascii="宋体" w:hAnsi="宋体"/>
          <w:color w:val="000000" w:themeColor="text1"/>
          <w:szCs w:val="21"/>
          <w14:textFill>
            <w14:solidFill>
              <w14:schemeClr w14:val="tx1"/>
            </w14:solidFill>
          </w14:textFill>
        </w:rPr>
        <w:t>在本保险合同中列明的保险期间或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追溯期内，被保险人</w:t>
      </w:r>
      <w:r>
        <w:rPr>
          <w:rFonts w:hint="eastAsia" w:ascii="宋体" w:hAnsi="宋体"/>
          <w:color w:val="000000" w:themeColor="text1"/>
          <w:szCs w:val="21"/>
          <w14:textFill>
            <w14:solidFill>
              <w14:schemeClr w14:val="tx1"/>
            </w14:solidFill>
          </w14:textFill>
        </w:rPr>
        <w:t>或者</w:t>
      </w:r>
      <w:r>
        <w:rPr>
          <w:rFonts w:ascii="宋体" w:hAnsi="宋体"/>
          <w:color w:val="000000" w:themeColor="text1"/>
          <w:szCs w:val="21"/>
          <w14:textFill>
            <w14:solidFill>
              <w14:schemeClr w14:val="tx1"/>
            </w14:solidFill>
          </w14:textFill>
        </w:rPr>
        <w:t>其医务人员在从事与其资格相符的诊疗活动中</w:t>
      </w:r>
      <w:r>
        <w:rPr>
          <w:rFonts w:hint="eastAsia" w:ascii="宋体" w:hAnsi="宋体"/>
          <w:color w:val="000000" w:themeColor="text1"/>
          <w:szCs w:val="21"/>
          <w14:textFill>
            <w14:solidFill>
              <w14:schemeClr w14:val="tx1"/>
            </w14:solidFill>
          </w14:textFill>
        </w:rPr>
        <w:t>发生以下情形之一</w:t>
      </w:r>
      <w:r>
        <w:rPr>
          <w:rFonts w:ascii="宋体" w:hAnsi="宋体"/>
          <w:color w:val="000000" w:themeColor="text1"/>
          <w:szCs w:val="21"/>
          <w14:textFill>
            <w14:solidFill>
              <w14:schemeClr w14:val="tx1"/>
            </w14:solidFill>
          </w14:textFill>
        </w:rPr>
        <w:t>造成患者人身损害，患者或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其近亲属或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其代理人在保险期间内首次向被保险人提出损害赔偿请求，依照中华人民共和国法律（不包括港</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澳</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台地区法律）应由被保险人承担</w:t>
      </w:r>
      <w:r>
        <w:rPr>
          <w:rFonts w:hint="eastAsia" w:ascii="宋体" w:hAnsi="宋体"/>
          <w:color w:val="000000" w:themeColor="text1"/>
          <w:szCs w:val="21"/>
          <w14:textFill>
            <w14:solidFill>
              <w14:schemeClr w14:val="tx1"/>
            </w14:solidFill>
          </w14:textFill>
        </w:rPr>
        <w:t>的</w:t>
      </w:r>
      <w:r>
        <w:rPr>
          <w:rFonts w:ascii="宋体" w:hAnsi="宋体"/>
          <w:color w:val="000000" w:themeColor="text1"/>
          <w:szCs w:val="21"/>
          <w14:textFill>
            <w14:solidFill>
              <w14:schemeClr w14:val="tx1"/>
            </w14:solidFill>
          </w14:textFill>
        </w:rPr>
        <w:t>经济赔偿责任，保险人按照本保险合同约定负责赔偿：</w:t>
      </w:r>
    </w:p>
    <w:p w14:paraId="4A9F1744">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（一）患者在诊疗活动中受到损害，被保险人</w:t>
      </w:r>
      <w:r>
        <w:rPr>
          <w:rFonts w:hint="eastAsia" w:ascii="宋体" w:hAnsi="宋体"/>
          <w:color w:val="000000" w:themeColor="text1"/>
          <w:szCs w:val="21"/>
          <w14:textFill>
            <w14:solidFill>
              <w14:schemeClr w14:val="tx1"/>
            </w14:solidFill>
          </w14:textFill>
        </w:rPr>
        <w:t>或者</w:t>
      </w:r>
      <w:r>
        <w:rPr>
          <w:rFonts w:ascii="宋体" w:hAnsi="宋体"/>
          <w:color w:val="000000" w:themeColor="text1"/>
          <w:szCs w:val="21"/>
          <w14:textFill>
            <w14:solidFill>
              <w14:schemeClr w14:val="tx1"/>
            </w14:solidFill>
          </w14:textFill>
        </w:rPr>
        <w:t>其医务人员有过错的，包括但不限于以下情形：</w:t>
      </w:r>
    </w:p>
    <w:p w14:paraId="3A2A3AEF">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医务人员在诊疗活动中未向患者或者其近亲属说明病情和医疗措施，需要实施手术、特殊检查、特殊治疗的，医务人员未及时向患者说明医疗风险、替代医疗方案等情况并取得其</w:t>
      </w:r>
      <w:r>
        <w:rPr>
          <w:rFonts w:hint="eastAsia" w:ascii="宋体" w:hAnsi="宋体"/>
          <w:color w:val="000000" w:themeColor="text1"/>
          <w:szCs w:val="21"/>
          <w14:textFill>
            <w14:solidFill>
              <w14:schemeClr w14:val="tx1"/>
            </w14:solidFill>
          </w14:textFill>
        </w:rPr>
        <w:t>明确</w:t>
      </w:r>
      <w:r>
        <w:rPr>
          <w:rFonts w:ascii="宋体" w:hAnsi="宋体"/>
          <w:color w:val="000000" w:themeColor="text1"/>
          <w:szCs w:val="21"/>
          <w14:textFill>
            <w14:solidFill>
              <w14:schemeClr w14:val="tx1"/>
            </w14:solidFill>
          </w14:textFill>
        </w:rPr>
        <w:t>同意的；</w:t>
      </w:r>
    </w:p>
    <w:p w14:paraId="47314F05">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医务人员在诊疗活动中未尽到与当时的医疗水平相应的诊疗义务；</w:t>
      </w:r>
    </w:p>
    <w:p w14:paraId="276789D8">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 患者或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其近亲属不配合医疗机构进行符合诊疗护理规范的诊疗活动；</w:t>
      </w:r>
    </w:p>
    <w:p w14:paraId="0E4DD036">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 被保险人非故意违反有关诊疗护理规范的。</w:t>
      </w:r>
    </w:p>
    <w:p w14:paraId="5CF9507F">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（二）因药品、消毒</w:t>
      </w:r>
      <w:r>
        <w:rPr>
          <w:rFonts w:hint="eastAsia" w:ascii="宋体" w:hAnsi="宋体"/>
          <w:color w:val="000000" w:themeColor="text1"/>
          <w:szCs w:val="21"/>
          <w14:textFill>
            <w14:solidFill>
              <w14:schemeClr w14:val="tx1"/>
            </w14:solidFill>
          </w14:textFill>
        </w:rPr>
        <w:t>产品</w:t>
      </w:r>
      <w:r>
        <w:rPr>
          <w:rFonts w:ascii="宋体" w:hAnsi="宋体"/>
          <w:color w:val="000000" w:themeColor="text1"/>
          <w:szCs w:val="21"/>
          <w14:textFill>
            <w14:solidFill>
              <w14:schemeClr w14:val="tx1"/>
            </w14:solidFill>
          </w14:textFill>
        </w:rPr>
        <w:t>、医疗器械的缺陷</w:t>
      </w:r>
      <w:r>
        <w:rPr>
          <w:rFonts w:hint="eastAsia" w:ascii="宋体" w:hAnsi="宋体" w:cs="宋体"/>
          <w:color w:val="000000" w:themeColor="text1"/>
          <w:szCs w:val="21"/>
          <w14:textFill>
            <w14:solidFill>
              <w14:schemeClr w14:val="tx1"/>
            </w14:solidFill>
          </w14:textFill>
        </w:rPr>
        <w:t>或者输入不合格的血液</w:t>
      </w:r>
      <w:r>
        <w:rPr>
          <w:rFonts w:ascii="宋体" w:hAnsi="宋体"/>
          <w:color w:val="000000" w:themeColor="text1"/>
          <w:szCs w:val="21"/>
          <w14:textFill>
            <w14:solidFill>
              <w14:schemeClr w14:val="tx1"/>
            </w14:solidFill>
          </w14:textFill>
        </w:rPr>
        <w:t>造成患者损害,</w:t>
      </w:r>
      <w:r>
        <w:rPr>
          <w:rFonts w:hint="eastAsia" w:ascii="宋体" w:hAnsi="宋体"/>
          <w:color w:val="000000" w:themeColor="text1"/>
          <w:szCs w:val="21"/>
          <w14:textFill>
            <w14:solidFill>
              <w14:schemeClr w14:val="tx1"/>
            </w14:solidFill>
          </w14:textFill>
        </w:rPr>
        <w:t>患者</w:t>
      </w:r>
      <w:r>
        <w:rPr>
          <w:rFonts w:ascii="宋体" w:hAnsi="宋体"/>
          <w:color w:val="000000" w:themeColor="text1"/>
          <w:szCs w:val="21"/>
          <w14:textFill>
            <w14:solidFill>
              <w14:schemeClr w14:val="tx1"/>
            </w14:solidFill>
          </w14:textFill>
        </w:rPr>
        <w:t>向</w:t>
      </w:r>
      <w:r>
        <w:rPr>
          <w:rFonts w:hint="eastAsia" w:ascii="宋体" w:hAnsi="宋体"/>
          <w:color w:val="000000" w:themeColor="text1"/>
          <w:szCs w:val="21"/>
          <w14:textFill>
            <w14:solidFill>
              <w14:schemeClr w14:val="tx1"/>
            </w14:solidFill>
          </w14:textFill>
        </w:rPr>
        <w:t>被保险人</w:t>
      </w:r>
      <w:r>
        <w:rPr>
          <w:rFonts w:ascii="宋体" w:hAnsi="宋体"/>
          <w:color w:val="000000" w:themeColor="text1"/>
          <w:szCs w:val="21"/>
          <w14:textFill>
            <w14:solidFill>
              <w14:schemeClr w14:val="tx1"/>
            </w14:solidFill>
          </w14:textFill>
        </w:rPr>
        <w:t>请求赔偿的。</w:t>
      </w:r>
    </w:p>
    <w:p w14:paraId="1E72C35E">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四</w:t>
      </w:r>
      <w:r>
        <w:rPr>
          <w:rFonts w:ascii="宋体" w:hAnsi="宋体"/>
          <w:b/>
          <w:bCs/>
          <w:color w:val="000000" w:themeColor="text1"/>
          <w:szCs w:val="21"/>
          <w14:textFill>
            <w14:solidFill>
              <w14:schemeClr w14:val="tx1"/>
            </w14:solidFill>
          </w14:textFill>
        </w:rPr>
        <w:t xml:space="preserve">条  </w:t>
      </w:r>
      <w:r>
        <w:rPr>
          <w:rFonts w:hint="eastAsia" w:ascii="宋体" w:hAnsi="宋体" w:cs="宋体"/>
          <w:color w:val="000000" w:themeColor="text1"/>
          <w:szCs w:val="21"/>
          <w14:textFill>
            <w14:solidFill>
              <w14:schemeClr w14:val="tx1"/>
            </w14:solidFill>
          </w14:textFill>
        </w:rPr>
        <w:t>发生可能引起本保险合同项下赔偿的情形时，</w:t>
      </w:r>
      <w:r>
        <w:rPr>
          <w:rFonts w:ascii="宋体" w:hAnsi="宋体"/>
          <w:color w:val="000000" w:themeColor="text1"/>
          <w:szCs w:val="21"/>
          <w14:textFill>
            <w14:solidFill>
              <w14:schemeClr w14:val="tx1"/>
            </w14:solidFill>
          </w14:textFill>
        </w:rPr>
        <w:t>被保险人</w:t>
      </w:r>
      <w:r>
        <w:rPr>
          <w:rFonts w:hint="eastAsia" w:ascii="宋体" w:hAnsi="宋体" w:cs="宋体"/>
          <w:color w:val="000000" w:themeColor="text1"/>
          <w:szCs w:val="21"/>
          <w14:textFill>
            <w14:solidFill>
              <w14:schemeClr w14:val="tx1"/>
            </w14:solidFill>
          </w14:textFill>
        </w:rPr>
        <w:t>作为被告或者第三人</w:t>
      </w:r>
      <w:r>
        <w:rPr>
          <w:rFonts w:ascii="宋体" w:hAnsi="宋体"/>
          <w:color w:val="000000" w:themeColor="text1"/>
          <w:szCs w:val="21"/>
          <w14:textFill>
            <w14:solidFill>
              <w14:schemeClr w14:val="tx1"/>
            </w14:solidFill>
          </w14:textFill>
        </w:rPr>
        <w:t>被提起</w:t>
      </w:r>
      <w:r>
        <w:rPr>
          <w:rFonts w:hint="eastAsia" w:ascii="宋体" w:hAnsi="宋体" w:cs="宋体"/>
          <w:color w:val="000000" w:themeColor="text1"/>
          <w:szCs w:val="21"/>
          <w14:textFill>
            <w14:solidFill>
              <w14:schemeClr w14:val="tx1"/>
            </w14:solidFill>
          </w14:textFill>
        </w:rPr>
        <w:t>诉讼或者仲裁</w:t>
      </w:r>
      <w:r>
        <w:rPr>
          <w:rFonts w:ascii="宋体" w:hAnsi="宋体"/>
          <w:color w:val="000000" w:themeColor="text1"/>
          <w:szCs w:val="21"/>
          <w14:textFill>
            <w14:solidFill>
              <w14:schemeClr w14:val="tx1"/>
            </w14:solidFill>
          </w14:textFill>
        </w:rPr>
        <w:t>，对</w:t>
      </w:r>
      <w:r>
        <w:rPr>
          <w:rFonts w:hint="eastAsia" w:ascii="宋体" w:hAnsi="宋体"/>
          <w:color w:val="000000" w:themeColor="text1"/>
          <w:szCs w:val="21"/>
          <w14:textFill>
            <w14:solidFill>
              <w14:schemeClr w14:val="tx1"/>
            </w14:solidFill>
          </w14:textFill>
        </w:rPr>
        <w:t>于</w:t>
      </w:r>
      <w:r>
        <w:rPr>
          <w:rFonts w:ascii="宋体" w:hAnsi="宋体"/>
          <w:color w:val="000000" w:themeColor="text1"/>
          <w:szCs w:val="21"/>
          <w14:textFill>
            <w14:solidFill>
              <w14:schemeClr w14:val="tx1"/>
            </w14:solidFill>
          </w14:textFill>
        </w:rPr>
        <w:t>应由被保险人支付的</w:t>
      </w:r>
      <w:r>
        <w:rPr>
          <w:rFonts w:hint="eastAsia" w:ascii="宋体" w:hAnsi="宋体"/>
          <w:color w:val="000000" w:themeColor="text1"/>
          <w:szCs w:val="21"/>
          <w14:textFill>
            <w14:solidFill>
              <w14:schemeClr w14:val="tx1"/>
            </w14:solidFill>
          </w14:textFill>
        </w:rPr>
        <w:t>法律费用：包括</w:t>
      </w:r>
      <w:r>
        <w:rPr>
          <w:rFonts w:ascii="宋体" w:hAnsi="宋体"/>
          <w:color w:val="000000" w:themeColor="text1"/>
          <w:szCs w:val="21"/>
          <w14:textFill>
            <w14:solidFill>
              <w14:schemeClr w14:val="tx1"/>
            </w14:solidFill>
          </w14:textFill>
        </w:rPr>
        <w:t>仲裁或诉讼费用（包括可能产生的案件受理费、勘验费、鉴定费、律师费、解剖费等）以及其他必要的、合理的</w:t>
      </w:r>
      <w:r>
        <w:rPr>
          <w:rFonts w:hint="eastAsia" w:ascii="宋体" w:hAnsi="宋体"/>
          <w:color w:val="000000" w:themeColor="text1"/>
          <w:szCs w:val="21"/>
          <w14:textFill>
            <w14:solidFill>
              <w14:schemeClr w14:val="tx1"/>
            </w14:solidFill>
          </w14:textFill>
        </w:rPr>
        <w:t>法律</w:t>
      </w:r>
      <w:r>
        <w:rPr>
          <w:rFonts w:ascii="宋体" w:hAnsi="宋体"/>
          <w:color w:val="000000" w:themeColor="text1"/>
          <w:szCs w:val="21"/>
          <w14:textFill>
            <w14:solidFill>
              <w14:schemeClr w14:val="tx1"/>
            </w14:solidFill>
          </w14:textFill>
        </w:rPr>
        <w:t>费用（包括代表被保险人参加医疗损害鉴定或医疗事故鉴定或庭审的人员因参加上述活动而产生的差旅费以及专家咨询费），保险人按照本保险合同约定负责赔偿。</w:t>
      </w:r>
    </w:p>
    <w:p w14:paraId="3D0BAFA6">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p>
    <w:p w14:paraId="0D4DA3F4">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责任免除</w:t>
      </w:r>
    </w:p>
    <w:p w14:paraId="42A84F5E">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五</w:t>
      </w:r>
      <w:r>
        <w:rPr>
          <w:rFonts w:ascii="宋体" w:hAnsi="宋体"/>
          <w:b/>
          <w:bCs/>
          <w:color w:val="000000" w:themeColor="text1"/>
          <w:szCs w:val="21"/>
          <w14:textFill>
            <w14:solidFill>
              <w14:schemeClr w14:val="tx1"/>
            </w14:solidFill>
          </w14:textFill>
        </w:rPr>
        <w:t>条  下列原因造成的损失、费用和责任，保险人不负责赔偿：</w:t>
      </w:r>
    </w:p>
    <w:p w14:paraId="146BC41B">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（一）被保险人或其医务人员的故意行为</w:t>
      </w:r>
      <w:r>
        <w:rPr>
          <w:rFonts w:hint="eastAsia" w:ascii="宋体" w:hAnsi="宋体"/>
          <w:b/>
          <w:bCs/>
          <w:color w:val="000000" w:themeColor="text1"/>
          <w:szCs w:val="21"/>
          <w14:textFill>
            <w14:solidFill>
              <w14:schemeClr w14:val="tx1"/>
            </w14:solidFill>
          </w14:textFill>
        </w:rPr>
        <w:t>、犯罪行为</w:t>
      </w:r>
      <w:r>
        <w:rPr>
          <w:rFonts w:ascii="宋体" w:hAnsi="宋体"/>
          <w:b/>
          <w:bCs/>
          <w:color w:val="000000" w:themeColor="text1"/>
          <w:szCs w:val="21"/>
          <w14:textFill>
            <w14:solidFill>
              <w14:schemeClr w14:val="tx1"/>
            </w14:solidFill>
          </w14:textFill>
        </w:rPr>
        <w:t>；</w:t>
      </w:r>
    </w:p>
    <w:p w14:paraId="5C730B6F">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（二）被保险人的</w:t>
      </w:r>
      <w:bookmarkStart w:id="13" w:name="_Hlk74819367"/>
      <w:r>
        <w:rPr>
          <w:rFonts w:ascii="宋体" w:hAnsi="宋体"/>
          <w:b/>
          <w:bCs/>
          <w:color w:val="000000" w:themeColor="text1"/>
          <w:szCs w:val="21"/>
          <w14:textFill>
            <w14:solidFill>
              <w14:schemeClr w14:val="tx1"/>
            </w14:solidFill>
          </w14:textFill>
        </w:rPr>
        <w:t>医务人员在酒醉或药剂麻醉状态下进行诊疗活动</w:t>
      </w:r>
      <w:bookmarkEnd w:id="13"/>
      <w:r>
        <w:rPr>
          <w:rFonts w:ascii="宋体" w:hAnsi="宋体"/>
          <w:b/>
          <w:bCs/>
          <w:color w:val="000000" w:themeColor="text1"/>
          <w:szCs w:val="21"/>
          <w14:textFill>
            <w14:solidFill>
              <w14:schemeClr w14:val="tx1"/>
            </w14:solidFill>
          </w14:textFill>
        </w:rPr>
        <w:t>；</w:t>
      </w:r>
    </w:p>
    <w:p w14:paraId="2E730F6E">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（三）战争、敌对行为、军事行动、武装冲突、恐怖活动、罢工、骚乱、暴动；</w:t>
      </w:r>
    </w:p>
    <w:p w14:paraId="78AEA6D7">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（四）核反应、核子辐射和放射性污染，但</w:t>
      </w:r>
      <w:r>
        <w:rPr>
          <w:rFonts w:hint="eastAsia" w:ascii="宋体" w:hAnsi="宋体" w:cs="宋体"/>
          <w:b/>
          <w:bCs/>
          <w:color w:val="000000" w:themeColor="text1"/>
          <w:szCs w:val="21"/>
          <w14:textFill>
            <w14:solidFill>
              <w14:schemeClr w14:val="tx1"/>
            </w14:solidFill>
          </w14:textFill>
        </w:rPr>
        <w:t>被保险人或者其医务人员</w:t>
      </w:r>
      <w:r>
        <w:rPr>
          <w:rFonts w:ascii="宋体" w:hAnsi="宋体"/>
          <w:b/>
          <w:bCs/>
          <w:color w:val="000000" w:themeColor="text1"/>
          <w:szCs w:val="21"/>
          <w14:textFill>
            <w14:solidFill>
              <w14:schemeClr w14:val="tx1"/>
            </w14:solidFill>
          </w14:textFill>
        </w:rPr>
        <w:t>使用放射器材进行治疗发生的赔偿责任不在此限；</w:t>
      </w:r>
    </w:p>
    <w:p w14:paraId="1617ED31">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（五）地震、雷击、暴雨、洪水等自然灾害。</w:t>
      </w:r>
    </w:p>
    <w:p w14:paraId="3D896E05">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六</w:t>
      </w:r>
      <w:r>
        <w:rPr>
          <w:rFonts w:ascii="宋体" w:hAnsi="宋体"/>
          <w:b/>
          <w:bCs/>
          <w:color w:val="000000" w:themeColor="text1"/>
          <w:szCs w:val="21"/>
          <w14:textFill>
            <w14:solidFill>
              <w14:schemeClr w14:val="tx1"/>
            </w14:solidFill>
          </w14:textFill>
        </w:rPr>
        <w:t>条  因下列情形造成患者损害，保险人不负责赔偿：</w:t>
      </w:r>
    </w:p>
    <w:p w14:paraId="0CCB1366">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（一）被保险人或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其医务人员从事与其资格不符的诊疗活动的；</w:t>
      </w:r>
    </w:p>
    <w:p w14:paraId="1D4C4E65">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（二）被保险人或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其医务人员从事未经国家有关部门许可的诊疗活动的；</w:t>
      </w:r>
    </w:p>
    <w:p w14:paraId="0517C420">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（三）被保险人被吊销执业许可证或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其医务人员被取消执业资格或受停业、停职处分后仍继续进行诊疗活动的；</w:t>
      </w:r>
    </w:p>
    <w:p w14:paraId="3E5627B3">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（四）被保险人或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其医务人员使用未按国家有关规定获得批准的药品、消毒</w:t>
      </w:r>
      <w:r>
        <w:rPr>
          <w:rFonts w:hint="eastAsia" w:ascii="宋体" w:hAnsi="宋体"/>
          <w:b/>
          <w:bCs/>
          <w:color w:val="000000" w:themeColor="text1"/>
          <w:szCs w:val="21"/>
          <w14:textFill>
            <w14:solidFill>
              <w14:schemeClr w14:val="tx1"/>
            </w14:solidFill>
          </w14:textFill>
        </w:rPr>
        <w:t>产品</w:t>
      </w:r>
      <w:r>
        <w:rPr>
          <w:rFonts w:ascii="宋体" w:hAnsi="宋体"/>
          <w:b/>
          <w:bCs/>
          <w:color w:val="000000" w:themeColor="text1"/>
          <w:szCs w:val="21"/>
          <w14:textFill>
            <w14:solidFill>
              <w14:schemeClr w14:val="tx1"/>
            </w14:solidFill>
          </w14:textFill>
        </w:rPr>
        <w:t>和医疗器械的；</w:t>
      </w:r>
    </w:p>
    <w:p w14:paraId="77E5B8A0">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（五）被保险人或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其医务人员在正当的诊疗护理、治疗范围外使用麻醉药品、医疗用毒性药品、精神药品和放射性药品的；</w:t>
      </w:r>
    </w:p>
    <w:p w14:paraId="56DCD3B4">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（六）被保险人或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其医务人员为疫苗受种者接种疫苗导致不良反应所引起的索赔，但被保险人</w:t>
      </w:r>
      <w:r>
        <w:rPr>
          <w:rFonts w:hint="eastAsia" w:ascii="宋体" w:hAnsi="宋体"/>
          <w:b/>
          <w:bCs/>
          <w:color w:val="000000" w:themeColor="text1"/>
          <w:szCs w:val="21"/>
          <w14:textFill>
            <w14:solidFill>
              <w14:schemeClr w14:val="tx1"/>
            </w14:solidFill>
          </w14:textFill>
        </w:rPr>
        <w:t>或者</w:t>
      </w:r>
      <w:r>
        <w:rPr>
          <w:rFonts w:ascii="宋体" w:hAnsi="宋体"/>
          <w:b/>
          <w:bCs/>
          <w:color w:val="000000" w:themeColor="text1"/>
          <w:szCs w:val="21"/>
          <w14:textFill>
            <w14:solidFill>
              <w14:schemeClr w14:val="tx1"/>
            </w14:solidFill>
          </w14:textFill>
        </w:rPr>
        <w:t>其医务人员存在过错的情形不在此限；</w:t>
      </w:r>
    </w:p>
    <w:p w14:paraId="4ACB20A6">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七</w:t>
      </w:r>
      <w:r>
        <w:rPr>
          <w:rFonts w:ascii="宋体" w:hAnsi="宋体"/>
          <w:b/>
          <w:bCs/>
          <w:color w:val="000000" w:themeColor="text1"/>
          <w:szCs w:val="21"/>
          <w14:textFill>
            <w14:solidFill>
              <w14:schemeClr w14:val="tx1"/>
            </w14:solidFill>
          </w14:textFill>
        </w:rPr>
        <w:t>）被保险人或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其医务人员采用的非为诊疗活动所必须的整形及美容行为引起的索赔；</w:t>
      </w:r>
    </w:p>
    <w:p w14:paraId="3D78BFC6">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八</w:t>
      </w:r>
      <w:r>
        <w:rPr>
          <w:rFonts w:ascii="宋体" w:hAnsi="宋体"/>
          <w:b/>
          <w:bCs/>
          <w:color w:val="000000" w:themeColor="text1"/>
          <w:szCs w:val="21"/>
          <w14:textFill>
            <w14:solidFill>
              <w14:schemeClr w14:val="tx1"/>
            </w14:solidFill>
          </w14:textFill>
        </w:rPr>
        <w:t>）患者自杀的情形，但被保险人</w:t>
      </w:r>
      <w:r>
        <w:rPr>
          <w:rFonts w:hint="eastAsia" w:ascii="宋体" w:hAnsi="宋体"/>
          <w:b/>
          <w:bCs/>
          <w:color w:val="000000" w:themeColor="text1"/>
          <w:szCs w:val="21"/>
          <w14:textFill>
            <w14:solidFill>
              <w14:schemeClr w14:val="tx1"/>
            </w14:solidFill>
          </w14:textFill>
        </w:rPr>
        <w:t>或者</w:t>
      </w:r>
      <w:r>
        <w:rPr>
          <w:rFonts w:ascii="宋体" w:hAnsi="宋体"/>
          <w:b/>
          <w:bCs/>
          <w:color w:val="000000" w:themeColor="text1"/>
          <w:szCs w:val="21"/>
          <w14:textFill>
            <w14:solidFill>
              <w14:schemeClr w14:val="tx1"/>
            </w14:solidFill>
          </w14:textFill>
        </w:rPr>
        <w:t>其医务人员在诊疗活动中存在过错的情形不在此限。</w:t>
      </w:r>
    </w:p>
    <w:p w14:paraId="7152CDA4">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七</w:t>
      </w:r>
      <w:r>
        <w:rPr>
          <w:rFonts w:ascii="宋体" w:hAnsi="宋体"/>
          <w:b/>
          <w:bCs/>
          <w:color w:val="000000" w:themeColor="text1"/>
          <w:szCs w:val="21"/>
          <w14:textFill>
            <w14:solidFill>
              <w14:schemeClr w14:val="tx1"/>
            </w14:solidFill>
          </w14:textFill>
        </w:rPr>
        <w:t>条  下列损失、费用和责任，保险人也不负责赔偿：</w:t>
      </w:r>
    </w:p>
    <w:p w14:paraId="1D31EE55">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（一）与被保险人存在雇佣关系的员工的人身伤亡，但其作为患者接受治疗时导致的人身伤亡不在此限；</w:t>
      </w:r>
    </w:p>
    <w:p w14:paraId="41B10FB3">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（二）罚款、罚金或惩罚性赔款；</w:t>
      </w:r>
    </w:p>
    <w:p w14:paraId="019D0819">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（三）本保险合同中载明的免赔额、按免赔率折算的免赔额</w:t>
      </w:r>
      <w:r>
        <w:rPr>
          <w:rFonts w:hint="eastAsia" w:ascii="宋体" w:hAnsi="宋体"/>
          <w:b/>
          <w:bCs/>
          <w:color w:val="000000" w:themeColor="text1"/>
          <w:szCs w:val="21"/>
          <w14:textFill>
            <w14:solidFill>
              <w14:schemeClr w14:val="tx1"/>
            </w14:solidFill>
          </w14:textFill>
        </w:rPr>
        <w:t>；</w:t>
      </w:r>
    </w:p>
    <w:p w14:paraId="039669B7">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（四）被保险人应该承担的合同责任，但无合同存在时依法仍然应由被保险人承担的经济赔偿责任不在此限；</w:t>
      </w:r>
    </w:p>
    <w:p w14:paraId="471AD9DB">
      <w:pPr>
        <w:adjustRightInd w:val="0"/>
        <w:snapToGrid w:val="0"/>
        <w:spacing w:after="156" w:afterLines="50"/>
        <w:ind w:firstLine="422" w:firstLineChars="200"/>
        <w:rPr>
          <w:sz w:val="11"/>
          <w:szCs w:val="4"/>
        </w:rPr>
      </w:pPr>
      <w:r>
        <w:rPr>
          <w:rFonts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五</w:t>
      </w:r>
      <w:r>
        <w:rPr>
          <w:rFonts w:ascii="宋体" w:hAnsi="宋体"/>
          <w:b/>
          <w:bCs/>
          <w:color w:val="000000" w:themeColor="text1"/>
          <w:szCs w:val="21"/>
          <w14:textFill>
            <w14:solidFill>
              <w14:schemeClr w14:val="tx1"/>
            </w14:solidFill>
          </w14:textFill>
        </w:rPr>
        <w:t>）其他不属于本保险</w:t>
      </w:r>
      <w:r>
        <w:rPr>
          <w:rFonts w:hint="eastAsia" w:ascii="宋体" w:hAnsi="宋体"/>
          <w:b/>
          <w:bCs/>
          <w:color w:val="000000" w:themeColor="text1"/>
          <w:szCs w:val="21"/>
          <w14:textFill>
            <w14:solidFill>
              <w14:schemeClr w14:val="tx1"/>
            </w14:solidFill>
          </w14:textFill>
        </w:rPr>
        <w:t>合同</w:t>
      </w:r>
      <w:r>
        <w:rPr>
          <w:rFonts w:ascii="宋体" w:hAnsi="宋体"/>
          <w:b/>
          <w:bCs/>
          <w:color w:val="000000" w:themeColor="text1"/>
          <w:szCs w:val="21"/>
          <w14:textFill>
            <w14:solidFill>
              <w14:schemeClr w14:val="tx1"/>
            </w14:solidFill>
          </w14:textFill>
        </w:rPr>
        <w:t>责任范围内的损失、费用和责任，保险人不负责赔偿。</w:t>
      </w:r>
    </w:p>
    <w:p w14:paraId="5E1BB0F7">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赔偿限额与免赔额（率）</w:t>
      </w:r>
    </w:p>
    <w:p w14:paraId="5D18DF52">
      <w:pPr>
        <w:adjustRightInd w:val="0"/>
        <w:snapToGrid w:val="0"/>
        <w:spacing w:after="156" w:afterLines="50"/>
        <w:ind w:firstLine="422" w:firstLineChars="200"/>
        <w:rPr>
          <w:rFonts w:ascii="宋体" w:hAnsi="宋体"/>
          <w:b/>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八</w:t>
      </w:r>
      <w:r>
        <w:rPr>
          <w:rFonts w:ascii="宋体" w:hAnsi="宋体"/>
          <w:b/>
          <w:bCs/>
          <w:color w:val="000000" w:themeColor="text1"/>
          <w:szCs w:val="21"/>
          <w14:textFill>
            <w14:solidFill>
              <w14:schemeClr w14:val="tx1"/>
            </w14:solidFill>
          </w14:textFill>
        </w:rPr>
        <w:t xml:space="preserve">条  </w:t>
      </w:r>
      <w:r>
        <w:rPr>
          <w:rFonts w:ascii="宋体" w:hAnsi="宋体"/>
          <w:b/>
          <w:color w:val="000000" w:themeColor="text1"/>
          <w:szCs w:val="21"/>
          <w14:textFill>
            <w14:solidFill>
              <w14:schemeClr w14:val="tx1"/>
            </w14:solidFill>
          </w14:textFill>
        </w:rPr>
        <w:t>赔偿限额包括每次事故赔偿限额、累计赔偿限额、法律费用每次事故赔偿限额、法律费用累计赔偿限额。赔偿限额由投保人与保险人协商确定，并在</w:t>
      </w:r>
      <w:r>
        <w:rPr>
          <w:rFonts w:hint="eastAsia" w:ascii="宋体" w:hAnsi="宋体"/>
          <w:b/>
          <w:color w:val="000000" w:themeColor="text1"/>
          <w:szCs w:val="21"/>
          <w14:textFill>
            <w14:solidFill>
              <w14:schemeClr w14:val="tx1"/>
            </w14:solidFill>
          </w14:textFill>
        </w:rPr>
        <w:t>本</w:t>
      </w:r>
      <w:r>
        <w:rPr>
          <w:rFonts w:ascii="宋体" w:hAnsi="宋体"/>
          <w:b/>
          <w:color w:val="000000" w:themeColor="text1"/>
          <w:szCs w:val="21"/>
          <w14:textFill>
            <w14:solidFill>
              <w14:schemeClr w14:val="tx1"/>
            </w14:solidFill>
          </w14:textFill>
        </w:rPr>
        <w:t>保险合同中载明。</w:t>
      </w:r>
    </w:p>
    <w:p w14:paraId="1BFF7CAE">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九</w:t>
      </w:r>
      <w:r>
        <w:rPr>
          <w:rFonts w:ascii="宋体" w:hAnsi="宋体"/>
          <w:b/>
          <w:bCs/>
          <w:color w:val="000000" w:themeColor="text1"/>
          <w:szCs w:val="21"/>
          <w14:textFill>
            <w14:solidFill>
              <w14:schemeClr w14:val="tx1"/>
            </w14:solidFill>
          </w14:textFill>
        </w:rPr>
        <w:t xml:space="preserve">条  </w:t>
      </w:r>
      <w:r>
        <w:rPr>
          <w:rFonts w:ascii="宋体" w:hAnsi="宋体"/>
          <w:b/>
          <w:color w:val="000000" w:themeColor="text1"/>
          <w:szCs w:val="21"/>
          <w14:textFill>
            <w14:solidFill>
              <w14:schemeClr w14:val="tx1"/>
            </w14:solidFill>
          </w14:textFill>
        </w:rPr>
        <w:t>除另有约定外，本保险合同不设免赔额（率）。</w:t>
      </w:r>
    </w:p>
    <w:p w14:paraId="15ADE9C5">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保险期间与追溯期</w:t>
      </w:r>
    </w:p>
    <w:p w14:paraId="014478EE">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第十条  </w:t>
      </w:r>
      <w:r>
        <w:rPr>
          <w:rFonts w:ascii="宋体" w:hAnsi="宋体"/>
          <w:color w:val="000000" w:themeColor="text1"/>
          <w:szCs w:val="21"/>
          <w14:textFill>
            <w14:solidFill>
              <w14:schemeClr w14:val="tx1"/>
            </w14:solidFill>
          </w14:textFill>
        </w:rPr>
        <w:t>除另有约定外，保险期间为一年，以保险单载明的起讫时间为准。</w:t>
      </w:r>
      <w:bookmarkStart w:id="14" w:name="_Hlk74819655"/>
      <w:r>
        <w:rPr>
          <w:rFonts w:ascii="宋体" w:hAnsi="宋体"/>
          <w:b/>
          <w:color w:val="000000" w:themeColor="text1"/>
          <w:szCs w:val="21"/>
          <w14:textFill>
            <w14:solidFill>
              <w14:schemeClr w14:val="tx1"/>
            </w14:solidFill>
          </w14:textFill>
        </w:rPr>
        <w:t>本保险合同的追溯期由投保人与保险人协商确定并在保险单中载明，未载明的，无追溯期。</w:t>
      </w:r>
    </w:p>
    <w:bookmarkEnd w:id="14"/>
    <w:p w14:paraId="7ECA5F62">
      <w:pPr>
        <w:adjustRightInd w:val="0"/>
        <w:snapToGrid w:val="0"/>
        <w:spacing w:after="156" w:afterLines="50"/>
        <w:jc w:val="center"/>
        <w:rPr>
          <w:rFonts w:ascii="宋体" w:hAnsi="宋体"/>
          <w:b/>
          <w:bCs/>
          <w:color w:val="000000" w:themeColor="text1"/>
          <w:szCs w:val="21"/>
          <w14:textFill>
            <w14:solidFill>
              <w14:schemeClr w14:val="tx1"/>
            </w14:solidFill>
          </w14:textFill>
        </w:rPr>
      </w:pPr>
    </w:p>
    <w:p w14:paraId="3F635024">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保险人义务</w:t>
      </w:r>
    </w:p>
    <w:p w14:paraId="700140AF">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一</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订立保险合同时，采用保险人提供的格式条款的，保险人向投保人提供的投保单应当附格式条款，保险人应当向投保人说明保险合同的内容。对保险合同中免除保险人责任的条款，保险人在订立合同时应当在投保单、保险单或者其他保险凭证上作出足以引起投保人注意的提示，并对该条款的内容以书面或者口头形式向投保人作出明确说明；未作提示或者明确说明的，该条款不产生效力。</w:t>
      </w:r>
    </w:p>
    <w:p w14:paraId="0BF3E790">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二</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本保险合同成立后，保险人应当及时向投保人签发保险单或其他保险凭证。</w:t>
      </w:r>
    </w:p>
    <w:p w14:paraId="4B2C54CD">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三</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保险事故发生后，投保人、被保险人提供的有关索赔的证明和资料不完整的，保险人应当及时一次性通知投保人、被保险人补充提供。</w:t>
      </w:r>
    </w:p>
    <w:p w14:paraId="779916C7">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四</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保险人收到被保险人的赔偿请求后，应当及时作出是否属于保险责任的核定，并将核定结果通知被保险人。情形复杂的，应当在30日内做出核定并通知被保险人，对于属于保险责任的，在与被保险人达成有关赔偿保险金的协议后10日内，履行赔偿义务。</w:t>
      </w:r>
    </w:p>
    <w:p w14:paraId="07D7034A">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保险人按照前款的规定作出核定后，对不属于保险责任的，应当自作出核定之日起3日内向被保险人发出拒绝赔偿保险金通知书，并说明理由。</w:t>
      </w:r>
    </w:p>
    <w:p w14:paraId="69AC6337">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五</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保险人自收到赔偿保险金的请求和有关证明、资料之日起60日内，对其赔偿保险金的数额不能确定的，应当根据已有证明和资料可以确定的数额先予支付；保险人最终确定赔偿的数额后，应当支付相应的差额。</w:t>
      </w:r>
    </w:p>
    <w:p w14:paraId="5D0822F1">
      <w:pPr>
        <w:adjustRightInd w:val="0"/>
        <w:snapToGrid w:val="0"/>
        <w:spacing w:after="156" w:afterLines="50"/>
        <w:jc w:val="center"/>
        <w:rPr>
          <w:rFonts w:ascii="宋体" w:hAnsi="宋体"/>
          <w:b/>
          <w:bCs/>
          <w:color w:val="000000" w:themeColor="text1"/>
          <w:szCs w:val="21"/>
          <w14:textFill>
            <w14:solidFill>
              <w14:schemeClr w14:val="tx1"/>
            </w14:solidFill>
          </w14:textFill>
        </w:rPr>
      </w:pPr>
    </w:p>
    <w:p w14:paraId="0A09E450">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投保人、被保险人义务</w:t>
      </w:r>
    </w:p>
    <w:p w14:paraId="245822D0">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六</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订立保险合同，保险人就保险标的或者被保险人的有关情况提出询问的，投保人应当如实告知。</w:t>
      </w:r>
    </w:p>
    <w:p w14:paraId="3E058B84">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投保人故意或者因重大过失未履行前款规定的如实告知义务，足以影响保险人决定是否同意承保或者提高保险费率的，保险人有权解除保险合同。</w:t>
      </w:r>
    </w:p>
    <w:p w14:paraId="69CE0580">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前款规定的合同解除权，自保险人知道有解除事由之日起，超过30日不行使而消灭。自合同成立之日起超过2年的，保险人不得解除合同；发生保险事故的，保险人应当承担赔偿保险金的责任。</w:t>
      </w:r>
    </w:p>
    <w:p w14:paraId="085849BC">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投保人故意不履行如实告知义务的，保险人对于合同解除前发生的保险事故，不承担赔偿保险金的责任，并不退还保险费。</w:t>
      </w:r>
    </w:p>
    <w:p w14:paraId="301A4AF5">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投保人因重大过失未履行如实告知义务，对保险事故的发生有严重影响的，保险人对于合同解除前发生的保险事故，不承担赔偿保险金的责任，但应当退还保险费。</w:t>
      </w:r>
    </w:p>
    <w:p w14:paraId="58E61894">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保险人在合同订立时已经知道投保人未如实告知的情况的，保险人不得解除合同；发生保险事故的，保险人应当承担赔偿保险金的责任。</w:t>
      </w:r>
    </w:p>
    <w:p w14:paraId="48EA5B08">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七</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投保人应按照</w:t>
      </w:r>
      <w:r>
        <w:rPr>
          <w:rFonts w:hint="eastAsia" w:ascii="宋体" w:hAnsi="宋体"/>
          <w:color w:val="000000" w:themeColor="text1"/>
          <w:szCs w:val="21"/>
          <w14:textFill>
            <w14:solidFill>
              <w14:schemeClr w14:val="tx1"/>
            </w14:solidFill>
          </w14:textFill>
        </w:rPr>
        <w:t>本保险</w:t>
      </w:r>
      <w:r>
        <w:rPr>
          <w:rFonts w:ascii="宋体" w:hAnsi="宋体"/>
          <w:color w:val="000000" w:themeColor="text1"/>
          <w:szCs w:val="21"/>
          <w14:textFill>
            <w14:solidFill>
              <w14:schemeClr w14:val="tx1"/>
            </w14:solidFill>
          </w14:textFill>
        </w:rPr>
        <w:t>合同</w:t>
      </w:r>
      <w:r>
        <w:rPr>
          <w:rFonts w:hint="eastAsia" w:ascii="宋体" w:hAnsi="宋体"/>
          <w:color w:val="000000" w:themeColor="text1"/>
          <w:szCs w:val="21"/>
          <w14:textFill>
            <w14:solidFill>
              <w14:schemeClr w14:val="tx1"/>
            </w14:solidFill>
          </w14:textFill>
        </w:rPr>
        <w:t>的</w:t>
      </w:r>
      <w:r>
        <w:rPr>
          <w:rFonts w:ascii="宋体" w:hAnsi="宋体"/>
          <w:color w:val="000000" w:themeColor="text1"/>
          <w:szCs w:val="21"/>
          <w14:textFill>
            <w14:solidFill>
              <w14:schemeClr w14:val="tx1"/>
            </w14:solidFill>
          </w14:textFill>
        </w:rPr>
        <w:t>约定缴纳保险费。</w:t>
      </w:r>
    </w:p>
    <w:p w14:paraId="3FB2B1AD">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八</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被保险人应遵守《中华人民共和国医师法》、《医疗机构管理条例》及其实施细则、《护士条例》</w:t>
      </w:r>
      <w:r>
        <w:rPr>
          <w:rFonts w:hint="eastAsia" w:ascii="宋体" w:hAnsi="宋体"/>
          <w:color w:val="000000" w:themeColor="text1"/>
          <w:szCs w:val="21"/>
          <w14:textFill>
            <w14:solidFill>
              <w14:schemeClr w14:val="tx1"/>
            </w14:solidFill>
          </w14:textFill>
        </w:rPr>
        <w:t>等</w:t>
      </w:r>
      <w:r>
        <w:rPr>
          <w:rFonts w:ascii="宋体" w:hAnsi="宋体"/>
          <w:color w:val="000000" w:themeColor="text1"/>
          <w:szCs w:val="21"/>
          <w14:textFill>
            <w14:solidFill>
              <w14:schemeClr w14:val="tx1"/>
            </w14:solidFill>
          </w14:textFill>
        </w:rPr>
        <w:t>法律、法规及其他规定，加强管理，教育医务人员遵守诊疗护理规范、常规，恪守医疗服务职业道德，采取合理的预防措施，尽力防止保险事故的发生。</w:t>
      </w:r>
    </w:p>
    <w:p w14:paraId="32DE246E">
      <w:pPr>
        <w:adjustRightInd w:val="0"/>
        <w:snapToGrid w:val="0"/>
        <w:spacing w:after="156" w:afterLines="50"/>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保险人可以就被保险人遵守前款约定的情况，对被保险人及其医务人员的专业资格、使用药品和医疗器械及其他各项医疗条件进行查验，</w:t>
      </w:r>
      <w:r>
        <w:rPr>
          <w:rFonts w:ascii="宋体" w:hAnsi="宋体"/>
          <w:b/>
          <w:color w:val="000000" w:themeColor="text1"/>
          <w:szCs w:val="21"/>
          <w14:textFill>
            <w14:solidFill>
              <w14:schemeClr w14:val="tx1"/>
            </w14:solidFill>
          </w14:textFill>
        </w:rPr>
        <w:t>被保险人应积极协助并提供保险人需要的用以评估有关风险的详情和资料。</w:t>
      </w:r>
      <w:r>
        <w:rPr>
          <w:rFonts w:ascii="宋体" w:hAnsi="宋体"/>
          <w:color w:val="000000" w:themeColor="text1"/>
          <w:szCs w:val="21"/>
          <w14:textFill>
            <w14:solidFill>
              <w14:schemeClr w14:val="tx1"/>
            </w14:solidFill>
          </w14:textFill>
        </w:rPr>
        <w:t>但上述查验并不构成保险人对被保险人及其医务人员的专业资格、使用药品和医疗器械及其他各项医疗条件符合相关法律、法规或规定的确认。</w:t>
      </w:r>
      <w:r>
        <w:rPr>
          <w:rFonts w:ascii="宋体" w:hAnsi="宋体"/>
          <w:b/>
          <w:color w:val="000000" w:themeColor="text1"/>
          <w:szCs w:val="21"/>
          <w14:textFill>
            <w14:solidFill>
              <w14:schemeClr w14:val="tx1"/>
            </w14:solidFill>
          </w14:textFill>
        </w:rPr>
        <w:t>保险人将所发现的缺陷或危险书面告知被保险人后，被保险人应在力所能及，合理限度内及时采取整改措施。</w:t>
      </w:r>
    </w:p>
    <w:p w14:paraId="2DE95FE9">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投保人、被保险人未按照约定履行上述安全义务的，保险人有权要求增加保险费或者解除</w:t>
      </w:r>
      <w:r>
        <w:rPr>
          <w:rFonts w:hint="eastAsia" w:ascii="宋体" w:hAnsi="宋体"/>
          <w:color w:val="000000" w:themeColor="text1"/>
          <w:szCs w:val="21"/>
          <w14:textFill>
            <w14:solidFill>
              <w14:schemeClr w14:val="tx1"/>
            </w14:solidFill>
          </w14:textFill>
        </w:rPr>
        <w:t>本</w:t>
      </w:r>
      <w:r>
        <w:rPr>
          <w:rFonts w:ascii="宋体" w:hAnsi="宋体"/>
          <w:color w:val="000000" w:themeColor="text1"/>
          <w:szCs w:val="21"/>
          <w14:textFill>
            <w14:solidFill>
              <w14:schemeClr w14:val="tx1"/>
            </w14:solidFill>
          </w14:textFill>
        </w:rPr>
        <w:t>保险</w:t>
      </w:r>
      <w:r>
        <w:rPr>
          <w:rFonts w:ascii="宋体" w:hAnsi="宋体"/>
          <w:b/>
          <w:bCs/>
          <w:color w:val="000000" w:themeColor="text1"/>
          <w:szCs w:val="21"/>
          <w14:textFill>
            <w14:solidFill>
              <w14:schemeClr w14:val="tx1"/>
            </w14:solidFill>
          </w14:textFill>
        </w:rPr>
        <w:t>合同。</w:t>
      </w:r>
    </w:p>
    <w:p w14:paraId="783BAD45">
      <w:pPr>
        <w:adjustRightInd w:val="0"/>
        <w:snapToGrid w:val="0"/>
        <w:spacing w:after="156" w:afterLines="50"/>
        <w:ind w:firstLine="422" w:firstLineChars="200"/>
        <w:rPr>
          <w:rFonts w:ascii="宋体" w:hAnsi="宋体"/>
          <w:b/>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第十</w:t>
      </w:r>
      <w:r>
        <w:rPr>
          <w:rFonts w:hint="eastAsia" w:ascii="宋体" w:hAnsi="宋体"/>
          <w:b/>
          <w:bCs/>
          <w:color w:val="000000" w:themeColor="text1"/>
          <w:szCs w:val="21"/>
          <w14:textFill>
            <w14:solidFill>
              <w14:schemeClr w14:val="tx1"/>
            </w14:solidFill>
          </w14:textFill>
        </w:rPr>
        <w:t>九</w:t>
      </w:r>
      <w:r>
        <w:rPr>
          <w:rFonts w:ascii="宋体" w:hAnsi="宋体"/>
          <w:b/>
          <w:bCs/>
          <w:color w:val="000000" w:themeColor="text1"/>
          <w:szCs w:val="21"/>
          <w14:textFill>
            <w14:solidFill>
              <w14:schemeClr w14:val="tx1"/>
            </w14:solidFill>
          </w14:textFill>
        </w:rPr>
        <w:t xml:space="preserve">条  </w:t>
      </w:r>
      <w:r>
        <w:rPr>
          <w:rFonts w:ascii="宋体" w:hAnsi="宋体"/>
          <w:b/>
          <w:color w:val="000000" w:themeColor="text1"/>
          <w:szCs w:val="21"/>
          <w14:textFill>
            <w14:solidFill>
              <w14:schemeClr w14:val="tx1"/>
            </w14:solidFill>
          </w14:textFill>
        </w:rPr>
        <w:t>在</w:t>
      </w:r>
      <w:r>
        <w:rPr>
          <w:rFonts w:hint="eastAsia" w:ascii="宋体" w:hAnsi="宋体"/>
          <w:b/>
          <w:color w:val="000000" w:themeColor="text1"/>
          <w:szCs w:val="21"/>
          <w14:textFill>
            <w14:solidFill>
              <w14:schemeClr w14:val="tx1"/>
            </w14:solidFill>
          </w14:textFill>
        </w:rPr>
        <w:t>本</w:t>
      </w:r>
      <w:r>
        <w:rPr>
          <w:rFonts w:ascii="宋体" w:hAnsi="宋体"/>
          <w:b/>
          <w:color w:val="000000" w:themeColor="text1"/>
          <w:szCs w:val="21"/>
          <w14:textFill>
            <w14:solidFill>
              <w14:schemeClr w14:val="tx1"/>
            </w14:solidFill>
          </w14:textFill>
        </w:rPr>
        <w:t>保险合同有效期内，本保险合同</w:t>
      </w:r>
      <w:r>
        <w:rPr>
          <w:rFonts w:hint="eastAsia" w:ascii="宋体" w:hAnsi="宋体"/>
          <w:b/>
          <w:color w:val="000000" w:themeColor="text1"/>
          <w:szCs w:val="21"/>
          <w14:textFill>
            <w14:solidFill>
              <w14:schemeClr w14:val="tx1"/>
            </w14:solidFill>
          </w14:textFill>
        </w:rPr>
        <w:t>列</w:t>
      </w:r>
      <w:r>
        <w:rPr>
          <w:rFonts w:ascii="宋体" w:hAnsi="宋体"/>
          <w:b/>
          <w:color w:val="000000" w:themeColor="text1"/>
          <w:szCs w:val="21"/>
          <w14:textFill>
            <w14:solidFill>
              <w14:schemeClr w14:val="tx1"/>
            </w14:solidFill>
          </w14:textFill>
        </w:rPr>
        <w:t>明的重要事项</w:t>
      </w:r>
      <w:r>
        <w:rPr>
          <w:rFonts w:hint="eastAsia" w:ascii="宋体" w:hAnsi="宋体"/>
          <w:b/>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如医疗机构类型、医疗机构等级等）</w:t>
      </w:r>
      <w:r>
        <w:rPr>
          <w:rFonts w:ascii="宋体" w:hAnsi="宋体"/>
          <w:b/>
          <w:color w:val="000000" w:themeColor="text1"/>
          <w:szCs w:val="21"/>
          <w14:textFill>
            <w14:solidFill>
              <w14:schemeClr w14:val="tx1"/>
            </w14:solidFill>
          </w14:textFill>
        </w:rPr>
        <w:t>发生变更</w:t>
      </w:r>
      <w:r>
        <w:rPr>
          <w:rFonts w:hint="eastAsia" w:ascii="宋体" w:hAnsi="宋体"/>
          <w:b/>
          <w:color w:val="000000" w:themeColor="text1"/>
          <w:szCs w:val="21"/>
          <w14:textFill>
            <w14:solidFill>
              <w14:schemeClr w14:val="tx1"/>
            </w14:solidFill>
          </w14:textFill>
        </w:rPr>
        <w:t>导致</w:t>
      </w:r>
      <w:r>
        <w:rPr>
          <w:rFonts w:ascii="宋体" w:hAnsi="宋体"/>
          <w:b/>
          <w:color w:val="000000" w:themeColor="text1"/>
          <w:szCs w:val="21"/>
          <w14:textFill>
            <w14:solidFill>
              <w14:schemeClr w14:val="tx1"/>
            </w14:solidFill>
          </w14:textFill>
        </w:rPr>
        <w:t>危险程度显著增加的，被保险人应当及时书面通知保险人，保险人</w:t>
      </w:r>
      <w:r>
        <w:rPr>
          <w:rFonts w:hint="eastAsia" w:ascii="宋体" w:hAnsi="宋体"/>
          <w:b/>
          <w:color w:val="000000" w:themeColor="text1"/>
          <w:szCs w:val="21"/>
          <w14:textFill>
            <w14:solidFill>
              <w14:schemeClr w14:val="tx1"/>
            </w14:solidFill>
          </w14:textFill>
        </w:rPr>
        <w:t>有权增加保险费或解除本保险合同，增加保险费的，保险人</w:t>
      </w:r>
      <w:r>
        <w:rPr>
          <w:rFonts w:ascii="宋体" w:hAnsi="宋体"/>
          <w:b/>
          <w:color w:val="000000" w:themeColor="text1"/>
          <w:szCs w:val="21"/>
          <w14:textFill>
            <w14:solidFill>
              <w14:schemeClr w14:val="tx1"/>
            </w14:solidFill>
          </w14:textFill>
        </w:rPr>
        <w:t>应及时办理批改手续。</w:t>
      </w:r>
    </w:p>
    <w:p w14:paraId="3E976BE0">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被保险人未履行前款约定的通知义务的，因保险标的的危险程度显著增加而发生的保险事故，保险人不承担赔偿保险金的责任。</w:t>
      </w:r>
    </w:p>
    <w:p w14:paraId="15BF5926">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第二十条  </w:t>
      </w:r>
      <w:r>
        <w:rPr>
          <w:rFonts w:ascii="宋体" w:hAnsi="宋体"/>
          <w:color w:val="000000" w:themeColor="text1"/>
          <w:szCs w:val="21"/>
          <w14:textFill>
            <w14:solidFill>
              <w14:schemeClr w14:val="tx1"/>
            </w14:solidFill>
          </w14:textFill>
        </w:rPr>
        <w:t>知道保险事故发生后，投保人、被保险人应当：</w:t>
      </w:r>
    </w:p>
    <w:p w14:paraId="163FDDC2">
      <w:pPr>
        <w:adjustRightInd w:val="0"/>
        <w:snapToGrid w:val="0"/>
        <w:spacing w:after="156" w:afterLines="50"/>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（一）尽力采取必要的措施，避免或减轻对患者人身的损害，并防止赔偿扩大</w:t>
      </w:r>
      <w:r>
        <w:rPr>
          <w:rFonts w:hint="eastAsia" w:ascii="宋体" w:hAnsi="宋体"/>
          <w:b/>
          <w:bCs/>
          <w:color w:val="000000" w:themeColor="text1"/>
          <w:szCs w:val="21"/>
          <w14:textFill>
            <w14:solidFill>
              <w14:schemeClr w14:val="tx1"/>
            </w14:solidFill>
          </w14:textFill>
        </w:rPr>
        <w:t>，否则，对因此扩大的损失，保险人不承担赔偿责任</w:t>
      </w:r>
      <w:r>
        <w:rPr>
          <w:rFonts w:ascii="宋体" w:hAnsi="宋体"/>
          <w:b/>
          <w:bCs/>
          <w:color w:val="000000" w:themeColor="text1"/>
          <w:szCs w:val="21"/>
          <w14:textFill>
            <w14:solidFill>
              <w14:schemeClr w14:val="tx1"/>
            </w14:solidFill>
          </w14:textFill>
        </w:rPr>
        <w:t>；</w:t>
      </w:r>
    </w:p>
    <w:p w14:paraId="000A6E05">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（二）及时通知保险人及</w:t>
      </w:r>
      <w:r>
        <w:rPr>
          <w:rFonts w:hint="eastAsia" w:ascii="宋体" w:hAnsi="宋体"/>
          <w:color w:val="000000" w:themeColor="text1"/>
          <w:szCs w:val="21"/>
          <w14:textFill>
            <w14:solidFill>
              <w14:schemeClr w14:val="tx1"/>
            </w14:solidFill>
          </w14:textFill>
        </w:rPr>
        <w:t>本保险合同约定的调解委员会（投保人、保险人可协商确定人民调解委员会，并在本保险合同中载明，简称“调解委员会”）</w:t>
      </w:r>
      <w:r>
        <w:rPr>
          <w:rFonts w:ascii="宋体" w:hAnsi="宋体"/>
          <w:color w:val="000000" w:themeColor="text1"/>
          <w:szCs w:val="21"/>
          <w14:textFill>
            <w14:solidFill>
              <w14:schemeClr w14:val="tx1"/>
            </w14:solidFill>
          </w14:textFill>
        </w:rPr>
        <w:t>，并书面说明事故发生的原因、经过和损失情况；保险人认可由调解委员会提供的报案信息并视同为及时报案，</w:t>
      </w:r>
      <w:r>
        <w:rPr>
          <w:rFonts w:ascii="宋体" w:hAnsi="宋体"/>
          <w:b/>
          <w:bCs/>
          <w:color w:val="000000" w:themeColor="text1"/>
          <w:szCs w:val="21"/>
          <w14:textFill>
            <w14:solidFill>
              <w14:schemeClr w14:val="tx1"/>
            </w14:solidFill>
          </w14:textFill>
        </w:rPr>
        <w:t>故意或者因重大过失未及时通知，致使保险事故的性质、原因、损失程度等难以确定的，保险人对无法确定的部分，不承担赔偿责任</w:t>
      </w:r>
      <w:r>
        <w:rPr>
          <w:rFonts w:ascii="宋体" w:hAnsi="宋体"/>
          <w:color w:val="000000" w:themeColor="text1"/>
          <w:szCs w:val="21"/>
          <w14:textFill>
            <w14:solidFill>
              <w14:schemeClr w14:val="tx1"/>
            </w14:solidFill>
          </w14:textFill>
        </w:rPr>
        <w:t>，但保险人通过其他途径已经及时知道或者应当及时知道保险事故发生的除外；</w:t>
      </w:r>
    </w:p>
    <w:p w14:paraId="465D2DA5">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（三）</w:t>
      </w:r>
      <w:bookmarkStart w:id="15" w:name="_Hlk74820114"/>
      <w:r>
        <w:rPr>
          <w:rFonts w:ascii="宋体" w:hAnsi="宋体"/>
          <w:color w:val="000000" w:themeColor="text1"/>
          <w:szCs w:val="21"/>
          <w14:textFill>
            <w14:solidFill>
              <w14:schemeClr w14:val="tx1"/>
            </w14:solidFill>
          </w14:textFill>
        </w:rPr>
        <w:t>按照规定向有关部门报告，并按照规定的程序进行或申请进行调查、分析、鉴定。妥善保管有关的原始资料，不得涂改、伪造、隐匿或</w:t>
      </w:r>
      <w:r>
        <w:rPr>
          <w:rFonts w:hint="eastAsia" w:ascii="宋体" w:hAnsi="宋体"/>
          <w:color w:val="000000" w:themeColor="text1"/>
          <w:szCs w:val="21"/>
          <w14:textFill>
            <w14:solidFill>
              <w14:schemeClr w14:val="tx1"/>
            </w14:solidFill>
          </w14:textFill>
        </w:rPr>
        <w:t>者违法</w:t>
      </w:r>
      <w:r>
        <w:rPr>
          <w:rFonts w:ascii="宋体" w:hAnsi="宋体"/>
          <w:color w:val="000000" w:themeColor="text1"/>
          <w:szCs w:val="21"/>
          <w14:textFill>
            <w14:solidFill>
              <w14:schemeClr w14:val="tx1"/>
            </w14:solidFill>
          </w14:textFill>
        </w:rPr>
        <w:t>销毁，并对引起不良后果的药品</w:t>
      </w:r>
      <w:r>
        <w:rPr>
          <w:rFonts w:hint="eastAsia" w:ascii="宋体" w:hAnsi="宋体"/>
          <w:color w:val="000000" w:themeColor="text1"/>
          <w:szCs w:val="21"/>
          <w14:textFill>
            <w14:solidFill>
              <w14:schemeClr w14:val="tx1"/>
            </w14:solidFill>
          </w14:textFill>
        </w:rPr>
        <w:t>、消毒产品</w:t>
      </w:r>
      <w:r>
        <w:rPr>
          <w:rFonts w:ascii="宋体" w:hAnsi="宋体"/>
          <w:color w:val="000000" w:themeColor="text1"/>
          <w:szCs w:val="21"/>
          <w14:textFill>
            <w14:solidFill>
              <w14:schemeClr w14:val="tx1"/>
            </w14:solidFill>
          </w14:textFill>
        </w:rPr>
        <w:t>、医疗器械</w:t>
      </w:r>
      <w:r>
        <w:rPr>
          <w:rFonts w:hint="eastAsia" w:ascii="宋体" w:hAnsi="宋体"/>
          <w:color w:val="000000" w:themeColor="text1"/>
          <w:szCs w:val="21"/>
          <w14:textFill>
            <w14:solidFill>
              <w14:schemeClr w14:val="tx1"/>
            </w14:solidFill>
          </w14:textFill>
        </w:rPr>
        <w:t>、血液</w:t>
      </w:r>
      <w:r>
        <w:rPr>
          <w:rFonts w:ascii="宋体" w:hAnsi="宋体"/>
          <w:color w:val="000000" w:themeColor="text1"/>
          <w:szCs w:val="21"/>
          <w14:textFill>
            <w14:solidFill>
              <w14:schemeClr w14:val="tx1"/>
            </w14:solidFill>
          </w14:textFill>
        </w:rPr>
        <w:t>等现场实物按照有关规定进行封存并妥善保管，以备查验；允许并且协助保险人进行事故调查。</w:t>
      </w:r>
      <w:bookmarkEnd w:id="15"/>
    </w:p>
    <w:p w14:paraId="531B0B3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（四）保护事故现场，允许并且协助保险人进行事故调查。</w:t>
      </w:r>
      <w:r>
        <w:rPr>
          <w:rFonts w:hint="eastAsia" w:ascii="宋体" w:hAnsi="宋体" w:cs="宋体"/>
          <w:b/>
          <w:bCs/>
          <w:color w:val="000000" w:themeColor="text1"/>
          <w:szCs w:val="21"/>
          <w14:textFill>
            <w14:solidFill>
              <w14:schemeClr w14:val="tx1"/>
            </w14:solidFill>
          </w14:textFill>
        </w:rPr>
        <w:t>对于拒绝或者妨碍保险人进行事故调查导致无法认定事故原因或核实损失情况的，保险人对无法确定或核实的部分不承担赔偿责任。</w:t>
      </w:r>
    </w:p>
    <w:p w14:paraId="6926CC01">
      <w:pPr>
        <w:spacing w:after="156" w:afterLines="50"/>
        <w:ind w:firstLine="422" w:firstLineChars="200"/>
        <w:rPr>
          <w:rFonts w:ascii="宋体" w:hAnsi="宋体" w:cs="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一</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被保险人收到患者或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其近亲属或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其代理人的损害赔偿请求时，应立即通知保险人及调解委员会。</w:t>
      </w:r>
      <w:r>
        <w:rPr>
          <w:rFonts w:ascii="宋体" w:hAnsi="宋体"/>
          <w:b/>
          <w:bCs/>
          <w:color w:val="000000" w:themeColor="text1"/>
          <w:szCs w:val="21"/>
          <w14:textFill>
            <w14:solidFill>
              <w14:schemeClr w14:val="tx1"/>
            </w14:solidFill>
          </w14:textFill>
        </w:rPr>
        <w:t>未经保险人书面同意，被保险人对受害人及其近亲属、代理人作出的任何承诺、拒绝、出价、约定、付款或赔偿，保险人不受其约束。对于未经保险人同意而被保险人自行承诺或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支付的赔偿金额，如不属于本保险</w:t>
      </w:r>
      <w:r>
        <w:rPr>
          <w:rFonts w:hint="eastAsia" w:ascii="宋体" w:hAnsi="宋体"/>
          <w:b/>
          <w:bCs/>
          <w:color w:val="000000" w:themeColor="text1"/>
          <w:szCs w:val="21"/>
          <w14:textFill>
            <w14:solidFill>
              <w14:schemeClr w14:val="tx1"/>
            </w14:solidFill>
          </w14:textFill>
        </w:rPr>
        <w:t>合同</w:t>
      </w:r>
      <w:r>
        <w:rPr>
          <w:rFonts w:ascii="宋体" w:hAnsi="宋体"/>
          <w:b/>
          <w:bCs/>
          <w:color w:val="000000" w:themeColor="text1"/>
          <w:szCs w:val="21"/>
          <w14:textFill>
            <w14:solidFill>
              <w14:schemeClr w14:val="tx1"/>
            </w14:solidFill>
          </w14:textFill>
        </w:rPr>
        <w:t>责任范围或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超出应赔偿限额的，保险人不承担赔偿责任。</w:t>
      </w:r>
      <w:r>
        <w:rPr>
          <w:rFonts w:hint="eastAsia" w:ascii="宋体" w:hAnsi="宋体" w:cs="宋体"/>
          <w:color w:val="000000" w:themeColor="text1"/>
          <w:szCs w:val="21"/>
          <w14:textFill>
            <w14:solidFill>
              <w14:schemeClr w14:val="tx1"/>
            </w14:solidFill>
          </w14:textFill>
        </w:rPr>
        <w:t>在处理索赔过程中，保险人有权自行处理由其承担最终赔偿责任的任何索赔案件，被保险人有义务向保险人提供其所能提供的资料和协助。</w:t>
      </w:r>
    </w:p>
    <w:p w14:paraId="6F132DAD">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二</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被保险人获悉可能发生诉讼、仲裁时，应立即以书面形式通知保险人；接到法院传票或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其他法律文书后，应将其副本及时送交保险人。</w:t>
      </w:r>
      <w:r>
        <w:rPr>
          <w:rFonts w:ascii="宋体" w:hAnsi="宋体"/>
          <w:b/>
          <w:color w:val="000000" w:themeColor="text1"/>
          <w:szCs w:val="21"/>
          <w14:textFill>
            <w14:solidFill>
              <w14:schemeClr w14:val="tx1"/>
            </w14:solidFill>
          </w14:textFill>
        </w:rPr>
        <w:t>保险人</w:t>
      </w:r>
      <w:r>
        <w:rPr>
          <w:rFonts w:hint="eastAsia" w:ascii="宋体" w:hAnsi="宋体"/>
          <w:b/>
          <w:color w:val="000000" w:themeColor="text1"/>
          <w:szCs w:val="21"/>
          <w14:textFill>
            <w14:solidFill>
              <w14:schemeClr w14:val="tx1"/>
            </w14:solidFill>
          </w14:textFill>
        </w:rPr>
        <w:t>有权</w:t>
      </w:r>
      <w:r>
        <w:rPr>
          <w:rFonts w:ascii="宋体" w:hAnsi="宋体"/>
          <w:b/>
          <w:color w:val="000000" w:themeColor="text1"/>
          <w:szCs w:val="21"/>
          <w14:textFill>
            <w14:solidFill>
              <w14:schemeClr w14:val="tx1"/>
            </w14:solidFill>
          </w14:textFill>
        </w:rPr>
        <w:t>以</w:t>
      </w:r>
      <w:r>
        <w:rPr>
          <w:rFonts w:hint="eastAsia" w:ascii="宋体" w:hAnsi="宋体"/>
          <w:b/>
          <w:color w:val="000000" w:themeColor="text1"/>
          <w:szCs w:val="21"/>
          <w14:textFill>
            <w14:solidFill>
              <w14:schemeClr w14:val="tx1"/>
            </w14:solidFill>
          </w14:textFill>
        </w:rPr>
        <w:t>被保险人名义或</w:t>
      </w:r>
      <w:r>
        <w:rPr>
          <w:rFonts w:ascii="宋体" w:hAnsi="宋体"/>
          <w:b/>
          <w:color w:val="000000" w:themeColor="text1"/>
          <w:szCs w:val="21"/>
          <w14:textFill>
            <w14:solidFill>
              <w14:schemeClr w14:val="tx1"/>
            </w14:solidFill>
          </w14:textFill>
        </w:rPr>
        <w:t>法律规定的第三人名义参加有关诉讼或</w:t>
      </w:r>
      <w:r>
        <w:rPr>
          <w:rFonts w:hint="eastAsia" w:ascii="宋体" w:hAnsi="宋体"/>
          <w:b/>
          <w:color w:val="000000" w:themeColor="text1"/>
          <w:szCs w:val="21"/>
          <w14:textFill>
            <w14:solidFill>
              <w14:schemeClr w14:val="tx1"/>
            </w14:solidFill>
          </w14:textFill>
        </w:rPr>
        <w:t>者</w:t>
      </w:r>
      <w:r>
        <w:rPr>
          <w:rFonts w:ascii="宋体" w:hAnsi="宋体"/>
          <w:b/>
          <w:color w:val="000000" w:themeColor="text1"/>
          <w:szCs w:val="21"/>
          <w14:textFill>
            <w14:solidFill>
              <w14:schemeClr w14:val="tx1"/>
            </w14:solidFill>
          </w14:textFill>
        </w:rPr>
        <w:t>仲裁事宜，被保险人应提供有关文件并给予必要协助。</w:t>
      </w:r>
    </w:p>
    <w:p w14:paraId="19A13685">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对因未及时提供上述通知或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必要协助导致扩大的损失，保险人不承担赔偿责任。</w:t>
      </w:r>
    </w:p>
    <w:p w14:paraId="567728EC">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三</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被保险人请求赔偿时，应向保险人提供下列证明和材料：</w:t>
      </w:r>
    </w:p>
    <w:p w14:paraId="43892249">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（一）保险单正本、被保险人或其代表填具的索赔申请书；</w:t>
      </w:r>
    </w:p>
    <w:p w14:paraId="45F2CC2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（二）患者或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其近亲属或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其代理人向被保险人提出索赔的相关证明和资料；</w:t>
      </w:r>
    </w:p>
    <w:p w14:paraId="1C7AD592">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（三）有关医务人员的资格和执业证明、被保险人与有关医务人员的</w:t>
      </w:r>
      <w:r>
        <w:rPr>
          <w:rFonts w:hint="eastAsia" w:ascii="宋体" w:hAnsi="宋体"/>
          <w:color w:val="000000" w:themeColor="text1"/>
          <w:szCs w:val="21"/>
          <w14:textFill>
            <w14:solidFill>
              <w14:schemeClr w14:val="tx1"/>
            </w14:solidFill>
          </w14:textFill>
        </w:rPr>
        <w:t>工作</w:t>
      </w:r>
      <w:r>
        <w:rPr>
          <w:rFonts w:ascii="宋体" w:hAnsi="宋体"/>
          <w:color w:val="000000" w:themeColor="text1"/>
          <w:szCs w:val="21"/>
          <w14:textFill>
            <w14:solidFill>
              <w14:schemeClr w14:val="tx1"/>
            </w14:solidFill>
          </w14:textFill>
        </w:rPr>
        <w:t>关系证明；</w:t>
      </w:r>
    </w:p>
    <w:p w14:paraId="2311BFD9">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（四）患者完整的病例资料：患者伤残的，应当提供司法鉴定机构依法出具的伤残鉴定报告；患者死亡的，应当提供公安机关或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医疗机构出具的死亡证明书等有关证明和资料；</w:t>
      </w:r>
    </w:p>
    <w:p w14:paraId="7550188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（五）事故情况说明、赔偿项目清单；涉及医疗费用的，应提供医疗费用票据等资料；</w:t>
      </w:r>
    </w:p>
    <w:p w14:paraId="791F836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六</w:t>
      </w:r>
      <w:r>
        <w:rPr>
          <w:rFonts w:ascii="宋体" w:hAnsi="宋体"/>
          <w:color w:val="000000" w:themeColor="text1"/>
          <w:szCs w:val="21"/>
          <w14:textFill>
            <w14:solidFill>
              <w14:schemeClr w14:val="tx1"/>
            </w14:solidFill>
          </w14:textFill>
        </w:rPr>
        <w:t>）已经国家批准或认可的司法鉴定机构、医疗事故技术鉴定机构进行过鉴定的，应提供司法鉴定意见书、医疗事故技术鉴定书；</w:t>
      </w:r>
    </w:p>
    <w:p w14:paraId="6297CEA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七</w:t>
      </w:r>
      <w:r>
        <w:rPr>
          <w:rFonts w:ascii="宋体" w:hAnsi="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被保险人与患方自行和解的，提供和解协议书；经调解委员会调解的，提供人民调解协议书；经法院判决或者法院调解的，提供法院判决书或者法院调解书；经仲裁裁决或者调解的，提供仲裁裁决书或者仲裁调解书；</w:t>
      </w:r>
    </w:p>
    <w:p w14:paraId="634F28EF">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八</w:t>
      </w:r>
      <w:r>
        <w:rPr>
          <w:rFonts w:ascii="宋体" w:hAnsi="宋体"/>
          <w:color w:val="000000" w:themeColor="text1"/>
          <w:szCs w:val="21"/>
          <w14:textFill>
            <w14:solidFill>
              <w14:schemeClr w14:val="tx1"/>
            </w14:solidFill>
          </w14:textFill>
        </w:rPr>
        <w:t>）投保人、被保险人所能提供的与确认保险事故的性质、原因、损失程度等有关的其他证明和资料。</w:t>
      </w:r>
    </w:p>
    <w:p w14:paraId="7262A966">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被保险人未履行前款约定的索赔材料提供义务，导致保险人无法核实损失情况的，保险人对无法核实部分不承担赔偿责任。</w:t>
      </w:r>
    </w:p>
    <w:p w14:paraId="3DFF9E50">
      <w:pPr>
        <w:adjustRightInd w:val="0"/>
        <w:snapToGrid w:val="0"/>
        <w:spacing w:after="156" w:afterLines="50"/>
        <w:ind w:firstLine="200"/>
        <w:rPr>
          <w:rFonts w:ascii="宋体" w:hAnsi="宋体"/>
          <w:b/>
          <w:bCs/>
          <w:color w:val="000000" w:themeColor="text1"/>
          <w:sz w:val="11"/>
          <w:szCs w:val="11"/>
          <w14:textFill>
            <w14:solidFill>
              <w14:schemeClr w14:val="tx1"/>
            </w14:solidFill>
          </w14:textFill>
        </w:rPr>
      </w:pPr>
    </w:p>
    <w:p w14:paraId="7F87AC6B">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赔偿处理</w:t>
      </w:r>
    </w:p>
    <w:p w14:paraId="641083C1">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四</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本保险合同采用期内索赔制。</w:t>
      </w:r>
    </w:p>
    <w:p w14:paraId="594F0A97">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期内索赔制是指保险责任的承担以索赔发生为基础：凡在保险单中列明的保险期间或追溯期内，被保险人在从事与其资格相符的诊疗活动中造成患者损害，患者或其近亲属</w:t>
      </w:r>
      <w:r>
        <w:rPr>
          <w:rFonts w:hint="eastAsia" w:ascii="宋体" w:hAnsi="宋体"/>
          <w:color w:val="000000" w:themeColor="text1"/>
          <w:szCs w:val="21"/>
          <w14:textFill>
            <w14:solidFill>
              <w14:schemeClr w14:val="tx1"/>
            </w14:solidFill>
          </w14:textFill>
        </w:rPr>
        <w:t>或者其</w:t>
      </w:r>
      <w:r>
        <w:rPr>
          <w:rFonts w:ascii="宋体" w:hAnsi="宋体"/>
          <w:color w:val="000000" w:themeColor="text1"/>
          <w:szCs w:val="21"/>
          <w14:textFill>
            <w14:solidFill>
              <w14:schemeClr w14:val="tx1"/>
            </w14:solidFill>
          </w14:textFill>
        </w:rPr>
        <w:t>代理人</w:t>
      </w:r>
      <w:r>
        <w:rPr>
          <w:rFonts w:hint="eastAsia" w:ascii="宋体" w:hAnsi="宋体"/>
          <w:color w:val="000000" w:themeColor="text1"/>
          <w:szCs w:val="21"/>
          <w14:textFill>
            <w14:solidFill>
              <w14:schemeClr w14:val="tx1"/>
            </w14:solidFill>
          </w14:textFill>
        </w:rPr>
        <w:t>在保险期间内</w:t>
      </w:r>
      <w:r>
        <w:rPr>
          <w:rFonts w:ascii="宋体" w:hAnsi="宋体"/>
          <w:color w:val="000000" w:themeColor="text1"/>
          <w:szCs w:val="21"/>
          <w14:textFill>
            <w14:solidFill>
              <w14:schemeClr w14:val="tx1"/>
            </w14:solidFill>
          </w14:textFill>
        </w:rPr>
        <w:t>首次向被保险人提出损害赔偿请求的时间在保险期间内的，</w:t>
      </w:r>
      <w:r>
        <w:rPr>
          <w:rFonts w:hint="eastAsia" w:ascii="宋体" w:hAnsi="宋体"/>
          <w:color w:val="000000" w:themeColor="text1"/>
          <w:szCs w:val="21"/>
          <w14:textFill>
            <w14:solidFill>
              <w14:schemeClr w14:val="tx1"/>
            </w14:solidFill>
          </w14:textFill>
        </w:rPr>
        <w:t>对于被保险人因此依法承担的责任，保险人根据本保险合同的约定负责赔偿</w:t>
      </w:r>
      <w:r>
        <w:rPr>
          <w:rFonts w:ascii="宋体" w:hAnsi="宋体"/>
          <w:color w:val="000000" w:themeColor="text1"/>
          <w:szCs w:val="21"/>
          <w14:textFill>
            <w14:solidFill>
              <w14:schemeClr w14:val="tx1"/>
            </w14:solidFill>
          </w14:textFill>
        </w:rPr>
        <w:t>。即</w:t>
      </w:r>
      <w:r>
        <w:rPr>
          <w:rFonts w:ascii="宋体" w:hAnsi="宋体"/>
          <w:b/>
          <w:color w:val="000000" w:themeColor="text1"/>
          <w:szCs w:val="21"/>
          <w14:textFill>
            <w14:solidFill>
              <w14:schemeClr w14:val="tx1"/>
            </w14:solidFill>
          </w14:textFill>
        </w:rPr>
        <w:t>保险人承担保险责任的前提条件是必须同时满足：</w:t>
      </w:r>
    </w:p>
    <w:p w14:paraId="043DACF6">
      <w:pPr>
        <w:adjustRightInd w:val="0"/>
        <w:snapToGrid w:val="0"/>
        <w:spacing w:after="156" w:afterLines="50"/>
        <w:ind w:firstLine="422" w:firstLineChars="200"/>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1. 患者接受诊疗活动导致人身损害的时间必须在保险期间或追溯期内；</w:t>
      </w:r>
      <w:r>
        <w:rPr>
          <w:rFonts w:hint="eastAsia" w:ascii="宋体" w:hAnsi="宋体"/>
          <w:b/>
          <w:color w:val="000000" w:themeColor="text1"/>
          <w:szCs w:val="21"/>
          <w14:textFill>
            <w14:solidFill>
              <w14:schemeClr w14:val="tx1"/>
            </w14:solidFill>
          </w14:textFill>
        </w:rPr>
        <w:t>且</w:t>
      </w:r>
    </w:p>
    <w:p w14:paraId="1CDC0CAC">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2. 患者或</w:t>
      </w:r>
      <w:r>
        <w:rPr>
          <w:rFonts w:hint="eastAsia" w:ascii="宋体" w:hAnsi="宋体"/>
          <w:b/>
          <w:color w:val="000000" w:themeColor="text1"/>
          <w:szCs w:val="21"/>
          <w14:textFill>
            <w14:solidFill>
              <w14:schemeClr w14:val="tx1"/>
            </w14:solidFill>
          </w14:textFill>
        </w:rPr>
        <w:t>者</w:t>
      </w:r>
      <w:r>
        <w:rPr>
          <w:rFonts w:ascii="宋体" w:hAnsi="宋体"/>
          <w:b/>
          <w:color w:val="000000" w:themeColor="text1"/>
          <w:szCs w:val="21"/>
          <w14:textFill>
            <w14:solidFill>
              <w14:schemeClr w14:val="tx1"/>
            </w14:solidFill>
          </w14:textFill>
        </w:rPr>
        <w:t>其近亲属</w:t>
      </w:r>
      <w:r>
        <w:rPr>
          <w:rFonts w:hint="eastAsia" w:ascii="宋体" w:hAnsi="宋体"/>
          <w:b/>
          <w:color w:val="000000" w:themeColor="text1"/>
          <w:szCs w:val="21"/>
          <w14:textFill>
            <w14:solidFill>
              <w14:schemeClr w14:val="tx1"/>
            </w14:solidFill>
          </w14:textFill>
        </w:rPr>
        <w:t>或者其</w:t>
      </w:r>
      <w:r>
        <w:rPr>
          <w:rFonts w:ascii="宋体" w:hAnsi="宋体"/>
          <w:b/>
          <w:color w:val="000000" w:themeColor="text1"/>
          <w:szCs w:val="21"/>
          <w14:textFill>
            <w14:solidFill>
              <w14:schemeClr w14:val="tx1"/>
            </w14:solidFill>
          </w14:textFill>
        </w:rPr>
        <w:t>代理人因上述人身损害首次向被保险人提出损害赔偿请求的时间必须在保险期间内。</w:t>
      </w:r>
      <w:r>
        <w:rPr>
          <w:rFonts w:hint="eastAsia" w:ascii="宋体" w:hAnsi="宋体"/>
          <w:b/>
          <w:bCs/>
          <w:color w:val="000000" w:themeColor="text1"/>
          <w:szCs w:val="21"/>
          <w14:textFill>
            <w14:solidFill>
              <w14:schemeClr w14:val="tx1"/>
            </w14:solidFill>
          </w14:textFill>
        </w:rPr>
        <w:t>本保险合同</w:t>
      </w:r>
      <w:r>
        <w:rPr>
          <w:rFonts w:ascii="宋体" w:hAnsi="宋体"/>
          <w:b/>
          <w:bCs/>
          <w:color w:val="000000" w:themeColor="text1"/>
          <w:szCs w:val="21"/>
          <w14:textFill>
            <w14:solidFill>
              <w14:schemeClr w14:val="tx1"/>
            </w14:solidFill>
          </w14:textFill>
        </w:rPr>
        <w:t>生效之日前患者或</w:t>
      </w:r>
      <w:r>
        <w:rPr>
          <w:rFonts w:hint="eastAsia" w:ascii="宋体" w:hAnsi="宋体"/>
          <w:b/>
          <w:bCs/>
          <w:color w:val="000000" w:themeColor="text1"/>
          <w:szCs w:val="21"/>
          <w14:textFill>
            <w14:solidFill>
              <w14:schemeClr w14:val="tx1"/>
            </w14:solidFill>
          </w14:textFill>
        </w:rPr>
        <w:t>者</w:t>
      </w:r>
      <w:r>
        <w:rPr>
          <w:rFonts w:ascii="宋体" w:hAnsi="宋体"/>
          <w:b/>
          <w:bCs/>
          <w:color w:val="000000" w:themeColor="text1"/>
          <w:szCs w:val="21"/>
          <w14:textFill>
            <w14:solidFill>
              <w14:schemeClr w14:val="tx1"/>
            </w14:solidFill>
          </w14:textFill>
        </w:rPr>
        <w:t>其近亲属</w:t>
      </w:r>
      <w:r>
        <w:rPr>
          <w:rFonts w:hint="eastAsia" w:ascii="宋体" w:hAnsi="宋体"/>
          <w:b/>
          <w:bCs/>
          <w:color w:val="000000" w:themeColor="text1"/>
          <w:szCs w:val="21"/>
          <w14:textFill>
            <w14:solidFill>
              <w14:schemeClr w14:val="tx1"/>
            </w14:solidFill>
          </w14:textFill>
        </w:rPr>
        <w:t>或者其</w:t>
      </w:r>
      <w:r>
        <w:rPr>
          <w:rFonts w:ascii="宋体" w:hAnsi="宋体"/>
          <w:b/>
          <w:bCs/>
          <w:color w:val="000000" w:themeColor="text1"/>
          <w:szCs w:val="21"/>
          <w14:textFill>
            <w14:solidFill>
              <w14:schemeClr w14:val="tx1"/>
            </w14:solidFill>
          </w14:textFill>
        </w:rPr>
        <w:t>代理人已经对同一事由提出过索赔请求（无论之前已提出的索赔请求是否采用书面形式或再次提出索赔请求的索赔金额或事故原因等情况是否与已提出的索赔请求一致）的，保险人不负责赔偿。</w:t>
      </w:r>
    </w:p>
    <w:p w14:paraId="3B64D2D8">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五</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发生保险责任范围内的损失，保险人按以下方式计算赔偿：</w:t>
      </w:r>
    </w:p>
    <w:p w14:paraId="36FB5CE7">
      <w:pPr>
        <w:adjustRightInd w:val="0"/>
        <w:snapToGrid w:val="0"/>
        <w:spacing w:after="156" w:afterLines="50"/>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（一）发生</w:t>
      </w:r>
      <w:r>
        <w:rPr>
          <w:rFonts w:hint="eastAsia" w:ascii="宋体" w:hAnsi="宋体"/>
          <w:color w:val="000000" w:themeColor="text1"/>
          <w:szCs w:val="21"/>
          <w14:textFill>
            <w14:solidFill>
              <w14:schemeClr w14:val="tx1"/>
            </w14:solidFill>
          </w14:textFill>
        </w:rPr>
        <w:t>本</w:t>
      </w:r>
      <w:r>
        <w:rPr>
          <w:rFonts w:ascii="宋体" w:hAnsi="宋体"/>
          <w:color w:val="000000" w:themeColor="text1"/>
          <w:szCs w:val="21"/>
          <w14:textFill>
            <w14:solidFill>
              <w14:schemeClr w14:val="tx1"/>
            </w14:solidFill>
          </w14:textFill>
        </w:rPr>
        <w:t>保险条款第三条的保险事故，</w:t>
      </w:r>
      <w:r>
        <w:rPr>
          <w:rFonts w:ascii="宋体" w:hAnsi="宋体"/>
          <w:b/>
          <w:color w:val="000000" w:themeColor="text1"/>
          <w:szCs w:val="21"/>
          <w14:textFill>
            <w14:solidFill>
              <w14:schemeClr w14:val="tx1"/>
            </w14:solidFill>
          </w14:textFill>
        </w:rPr>
        <w:t>保险人在每次事故赔偿限额内计算赔偿；</w:t>
      </w:r>
    </w:p>
    <w:p w14:paraId="7AE308C2">
      <w:pPr>
        <w:adjustRightInd w:val="0"/>
        <w:snapToGrid w:val="0"/>
        <w:spacing w:after="156" w:afterLines="50"/>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二</w:t>
      </w:r>
      <w:r>
        <w:rPr>
          <w:rFonts w:ascii="宋体" w:hAnsi="宋体"/>
          <w:color w:val="000000" w:themeColor="text1"/>
          <w:szCs w:val="21"/>
          <w14:textFill>
            <w14:solidFill>
              <w14:schemeClr w14:val="tx1"/>
            </w14:solidFill>
          </w14:textFill>
        </w:rPr>
        <w:t>）在保险期间内，</w:t>
      </w:r>
      <w:r>
        <w:rPr>
          <w:rFonts w:ascii="宋体" w:hAnsi="宋体"/>
          <w:b/>
          <w:color w:val="000000" w:themeColor="text1"/>
          <w:szCs w:val="21"/>
          <w14:textFill>
            <w14:solidFill>
              <w14:schemeClr w14:val="tx1"/>
            </w14:solidFill>
          </w14:textFill>
        </w:rPr>
        <w:t>保险人对多次事故损失的累计赔偿金额不超过累计赔偿限额。</w:t>
      </w:r>
    </w:p>
    <w:p w14:paraId="3B5E7C10">
      <w:pPr>
        <w:adjustRightInd w:val="0"/>
        <w:snapToGrid w:val="0"/>
        <w:spacing w:after="156" w:afterLines="50"/>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三</w:t>
      </w:r>
      <w:r>
        <w:rPr>
          <w:rFonts w:ascii="宋体" w:hAnsi="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发生保险条款第四条的赔偿情形，</w:t>
      </w:r>
      <w:r>
        <w:rPr>
          <w:rFonts w:ascii="宋体" w:hAnsi="宋体"/>
          <w:color w:val="000000" w:themeColor="text1"/>
          <w:szCs w:val="21"/>
          <w14:textFill>
            <w14:solidFill>
              <w14:schemeClr w14:val="tx1"/>
            </w14:solidFill>
          </w14:textFill>
        </w:rPr>
        <w:t>对于应由被保险人支付的仲裁或诉讼费用以及经保险人同意支付的其他法律费用，保险人在</w:t>
      </w:r>
      <w:r>
        <w:rPr>
          <w:rFonts w:hint="eastAsia" w:ascii="宋体" w:hAnsi="宋体" w:cs="宋体"/>
          <w:color w:val="000000" w:themeColor="text1"/>
          <w:szCs w:val="21"/>
          <w14:textFill>
            <w14:solidFill>
              <w14:schemeClr w14:val="tx1"/>
            </w14:solidFill>
          </w14:textFill>
        </w:rPr>
        <w:t>每次事故赔偿限额</w:t>
      </w:r>
      <w:r>
        <w:rPr>
          <w:rFonts w:ascii="宋体" w:hAnsi="宋体"/>
          <w:color w:val="000000" w:themeColor="text1"/>
          <w:szCs w:val="21"/>
          <w14:textFill>
            <w14:solidFill>
              <w14:schemeClr w14:val="tx1"/>
            </w14:solidFill>
          </w14:textFill>
        </w:rPr>
        <w:t>以外另行计算，</w:t>
      </w:r>
      <w:r>
        <w:rPr>
          <w:rFonts w:ascii="宋体" w:hAnsi="宋体"/>
          <w:b/>
          <w:color w:val="000000" w:themeColor="text1"/>
          <w:szCs w:val="21"/>
          <w14:textFill>
            <w14:solidFill>
              <w14:schemeClr w14:val="tx1"/>
            </w14:solidFill>
          </w14:textFill>
        </w:rPr>
        <w:t>但赔偿限额不超过保险合同约定的法律费用每次事故赔偿限额及法律费用累计赔偿限额。</w:t>
      </w:r>
    </w:p>
    <w:p w14:paraId="07E7510D">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四</w:t>
      </w:r>
      <w:r>
        <w:rPr>
          <w:rFonts w:ascii="宋体" w:hAnsi="宋体"/>
          <w:color w:val="000000" w:themeColor="text1"/>
          <w:szCs w:val="21"/>
          <w14:textFill>
            <w14:solidFill>
              <w14:schemeClr w14:val="tx1"/>
            </w14:solidFill>
          </w14:textFill>
        </w:rPr>
        <w:t>）</w:t>
      </w:r>
      <w:r>
        <w:rPr>
          <w:rFonts w:ascii="宋体" w:hAnsi="宋体"/>
          <w:b/>
          <w:color w:val="000000" w:themeColor="text1"/>
          <w:szCs w:val="21"/>
          <w14:textFill>
            <w14:solidFill>
              <w14:schemeClr w14:val="tx1"/>
            </w14:solidFill>
          </w14:textFill>
        </w:rPr>
        <w:t>在任何情况下，保险人实际赔偿金额都不应超过本保险合同中所约定的各项赔偿限额</w:t>
      </w:r>
      <w:r>
        <w:rPr>
          <w:rFonts w:ascii="宋体" w:hAnsi="宋体"/>
          <w:color w:val="000000" w:themeColor="text1"/>
          <w:szCs w:val="21"/>
          <w14:textFill>
            <w14:solidFill>
              <w14:schemeClr w14:val="tx1"/>
            </w14:solidFill>
          </w14:textFill>
        </w:rPr>
        <w:t>。</w:t>
      </w:r>
    </w:p>
    <w:p w14:paraId="13B42CC1">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六</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本保险条款第三条所指经济赔偿责任参照</w:t>
      </w:r>
      <w:r>
        <w:rPr>
          <w:rFonts w:hint="eastAsia" w:ascii="宋体" w:hAnsi="宋体" w:cs="宋体"/>
          <w:color w:val="000000" w:themeColor="text1"/>
          <w:szCs w:val="21"/>
          <w14:textFill>
            <w14:solidFill>
              <w14:schemeClr w14:val="tx1"/>
            </w14:solidFill>
          </w14:textFill>
        </w:rPr>
        <w:t>《中国人民共和国民法典》</w:t>
      </w:r>
      <w:r>
        <w:rPr>
          <w:rFonts w:ascii="宋体" w:hAnsi="宋体"/>
          <w:color w:val="000000" w:themeColor="text1"/>
          <w:szCs w:val="21"/>
          <w14:textFill>
            <w14:solidFill>
              <w14:schemeClr w14:val="tx1"/>
            </w14:solidFill>
          </w14:textFill>
        </w:rPr>
        <w:t>、《最高人民法院关于审理人身损害赔偿案件适用法律若干问题的解释》规定计算，具体赔偿项目包括：</w:t>
      </w:r>
    </w:p>
    <w:p w14:paraId="77B2C28C">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（一）患者因就医治疗支出的各项费用以及因误工减少的收入，包括医疗费、误工费、护理费、交通费、住宿费、住院伙食补助费、必要的营养费；</w:t>
      </w:r>
    </w:p>
    <w:p w14:paraId="4180E2D1">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二）患者因伤致残的，其因增加生活上需要所支出的必要费用以及因丧失劳动能力导致的收入损失，包括残疾赔偿金、残疾辅助器具费、被扶养人生活费，以及因康复护理、继续治疗实际发生的必要的康复费、护理费、后续治疗费；</w:t>
      </w:r>
      <w:r>
        <w:rPr>
          <w:rFonts w:hint="eastAsia" w:ascii="宋体" w:hAnsi="宋体" w:cs="宋体"/>
          <w:color w:val="000000" w:themeColor="text1"/>
          <w:szCs w:val="21"/>
          <w:shd w:val="clear" w:color="050000" w:fill="auto"/>
          <w14:textFill>
            <w14:solidFill>
              <w14:schemeClr w14:val="tx1"/>
            </w14:solidFill>
          </w14:textFill>
        </w:rPr>
        <w:t>残疾等级按照</w:t>
      </w:r>
      <w:r>
        <w:rPr>
          <w:rFonts w:hint="eastAsia" w:ascii="宋体" w:hAnsi="宋体" w:cs="宋体"/>
          <w:color w:val="000000" w:themeColor="text1"/>
          <w:szCs w:val="21"/>
          <w14:textFill>
            <w14:solidFill>
              <w14:schemeClr w14:val="tx1"/>
            </w14:solidFill>
          </w14:textFill>
        </w:rPr>
        <w:t>《人体损伤致残程度分级》</w:t>
      </w:r>
      <w:r>
        <w:rPr>
          <w:rFonts w:hint="eastAsia" w:ascii="宋体" w:hAnsi="宋体" w:cs="宋体"/>
          <w:color w:val="000000" w:themeColor="text1"/>
          <w:kern w:val="0"/>
          <w:szCs w:val="21"/>
          <w14:textFill>
            <w14:solidFill>
              <w14:schemeClr w14:val="tx1"/>
            </w14:solidFill>
          </w14:textFill>
        </w:rPr>
        <w:t>（最高人民法院、最高人民检察院、公安部、国家安全部、司法部2016年4月18日发布，司法部实施通知文号为司发通〔2016〕48号）</w:t>
      </w:r>
      <w:r>
        <w:rPr>
          <w:rFonts w:hint="eastAsia" w:ascii="宋体" w:hAnsi="宋体" w:cs="宋体"/>
          <w:color w:val="000000" w:themeColor="text1"/>
          <w:szCs w:val="21"/>
          <w14:textFill>
            <w14:solidFill>
              <w14:schemeClr w14:val="tx1"/>
            </w14:solidFill>
          </w14:textFill>
        </w:rPr>
        <w:t>确定，如有国家有关部门发布的新标准替代或修改前述《人体损伤致残程度分级》的，按新标准执行；</w:t>
      </w:r>
    </w:p>
    <w:p w14:paraId="4363D31F">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（三）患者死亡的，除应当根据抢救治疗情况赔偿本条第（一）项规定的相关费用外，还应当赔偿丧葬费、被扶养人生活费、死亡赔偿金以及</w:t>
      </w:r>
      <w:r>
        <w:rPr>
          <w:rFonts w:hint="eastAsia" w:ascii="宋体" w:hAnsi="宋体" w:cs="宋体"/>
          <w:color w:val="000000" w:themeColor="text1"/>
          <w:szCs w:val="21"/>
          <w14:textFill>
            <w14:solidFill>
              <w14:schemeClr w14:val="tx1"/>
            </w14:solidFill>
          </w14:textFill>
        </w:rPr>
        <w:t>患者</w:t>
      </w:r>
      <w:r>
        <w:rPr>
          <w:rFonts w:ascii="宋体" w:hAnsi="宋体"/>
          <w:color w:val="000000" w:themeColor="text1"/>
          <w:szCs w:val="21"/>
          <w14:textFill>
            <w14:solidFill>
              <w14:schemeClr w14:val="tx1"/>
            </w14:solidFill>
          </w14:textFill>
        </w:rPr>
        <w:t>亲属办理丧葬事宜支出的交通费、住宿费和误工损失等其他合理费用；</w:t>
      </w:r>
    </w:p>
    <w:p w14:paraId="56C6192D">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（四）患者或其近亲属遭受精神损害，经仲裁机构或法院判决、或经调解委员会酌情评鉴所需支付的精神损害抚慰金。</w:t>
      </w:r>
    </w:p>
    <w:p w14:paraId="559585FC">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七</w:t>
      </w:r>
      <w:r>
        <w:rPr>
          <w:rFonts w:ascii="宋体" w:hAnsi="宋体"/>
          <w:b/>
          <w:bCs/>
          <w:color w:val="000000" w:themeColor="text1"/>
          <w:szCs w:val="21"/>
          <w14:textFill>
            <w14:solidFill>
              <w14:schemeClr w14:val="tx1"/>
            </w14:solidFill>
          </w14:textFill>
        </w:rPr>
        <w:t xml:space="preserve">条  </w:t>
      </w:r>
      <w:r>
        <w:rPr>
          <w:rFonts w:ascii="宋体" w:hAnsi="宋体"/>
          <w:bCs/>
          <w:color w:val="000000" w:themeColor="text1"/>
          <w:szCs w:val="21"/>
          <w14:textFill>
            <w14:solidFill>
              <w14:schemeClr w14:val="tx1"/>
            </w14:solidFill>
          </w14:textFill>
        </w:rPr>
        <w:t>被保险人给患者造成损害，被保险人对患者应负的赔偿责任经和解、调解、诉讼或仲裁等程序已经确定的，根据被保险人的请求，保险人应当直接向患者赔偿保险金。被保险人怠于请求的，患者有权就其应获赔偿部分直接向保险人请求赔偿保险金。</w:t>
      </w:r>
    </w:p>
    <w:p w14:paraId="2E192F09">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被保险人未向患者赔偿的，保险人不得向被保险人赔偿保险金。</w:t>
      </w:r>
    </w:p>
    <w:p w14:paraId="4667E1EF">
      <w:pPr>
        <w:adjustRightInd w:val="0"/>
        <w:snapToGrid w:val="0"/>
        <w:spacing w:after="156" w:afterLines="50"/>
        <w:ind w:firstLine="422" w:firstLineChars="200"/>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第二十</w:t>
      </w:r>
      <w:r>
        <w:rPr>
          <w:rFonts w:hint="eastAsia" w:ascii="宋体" w:hAnsi="宋体"/>
          <w:b/>
          <w:bCs/>
          <w:color w:val="000000" w:themeColor="text1"/>
          <w:szCs w:val="21"/>
          <w14:textFill>
            <w14:solidFill>
              <w14:schemeClr w14:val="tx1"/>
            </w14:solidFill>
          </w14:textFill>
        </w:rPr>
        <w:t>八</w:t>
      </w:r>
      <w:r>
        <w:rPr>
          <w:rFonts w:ascii="宋体" w:hAnsi="宋体"/>
          <w:b/>
          <w:bCs/>
          <w:color w:val="000000" w:themeColor="text1"/>
          <w:szCs w:val="21"/>
          <w14:textFill>
            <w14:solidFill>
              <w14:schemeClr w14:val="tx1"/>
            </w14:solidFill>
          </w14:textFill>
        </w:rPr>
        <w:t>条  投保人、被保险人应当投保全部医务人员，发生保险事故时，投保医务人员数不足实际医务人员数的，则保险人按照投保医务人员数与实际医务人员数的比例赔偿。</w:t>
      </w:r>
    </w:p>
    <w:p w14:paraId="6BC16331">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w:t>
      </w:r>
      <w:r>
        <w:rPr>
          <w:rFonts w:hint="eastAsia" w:ascii="宋体" w:hAnsi="宋体"/>
          <w:b/>
          <w:bCs/>
          <w:color w:val="000000" w:themeColor="text1"/>
          <w:szCs w:val="21"/>
          <w14:textFill>
            <w14:solidFill>
              <w14:schemeClr w14:val="tx1"/>
            </w14:solidFill>
          </w14:textFill>
        </w:rPr>
        <w:t>二十九</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发生保险事故时，如果被保险人就其损失在有相同保障的其他保险项下也能够获得赔偿，</w:t>
      </w:r>
      <w:r>
        <w:rPr>
          <w:rFonts w:ascii="宋体" w:hAnsi="宋体"/>
          <w:b/>
          <w:color w:val="000000" w:themeColor="text1"/>
          <w:szCs w:val="21"/>
          <w14:textFill>
            <w14:solidFill>
              <w14:schemeClr w14:val="tx1"/>
            </w14:solidFill>
          </w14:textFill>
        </w:rPr>
        <w:t>则本保险人按照本保险合同的相应赔偿限额与其他保险合同及本保险合同的相应赔偿限额总和的比例承担赔偿责任。</w:t>
      </w:r>
    </w:p>
    <w:p w14:paraId="59824D8C">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第三十条  </w:t>
      </w:r>
      <w:r>
        <w:rPr>
          <w:rFonts w:hint="eastAsia" w:ascii="宋体" w:hAnsi="宋体" w:cs="宋体"/>
          <w:color w:val="000000" w:themeColor="text1"/>
          <w:szCs w:val="21"/>
          <w14:textFill>
            <w14:solidFill>
              <w14:schemeClr w14:val="tx1"/>
            </w14:solidFill>
          </w14:textFill>
        </w:rPr>
        <w:t>因药品、消毒产品、医疗器械的缺陷，或者输入不合格的血液造成患者损害，应由药品上市许可持有人、生产者或者销售者、血液提供机构等有关责任方负责赔偿的，</w:t>
      </w:r>
      <w:r>
        <w:rPr>
          <w:rFonts w:ascii="宋体" w:hAnsi="宋体"/>
          <w:color w:val="000000" w:themeColor="text1"/>
          <w:szCs w:val="21"/>
          <w14:textFill>
            <w14:solidFill>
              <w14:schemeClr w14:val="tx1"/>
            </w14:solidFill>
          </w14:textFill>
        </w:rPr>
        <w:t>保险人自向被保险人赔偿保险金之日起，在赔偿金额范围内代位行使被保险人对以上有关责任方请求赔偿的权利，被保险人应当向保险人提供必要的文件和所知道的有关情况。</w:t>
      </w:r>
    </w:p>
    <w:p w14:paraId="33D41BF6">
      <w:pPr>
        <w:adjustRightInd w:val="0"/>
        <w:snapToGrid w:val="0"/>
        <w:spacing w:after="156" w:afterLines="50"/>
        <w:ind w:firstLine="422" w:firstLineChars="200"/>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被保险人已经从有关责任方取得赔偿的，保险人赔偿保险金时，可以相应扣减被保险人已从有关责任方取得的赔偿金额。</w:t>
      </w:r>
    </w:p>
    <w:p w14:paraId="64607C0B">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保险事故发生后，在保险人未赔偿保险金之前，被保险人放弃对有关责任方请求赔偿权利的，保险人不承担赔偿责任；</w:t>
      </w:r>
      <w:r>
        <w:rPr>
          <w:rFonts w:ascii="宋体" w:hAnsi="宋体"/>
          <w:b/>
          <w:color w:val="000000" w:themeColor="text1"/>
          <w:szCs w:val="21"/>
          <w14:textFill>
            <w14:solidFill>
              <w14:schemeClr w14:val="tx1"/>
            </w14:solidFill>
          </w14:textFill>
        </w:rPr>
        <w:t>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p>
    <w:p w14:paraId="2CA8BC2C">
      <w:pPr>
        <w:adjustRightInd w:val="0"/>
        <w:snapToGrid w:val="0"/>
        <w:spacing w:after="156" w:afterLines="50"/>
        <w:ind w:firstLine="422" w:firstLineChars="200"/>
        <w:rPr>
          <w:rFonts w:ascii="宋体" w:hAnsi="宋体"/>
          <w:b/>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第三十</w:t>
      </w:r>
      <w:r>
        <w:rPr>
          <w:rFonts w:hint="eastAsia" w:ascii="宋体" w:hAnsi="宋体"/>
          <w:b/>
          <w:bCs/>
          <w:color w:val="000000" w:themeColor="text1"/>
          <w:szCs w:val="21"/>
          <w14:textFill>
            <w14:solidFill>
              <w14:schemeClr w14:val="tx1"/>
            </w14:solidFill>
          </w14:textFill>
        </w:rPr>
        <w:t>一</w:t>
      </w:r>
      <w:r>
        <w:rPr>
          <w:rFonts w:ascii="宋体" w:hAnsi="宋体"/>
          <w:b/>
          <w:bCs/>
          <w:color w:val="000000" w:themeColor="text1"/>
          <w:szCs w:val="21"/>
          <w14:textFill>
            <w14:solidFill>
              <w14:schemeClr w14:val="tx1"/>
            </w14:solidFill>
          </w14:textFill>
        </w:rPr>
        <w:t xml:space="preserve">条  </w:t>
      </w:r>
      <w:r>
        <w:rPr>
          <w:rFonts w:ascii="宋体" w:hAnsi="宋体"/>
          <w:b/>
          <w:color w:val="000000" w:themeColor="text1"/>
          <w:szCs w:val="21"/>
          <w14:textFill>
            <w14:solidFill>
              <w14:schemeClr w14:val="tx1"/>
            </w14:solidFill>
          </w14:textFill>
        </w:rPr>
        <w:t>在调解委员会主持下医患双方达成人民调解协议，或医患双方达成自行和解协议，保险人依此人民调解协议或自行和解协议及其他相关文件做出理赔决定并支付赔款后，不再接受医、患双方纠纷当事人就</w:t>
      </w:r>
      <w:r>
        <w:rPr>
          <w:rFonts w:hint="eastAsia" w:ascii="宋体" w:hAnsi="宋体"/>
          <w:b/>
          <w:color w:val="000000" w:themeColor="text1"/>
          <w:szCs w:val="21"/>
          <w14:textFill>
            <w14:solidFill>
              <w14:schemeClr w14:val="tx1"/>
            </w14:solidFill>
          </w14:textFill>
        </w:rPr>
        <w:t>该</w:t>
      </w:r>
      <w:r>
        <w:rPr>
          <w:rFonts w:ascii="宋体" w:hAnsi="宋体"/>
          <w:b/>
          <w:color w:val="000000" w:themeColor="text1"/>
          <w:szCs w:val="21"/>
          <w14:textFill>
            <w14:solidFill>
              <w14:schemeClr w14:val="tx1"/>
            </w14:solidFill>
          </w14:textFill>
        </w:rPr>
        <w:t>案已处理医疗损害事实的其他赔付责任，除非经司法诉讼或仲裁程序确定，但保险人就</w:t>
      </w:r>
      <w:r>
        <w:rPr>
          <w:rFonts w:hint="eastAsia" w:ascii="宋体" w:hAnsi="宋体"/>
          <w:b/>
          <w:color w:val="000000" w:themeColor="text1"/>
          <w:szCs w:val="21"/>
          <w14:textFill>
            <w14:solidFill>
              <w14:schemeClr w14:val="tx1"/>
            </w14:solidFill>
          </w14:textFill>
        </w:rPr>
        <w:t>该</w:t>
      </w:r>
      <w:r>
        <w:rPr>
          <w:rFonts w:ascii="宋体" w:hAnsi="宋体"/>
          <w:b/>
          <w:color w:val="000000" w:themeColor="text1"/>
          <w:szCs w:val="21"/>
          <w14:textFill>
            <w14:solidFill>
              <w14:schemeClr w14:val="tx1"/>
            </w14:solidFill>
          </w14:textFill>
        </w:rPr>
        <w:t>案的保险赔付总额仍以</w:t>
      </w:r>
      <w:r>
        <w:rPr>
          <w:rFonts w:hint="eastAsia" w:ascii="宋体" w:hAnsi="宋体"/>
          <w:b/>
          <w:color w:val="000000" w:themeColor="text1"/>
          <w:szCs w:val="21"/>
          <w14:textFill>
            <w14:solidFill>
              <w14:schemeClr w14:val="tx1"/>
            </w14:solidFill>
          </w14:textFill>
        </w:rPr>
        <w:t>本</w:t>
      </w:r>
      <w:r>
        <w:rPr>
          <w:rFonts w:ascii="宋体" w:hAnsi="宋体"/>
          <w:b/>
          <w:color w:val="000000" w:themeColor="text1"/>
          <w:szCs w:val="21"/>
          <w14:textFill>
            <w14:solidFill>
              <w14:schemeClr w14:val="tx1"/>
            </w14:solidFill>
          </w14:textFill>
        </w:rPr>
        <w:t>保险合同约定的最高赔偿限额为限。</w:t>
      </w:r>
    </w:p>
    <w:p w14:paraId="27D42E09">
      <w:pPr>
        <w:adjustRightInd w:val="0"/>
        <w:snapToGrid w:val="0"/>
        <w:spacing w:after="156" w:afterLines="50"/>
        <w:jc w:val="center"/>
        <w:rPr>
          <w:rFonts w:ascii="宋体" w:hAnsi="宋体"/>
          <w:b/>
          <w:bCs/>
          <w:color w:val="000000" w:themeColor="text1"/>
          <w:sz w:val="13"/>
          <w:szCs w:val="13"/>
          <w14:textFill>
            <w14:solidFill>
              <w14:schemeClr w14:val="tx1"/>
            </w14:solidFill>
          </w14:textFill>
        </w:rPr>
      </w:pPr>
    </w:p>
    <w:p w14:paraId="770C88D4">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争议处理和法律适用</w:t>
      </w:r>
    </w:p>
    <w:p w14:paraId="311F441F">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第三十</w:t>
      </w:r>
      <w:r>
        <w:rPr>
          <w:rFonts w:hint="eastAsia" w:ascii="宋体" w:hAnsi="宋体"/>
          <w:b/>
          <w:bCs/>
          <w:color w:val="000000" w:themeColor="text1"/>
          <w:szCs w:val="21"/>
          <w14:textFill>
            <w14:solidFill>
              <w14:schemeClr w14:val="tx1"/>
            </w14:solidFill>
          </w14:textFill>
        </w:rPr>
        <w:t>二</w:t>
      </w:r>
      <w:r>
        <w:rPr>
          <w:rFonts w:ascii="宋体" w:hAnsi="宋体"/>
          <w:b/>
          <w:bCs/>
          <w:color w:val="000000" w:themeColor="text1"/>
          <w:szCs w:val="21"/>
          <w14:textFill>
            <w14:solidFill>
              <w14:schemeClr w14:val="tx1"/>
            </w14:solidFill>
          </w14:textFill>
        </w:rPr>
        <w:t xml:space="preserve">条  </w:t>
      </w:r>
      <w:r>
        <w:rPr>
          <w:rFonts w:ascii="宋体" w:hAnsi="宋体"/>
          <w:color w:val="000000" w:themeColor="text1"/>
          <w:szCs w:val="21"/>
          <w14:textFill>
            <w14:solidFill>
              <w14:schemeClr w14:val="tx1"/>
            </w14:solidFill>
          </w14:textFill>
        </w:rPr>
        <w:t>因履行本保险合同发生的争议，由当事人调解、协商解决。协商不成的，提交本保险合同约定的仲裁机构仲裁；</w:t>
      </w:r>
      <w:r>
        <w:rPr>
          <w:rFonts w:hint="eastAsia" w:ascii="宋体" w:hAnsi="宋体"/>
          <w:color w:val="000000" w:themeColor="text1"/>
          <w:szCs w:val="21"/>
          <w14:textFill>
            <w14:solidFill>
              <w14:schemeClr w14:val="tx1"/>
            </w14:solidFill>
          </w14:textFill>
        </w:rPr>
        <w:t>本</w:t>
      </w:r>
      <w:r>
        <w:rPr>
          <w:rFonts w:ascii="宋体" w:hAnsi="宋体"/>
          <w:color w:val="000000" w:themeColor="text1"/>
          <w:szCs w:val="21"/>
          <w14:textFill>
            <w14:solidFill>
              <w14:schemeClr w14:val="tx1"/>
            </w14:solidFill>
          </w14:textFill>
        </w:rPr>
        <w:t>保险合同中未载明仲裁机构且争议发生后未达成仲裁协议的，当事人可依法向中华人民共和国境内（港澳台地区除外）人民法院起诉。</w:t>
      </w:r>
    </w:p>
    <w:p w14:paraId="484714D0">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第三十</w:t>
      </w:r>
      <w:r>
        <w:rPr>
          <w:rFonts w:hint="eastAsia" w:ascii="宋体" w:hAnsi="宋体"/>
          <w:b/>
          <w:bCs/>
          <w:color w:val="000000" w:themeColor="text1"/>
          <w:szCs w:val="21"/>
          <w14:textFill>
            <w14:solidFill>
              <w14:schemeClr w14:val="tx1"/>
            </w14:solidFill>
          </w14:textFill>
        </w:rPr>
        <w:t>三</w:t>
      </w:r>
      <w:r>
        <w:rPr>
          <w:rFonts w:ascii="宋体" w:hAnsi="宋体"/>
          <w:b/>
          <w:bCs/>
          <w:color w:val="000000" w:themeColor="text1"/>
          <w:szCs w:val="21"/>
          <w14:textFill>
            <w14:solidFill>
              <w14:schemeClr w14:val="tx1"/>
            </w14:solidFill>
          </w14:textFill>
        </w:rPr>
        <w:t>条</w:t>
      </w:r>
      <w:r>
        <w:rPr>
          <w:rFonts w:ascii="宋体" w:hAnsi="宋体"/>
          <w:color w:val="000000" w:themeColor="text1"/>
          <w:szCs w:val="21"/>
          <w14:textFill>
            <w14:solidFill>
              <w14:schemeClr w14:val="tx1"/>
            </w14:solidFill>
          </w14:textFill>
        </w:rPr>
        <w:t xml:space="preserve">  本保险合同的争议处理适用中华人民共和国法律（不包括香港、澳门、及台湾地区法律）。</w:t>
      </w:r>
    </w:p>
    <w:p w14:paraId="0A0E790A">
      <w:pPr>
        <w:adjustRightInd w:val="0"/>
        <w:snapToGrid w:val="0"/>
        <w:spacing w:after="156" w:afterLines="50"/>
        <w:jc w:val="center"/>
        <w:rPr>
          <w:rFonts w:ascii="宋体" w:hAnsi="宋体"/>
          <w:b/>
          <w:bCs/>
          <w:color w:val="000000" w:themeColor="text1"/>
          <w:sz w:val="11"/>
          <w:szCs w:val="11"/>
          <w14:textFill>
            <w14:solidFill>
              <w14:schemeClr w14:val="tx1"/>
            </w14:solidFill>
          </w14:textFill>
        </w:rPr>
      </w:pPr>
    </w:p>
    <w:p w14:paraId="5B94B1B4">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其他事项</w:t>
      </w:r>
    </w:p>
    <w:p w14:paraId="7946C8EA">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第三十</w:t>
      </w:r>
      <w:r>
        <w:rPr>
          <w:rFonts w:hint="eastAsia" w:ascii="宋体" w:hAnsi="宋体"/>
          <w:b/>
          <w:bCs/>
          <w:color w:val="000000" w:themeColor="text1"/>
          <w:szCs w:val="21"/>
          <w14:textFill>
            <w14:solidFill>
              <w14:schemeClr w14:val="tx1"/>
            </w14:solidFill>
          </w14:textFill>
        </w:rPr>
        <w:t>四</w:t>
      </w:r>
      <w:r>
        <w:rPr>
          <w:rFonts w:ascii="宋体" w:hAnsi="宋体"/>
          <w:b/>
          <w:bCs/>
          <w:color w:val="000000" w:themeColor="text1"/>
          <w:szCs w:val="21"/>
          <w14:textFill>
            <w14:solidFill>
              <w14:schemeClr w14:val="tx1"/>
            </w14:solidFill>
          </w14:textFill>
        </w:rPr>
        <w:t>条</w:t>
      </w:r>
      <w:r>
        <w:rPr>
          <w:rFonts w:ascii="宋体" w:hAnsi="宋体"/>
          <w:color w:val="000000" w:themeColor="text1"/>
          <w:szCs w:val="21"/>
          <w14:textFill>
            <w14:solidFill>
              <w14:schemeClr w14:val="tx1"/>
            </w14:solidFill>
          </w14:textFill>
        </w:rPr>
        <w:t xml:space="preserve">  除法律另有规定或者</w:t>
      </w:r>
      <w:r>
        <w:rPr>
          <w:rFonts w:hint="eastAsia" w:ascii="宋体" w:hAnsi="宋体"/>
          <w:color w:val="000000" w:themeColor="text1"/>
          <w:szCs w:val="21"/>
          <w14:textFill>
            <w14:solidFill>
              <w14:schemeClr w14:val="tx1"/>
            </w14:solidFill>
          </w14:textFill>
        </w:rPr>
        <w:t>本</w:t>
      </w:r>
      <w:r>
        <w:rPr>
          <w:rFonts w:ascii="宋体" w:hAnsi="宋体"/>
          <w:color w:val="000000" w:themeColor="text1"/>
          <w:szCs w:val="21"/>
          <w14:textFill>
            <w14:solidFill>
              <w14:schemeClr w14:val="tx1"/>
            </w14:solidFill>
          </w14:textFill>
        </w:rPr>
        <w:t>保险合同另有约定外，保险合同成立后，保险人不得解除合同。</w:t>
      </w:r>
    </w:p>
    <w:p w14:paraId="56925024">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第三十</w:t>
      </w:r>
      <w:r>
        <w:rPr>
          <w:rFonts w:hint="eastAsia" w:ascii="宋体" w:hAnsi="宋体"/>
          <w:b/>
          <w:bCs/>
          <w:color w:val="000000" w:themeColor="text1"/>
          <w:szCs w:val="21"/>
          <w14:textFill>
            <w14:solidFill>
              <w14:schemeClr w14:val="tx1"/>
            </w14:solidFill>
          </w14:textFill>
        </w:rPr>
        <w:t>五</w:t>
      </w:r>
      <w:r>
        <w:rPr>
          <w:rFonts w:ascii="宋体" w:hAnsi="宋体"/>
          <w:b/>
          <w:bCs/>
          <w:color w:val="000000" w:themeColor="text1"/>
          <w:szCs w:val="21"/>
          <w14:textFill>
            <w14:solidFill>
              <w14:schemeClr w14:val="tx1"/>
            </w14:solidFill>
          </w14:textFill>
        </w:rPr>
        <w:t>条</w:t>
      </w:r>
      <w:r>
        <w:rPr>
          <w:rFonts w:ascii="宋体" w:hAnsi="宋体"/>
          <w:color w:val="000000" w:themeColor="text1"/>
          <w:szCs w:val="21"/>
          <w14:textFill>
            <w14:solidFill>
              <w14:schemeClr w14:val="tx1"/>
            </w14:solidFill>
          </w14:textFill>
        </w:rPr>
        <w:t xml:space="preserve">  本保险合同成立后，投保人可随时书面通知保险人解除本保险合同。保险责任开始前，投保人要求解除本保险合同的，应当向保险人支付相当于</w:t>
      </w:r>
      <w:r>
        <w:rPr>
          <w:rFonts w:ascii="宋体" w:hAnsi="宋体"/>
          <w:b/>
          <w:color w:val="000000" w:themeColor="text1"/>
          <w:szCs w:val="21"/>
          <w14:textFill>
            <w14:solidFill>
              <w14:schemeClr w14:val="tx1"/>
            </w14:solidFill>
          </w14:textFill>
        </w:rPr>
        <w:t>保险费的2%的费用作为退保手续费</w:t>
      </w:r>
      <w:r>
        <w:rPr>
          <w:rFonts w:ascii="宋体" w:hAnsi="宋体"/>
          <w:color w:val="000000" w:themeColor="text1"/>
          <w:szCs w:val="21"/>
          <w14:textFill>
            <w14:solidFill>
              <w14:schemeClr w14:val="tx1"/>
            </w14:solidFill>
          </w14:textFill>
        </w:rPr>
        <w:t>，保险人应当退还</w:t>
      </w:r>
      <w:r>
        <w:rPr>
          <w:rFonts w:hint="eastAsia" w:ascii="宋体" w:hAnsi="宋体" w:cs="宋体"/>
          <w:color w:val="000000" w:themeColor="text1"/>
          <w:szCs w:val="21"/>
          <w14:textFill>
            <w14:solidFill>
              <w14:schemeClr w14:val="tx1"/>
            </w14:solidFill>
          </w14:textFill>
        </w:rPr>
        <w:t>剩余</w:t>
      </w:r>
      <w:r>
        <w:rPr>
          <w:rFonts w:ascii="宋体" w:hAnsi="宋体"/>
          <w:color w:val="000000" w:themeColor="text1"/>
          <w:szCs w:val="21"/>
          <w14:textFill>
            <w14:solidFill>
              <w14:schemeClr w14:val="tx1"/>
            </w14:solidFill>
          </w14:textFill>
        </w:rPr>
        <w:t>保险费；当符合本保险合同</w:t>
      </w:r>
      <w:r>
        <w:rPr>
          <w:rFonts w:hint="eastAsia" w:ascii="宋体" w:hAnsi="宋体" w:cs="宋体"/>
          <w:b/>
          <w:bCs/>
          <w:color w:val="000000" w:themeColor="text1"/>
          <w:szCs w:val="21"/>
          <w14:textFill>
            <w14:solidFill>
              <w14:schemeClr w14:val="tx1"/>
            </w14:solidFill>
          </w14:textFill>
        </w:rPr>
        <w:t>第十六、十八条</w:t>
      </w:r>
      <w:r>
        <w:rPr>
          <w:rFonts w:ascii="宋体" w:hAnsi="宋体"/>
          <w:color w:val="000000" w:themeColor="text1"/>
          <w:szCs w:val="21"/>
          <w14:textFill>
            <w14:solidFill>
              <w14:schemeClr w14:val="tx1"/>
            </w14:solidFill>
          </w14:textFill>
        </w:rPr>
        <w:t>约定</w:t>
      </w:r>
      <w:r>
        <w:rPr>
          <w:rFonts w:hint="eastAsia" w:ascii="宋体" w:hAnsi="宋体"/>
          <w:color w:val="000000" w:themeColor="text1"/>
          <w:szCs w:val="21"/>
          <w14:textFill>
            <w14:solidFill>
              <w14:schemeClr w14:val="tx1"/>
            </w14:solidFill>
          </w14:textFill>
        </w:rPr>
        <w:t>的</w:t>
      </w:r>
      <w:r>
        <w:rPr>
          <w:rFonts w:ascii="宋体" w:hAnsi="宋体"/>
          <w:color w:val="000000" w:themeColor="text1"/>
          <w:szCs w:val="21"/>
          <w14:textFill>
            <w14:solidFill>
              <w14:schemeClr w14:val="tx1"/>
            </w14:solidFill>
          </w14:textFill>
        </w:rPr>
        <w:t>情形时，保险人要求解除保险合同的，不得向投保人收取手续费并应退还已收取的保险费。</w:t>
      </w:r>
    </w:p>
    <w:p w14:paraId="4B42EB28">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保险责任开始后，投保人要求解除合同的，自通知保险人之日起，本保险合同解除，保险人将已收取的保险费，扣除按照自保险责任开始之日起至合同解除之日止期间与保险期间的</w:t>
      </w:r>
      <w:r>
        <w:rPr>
          <w:rFonts w:ascii="宋体" w:hAnsi="宋体"/>
          <w:b/>
          <w:color w:val="000000" w:themeColor="text1"/>
          <w:szCs w:val="21"/>
          <w14:textFill>
            <w14:solidFill>
              <w14:schemeClr w14:val="tx1"/>
            </w14:solidFill>
          </w14:textFill>
        </w:rPr>
        <w:t>日比例计收</w:t>
      </w:r>
      <w:r>
        <w:rPr>
          <w:rFonts w:ascii="宋体" w:hAnsi="宋体"/>
          <w:color w:val="000000" w:themeColor="text1"/>
          <w:szCs w:val="21"/>
          <w14:textFill>
            <w14:solidFill>
              <w14:schemeClr w14:val="tx1"/>
            </w14:solidFill>
          </w14:textFill>
        </w:rPr>
        <w:t>的保险费后，退还剩余部分的保险费；当符合本保险合同</w:t>
      </w:r>
      <w:r>
        <w:rPr>
          <w:rFonts w:hint="eastAsia" w:ascii="宋体" w:hAnsi="宋体" w:cs="宋体"/>
          <w:b/>
          <w:bCs/>
          <w:color w:val="000000" w:themeColor="text1"/>
          <w:szCs w:val="21"/>
          <w14:textFill>
            <w14:solidFill>
              <w14:schemeClr w14:val="tx1"/>
            </w14:solidFill>
          </w14:textFill>
        </w:rPr>
        <w:t>第十六、十八条</w:t>
      </w:r>
      <w:r>
        <w:rPr>
          <w:rFonts w:ascii="宋体" w:hAnsi="宋体"/>
          <w:color w:val="000000" w:themeColor="text1"/>
          <w:szCs w:val="21"/>
          <w14:textFill>
            <w14:solidFill>
              <w14:schemeClr w14:val="tx1"/>
            </w14:solidFill>
          </w14:textFill>
        </w:rPr>
        <w:t>约定</w:t>
      </w:r>
      <w:r>
        <w:rPr>
          <w:rFonts w:hint="eastAsia" w:ascii="宋体" w:hAnsi="宋体"/>
          <w:color w:val="000000" w:themeColor="text1"/>
          <w:szCs w:val="21"/>
          <w14:textFill>
            <w14:solidFill>
              <w14:schemeClr w14:val="tx1"/>
            </w14:solidFill>
          </w14:textFill>
        </w:rPr>
        <w:t>的</w:t>
      </w:r>
      <w:r>
        <w:rPr>
          <w:rFonts w:ascii="宋体" w:hAnsi="宋体"/>
          <w:color w:val="000000" w:themeColor="text1"/>
          <w:szCs w:val="21"/>
          <w14:textFill>
            <w14:solidFill>
              <w14:schemeClr w14:val="tx1"/>
            </w14:solidFill>
          </w14:textFill>
        </w:rPr>
        <w:t>情形时，</w:t>
      </w:r>
      <w:r>
        <w:rPr>
          <w:rFonts w:ascii="宋体" w:hAnsi="宋体"/>
          <w:b/>
          <w:color w:val="000000" w:themeColor="text1"/>
          <w:szCs w:val="21"/>
          <w14:textFill>
            <w14:solidFill>
              <w14:schemeClr w14:val="tx1"/>
            </w14:solidFill>
          </w14:textFill>
        </w:rPr>
        <w:t>保险人也可提前15日向投保人发出解约通知书解除本保险合同，</w:t>
      </w:r>
      <w:r>
        <w:rPr>
          <w:rFonts w:ascii="宋体" w:hAnsi="宋体"/>
          <w:color w:val="000000" w:themeColor="text1"/>
          <w:szCs w:val="21"/>
          <w14:textFill>
            <w14:solidFill>
              <w14:schemeClr w14:val="tx1"/>
            </w14:solidFill>
          </w14:textFill>
        </w:rPr>
        <w:t>并按保险责任开始之日起至保险合同解除之日止期间与保险期间的</w:t>
      </w:r>
      <w:r>
        <w:rPr>
          <w:rFonts w:ascii="宋体" w:hAnsi="宋体"/>
          <w:b/>
          <w:color w:val="000000" w:themeColor="text1"/>
          <w:szCs w:val="21"/>
          <w14:textFill>
            <w14:solidFill>
              <w14:schemeClr w14:val="tx1"/>
            </w14:solidFill>
          </w14:textFill>
        </w:rPr>
        <w:t>日比例计收</w:t>
      </w:r>
      <w:r>
        <w:rPr>
          <w:rFonts w:ascii="宋体" w:hAnsi="宋体"/>
          <w:color w:val="000000" w:themeColor="text1"/>
          <w:szCs w:val="21"/>
          <w14:textFill>
            <w14:solidFill>
              <w14:schemeClr w14:val="tx1"/>
            </w14:solidFill>
          </w14:textFill>
        </w:rPr>
        <w:t>保险费后，退还剩余部分的保险费。</w:t>
      </w:r>
    </w:p>
    <w:p w14:paraId="68C5990C">
      <w:pPr>
        <w:adjustRightInd w:val="0"/>
        <w:snapToGrid w:val="0"/>
        <w:spacing w:after="156" w:afterLines="50"/>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释义</w:t>
      </w:r>
    </w:p>
    <w:p w14:paraId="0D2E1F54">
      <w:pPr>
        <w:adjustRightInd w:val="0"/>
        <w:snapToGrid w:val="0"/>
        <w:spacing w:after="156" w:afterLines="50"/>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除非另有约定，本保险合同中有关名词的定义如下：</w:t>
      </w:r>
    </w:p>
    <w:p w14:paraId="0D70E4B2">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w:t>
      </w:r>
      <w:r>
        <w:rPr>
          <w:rFonts w:ascii="宋体" w:hAnsi="宋体"/>
          <w:b/>
          <w:bCs/>
          <w:color w:val="000000" w:themeColor="text1"/>
          <w:szCs w:val="21"/>
          <w14:textFill>
            <w14:solidFill>
              <w14:schemeClr w14:val="tx1"/>
            </w14:solidFill>
          </w14:textFill>
        </w:rPr>
        <w:t>医务人员</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是指在被保险医疗机构执业的经过国家有关部门考核、批准或承认，取得相应资格的各级各类卫生技术人员。在本保险合同中，卫生技术人员也包括医疗管理人员、外聘医务人员、进修生、外请会诊医务人员、符合多点执业条件的医务人员；在被保险医疗机构进行城乡医院对口支援、支援基层，与被保险医疗机构签订医疗机构帮扶或托管协议、来自同一医疗集团或同一医疗联合体在被保险医疗机构多点执业的医务人员；在被保险医疗机构参加慈善或公益性巡回医疗、义诊、突发事件或灾害事故医疗救援工作，参与实施基本和重大公共卫生服务项目的医务人员。</w:t>
      </w:r>
    </w:p>
    <w:p w14:paraId="6B8D3CA3">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w:t>
      </w:r>
      <w:r>
        <w:rPr>
          <w:rFonts w:ascii="宋体" w:hAnsi="宋体"/>
          <w:b/>
          <w:bCs/>
          <w:color w:val="000000" w:themeColor="text1"/>
          <w:szCs w:val="21"/>
          <w14:textFill>
            <w14:solidFill>
              <w14:schemeClr w14:val="tx1"/>
            </w14:solidFill>
          </w14:textFill>
        </w:rPr>
        <w:t>医疗事故</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指医疗机构及其医务人员在医疗活动中，违反医疗卫生管理法律、行政法规、部门规章和诊疗护理规范、常规，过失造成患者人身损害的事故。</w:t>
      </w:r>
    </w:p>
    <w:p w14:paraId="4A3F79A5">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w:t>
      </w:r>
      <w:r>
        <w:rPr>
          <w:rFonts w:ascii="宋体" w:hAnsi="宋体"/>
          <w:b/>
          <w:bCs/>
          <w:color w:val="000000" w:themeColor="text1"/>
          <w:szCs w:val="21"/>
          <w14:textFill>
            <w14:solidFill>
              <w14:schemeClr w14:val="tx1"/>
            </w14:solidFill>
          </w14:textFill>
        </w:rPr>
        <w:t>医疗损害</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医疗机构及其医务人员在诊疗活动中因执业过失造成的患者人身损害。</w:t>
      </w:r>
    </w:p>
    <w:p w14:paraId="3005D67D">
      <w:pPr>
        <w:widowControl/>
        <w:spacing w:after="156" w:afterLines="50"/>
        <w:ind w:firstLine="422" w:firstLineChars="200"/>
        <w:rPr>
          <w:rFonts w:ascii="宋体" w:hAnsi="宋体" w:cs="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4、</w:t>
      </w:r>
      <w:r>
        <w:rPr>
          <w:rFonts w:ascii="宋体" w:hAnsi="宋体"/>
          <w:b/>
          <w:bCs/>
          <w:color w:val="000000" w:themeColor="text1"/>
          <w:szCs w:val="21"/>
          <w14:textFill>
            <w14:solidFill>
              <w14:schemeClr w14:val="tx1"/>
            </w14:solidFill>
          </w14:textFill>
        </w:rPr>
        <w:t>诊疗活动</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指通过各种检查，使用药物、器械及手术等方法，对疾病做出判断和消除疾病、缓解病情、减轻痛苦、改善功能、延长生命、帮助患者恢复健康的活动。</w:t>
      </w:r>
      <w:r>
        <w:rPr>
          <w:rFonts w:hint="eastAsia" w:ascii="宋体" w:hAnsi="宋体" w:cs="宋体"/>
          <w:color w:val="000000" w:themeColor="text1"/>
          <w:szCs w:val="21"/>
          <w14:textFill>
            <w14:solidFill>
              <w14:schemeClr w14:val="tx1"/>
            </w14:solidFill>
          </w14:textFill>
        </w:rPr>
        <w:t>包括为实现前述目的所必须的医疗美容，</w:t>
      </w:r>
      <w:r>
        <w:rPr>
          <w:rFonts w:hint="eastAsia" w:ascii="宋体" w:hAnsi="宋体" w:cs="宋体"/>
          <w:b/>
          <w:color w:val="000000" w:themeColor="text1"/>
          <w:szCs w:val="21"/>
          <w14:textFill>
            <w14:solidFill>
              <w14:schemeClr w14:val="tx1"/>
            </w14:solidFill>
          </w14:textFill>
        </w:rPr>
        <w:t>不包括单纯以改善容貌为目的的医疗美容</w:t>
      </w:r>
      <w:r>
        <w:rPr>
          <w:rFonts w:hint="eastAsia" w:ascii="宋体" w:hAnsi="宋体" w:cs="宋体"/>
          <w:color w:val="000000" w:themeColor="text1"/>
          <w:szCs w:val="21"/>
          <w14:textFill>
            <w14:solidFill>
              <w14:schemeClr w14:val="tx1"/>
            </w14:solidFill>
          </w14:textFill>
        </w:rPr>
        <w:t>。</w:t>
      </w:r>
    </w:p>
    <w:p w14:paraId="35479402">
      <w:pPr>
        <w:adjustRightInd w:val="0"/>
        <w:snapToGrid w:val="0"/>
        <w:spacing w:after="156" w:afterLines="50"/>
        <w:ind w:firstLine="420" w:firstLineChars="200"/>
        <w:rPr>
          <w:rFonts w:ascii="宋体" w:hAns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保险合同中“诊疗活动”包含“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p>
    <w:p w14:paraId="42889BE3">
      <w:pPr>
        <w:widowControl/>
        <w:spacing w:after="156" w:afterLines="50"/>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保险合同中诊疗活动同时包括健康体检诊疗活动以及被保险人提供健康教育、预防接种、儿童健康管理、孕产妇健康管理、老年人健康管理、慢性病（高血压、糖尿病）患者健康管理、严重精神障碍患者管理、结核患者健康管理、中医药健康管理等基本公共卫生服务活动，其中健康体检是指通过医学手段和方法对受检者进行身体检查，了解受检者健康状况、早期发现疾病线索和健康隐患的诊疗行为。</w:t>
      </w:r>
    </w:p>
    <w:p w14:paraId="15839C92">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5、</w:t>
      </w:r>
      <w:r>
        <w:rPr>
          <w:rFonts w:ascii="宋体" w:hAnsi="宋体"/>
          <w:b/>
          <w:bCs/>
          <w:color w:val="000000" w:themeColor="text1"/>
          <w:szCs w:val="21"/>
          <w14:textFill>
            <w14:solidFill>
              <w14:schemeClr w14:val="tx1"/>
            </w14:solidFill>
          </w14:textFill>
        </w:rPr>
        <w:t>保险事故</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指保险合同约定的保险责任范围内的事故。</w:t>
      </w:r>
    </w:p>
    <w:p w14:paraId="4E1AFC43">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6、</w:t>
      </w:r>
      <w:r>
        <w:rPr>
          <w:rFonts w:ascii="宋体" w:hAnsi="宋体"/>
          <w:b/>
          <w:bCs/>
          <w:color w:val="000000" w:themeColor="text1"/>
          <w:szCs w:val="21"/>
          <w14:textFill>
            <w14:solidFill>
              <w14:schemeClr w14:val="tx1"/>
            </w14:solidFill>
          </w14:textFill>
        </w:rPr>
        <w:t>追溯期</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指保险合同当事人在保险合同中约定的从保险期间起始日向前追溯的一段时间,保险人对该段时间内发生且患者或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其近亲属或</w:t>
      </w:r>
      <w:r>
        <w:rPr>
          <w:rFonts w:hint="eastAsia" w:ascii="宋体" w:hAnsi="宋体"/>
          <w:color w:val="000000" w:themeColor="text1"/>
          <w:szCs w:val="21"/>
          <w14:textFill>
            <w14:solidFill>
              <w14:schemeClr w14:val="tx1"/>
            </w14:solidFill>
          </w14:textFill>
        </w:rPr>
        <w:t>者</w:t>
      </w:r>
      <w:r>
        <w:rPr>
          <w:rFonts w:ascii="宋体" w:hAnsi="宋体"/>
          <w:color w:val="000000" w:themeColor="text1"/>
          <w:szCs w:val="21"/>
          <w14:textFill>
            <w14:solidFill>
              <w14:schemeClr w14:val="tx1"/>
            </w14:solidFill>
          </w14:textFill>
        </w:rPr>
        <w:t>其代理人在保险期间内首次向被保险人提出赔偿请求的保险事故按照本保险合同约定承担赔偿责任。</w:t>
      </w:r>
    </w:p>
    <w:p w14:paraId="136948C5">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7、</w:t>
      </w:r>
      <w:r>
        <w:rPr>
          <w:rFonts w:ascii="宋体" w:hAnsi="宋体"/>
          <w:b/>
          <w:bCs/>
          <w:color w:val="000000" w:themeColor="text1"/>
          <w:szCs w:val="21"/>
          <w14:textFill>
            <w14:solidFill>
              <w14:schemeClr w14:val="tx1"/>
            </w14:solidFill>
          </w14:textFill>
        </w:rPr>
        <w:t>重要事项</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直接关系保险双方当事人利益或足以影响保险人确定保险费率的各种因素。如被保险人的名称、所有制和经营性质、执业范围变更、医疗机构类型等。</w:t>
      </w:r>
    </w:p>
    <w:p w14:paraId="5AB96C8E">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8、</w:t>
      </w:r>
      <w:r>
        <w:rPr>
          <w:rFonts w:ascii="宋体" w:hAnsi="宋体"/>
          <w:b/>
          <w:bCs/>
          <w:color w:val="000000" w:themeColor="text1"/>
          <w:szCs w:val="21"/>
          <w14:textFill>
            <w14:solidFill>
              <w14:schemeClr w14:val="tx1"/>
            </w14:solidFill>
          </w14:textFill>
        </w:rPr>
        <w:t>从事</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投身到某项事业中去，是指一种固定的职业行为。</w:t>
      </w:r>
    </w:p>
    <w:p w14:paraId="6B7CEB0A">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9</w:t>
      </w:r>
      <w:r>
        <w:rPr>
          <w:rFonts w:hint="eastAsia" w:ascii="宋体" w:hAnsi="宋体"/>
          <w:b/>
          <w:bCs/>
          <w:color w:val="000000" w:themeColor="text1"/>
          <w:szCs w:val="21"/>
          <w14:textFill>
            <w14:solidFill>
              <w14:schemeClr w14:val="tx1"/>
            </w14:solidFill>
          </w14:textFill>
        </w:rPr>
        <w:t>、</w:t>
      </w:r>
      <w:r>
        <w:rPr>
          <w:rFonts w:ascii="宋体" w:hAnsi="宋体"/>
          <w:b/>
          <w:bCs/>
          <w:color w:val="000000" w:themeColor="text1"/>
          <w:szCs w:val="21"/>
          <w14:textFill>
            <w14:solidFill>
              <w14:schemeClr w14:val="tx1"/>
            </w14:solidFill>
          </w14:textFill>
        </w:rPr>
        <w:t>每次事故赔偿限额</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即保险人所承担的每次保险责任事故或同一原因引起的一系列保险责任事故的赔偿限额。</w:t>
      </w:r>
    </w:p>
    <w:p w14:paraId="3E632A22">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10</w:t>
      </w:r>
      <w:r>
        <w:rPr>
          <w:rFonts w:hint="eastAsia" w:ascii="宋体" w:hAnsi="宋体"/>
          <w:b/>
          <w:bCs/>
          <w:color w:val="000000" w:themeColor="text1"/>
          <w:szCs w:val="21"/>
          <w14:textFill>
            <w14:solidFill>
              <w14:schemeClr w14:val="tx1"/>
            </w14:solidFill>
          </w14:textFill>
        </w:rPr>
        <w:t>、</w:t>
      </w:r>
      <w:r>
        <w:rPr>
          <w:rFonts w:ascii="宋体" w:hAnsi="宋体"/>
          <w:b/>
          <w:bCs/>
          <w:color w:val="000000" w:themeColor="text1"/>
          <w:szCs w:val="21"/>
          <w14:textFill>
            <w14:solidFill>
              <w14:schemeClr w14:val="tx1"/>
            </w14:solidFill>
          </w14:textFill>
        </w:rPr>
        <w:t>累计赔偿限额</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即在本保险合同约定的保险期间内保险人所承担的被保险人关于保险责任的最高赔偿限额。</w:t>
      </w:r>
    </w:p>
    <w:p w14:paraId="5D4E348E">
      <w:pPr>
        <w:adjustRightInd w:val="0"/>
        <w:snapToGrid w:val="0"/>
        <w:spacing w:after="156" w:afterLines="50"/>
        <w:ind w:firstLine="422" w:firstLineChars="200"/>
        <w:rPr>
          <w:rFonts w:ascii="宋体" w:hAnsi="宋体"/>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11</w:t>
      </w:r>
      <w:r>
        <w:rPr>
          <w:rFonts w:hint="eastAsia" w:ascii="宋体" w:hAnsi="宋体"/>
          <w:b/>
          <w:bCs/>
          <w:color w:val="000000" w:themeColor="text1"/>
          <w:szCs w:val="21"/>
          <w14:textFill>
            <w14:solidFill>
              <w14:schemeClr w14:val="tx1"/>
            </w14:solidFill>
          </w14:textFill>
        </w:rPr>
        <w:t>、</w:t>
      </w:r>
      <w:r>
        <w:rPr>
          <w:rFonts w:ascii="宋体" w:hAnsi="宋体"/>
          <w:b/>
          <w:bCs/>
          <w:color w:val="000000" w:themeColor="text1"/>
          <w:szCs w:val="21"/>
          <w14:textFill>
            <w14:solidFill>
              <w14:schemeClr w14:val="tx1"/>
            </w14:solidFill>
          </w14:textFill>
        </w:rPr>
        <w:t>与当时的医疗水平相应的诊疗义务</w:t>
      </w:r>
      <w:r>
        <w:rPr>
          <w:rFonts w:hint="eastAsia" w:ascii="宋体" w:hAnsi="宋体"/>
          <w:b/>
          <w:bCs/>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即当时当地同一等级医疗机构的医疗水平相应的诊疗义务。常规情况下是否尽到与当时医疗水平相应的诊疗义务按照是否执行诊疗护理规范进行判断。非常规情况须采取必要诊疗措施的，须由两名以上医疗专家根据实际情况作出专业判断，一致认定此种措施确属必须，否则按常规情况予以判断。如法律法规有释义的依照法律法规的规定。</w:t>
      </w:r>
    </w:p>
    <w:p w14:paraId="448015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5845F7"/>
    <w:multiLevelType w:val="singleLevel"/>
    <w:tmpl w:val="F45845F7"/>
    <w:lvl w:ilvl="0" w:tentative="0">
      <w:start w:val="2"/>
      <w:numFmt w:val="chineseCounting"/>
      <w:suff w:val="nothing"/>
      <w:lvlText w:val="（%1）"/>
      <w:lvlJc w:val="left"/>
      <w:rPr>
        <w:rFonts w:hint="eastAsia"/>
      </w:rPr>
    </w:lvl>
  </w:abstractNum>
  <w:abstractNum w:abstractNumId="1">
    <w:nsid w:val="0DA054F6"/>
    <w:multiLevelType w:val="multilevel"/>
    <w:tmpl w:val="0DA054F6"/>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6CD247F"/>
    <w:multiLevelType w:val="singleLevel"/>
    <w:tmpl w:val="56CD247F"/>
    <w:lvl w:ilvl="0" w:tentative="0">
      <w:start w:val="5"/>
      <w:numFmt w:val="chineseCounting"/>
      <w:suff w:val="nothing"/>
      <w:lvlText w:val="%1、"/>
      <w:lvlJc w:val="left"/>
    </w:lvl>
  </w:abstractNum>
  <w:abstractNum w:abstractNumId="3">
    <w:nsid w:val="573A9672"/>
    <w:multiLevelType w:val="multilevel"/>
    <w:tmpl w:val="573A9672"/>
    <w:lvl w:ilvl="0" w:tentative="0">
      <w:start w:val="1"/>
      <w:numFmt w:val="chineseCountingThousand"/>
      <w:lvlText w:val="(%1)"/>
      <w:lvlJc w:val="left"/>
      <w:pPr>
        <w:ind w:left="980" w:hanging="420"/>
      </w:pPr>
      <w:rPr>
        <w:sz w:val="28"/>
        <w:szCs w:val="28"/>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62FA194B"/>
    <w:multiLevelType w:val="singleLevel"/>
    <w:tmpl w:val="62FA194B"/>
    <w:lvl w:ilvl="0" w:tentative="0">
      <w:start w:val="1"/>
      <w:numFmt w:val="decimalEnclosedCircleChinese"/>
      <w:suff w:val="nothing"/>
      <w:lvlText w:val="%1　"/>
      <w:lvlJc w:val="left"/>
      <w:pPr>
        <w:ind w:left="0" w:firstLine="400"/>
      </w:pPr>
      <w:rPr>
        <w:rFonts w:hint="eastAsia"/>
      </w:rPr>
    </w:lvl>
  </w:abstractNum>
  <w:abstractNum w:abstractNumId="5">
    <w:nsid w:val="66BAD09D"/>
    <w:multiLevelType w:val="multilevel"/>
    <w:tmpl w:val="66BAD09D"/>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num w:numId="1">
    <w:abstractNumId w:val="1"/>
  </w:num>
  <w:num w:numId="2">
    <w:abstractNumId w:val="3"/>
    <w:lvlOverride w:ilvl="0">
      <w:startOverride w:val="1"/>
    </w:lvlOverride>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wMmJjZjMzZmNiZDg3NGExODBhYmQyMDMyNzhlOTcifQ=="/>
  </w:docVars>
  <w:rsids>
    <w:rsidRoot w:val="63BA6439"/>
    <w:rsid w:val="63BA64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_Style 3"/>
    <w:basedOn w:val="1"/>
    <w:next w:val="3"/>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paragraph" w:styleId="3">
    <w:name w:val="Body Text Indent 3"/>
    <w:basedOn w:val="1"/>
    <w:qFormat/>
    <w:uiPriority w:val="0"/>
    <w:pPr>
      <w:spacing w:after="120"/>
      <w:ind w:left="420" w:leftChars="200"/>
    </w:pPr>
    <w:rPr>
      <w:sz w:val="16"/>
      <w:szCs w:val="16"/>
    </w:rPr>
  </w:style>
  <w:style w:type="paragraph" w:styleId="4">
    <w:name w:val="Body Text"/>
    <w:basedOn w:val="1"/>
    <w:next w:val="1"/>
    <w:qFormat/>
    <w:uiPriority w:val="0"/>
    <w:pPr>
      <w:spacing w:line="360" w:lineRule="auto"/>
    </w:pPr>
    <w:rPr>
      <w:b/>
      <w:bCs/>
      <w:sz w:val="24"/>
    </w:rPr>
  </w:style>
  <w:style w:type="paragraph" w:styleId="5">
    <w:name w:val="Normal (Web)"/>
    <w:basedOn w:val="1"/>
    <w:qFormat/>
    <w:uiPriority w:val="0"/>
    <w:pPr>
      <w:spacing w:beforeAutospacing="1" w:afterAutospacing="1"/>
      <w:jc w:val="left"/>
    </w:pPr>
    <w:rPr>
      <w:rFonts w:cs="Times New Roman"/>
      <w:kern w:val="0"/>
      <w:sz w:val="24"/>
    </w:rPr>
  </w:style>
  <w:style w:type="paragraph" w:customStyle="1" w:styleId="8">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3</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2024-09-19T08:15:00Z</dcterms:created>
  <dc:creator>陈仪</dc:creator>
  <cp:lastModifiedBy>陈仪</cp:lastModifiedBy>
  <dcterms:modified xsi:type="dcterms:W3CDTF">2024-09-19T08:20:34Z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9E70474E7ED54BF3923AA0320A137764_11</vt:lpwstr>
  </property>
</Properties>
</file>