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版本号：241213002</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高质量发展基于多学科协作的智慧康复体系建设项目</w:t>
      </w:r>
    </w:p>
    <w:p>
      <w:pPr>
        <w:pStyle w:val="null3"/>
        <w:jc w:val="center"/>
        <w:outlineLvl w:val="2"/>
      </w:pPr>
      <w:r>
        <w:rPr>
          <w:sz w:val="28"/>
          <w:b/>
        </w:rPr>
        <w:t>采购项目编号：</w:t>
      </w:r>
      <w:r>
        <w:rPr>
          <w:sz w:val="28"/>
          <w:b/>
        </w:rPr>
        <w:t>SXYS-2024-069</w:t>
      </w:r>
      <w:r>
        <w:br/>
      </w:r>
      <w:r>
        <w:br/>
      </w:r>
      <w:r>
        <w:br/>
      </w:r>
    </w:p>
    <w:p>
      <w:pPr>
        <w:pStyle w:val="null3"/>
        <w:jc w:val="center"/>
        <w:outlineLvl w:val="2"/>
      </w:pPr>
      <w:r>
        <w:rPr>
          <w:sz w:val="28"/>
          <w:b/>
        </w:rPr>
        <w:t>延安大学附属医院</w:t>
      </w:r>
    </w:p>
    <w:p>
      <w:pPr>
        <w:pStyle w:val="null3"/>
        <w:jc w:val="center"/>
        <w:outlineLvl w:val="2"/>
      </w:pPr>
      <w:r>
        <w:rPr>
          <w:sz w:val="28"/>
          <w:b/>
        </w:rPr>
        <w:t>陕西延审工程项目管理有限公司</w:t>
      </w:r>
      <w:r>
        <w:rPr>
          <w:sz w:val="28"/>
          <w:b/>
        </w:rPr>
        <w:t>共同编制</w:t>
      </w:r>
    </w:p>
    <w:p>
      <w:pPr>
        <w:pStyle w:val="null3"/>
        <w:jc w:val="center"/>
        <w:outlineLvl w:val="2"/>
      </w:pPr>
      <w:r>
        <w:rPr>
          <w:sz w:val="28"/>
          <w:b/>
        </w:rPr>
        <w:t>2024年11月26日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陕西延审工程项目管理有限公司</w:t>
      </w:r>
      <w:r>
        <w:rPr/>
        <w:t>（以下简称“代理机构”）受</w:t>
      </w:r>
      <w:r>
        <w:rPr/>
        <w:t>延安大学附属医院</w:t>
      </w:r>
      <w:r>
        <w:rPr/>
        <w:t>委托，拟对</w:t>
      </w:r>
      <w:r>
        <w:rPr/>
        <w:t>高质量发展基于多学科协作的智慧康复体系建设项目</w:t>
      </w:r>
      <w:r>
        <w:rPr/>
        <w:t>进行国内公开招标，兹邀请符合本次招标要求的供应商参加投标。</w:t>
      </w:r>
    </w:p>
    <w:p>
      <w:pPr>
        <w:pStyle w:val="null3"/>
        <w:outlineLvl w:val="2"/>
      </w:pPr>
      <w:r>
        <w:rPr>
          <w:sz w:val="28"/>
          <w:b/>
        </w:rPr>
        <w:t>一、采购项目编号：</w:t>
      </w:r>
      <w:r>
        <w:rPr>
          <w:sz w:val="28"/>
          <w:b/>
        </w:rPr>
        <w:t>SXYS-2024-069</w:t>
      </w:r>
    </w:p>
    <w:p>
      <w:pPr>
        <w:pStyle w:val="null3"/>
        <w:outlineLvl w:val="2"/>
      </w:pPr>
      <w:r>
        <w:rPr>
          <w:sz w:val="28"/>
          <w:b/>
        </w:rPr>
        <w:t>二、采购项目名称：</w:t>
      </w:r>
      <w:r>
        <w:rPr>
          <w:sz w:val="28"/>
          <w:b/>
        </w:rPr>
        <w:t>高质量发展基于多学科协作的智慧康复体系建设项目</w:t>
      </w:r>
    </w:p>
    <w:p>
      <w:pPr>
        <w:pStyle w:val="null3"/>
        <w:outlineLvl w:val="2"/>
      </w:pPr>
      <w:r>
        <w:rPr>
          <w:sz w:val="28"/>
          <w:b/>
        </w:rPr>
        <w:t>三、招标项目简介</w:t>
      </w:r>
    </w:p>
    <w:p>
      <w:pPr>
        <w:pStyle w:val="null3"/>
        <w:ind w:firstLine="480"/>
      </w:pPr>
      <w:r>
        <w:rPr/>
        <w:t>以“建设患者和医务人员满意的信息化系统”为建设目标，实现患者康复就诊及康复治疗过程全流程信息化管理；需满足康复系统实现使用科室高效精细化管理，提高工作效率，保障患者康复质量，需满足电子病历评级六级要求及互联互通测评五级乙等要求</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1、营业执照：具有独立承担民事责任能力的法人、其他组织或自然人，提供合法有效的统一社会信用代码营业执照（事业单位提供事业单位法人证书，自然人应提供身份证）；</w:t>
      </w:r>
    </w:p>
    <w:p>
      <w:pPr>
        <w:pStyle w:val="null3"/>
      </w:pPr>
      <w:r>
        <w:rPr/>
        <w:t>2、法定代表人授权书：法定代表人授权书（附法定代表人身份证复印件）及被授权人身份证（法定代表人直接参加须提供法定代表人身份证明及法定代表人身份证复印件）；</w:t>
      </w:r>
    </w:p>
    <w:p>
      <w:pPr>
        <w:pStyle w:val="null3"/>
      </w:pPr>
      <w:r>
        <w:rPr/>
        <w:t>3、银行开户：提供银行开户许可证或开户行基本信息；</w:t>
      </w:r>
    </w:p>
    <w:p>
      <w:pPr>
        <w:pStyle w:val="null3"/>
      </w:pPr>
      <w:r>
        <w:rPr/>
        <w:t>4、财务状况证明：提供2023年度经审计完整的财务审计报告（成立时间至提交投标文件截止时间不足一年的可提供成立后任意时段的资产负债表）或截止开标时间前三个月内由基本账户开户银行出具的资信证明；</w:t>
      </w:r>
    </w:p>
    <w:p>
      <w:pPr>
        <w:pStyle w:val="null3"/>
      </w:pPr>
      <w:r>
        <w:rPr/>
        <w:t>5、税收缴纳证明：提供截止开标时间近一年内内任意一个月缴费凭据（依法免税的供应商应提供相关文件证明）；</w:t>
      </w:r>
    </w:p>
    <w:p>
      <w:pPr>
        <w:pStyle w:val="null3"/>
      </w:pPr>
      <w:r>
        <w:rPr/>
        <w:t xml:space="preserve">6、社会保障资金缴纳证明：提供截止开标时间近一年内任意一个月的社保缴费凭据或社保机构开具的社会保险参保缴费情况证明（依法不需要缴纳社会保障资金的供应商应提供相关证明）； </w:t>
      </w:r>
    </w:p>
    <w:p>
      <w:pPr>
        <w:pStyle w:val="null3"/>
      </w:pPr>
      <w:r>
        <w:rPr/>
        <w:t>7、信誉要求：供应商未被列入“信用中国”网站中严重主体失信名单和经营异常名单、“中国执行信息公开网”网站失信被执行人、中国政府采购网政府采购严重违法失信行为记录名单中被财政部门禁止参加政府采购活动的供应商（提供查询结果网页截图并加盖供应商公章）；参加政府采购活动近三年内，在经营活动中没有重大违法记录声明函；</w:t>
      </w:r>
    </w:p>
    <w:p>
      <w:pPr>
        <w:pStyle w:val="null3"/>
      </w:pPr>
      <w:r>
        <w:rPr/>
        <w:t>8、联合体：本项目不接受联合体投标</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延安大学附属医院</w:t>
      </w:r>
    </w:p>
    <w:p>
      <w:pPr>
        <w:pStyle w:val="null3"/>
      </w:pPr>
      <w:r>
        <w:rPr/>
        <w:t xml:space="preserve"> 地址： </w:t>
      </w:r>
      <w:r>
        <w:rPr/>
        <w:t>陕西省延安市宝塔区北大街43号延安大学附属医院</w:t>
      </w:r>
    </w:p>
    <w:p>
      <w:pPr>
        <w:pStyle w:val="null3"/>
      </w:pPr>
      <w:r>
        <w:rPr/>
        <w:t xml:space="preserve"> 邮编： </w:t>
      </w:r>
      <w:r>
        <w:rPr/>
        <w:t>716000</w:t>
      </w:r>
    </w:p>
    <w:p>
      <w:pPr>
        <w:pStyle w:val="null3"/>
      </w:pPr>
      <w:r>
        <w:rPr/>
        <w:t xml:space="preserve"> 联系人： </w:t>
      </w:r>
      <w:r>
        <w:rPr/>
        <w:t>马主任</w:t>
      </w:r>
    </w:p>
    <w:p>
      <w:pPr>
        <w:pStyle w:val="null3"/>
      </w:pPr>
      <w:r>
        <w:rPr/>
        <w:t xml:space="preserve"> 联系电话： </w:t>
      </w:r>
      <w:r>
        <w:rPr/>
        <w:t>0911-2881326</w:t>
      </w:r>
    </w:p>
    <w:p>
      <w:pPr>
        <w:pStyle w:val="null3"/>
        <w:outlineLvl w:val="2"/>
      </w:pPr>
      <w:r>
        <w:rPr>
          <w:sz w:val="28"/>
          <w:b/>
        </w:rPr>
        <w:t>代理机构：</w:t>
      </w:r>
      <w:r>
        <w:rPr>
          <w:sz w:val="28"/>
          <w:b/>
        </w:rPr>
        <w:t>陕西延审工程项目管理有限公司</w:t>
      </w:r>
    </w:p>
    <w:p>
      <w:pPr>
        <w:pStyle w:val="null3"/>
      </w:pPr>
      <w:r>
        <w:rPr/>
        <w:t xml:space="preserve"> 地址： </w:t>
      </w:r>
      <w:r>
        <w:rPr/>
        <w:t>延安市新区嘉宁万兴花园写字楼21层</w:t>
      </w:r>
    </w:p>
    <w:p>
      <w:pPr>
        <w:pStyle w:val="null3"/>
      </w:pPr>
      <w:r>
        <w:rPr/>
        <w:t xml:space="preserve"> 邮编： </w:t>
      </w:r>
      <w:r>
        <w:rPr/>
        <w:t>716000</w:t>
      </w:r>
    </w:p>
    <w:p>
      <w:pPr>
        <w:pStyle w:val="null3"/>
      </w:pPr>
      <w:r>
        <w:rPr/>
        <w:t xml:space="preserve"> 联系人： </w:t>
      </w:r>
      <w:r>
        <w:rPr/>
        <w:t>郝小艳</w:t>
      </w:r>
    </w:p>
    <w:p>
      <w:pPr>
        <w:pStyle w:val="null3"/>
      </w:pPr>
      <w:r>
        <w:rPr/>
        <w:t xml:space="preserve"> 联系电话： </w:t>
      </w:r>
      <w:r>
        <w:rPr/>
        <w:t>19929659892</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采购包1：650,000.00元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采购包1保证金金额：12,000.00元</w:t>
            </w:r>
          </w:p>
          <w:p>
            <w:pPr>
              <w:pStyle w:val="null3"/>
            </w:pPr>
            <w:r>
              <w:rPr/>
              <w:t>缴交渠道：转账、支票、汇票等（需通过实体账户、户名及开户行信息）</w:t>
            </w:r>
          </w:p>
          <w:p>
            <w:pPr>
              <w:pStyle w:val="null3"/>
            </w:pPr>
            <w:r>
              <w:rPr/>
              <w:t>开户名称：陕西延审工程项目管理有限公司</w:t>
            </w:r>
          </w:p>
          <w:p>
            <w:pPr>
              <w:pStyle w:val="null3"/>
            </w:pPr>
            <w:r>
              <w:rPr/>
              <w:t>开户银行：招商银行股份有限公司西安城北支行</w:t>
            </w:r>
          </w:p>
          <w:p>
            <w:pPr>
              <w:pStyle w:val="null3"/>
            </w:pPr>
            <w:r>
              <w:rPr/>
              <w:t>银行账号：129916845510008</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代理服务费收费标准：1、本项目采购代理服务费按《招标代理服务收费管理暂行办法》（计价格〔2002〕1980号）标准下浮15%计取，由成交供应商在领取成交通知书时向采购代理机构一次性付清。 2、招标代理服务费账户信息 3、名称：陕西延审工程项目管理有限公司 4、纳税人识别号：91610600675138577D 5、地址电话：陕西省西安市未央区太华北路安徽大厦15层01室029-86616270 6、开户行及账号：中国工商银行股份有限公司西安太华路支行3700023919200266054</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延安大学附属医院</w:t>
      </w:r>
      <w:r>
        <w:rPr/>
        <w:t>和</w:t>
      </w:r>
      <w:r>
        <w:rPr/>
        <w:t>陕西延审工程项目管理有限公司</w:t>
      </w:r>
      <w:r>
        <w:rPr/>
        <w:t>享有。对招标文件中供应商参加本次政府采购活动应当具备的条件，招标项目技术、服务、商务及其他要求，评标细则及标准由</w:t>
      </w:r>
      <w:r>
        <w:rPr/>
        <w:t>延安大学附属医院</w:t>
      </w:r>
      <w:r>
        <w:rPr/>
        <w:t>负责解释。除上述招标文件内容，其他内容由</w:t>
      </w:r>
      <w:r>
        <w:rPr/>
        <w:t>陕西延审工程项目管理有限公司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延安大学附属医院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陕西延审工程项目管理有限公司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陕西延审工程项目管理有限公司</w:t>
      </w:r>
      <w:r>
        <w:rPr/>
        <w:t xml:space="preserve"> 负责答复；供应商对除采购需求外的采购文件的询问、质疑由</w:t>
      </w:r>
      <w:r>
        <w:rPr/>
        <w:t>陕西延审工程项目管理有限公司</w:t>
      </w:r>
      <w:r>
        <w:rPr/>
        <w:t xml:space="preserve"> 负责答复；供应商对采购过程、采购结果的询问、质疑由 </w:t>
      </w:r>
      <w:r>
        <w:rPr/>
        <w:t>陕西延审工程项目管理有限公司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联系人：郝小艳</w:t>
      </w:r>
    </w:p>
    <w:p>
      <w:pPr>
        <w:pStyle w:val="null3"/>
      </w:pPr>
      <w:r>
        <w:rPr/>
        <w:t>联系电话：19929659892</w:t>
      </w:r>
    </w:p>
    <w:p>
      <w:pPr>
        <w:pStyle w:val="null3"/>
      </w:pPr>
      <w:r>
        <w:rPr/>
        <w:t>地址：延安市新区嘉宁万兴花园写字楼21层</w:t>
      </w:r>
    </w:p>
    <w:p>
      <w:pPr>
        <w:pStyle w:val="null3"/>
      </w:pPr>
      <w:r>
        <w:rPr/>
        <w:t>邮编：716000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以“建设患者和医务人员满意的信息化系统”为建设目标，实现患者康复就诊及康复治疗过程全流程信息化管理；需满足康复系统实现使用科室高效精细化管理，提高工作效率，保障患者康复质量，需满足电子病历评级六级要求及互联互通测评五级乙等要求</w:t>
      </w:r>
    </w:p>
    <w:p>
      <w:pPr>
        <w:pStyle w:val="null3"/>
        <w:outlineLvl w:val="2"/>
      </w:pPr>
      <w:r>
        <w:rPr>
          <w:sz w:val="28"/>
          <w:b/>
        </w:rPr>
        <w:t>3.2采购内容</w:t>
      </w:r>
    </w:p>
    <w:p>
      <w:pPr>
        <w:pStyle w:val="null3"/>
      </w:pPr>
      <w:r>
        <w:rPr/>
        <w:t>采购包1：</w:t>
      </w:r>
    </w:p>
    <w:p>
      <w:pPr>
        <w:pStyle w:val="null3"/>
      </w:pPr>
      <w:r>
        <w:rPr/>
        <w:t>采购包预算金额（元）: 650,000.00</w:t>
      </w:r>
    </w:p>
    <w:p>
      <w:pPr>
        <w:pStyle w:val="null3"/>
      </w:pPr>
      <w:r>
        <w:rPr/>
        <w:t>采购包最高限价（元）: 650,000.00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高质量发展基于多学科协作的智慧康复体系建设项目</w:t>
            </w:r>
          </w:p>
        </w:tc>
        <w:tc>
          <w:tcPr>
            <w:tcW w:type="dxa" w:w="831"/>
          </w:tcPr>
          <w:p>
            <w:pPr>
              <w:pStyle w:val="null3"/>
              <w:jc w:val="right"/>
            </w:pPr>
            <w:r>
              <w:rPr/>
              <w:t>1.00</w:t>
            </w:r>
          </w:p>
        </w:tc>
        <w:tc>
          <w:tcPr>
            <w:tcW w:type="dxa" w:w="831"/>
          </w:tcPr>
          <w:p>
            <w:pPr>
              <w:pStyle w:val="null3"/>
              <w:jc w:val="right"/>
            </w:pPr>
            <w:r>
              <w:rPr/>
              <w:t>650,000.00</w:t>
            </w:r>
          </w:p>
        </w:tc>
        <w:tc>
          <w:tcPr>
            <w:tcW w:type="dxa" w:w="831"/>
          </w:tcPr>
          <w:p>
            <w:pPr>
              <w:pStyle w:val="null3"/>
            </w:pPr>
            <w:r>
              <w:rPr/>
              <w:t>套</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标的名称：高质量发展基于多学科协作的智慧康复体系建设项目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calibri" w:hAnsi="calibri" w:cs="calibri" w:eastAsia="calibri"/>
                      <w:sz w:val="19"/>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Ind w:type="dxa" w:w="90"/>
                    <w:tblBorders>
                      <w:top w:val="none" w:color="000000" w:sz="4"/>
                      <w:left w:val="none" w:color="000000" w:sz="4"/>
                      <w:bottom w:val="none" w:color="000000" w:sz="4"/>
                      <w:right w:val="none" w:color="000000" w:sz="4"/>
                      <w:insideH w:val="none"/>
                      <w:insideV w:val="none"/>
                    </w:tblBorders>
                  </w:tblPr>
                  <w:tblGrid>
                    <w:gridCol w:w="90"/>
                    <w:gridCol w:w="105"/>
                    <w:gridCol w:w="440"/>
                  </w:tblGrid>
                  <w:tr>
                    <w:tc>
                      <w:tcPr>
                        <w:tcW w:type="dxa" w:w="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系统名称</w:t>
                        </w:r>
                      </w:p>
                    </w:tc>
                    <w:tc>
                      <w:tcPr>
                        <w:tcW w:type="dxa" w:w="1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功能模块</w:t>
                        </w:r>
                      </w:p>
                    </w:tc>
                    <w:tc>
                      <w:tcPr>
                        <w:tcW w:type="dxa" w:w="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技术参数</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康复系统</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任务首页</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任务首页能展示用户当日排班信息、任务信息、消息信息，当日工作量统计信息。</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康复计划</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康复计划用于使用科室为患者制定康复计划，需要包括评定申请和治疗申请，需实现事先预置计划方案，帮助医生快速制定康复计划、提高工作效率。</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0"/>
                          </w:rPr>
                          <w:t>1.</w:t>
                        </w:r>
                        <w:r>
                          <w:rPr>
                            <w:rFonts w:ascii="宋体" w:hAnsi="宋体" w:cs="宋体" w:eastAsia="宋体"/>
                            <w:sz w:val="20"/>
                          </w:rPr>
                          <w:t>康复评定申请</w:t>
                        </w:r>
                        <w:r>
                          <w:br/>
                        </w:r>
                        <w:r>
                          <w:rPr>
                            <w:rFonts w:ascii="宋体" w:hAnsi="宋体" w:cs="宋体" w:eastAsia="宋体"/>
                            <w:sz w:val="20"/>
                          </w:rPr>
                          <w:t>需实现医生可根据患者病情申请需要评定的项目，其中部分评定需实现指定详细的部位；</w:t>
                        </w:r>
                        <w:r>
                          <w:br/>
                        </w:r>
                        <w:r>
                          <w:rPr>
                            <w:rFonts w:ascii="宋体" w:hAnsi="宋体" w:cs="宋体" w:eastAsia="宋体"/>
                            <w:sz w:val="20"/>
                          </w:rPr>
                          <w:t>需实现医生以组套的形式开立评定医嘱，已申请和预约状态的医嘱可以进行医嘱作废，作废后医嘱将不可再执行。</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0"/>
                          </w:rPr>
                          <w:t>2.</w:t>
                        </w:r>
                        <w:r>
                          <w:rPr>
                            <w:rFonts w:ascii="宋体" w:hAnsi="宋体" w:cs="宋体" w:eastAsia="宋体"/>
                            <w:sz w:val="20"/>
                          </w:rPr>
                          <w:t>康复治疗申请</w:t>
                        </w:r>
                        <w:r>
                          <w:br/>
                        </w:r>
                        <w:r>
                          <w:rPr>
                            <w:rFonts w:ascii="宋体" w:hAnsi="宋体" w:cs="宋体" w:eastAsia="宋体"/>
                            <w:sz w:val="20"/>
                          </w:rPr>
                          <w:t>需实现医生可根据患者病情申请需要治疗的项目，其中部分医嘱需实现指定详细的部位；</w:t>
                        </w:r>
                        <w:r>
                          <w:br/>
                        </w:r>
                        <w:r>
                          <w:rPr>
                            <w:rFonts w:ascii="宋体" w:hAnsi="宋体" w:cs="宋体" w:eastAsia="宋体"/>
                            <w:sz w:val="20"/>
                          </w:rPr>
                          <w:t>▲需实现在人体图片上标注计划治疗的部位；（截图证明）</w:t>
                        </w:r>
                        <w:r>
                          <w:br/>
                        </w:r>
                        <w:r>
                          <w:rPr>
                            <w:rFonts w:ascii="宋体" w:hAnsi="宋体" w:cs="宋体" w:eastAsia="宋体"/>
                            <w:sz w:val="20"/>
                          </w:rPr>
                          <w:t>需实现医嘱以组套的形式开立；</w:t>
                        </w:r>
                        <w:r>
                          <w:br/>
                        </w:r>
                        <w:r>
                          <w:rPr>
                            <w:rFonts w:ascii="宋体" w:hAnsi="宋体" w:cs="宋体" w:eastAsia="宋体"/>
                            <w:sz w:val="20"/>
                          </w:rPr>
                          <w:t>需实现医生创建个人组套；</w:t>
                        </w:r>
                        <w:r>
                          <w:br/>
                        </w:r>
                        <w:r>
                          <w:rPr>
                            <w:rFonts w:ascii="宋体" w:hAnsi="宋体" w:cs="宋体" w:eastAsia="宋体"/>
                            <w:sz w:val="20"/>
                          </w:rPr>
                          <w:t>需实现详细显示指定医嘱的详细治疗执行情况。</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康复评定</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康复评定用于康复评定相关的预约、执行医技计费，需实现单项评定预约和批量预约两种模式，评定执行时，根据评定计划内容从评定知识库中抽取相应的评定量表，供评定人员使用。</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0"/>
                          </w:rPr>
                          <w:t>1.</w:t>
                        </w:r>
                        <w:r>
                          <w:rPr>
                            <w:rFonts w:ascii="宋体" w:hAnsi="宋体" w:cs="宋体" w:eastAsia="宋体"/>
                            <w:sz w:val="20"/>
                          </w:rPr>
                          <w:t>康复评定预约</w:t>
                        </w:r>
                        <w:r>
                          <w:br/>
                        </w:r>
                        <w:r>
                          <w:rPr>
                            <w:rFonts w:ascii="宋体" w:hAnsi="宋体" w:cs="宋体" w:eastAsia="宋体"/>
                            <w:sz w:val="20"/>
                          </w:rPr>
                          <w:t>需实现为患者预约到评定室及评定时间；</w:t>
                        </w:r>
                        <w:r>
                          <w:br/>
                        </w:r>
                        <w:r>
                          <w:rPr>
                            <w:rFonts w:ascii="宋体" w:hAnsi="宋体" w:cs="宋体" w:eastAsia="宋体"/>
                            <w:sz w:val="20"/>
                          </w:rPr>
                          <w:t>需实现查看科室各个资源每日当前的工作安排情况；</w:t>
                        </w:r>
                        <w:r>
                          <w:br/>
                        </w:r>
                        <w:r>
                          <w:rPr>
                            <w:rFonts w:ascii="宋体" w:hAnsi="宋体" w:cs="宋体" w:eastAsia="宋体"/>
                            <w:sz w:val="20"/>
                          </w:rPr>
                          <w:t>需实现当患者在预约当日无法进行评定时，实现设置新的评定日期。</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0"/>
                          </w:rPr>
                          <w:t>2.</w:t>
                        </w:r>
                        <w:r>
                          <w:rPr>
                            <w:rFonts w:ascii="宋体" w:hAnsi="宋体" w:cs="宋体" w:eastAsia="宋体"/>
                            <w:sz w:val="20"/>
                          </w:rPr>
                          <w:t>康复评定执行</w:t>
                        </w:r>
                        <w:r>
                          <w:br/>
                        </w:r>
                        <w:r>
                          <w:rPr>
                            <w:rFonts w:ascii="宋体" w:hAnsi="宋体" w:cs="宋体" w:eastAsia="宋体"/>
                            <w:sz w:val="20"/>
                          </w:rPr>
                          <w:t>需实现查看每日需要进行评定的患者列表；</w:t>
                        </w:r>
                        <w:r>
                          <w:br/>
                        </w:r>
                        <w:r>
                          <w:rPr>
                            <w:rFonts w:ascii="宋体" w:hAnsi="宋体" w:cs="宋体" w:eastAsia="宋体"/>
                            <w:sz w:val="20"/>
                          </w:rPr>
                          <w:t>需实现临时保存患者的评定结果，对于已提交的评定可向组长申请解签，评定解签后可修改评定报表内容；</w:t>
                        </w:r>
                        <w:r>
                          <w:br/>
                        </w:r>
                        <w:r>
                          <w:rPr>
                            <w:rFonts w:ascii="宋体" w:hAnsi="宋体" w:cs="宋体" w:eastAsia="宋体"/>
                            <w:sz w:val="20"/>
                          </w:rPr>
                          <w:t>需实现患者进行自主测试；</w:t>
                        </w:r>
                        <w:r>
                          <w:br/>
                        </w:r>
                        <w:r>
                          <w:rPr>
                            <w:rFonts w:ascii="宋体" w:hAnsi="宋体" w:cs="宋体" w:eastAsia="宋体"/>
                            <w:sz w:val="20"/>
                          </w:rPr>
                          <w:t>需实现评定过程录音录像；</w:t>
                        </w:r>
                        <w:r>
                          <w:br/>
                        </w:r>
                        <w:r>
                          <w:rPr>
                            <w:rFonts w:ascii="宋体" w:hAnsi="宋体" w:cs="宋体" w:eastAsia="宋体"/>
                            <w:sz w:val="20"/>
                          </w:rPr>
                          <w:t>需实现对于已执行的待计费的医嘱，能够连接</w:t>
                        </w:r>
                        <w:r>
                          <w:rPr>
                            <w:rFonts w:ascii="calibri" w:hAnsi="calibri" w:cs="calibri" w:eastAsia="calibri"/>
                            <w:sz w:val="20"/>
                          </w:rPr>
                          <w:t>HIS</w:t>
                        </w:r>
                        <w:r>
                          <w:rPr>
                            <w:rFonts w:ascii="宋体" w:hAnsi="宋体" w:cs="宋体" w:eastAsia="宋体"/>
                            <w:sz w:val="20"/>
                          </w:rPr>
                          <w:t>系统进行收费申请。</w:t>
                        </w:r>
                        <w:r>
                          <w:br/>
                        </w:r>
                        <w:r>
                          <w:rPr>
                            <w:rFonts w:ascii="宋体" w:hAnsi="宋体" w:cs="宋体" w:eastAsia="宋体"/>
                            <w:sz w:val="20"/>
                          </w:rPr>
                          <w:t>需实现评估收费模式、评估报告展示分组模式、评估完成自动推送消息模式等业务配置。</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0"/>
                          </w:rPr>
                          <w:t>3.</w:t>
                        </w:r>
                        <w:r>
                          <w:rPr>
                            <w:rFonts w:ascii="宋体" w:hAnsi="宋体" w:cs="宋体" w:eastAsia="宋体"/>
                            <w:sz w:val="20"/>
                          </w:rPr>
                          <w:t>▲评定报告（截图证明）</w:t>
                        </w:r>
                        <w:r>
                          <w:br/>
                        </w:r>
                        <w:r>
                          <w:rPr>
                            <w:rFonts w:ascii="宋体" w:hAnsi="宋体" w:cs="宋体" w:eastAsia="宋体"/>
                            <w:sz w:val="20"/>
                          </w:rPr>
                          <w:t>支持根据评估结果推荐治疗项目；</w:t>
                        </w:r>
                        <w:r>
                          <w:br/>
                        </w:r>
                        <w:r>
                          <w:rPr>
                            <w:rFonts w:ascii="宋体" w:hAnsi="宋体" w:cs="宋体" w:eastAsia="宋体"/>
                            <w:sz w:val="20"/>
                          </w:rPr>
                          <w:t>需实现根据评定完成后的结果自动生成评定报告；</w:t>
                        </w:r>
                        <w:r>
                          <w:br/>
                        </w:r>
                        <w:r>
                          <w:rPr>
                            <w:rFonts w:ascii="宋体" w:hAnsi="宋体" w:cs="宋体" w:eastAsia="宋体"/>
                            <w:sz w:val="20"/>
                          </w:rPr>
                          <w:t>支持高风险治疗项目提醒；</w:t>
                        </w:r>
                        <w:r>
                          <w:br/>
                        </w:r>
                        <w:r>
                          <w:rPr>
                            <w:rFonts w:ascii="宋体" w:hAnsi="宋体" w:cs="宋体" w:eastAsia="宋体"/>
                            <w:sz w:val="20"/>
                          </w:rPr>
                          <w:t>提供评估量表和评估报告对接</w:t>
                        </w:r>
                        <w:r>
                          <w:rPr>
                            <w:rFonts w:ascii="calibri" w:hAnsi="calibri" w:cs="calibri" w:eastAsia="calibri"/>
                            <w:sz w:val="20"/>
                          </w:rPr>
                          <w:t>CA</w:t>
                        </w:r>
                        <w:r>
                          <w:rPr>
                            <w:rFonts w:ascii="宋体" w:hAnsi="宋体" w:cs="宋体" w:eastAsia="宋体"/>
                            <w:sz w:val="20"/>
                          </w:rPr>
                          <w:t>实现签名功能</w:t>
                        </w:r>
                        <w:r>
                          <w:rPr>
                            <w:rFonts w:ascii="calibri" w:hAnsi="calibri" w:cs="calibri" w:eastAsia="calibri"/>
                            <w:sz w:val="20"/>
                          </w:rPr>
                          <w:t>(UKey</w:t>
                        </w:r>
                        <w:r>
                          <w:rPr>
                            <w:rFonts w:ascii="宋体" w:hAnsi="宋体" w:cs="宋体" w:eastAsia="宋体"/>
                            <w:sz w:val="20"/>
                          </w:rPr>
                          <w:t>、手写板及移动端扫码签名</w:t>
                        </w:r>
                        <w:r>
                          <w:rPr>
                            <w:rFonts w:ascii="calibri" w:hAnsi="calibri" w:cs="calibri" w:eastAsia="calibri"/>
                            <w:sz w:val="20"/>
                          </w:rPr>
                          <w:t>)</w:t>
                        </w:r>
                        <w:r>
                          <w:rPr>
                            <w:rFonts w:ascii="宋体" w:hAnsi="宋体" w:cs="宋体" w:eastAsia="宋体"/>
                            <w:sz w:val="20"/>
                          </w:rPr>
                          <w:t>，提供评估量表结果文件对接归档系统及电子病历系统。</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康复治疗</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康复治疗用于患者康复治疗相关的预约、执行以及计费，需实现自动预约和手动预约两种模式，康复治疗的执行，可采用模板化录入内容，以减少治疗师书写康复记录的时间。</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0"/>
                          </w:rPr>
                          <w:t>1.</w:t>
                        </w:r>
                        <w:r>
                          <w:rPr>
                            <w:rFonts w:ascii="宋体" w:hAnsi="宋体" w:cs="宋体" w:eastAsia="宋体"/>
                            <w:sz w:val="20"/>
                          </w:rPr>
                          <w:t>康复治疗预约</w:t>
                        </w:r>
                        <w:r>
                          <w:br/>
                        </w:r>
                        <w:r>
                          <w:rPr>
                            <w:rFonts w:ascii="宋体" w:hAnsi="宋体" w:cs="宋体" w:eastAsia="宋体"/>
                            <w:sz w:val="20"/>
                          </w:rPr>
                          <w:t>需实现为患者预约治疗室、治疗资源及治疗时间；</w:t>
                        </w:r>
                        <w:r>
                          <w:br/>
                        </w:r>
                        <w:r>
                          <w:rPr>
                            <w:rFonts w:ascii="宋体" w:hAnsi="宋体" w:cs="宋体" w:eastAsia="宋体"/>
                            <w:sz w:val="20"/>
                          </w:rPr>
                          <w:t>需实现自动预约治疗时间；</w:t>
                        </w:r>
                        <w:r>
                          <w:br/>
                        </w:r>
                        <w:r>
                          <w:rPr>
                            <w:rFonts w:ascii="宋体" w:hAnsi="宋体" w:cs="宋体" w:eastAsia="宋体"/>
                            <w:sz w:val="20"/>
                          </w:rPr>
                          <w:t>需实现根据患者的治疗项目、科室每项治疗项目的承载能力，以及治疗项目的优先度，结合每项治疗的治疗时间合理为患者安排治疗时间；</w:t>
                        </w:r>
                        <w:r>
                          <w:br/>
                        </w:r>
                        <w:r>
                          <w:rPr>
                            <w:rFonts w:ascii="宋体" w:hAnsi="宋体" w:cs="宋体" w:eastAsia="宋体"/>
                            <w:sz w:val="20"/>
                          </w:rPr>
                          <w:t>需实现查看科室内各个资源每日的当前的工作安排情况；</w:t>
                        </w:r>
                        <w:r>
                          <w:br/>
                        </w:r>
                        <w:r>
                          <w:rPr>
                            <w:rFonts w:ascii="宋体" w:hAnsi="宋体" w:cs="宋体" w:eastAsia="宋体"/>
                            <w:sz w:val="20"/>
                          </w:rPr>
                          <w:t>需实现对现有的治疗计划进行调整，调整后未来的计划均按照新计划执行，能够实现对于已开立的治疗医嘱进行作废或停止操作，操作后的医嘱将不被执行。</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0"/>
                          </w:rPr>
                          <w:t>2.</w:t>
                        </w:r>
                        <w:r>
                          <w:rPr>
                            <w:rFonts w:ascii="宋体" w:hAnsi="宋体" w:cs="宋体" w:eastAsia="宋体"/>
                            <w:sz w:val="20"/>
                          </w:rPr>
                          <w:t>康复治疗执行</w:t>
                        </w:r>
                        <w:r>
                          <w:br/>
                        </w:r>
                        <w:r>
                          <w:rPr>
                            <w:rFonts w:ascii="宋体" w:hAnsi="宋体" w:cs="宋体" w:eastAsia="宋体"/>
                            <w:sz w:val="20"/>
                          </w:rPr>
                          <w:t>需实现查看每日需要进行治疗的患者列表；</w:t>
                        </w:r>
                        <w:r>
                          <w:br/>
                        </w:r>
                        <w:r>
                          <w:rPr>
                            <w:rFonts w:ascii="宋体" w:hAnsi="宋体" w:cs="宋体" w:eastAsia="宋体"/>
                            <w:sz w:val="20"/>
                          </w:rPr>
                          <w:t>需实现保存治疗执行记录以及收费数量等信息；</w:t>
                        </w:r>
                        <w:r>
                          <w:br/>
                        </w:r>
                        <w:r>
                          <w:rPr>
                            <w:rFonts w:ascii="宋体" w:hAnsi="宋体" w:cs="宋体" w:eastAsia="宋体"/>
                            <w:sz w:val="20"/>
                          </w:rPr>
                          <w:t>需实现批量进行康复治疗执行；</w:t>
                        </w:r>
                        <w:r>
                          <w:br/>
                        </w:r>
                        <w:r>
                          <w:rPr>
                            <w:rFonts w:ascii="宋体" w:hAnsi="宋体" w:cs="宋体" w:eastAsia="宋体"/>
                            <w:sz w:val="20"/>
                          </w:rPr>
                          <w:t>需实现查看本次住院期间的历次执行记录，能够根据患者实际情况可调整本次治疗的日期和时间；</w:t>
                        </w:r>
                        <w:r>
                          <w:br/>
                        </w:r>
                        <w:r>
                          <w:rPr>
                            <w:rFonts w:ascii="宋体" w:hAnsi="宋体" w:cs="宋体" w:eastAsia="宋体"/>
                            <w:sz w:val="20"/>
                          </w:rPr>
                          <w:t>▲医嘱执行记录时，可以根据特定的设备，录入相关参数（强度、频率、时长、电流等），支持自定义配置；（截图证明）</w:t>
                        </w:r>
                        <w:r>
                          <w:br/>
                        </w:r>
                        <w:r>
                          <w:rPr>
                            <w:rFonts w:ascii="宋体" w:hAnsi="宋体" w:cs="宋体" w:eastAsia="宋体"/>
                            <w:sz w:val="20"/>
                          </w:rPr>
                          <w:t>需实现查看当日治疗完成后的治疗情况；</w:t>
                        </w:r>
                        <w:r>
                          <w:br/>
                        </w:r>
                        <w:r>
                          <w:rPr>
                            <w:rFonts w:ascii="宋体" w:hAnsi="宋体" w:cs="宋体" w:eastAsia="宋体"/>
                            <w:sz w:val="20"/>
                          </w:rPr>
                          <w:t>需实现自定义科室内每个治疗资源及治疗师的工作时间；</w:t>
                        </w:r>
                        <w:r>
                          <w:br/>
                        </w:r>
                        <w:r>
                          <w:rPr>
                            <w:rFonts w:ascii="宋体" w:hAnsi="宋体" w:cs="宋体" w:eastAsia="宋体"/>
                            <w:sz w:val="20"/>
                          </w:rPr>
                          <w:t>▲支持显示医嘱执行闭环：事前评估、开立、审批、预约、签到、执行；（截图证明）</w:t>
                        </w:r>
                        <w:r>
                          <w:br/>
                        </w:r>
                        <w:r>
                          <w:rPr>
                            <w:rFonts w:ascii="宋体" w:hAnsi="宋体" w:cs="宋体" w:eastAsia="宋体"/>
                            <w:sz w:val="20"/>
                          </w:rPr>
                          <w:t>▲对于已执行的医嘱，需实现实现对接</w:t>
                        </w:r>
                        <w:r>
                          <w:rPr>
                            <w:rFonts w:ascii="calibri" w:hAnsi="calibri" w:cs="calibri" w:eastAsia="calibri"/>
                            <w:sz w:val="20"/>
                          </w:rPr>
                          <w:t>HIS</w:t>
                        </w:r>
                        <w:r>
                          <w:rPr>
                            <w:rFonts w:ascii="宋体" w:hAnsi="宋体" w:cs="宋体" w:eastAsia="宋体"/>
                            <w:sz w:val="20"/>
                          </w:rPr>
                          <w:t>进行收费申请，且实现批量收费。（截图证明）</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自动预约</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▲结合患者的治疗项目、治疗部位以及科室治疗资源的工作负荷情况、治疗师的工作排班情况等需自动推算出适合患者的治疗室、治疗师及治疗时间；支持节假日配置。（截图证明）</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系统支持用户进行评定项目排程。支持用户同时选择排程人员、排程资源、排程时间，也可只选定排程人员</w:t>
                        </w:r>
                        <w:r>
                          <w:rPr>
                            <w:rFonts w:ascii="calibri" w:hAnsi="calibri" w:cs="calibri" w:eastAsia="calibri"/>
                            <w:sz w:val="20"/>
                          </w:rPr>
                          <w:t>/</w:t>
                        </w:r>
                        <w:r>
                          <w:rPr>
                            <w:rFonts w:ascii="宋体" w:hAnsi="宋体" w:cs="宋体" w:eastAsia="宋体"/>
                            <w:sz w:val="20"/>
                          </w:rPr>
                          <w:t>资源中的一种完成排程操作。</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对于已排程项目，系统支持以人员、资源和排程历史三类显示已排程信息。支持按照人员、资源统计已排程项目数量和预计完成总时间，为科室管理者在进行排程操作时提供数据参考。</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系统支持用户进行排程修改、取消排程、排程转接等操作，排程修改可通过调整排程时间、治疗师、治疗区域和治疗设备等信息完成修改。排程转接可通过修改已排程项目的排程人员、资源信息完成排程转接。</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系统支持科室管理者可以根据科室上班时间设置排程时间，同时自定义排程时间段、排程时间间隔以自动跳过无效排程时间，提高排程有效性和排程效率。</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系统同时支持科室管理者可以根据实际排班情况调整排程人员信息，支持根据设备完好情况调整排程资源排程信息，支持将设备、人员与治疗室建立关联关系。</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全景视图</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全景视图为使用科室提供多维患者视图，便于治疗团队中各角色成员全方位了解患者当前病情，为患者制定更合理有效的康复计划提供数据实现。</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w:t>
                        </w:r>
                        <w:r>
                          <w:rPr>
                            <w:rFonts w:ascii="calibri" w:hAnsi="calibri" w:cs="calibri" w:eastAsia="calibri"/>
                            <w:sz w:val="20"/>
                          </w:rPr>
                          <w:t>1.</w:t>
                        </w:r>
                        <w:r>
                          <w:rPr>
                            <w:rFonts w:ascii="宋体" w:hAnsi="宋体" w:cs="宋体" w:eastAsia="宋体"/>
                            <w:sz w:val="20"/>
                          </w:rPr>
                          <w:t>康复集成视图（截图证明）</w:t>
                        </w:r>
                        <w:r>
                          <w:br/>
                        </w:r>
                        <w:r>
                          <w:rPr>
                            <w:rFonts w:ascii="宋体" w:hAnsi="宋体" w:cs="宋体" w:eastAsia="宋体"/>
                            <w:sz w:val="20"/>
                          </w:rPr>
                          <w:t>需实现集中显示某位患者在使用科室医生开立的所有评定及治疗医嘱的实际执行情况；</w:t>
                        </w:r>
                        <w:r>
                          <w:br/>
                        </w:r>
                        <w:r>
                          <w:rPr>
                            <w:rFonts w:ascii="宋体" w:hAnsi="宋体" w:cs="宋体" w:eastAsia="宋体"/>
                            <w:sz w:val="20"/>
                          </w:rPr>
                          <w:t>需实现查看全部或只看评定或治疗相关日程；</w:t>
                        </w:r>
                        <w:r>
                          <w:br/>
                        </w:r>
                        <w:r>
                          <w:rPr>
                            <w:rFonts w:ascii="宋体" w:hAnsi="宋体" w:cs="宋体" w:eastAsia="宋体"/>
                            <w:sz w:val="20"/>
                          </w:rPr>
                          <w:t>需实现查看视图中的具体某项评定或治疗的详细信息。</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0"/>
                          </w:rPr>
                          <w:t>2.</w:t>
                        </w:r>
                        <w:r>
                          <w:rPr>
                            <w:rFonts w:ascii="宋体" w:hAnsi="宋体" w:cs="宋体" w:eastAsia="宋体"/>
                            <w:sz w:val="20"/>
                          </w:rPr>
                          <w:t>康复评定总览</w:t>
                        </w:r>
                        <w:r>
                          <w:br/>
                        </w:r>
                        <w:r>
                          <w:rPr>
                            <w:rFonts w:ascii="宋体" w:hAnsi="宋体" w:cs="宋体" w:eastAsia="宋体"/>
                            <w:sz w:val="20"/>
                          </w:rPr>
                          <w:t>需实现集中显示某位患者在使用科室做过的所有可量化的各项评定结果；</w:t>
                        </w:r>
                        <w:r>
                          <w:br/>
                        </w:r>
                        <w:r>
                          <w:rPr>
                            <w:rFonts w:ascii="宋体" w:hAnsi="宋体" w:cs="宋体" w:eastAsia="宋体"/>
                            <w:sz w:val="20"/>
                          </w:rPr>
                          <w:t>需实现评定项目为单位展示其发展变化趋势；</w:t>
                        </w:r>
                        <w:r>
                          <w:br/>
                        </w:r>
                        <w:r>
                          <w:rPr>
                            <w:rFonts w:ascii="宋体" w:hAnsi="宋体" w:cs="宋体" w:eastAsia="宋体"/>
                            <w:sz w:val="20"/>
                          </w:rPr>
                          <w:t>需实现查看患者在使用科室做过的所有评定的详细报告。</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0"/>
                          </w:rPr>
                          <w:t>3.</w:t>
                        </w:r>
                        <w:r>
                          <w:rPr>
                            <w:rFonts w:ascii="宋体" w:hAnsi="宋体" w:cs="宋体" w:eastAsia="宋体"/>
                            <w:sz w:val="20"/>
                          </w:rPr>
                          <w:t>康复评定结果分析</w:t>
                        </w:r>
                        <w:r>
                          <w:br/>
                        </w:r>
                        <w:r>
                          <w:rPr>
                            <w:rFonts w:ascii="宋体" w:hAnsi="宋体" w:cs="宋体" w:eastAsia="宋体"/>
                            <w:sz w:val="20"/>
                          </w:rPr>
                          <w:t>需实现以单个评定项目为单位，查看在使用科室每次做过的评定报告以及整体变化趋势展示；</w:t>
                        </w:r>
                        <w:r>
                          <w:br/>
                        </w:r>
                        <w:r>
                          <w:rPr>
                            <w:rFonts w:ascii="宋体" w:hAnsi="宋体" w:cs="宋体" w:eastAsia="宋体"/>
                            <w:sz w:val="20"/>
                          </w:rPr>
                          <w:t>需实现查看患者在本院治疗期间做过的所有评定量表的历史评定展示及趋势分析。</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统计查询</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需支持统计数据指标个性化定制，需实现提供全面的统计查询功能；</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需实现从管理者的角度，进行科室各项运营数据的统计；</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需实现统计治疗师工作量、评定师工作量、治疗室每日负荷，医生工作量等。</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系统管理</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0"/>
                          </w:rPr>
                          <w:t>1.</w:t>
                        </w:r>
                        <w:r>
                          <w:rPr>
                            <w:rFonts w:ascii="宋体" w:hAnsi="宋体" w:cs="宋体" w:eastAsia="宋体"/>
                            <w:sz w:val="20"/>
                          </w:rPr>
                          <w:t>医嘱术语管理</w:t>
                        </w:r>
                        <w:r>
                          <w:br/>
                        </w:r>
                        <w:r>
                          <w:rPr>
                            <w:rFonts w:ascii="宋体" w:hAnsi="宋体" w:cs="宋体" w:eastAsia="宋体"/>
                            <w:sz w:val="20"/>
                          </w:rPr>
                          <w:t>需实现康复评定和康复治疗涉及的所有医嘱术语的信息管理。</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0"/>
                          </w:rPr>
                          <w:t>2.</w:t>
                        </w:r>
                        <w:r>
                          <w:rPr>
                            <w:rFonts w:ascii="宋体" w:hAnsi="宋体" w:cs="宋体" w:eastAsia="宋体"/>
                            <w:sz w:val="20"/>
                          </w:rPr>
                          <w:t>康复室管理</w:t>
                        </w:r>
                        <w:r>
                          <w:br/>
                        </w:r>
                        <w:r>
                          <w:rPr>
                            <w:rFonts w:ascii="宋体" w:hAnsi="宋体" w:cs="宋体" w:eastAsia="宋体"/>
                            <w:sz w:val="20"/>
                          </w:rPr>
                          <w:t>需实现评定室及治疗室的基本信息管理。</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0"/>
                          </w:rPr>
                          <w:t>3.</w:t>
                        </w:r>
                        <w:r>
                          <w:rPr>
                            <w:rFonts w:ascii="宋体" w:hAnsi="宋体" w:cs="宋体" w:eastAsia="宋体"/>
                            <w:sz w:val="20"/>
                          </w:rPr>
                          <w:t>病区与康复室关系管理</w:t>
                        </w:r>
                        <w:r>
                          <w:br/>
                        </w:r>
                        <w:r>
                          <w:rPr>
                            <w:rFonts w:ascii="宋体" w:hAnsi="宋体" w:cs="宋体" w:eastAsia="宋体"/>
                            <w:sz w:val="20"/>
                          </w:rPr>
                          <w:t>需实现每个病区对应的治疗室及评定室的优先顺序管理。</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0"/>
                          </w:rPr>
                          <w:t>4.</w:t>
                        </w:r>
                        <w:r>
                          <w:rPr>
                            <w:rFonts w:ascii="宋体" w:hAnsi="宋体" w:cs="宋体" w:eastAsia="宋体"/>
                            <w:sz w:val="20"/>
                          </w:rPr>
                          <w:t>组套管理</w:t>
                        </w:r>
                        <w:r>
                          <w:br/>
                        </w:r>
                        <w:r>
                          <w:rPr>
                            <w:rFonts w:ascii="宋体" w:hAnsi="宋体" w:cs="宋体" w:eastAsia="宋体"/>
                            <w:sz w:val="20"/>
                          </w:rPr>
                          <w:t>需实现评定组套和治疗组套的信息管理。</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0"/>
                          </w:rPr>
                          <w:t>5.</w:t>
                        </w:r>
                        <w:r>
                          <w:rPr>
                            <w:rFonts w:ascii="宋体" w:hAnsi="宋体" w:cs="宋体" w:eastAsia="宋体"/>
                            <w:sz w:val="20"/>
                          </w:rPr>
                          <w:t>治疗资源管理</w:t>
                        </w:r>
                        <w:r>
                          <w:br/>
                        </w:r>
                        <w:r>
                          <w:rPr>
                            <w:rFonts w:ascii="宋体" w:hAnsi="宋体" w:cs="宋体" w:eastAsia="宋体"/>
                            <w:sz w:val="20"/>
                          </w:rPr>
                          <w:t>需实现为患者提供康复治疗服务的所有设备资源的管理。</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0"/>
                          </w:rPr>
                          <w:t>6.</w:t>
                        </w:r>
                        <w:r>
                          <w:rPr>
                            <w:rFonts w:ascii="宋体" w:hAnsi="宋体" w:cs="宋体" w:eastAsia="宋体"/>
                            <w:sz w:val="20"/>
                          </w:rPr>
                          <w:t>治疗医嘱管理</w:t>
                        </w:r>
                        <w:r>
                          <w:br/>
                        </w:r>
                        <w:r>
                          <w:rPr>
                            <w:rFonts w:ascii="宋体" w:hAnsi="宋体" w:cs="宋体" w:eastAsia="宋体"/>
                            <w:sz w:val="20"/>
                          </w:rPr>
                          <w:t>需实现每个治疗室内可以承接的康复治疗医嘱的相关信息管理。</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0"/>
                          </w:rPr>
                          <w:t>7.</w:t>
                        </w:r>
                        <w:r>
                          <w:rPr>
                            <w:rFonts w:ascii="宋体" w:hAnsi="宋体" w:cs="宋体" w:eastAsia="宋体"/>
                            <w:sz w:val="20"/>
                          </w:rPr>
                          <w:t>评定医嘱管理</w:t>
                        </w:r>
                        <w:r>
                          <w:br/>
                        </w:r>
                        <w:r>
                          <w:rPr>
                            <w:rFonts w:ascii="宋体" w:hAnsi="宋体" w:cs="宋体" w:eastAsia="宋体"/>
                            <w:sz w:val="20"/>
                          </w:rPr>
                          <w:t>需实现每个评定室内可以承接的康复评定医嘱的相关信息管理。</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0"/>
                          </w:rPr>
                          <w:t>8.</w:t>
                        </w:r>
                        <w:r>
                          <w:rPr>
                            <w:rFonts w:ascii="宋体" w:hAnsi="宋体" w:cs="宋体" w:eastAsia="宋体"/>
                            <w:sz w:val="20"/>
                          </w:rPr>
                          <w:t>用户权限管理</w:t>
                        </w:r>
                        <w:r>
                          <w:br/>
                        </w:r>
                        <w:r>
                          <w:rPr>
                            <w:rFonts w:ascii="宋体" w:hAnsi="宋体" w:cs="宋体" w:eastAsia="宋体"/>
                            <w:sz w:val="20"/>
                          </w:rPr>
                          <w:t>需实现设置用户角色，包括医生、评定师、治疗师、管理者、系统管理员等角色。</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0"/>
                          </w:rPr>
                          <w:t>9.</w:t>
                        </w:r>
                        <w:r>
                          <w:rPr>
                            <w:rFonts w:ascii="宋体" w:hAnsi="宋体" w:cs="宋体" w:eastAsia="宋体"/>
                            <w:sz w:val="20"/>
                          </w:rPr>
                          <w:t>模板管理</w:t>
                        </w:r>
                        <w:r>
                          <w:br/>
                        </w:r>
                        <w:r>
                          <w:rPr>
                            <w:rFonts w:ascii="宋体" w:hAnsi="宋体" w:cs="宋体" w:eastAsia="宋体"/>
                            <w:sz w:val="20"/>
                          </w:rPr>
                          <w:t>需实现文本模板管理，实现用户快速录入。</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0"/>
                          </w:rPr>
                          <w:t>10.</w:t>
                        </w:r>
                        <w:r>
                          <w:rPr>
                            <w:rFonts w:ascii="宋体" w:hAnsi="宋体" w:cs="宋体" w:eastAsia="宋体"/>
                            <w:sz w:val="20"/>
                          </w:rPr>
                          <w:t>患者事件</w:t>
                        </w:r>
                        <w:r>
                          <w:br/>
                        </w:r>
                        <w:r>
                          <w:rPr>
                            <w:rFonts w:ascii="宋体" w:hAnsi="宋体" w:cs="宋体" w:eastAsia="宋体"/>
                            <w:sz w:val="20"/>
                          </w:rPr>
                          <w:t>需实现以患者为单位的事件列表，通过事件状态进行消息过滤。</w:t>
                        </w:r>
                        <w:r>
                          <w:br/>
                        </w:r>
                        <w:r>
                          <w:rPr>
                            <w:rFonts w:ascii="宋体" w:hAnsi="宋体" w:cs="宋体" w:eastAsia="宋体"/>
                            <w:sz w:val="20"/>
                          </w:rPr>
                          <w:t>需实现对于已知的事件，将相关人员设置成已读表明相关内容已知晓。</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评定知识库</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需实现评估量表数据结构化；</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▲系统需支持移动端操作；支持评分修改记录查看；（截图证明）</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支持历史评分记录比对功能。</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系统需提供康复评定知识库，涵盖规范评定量表，包括器械类及量表类。</w:t>
                        </w:r>
                        <w:r>
                          <w:br/>
                        </w:r>
                        <w:r>
                          <w:rPr>
                            <w:rFonts w:ascii="宋体" w:hAnsi="宋体" w:cs="宋体" w:eastAsia="宋体"/>
                            <w:sz w:val="20"/>
                          </w:rPr>
                          <w:t>器械类康复评定评估包括但不限于：等速肌力测试、体感诱发电位、膝关节稳定性、运动诱发电位、脑干听诱发电位。</w:t>
                        </w:r>
                        <w:r>
                          <w:br/>
                        </w:r>
                        <w:r>
                          <w:rPr>
                            <w:rFonts w:ascii="宋体" w:hAnsi="宋体" w:cs="宋体" w:eastAsia="宋体"/>
                            <w:sz w:val="20"/>
                          </w:rPr>
                          <w:t>量表类康复评定评估包括但不限于：</w:t>
                        </w:r>
                        <w:r>
                          <w:rPr>
                            <w:rFonts w:ascii="calibri" w:hAnsi="calibri" w:cs="calibri" w:eastAsia="calibri"/>
                            <w:sz w:val="20"/>
                          </w:rPr>
                          <w:t>Hoffer</w:t>
                        </w:r>
                        <w:r>
                          <w:rPr>
                            <w:rFonts w:ascii="宋体" w:hAnsi="宋体" w:cs="宋体" w:eastAsia="宋体"/>
                            <w:sz w:val="20"/>
                          </w:rPr>
                          <w:t>步行功能评分、改良</w:t>
                        </w:r>
                        <w:r>
                          <w:rPr>
                            <w:rFonts w:ascii="calibri" w:hAnsi="calibri" w:cs="calibri" w:eastAsia="calibri"/>
                            <w:sz w:val="20"/>
                          </w:rPr>
                          <w:t>Barthel</w:t>
                        </w:r>
                        <w:r>
                          <w:rPr>
                            <w:rFonts w:ascii="宋体" w:hAnsi="宋体" w:cs="宋体" w:eastAsia="宋体"/>
                            <w:sz w:val="20"/>
                          </w:rPr>
                          <w:t>指数评分、简易精神状态检查（</w:t>
                        </w:r>
                        <w:r>
                          <w:rPr>
                            <w:rFonts w:ascii="calibri" w:hAnsi="calibri" w:cs="calibri" w:eastAsia="calibri"/>
                            <w:sz w:val="20"/>
                          </w:rPr>
                          <w:t>MMSE</w:t>
                        </w:r>
                        <w:r>
                          <w:rPr>
                            <w:rFonts w:ascii="宋体" w:hAnsi="宋体" w:cs="宋体" w:eastAsia="宋体"/>
                            <w:sz w:val="20"/>
                          </w:rPr>
                          <w:t>）、改良</w:t>
                        </w:r>
                        <w:r>
                          <w:rPr>
                            <w:rFonts w:ascii="calibri" w:hAnsi="calibri" w:cs="calibri" w:eastAsia="calibri"/>
                            <w:sz w:val="20"/>
                          </w:rPr>
                          <w:t>Ashworth</w:t>
                        </w:r>
                        <w:r>
                          <w:rPr>
                            <w:rFonts w:ascii="宋体" w:hAnsi="宋体" w:cs="宋体" w:eastAsia="宋体"/>
                            <w:sz w:val="20"/>
                          </w:rPr>
                          <w:t>痉挛评价量表、通用型</w:t>
                        </w:r>
                        <w:r>
                          <w:rPr>
                            <w:rFonts w:ascii="calibri" w:hAnsi="calibri" w:cs="calibri" w:eastAsia="calibri"/>
                            <w:sz w:val="20"/>
                          </w:rPr>
                          <w:t>ICF</w:t>
                        </w:r>
                        <w:r>
                          <w:rPr>
                            <w:rFonts w:ascii="宋体" w:hAnsi="宋体" w:cs="宋体" w:eastAsia="宋体"/>
                            <w:sz w:val="20"/>
                          </w:rPr>
                          <w:t>评价量表、</w:t>
                        </w:r>
                        <w:r>
                          <w:rPr>
                            <w:rFonts w:ascii="calibri" w:hAnsi="calibri" w:cs="calibri" w:eastAsia="calibri"/>
                            <w:sz w:val="20"/>
                          </w:rPr>
                          <w:t>MOCA</w:t>
                        </w:r>
                        <w:r>
                          <w:rPr>
                            <w:rFonts w:ascii="宋体" w:hAnsi="宋体" w:cs="宋体" w:eastAsia="宋体"/>
                            <w:sz w:val="20"/>
                          </w:rPr>
                          <w:t>量表、脊髓损伤神经学分类国际标准（</w:t>
                        </w:r>
                        <w:r>
                          <w:rPr>
                            <w:rFonts w:ascii="calibri" w:hAnsi="calibri" w:cs="calibri" w:eastAsia="calibri"/>
                            <w:sz w:val="20"/>
                          </w:rPr>
                          <w:t>ASIA</w:t>
                        </w:r>
                        <w:r>
                          <w:rPr>
                            <w:rFonts w:ascii="宋体" w:hAnsi="宋体" w:cs="宋体" w:eastAsia="宋体"/>
                            <w:sz w:val="20"/>
                          </w:rPr>
                          <w:t>）。</w:t>
                        </w:r>
                        <w:r>
                          <w:br/>
                        </w:r>
                        <w:r>
                          <w:rPr>
                            <w:rFonts w:ascii="宋体" w:hAnsi="宋体" w:cs="宋体" w:eastAsia="宋体"/>
                            <w:sz w:val="20"/>
                          </w:rPr>
                          <w:t>量表类疼痛评定评估包括但不限于：视觉模拟评分量表（</w:t>
                        </w:r>
                        <w:r>
                          <w:rPr>
                            <w:rFonts w:ascii="calibri" w:hAnsi="calibri" w:cs="calibri" w:eastAsia="calibri"/>
                            <w:sz w:val="20"/>
                          </w:rPr>
                          <w:t>VAS</w:t>
                        </w:r>
                        <w:r>
                          <w:rPr>
                            <w:rFonts w:ascii="宋体" w:hAnsi="宋体" w:cs="宋体" w:eastAsia="宋体"/>
                            <w:sz w:val="20"/>
                          </w:rPr>
                          <w:t>）、数字评分量表（</w:t>
                        </w:r>
                        <w:r>
                          <w:rPr>
                            <w:rFonts w:ascii="calibri" w:hAnsi="calibri" w:cs="calibri" w:eastAsia="calibri"/>
                            <w:sz w:val="20"/>
                          </w:rPr>
                          <w:t>NRS</w:t>
                        </w:r>
                        <w:r>
                          <w:rPr>
                            <w:rFonts w:ascii="宋体" w:hAnsi="宋体" w:cs="宋体" w:eastAsia="宋体"/>
                            <w:sz w:val="20"/>
                          </w:rPr>
                          <w:t>）、口述分级法（</w:t>
                        </w:r>
                        <w:r>
                          <w:rPr>
                            <w:rFonts w:ascii="calibri" w:hAnsi="calibri" w:cs="calibri" w:eastAsia="calibri"/>
                            <w:sz w:val="20"/>
                          </w:rPr>
                          <w:t>VRS</w:t>
                        </w:r>
                        <w:r>
                          <w:rPr>
                            <w:rFonts w:ascii="宋体" w:hAnsi="宋体" w:cs="宋体" w:eastAsia="宋体"/>
                            <w:sz w:val="20"/>
                          </w:rPr>
                          <w:t>）、改良面部表情疼痛评估工具（</w:t>
                        </w:r>
                        <w:r>
                          <w:rPr>
                            <w:rFonts w:ascii="calibri" w:hAnsi="calibri" w:cs="calibri" w:eastAsia="calibri"/>
                            <w:sz w:val="20"/>
                          </w:rPr>
                          <w:t>FPS-R</w:t>
                        </w:r>
                        <w:r>
                          <w:rPr>
                            <w:rFonts w:ascii="宋体" w:hAnsi="宋体" w:cs="宋体" w:eastAsia="宋体"/>
                            <w:sz w:val="20"/>
                          </w:rPr>
                          <w:t>）、简明疼痛评估量表（</w:t>
                        </w:r>
                        <w:r>
                          <w:rPr>
                            <w:rFonts w:ascii="calibri" w:hAnsi="calibri" w:cs="calibri" w:eastAsia="calibri"/>
                            <w:sz w:val="20"/>
                          </w:rPr>
                          <w:t>BPI</w:t>
                        </w:r>
                        <w:r>
                          <w:rPr>
                            <w:rFonts w:ascii="宋体" w:hAnsi="宋体" w:cs="宋体" w:eastAsia="宋体"/>
                            <w:sz w:val="20"/>
                          </w:rPr>
                          <w:t>）。</w:t>
                        </w:r>
                        <w:r>
                          <w:br/>
                        </w:r>
                        <w:r>
                          <w:rPr>
                            <w:rFonts w:ascii="宋体" w:hAnsi="宋体" w:cs="宋体" w:eastAsia="宋体"/>
                            <w:sz w:val="20"/>
                          </w:rPr>
                          <w:t>精神心理评估包括但不限于：焦虑筛查量表（</w:t>
                        </w:r>
                        <w:r>
                          <w:rPr>
                            <w:rFonts w:ascii="calibri" w:hAnsi="calibri" w:cs="calibri" w:eastAsia="calibri"/>
                            <w:sz w:val="20"/>
                          </w:rPr>
                          <w:t>GAD-7</w:t>
                        </w:r>
                        <w:r>
                          <w:rPr>
                            <w:rFonts w:ascii="宋体" w:hAnsi="宋体" w:cs="宋体" w:eastAsia="宋体"/>
                            <w:sz w:val="20"/>
                          </w:rPr>
                          <w:t>）、抑郁筛查量表（</w:t>
                        </w:r>
                        <w:r>
                          <w:rPr>
                            <w:rFonts w:ascii="calibri" w:hAnsi="calibri" w:cs="calibri" w:eastAsia="calibri"/>
                            <w:sz w:val="20"/>
                          </w:rPr>
                          <w:t>PHQ-9</w:t>
                        </w:r>
                        <w:r>
                          <w:rPr>
                            <w:rFonts w:ascii="宋体" w:hAnsi="宋体" w:cs="宋体" w:eastAsia="宋体"/>
                            <w:sz w:val="20"/>
                          </w:rPr>
                          <w:t>）。</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康复宣教</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需实现自定义宣教内容，可根据患者情况选择宣教内容为其进行宣教；</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需实现康复教材的下载打印。</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接口模块</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需实现与院内系统对接，实现患者信息、医嘱信息、费用信息、检查检验等信息的同步。</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需实现患者信息获取、评定医嘱开立、治疗医嘱开立、医嘱状态更新、医嘱作废、医嘱批费、</w:t>
                        </w:r>
                        <w:r>
                          <w:rPr>
                            <w:rFonts w:ascii="calibri" w:hAnsi="calibri" w:cs="calibri" w:eastAsia="calibri"/>
                            <w:sz w:val="20"/>
                          </w:rPr>
                          <w:t>CA</w:t>
                        </w:r>
                        <w:r>
                          <w:rPr>
                            <w:rFonts w:ascii="宋体" w:hAnsi="宋体" w:cs="宋体" w:eastAsia="宋体"/>
                            <w:sz w:val="20"/>
                          </w:rPr>
                          <w:t>签名、随访管理、患者移动端、康复设备等接口。</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支持用户进行退费申请、取消计费、计费同步等操作，实时反馈康复费用状态和类型，避免错费漏费的情况发生。此外，为便于用户操作，系统同样支持提供批量计费、批量取消、批量退费等快捷操作方式。</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系统支持读取有效康复医嘱信息自动生成医嘱项目收费表单，支持用户根据实际情况选择康复医嘱项目执行状态和费用核算方式，同时可将数据信息同步到医嘱项目收费表单，支持按照预设参数显示康复医嘱项目与康复计费项目间的对应关系，可按照医院实际情况进行对应规则自定义功能。</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康复治疗移动端</w:t>
                        </w:r>
                      </w:p>
                    </w:tc>
                    <w:tc>
                      <w:tcPr>
                        <w:tcW w:type="dxa" w:w="54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康复治疗移动端为使用科室医生、治疗师提供方便快捷的移动端应用，方便医生、治疗师在康复过程中顺畅工作。</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系统登录</w:t>
                        </w:r>
                      </w:p>
                    </w:tc>
                    <w:tc>
                      <w:tcPr>
                        <w:tcW w:type="dxa" w:w="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需实现医生、治疗师通过本人的</w:t>
                        </w:r>
                        <w:r>
                          <w:rPr>
                            <w:rFonts w:ascii="calibri" w:hAnsi="calibri" w:cs="calibri" w:eastAsia="calibri"/>
                            <w:sz w:val="20"/>
                          </w:rPr>
                          <w:t>HIS</w:t>
                        </w:r>
                        <w:r>
                          <w:rPr>
                            <w:rFonts w:ascii="宋体" w:hAnsi="宋体" w:cs="宋体" w:eastAsia="宋体"/>
                            <w:sz w:val="20"/>
                          </w:rPr>
                          <w:t>账户及密码登录移动端系统。</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患者列表</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需实现展示患者信息列表，监测患者评估状态与治疗状态。按不同院区康复门诊、康复住院、临床科室床旁康复业务类型对患者信息进行分类展示。</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需实现按姓名、电话、身份证、患者编号等关键字查询患者信息，按评估状态、治疗状态、病区等条件筛选查询患者信息，查看患者信息详情，患者信息包含姓名编号等基本信息、诊断等就诊信息、</w:t>
                        </w:r>
                        <w:r>
                          <w:rPr>
                            <w:rFonts w:ascii="calibri" w:hAnsi="calibri" w:cs="calibri" w:eastAsia="calibri"/>
                            <w:sz w:val="20"/>
                          </w:rPr>
                          <w:t>ICF</w:t>
                        </w:r>
                        <w:r>
                          <w:rPr>
                            <w:rFonts w:ascii="宋体" w:hAnsi="宋体" w:cs="宋体" w:eastAsia="宋体"/>
                            <w:sz w:val="20"/>
                          </w:rPr>
                          <w:t>等内容。</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需实现通过腕带扫描、本地图片识别二维码、输入患者姓名或病历号的方式查询患者。</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治疗任务</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需实现显示当前治疗的患者在本治疗室的所有治疗项目情况。</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展示划分至当前用户的治疗任务列表信息，按不同院区康复住院、临床科室床旁康复业务类型对患者信息进行分类展示。对患者具有高风险的治疗项目，进行高风险提醒。按姓名、电话、身份证、患者编号等关键字查询评治疗务信息，按治疗状态、病区、医生等条件筛选查询治疗任务信息，查看治疗任务信息详情。</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需实现查看医生开立的医嘱信息及标注的具体部位信息。</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需实现治疗师书写康复治疗执行记录。</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评估任务</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需实现按姓名、电话、身份证、患者编号等关键字查询评估任务信息，按评估状态、病区、医生等条件筛选查询评估任务信息，查看评估任务信息详情，查看评估报告详情。</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需实现展示评估任务列表信息，获取医生下达的评估医嘱信息、医保信息、收费信息；监测评估医嘱收费状态。</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需实现智能关联各类康复评估量表模板，将评估任务下达至指定评估师，可取消、修改已下达评估任务，可进行预约操作，提前选择指定日期的值班评估师完成评估任务下达。</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评估执行</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需实现评估量表数据结构化。</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执行评估任务，查看被分派的评估量表任务界面，记录各评估项目结果信息，记录评估完成时间，可打印、下载、导出评估报告。根据评估医嘱、评估表结果智能推荐治疗方案，对接医院收费系统，发起扣费指令，获取扣费状态，获取患者评估费用明细信息并展示。</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需实现取消、转派评估任务。</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需实现感觉、运动、平衡与协调、临床步态、心理、心肺、肌骨、认知等各类国际主流评估量表。</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个人统计管理</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采集用户诊疗数据，进行个人医嘱统计、个人手法项目统计、个人设备项目统计、个人收费统计指标数据的综合分析计算，按治疗师、时间等条件筛选查询并展示指标计算结果数据。以数值形式展示期内完成数量、未完成数量、完成费用、未完成费用等各分项指标的计算结果数据。以表格形式展示指标各维度数据明细。可将所选范围内数据导出至本地电子表格文件。</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患者宣教</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创建、修改、删除患者宣教资料，可创建多媒体图文信息，内置在线富文本编辑，具备文本编辑、表格编辑、格式设置、排版设置、媒体文件编辑上传、超链接、文本导出、打印等等功能。在小程序端展示患者宣教资料信息。</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消息提醒</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需实现接收系统用户发送的站内消息，接收系统自动触发的各类评估、诊疗业务变动通知、业务统计通知消息，展示消息列表，按标题、发送对象关键词查询消息，按业务类型条件筛选查询消息，查看消息详情。</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科室团队</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需实现编辑科室团队管理，查看团队成员，建立治疗小组。</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康复分析系统</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康复分析系统实现从科室运营和康复质控两方面进行临床数据的分析及展示，为科室管理者精细化管理提供数据支撑。</w:t>
                        </w:r>
                        <w:r>
                          <w:br/>
                        </w:r>
                        <w:r>
                          <w:rPr>
                            <w:rFonts w:ascii="宋体" w:hAnsi="宋体" w:cs="宋体" w:eastAsia="宋体"/>
                            <w:sz w:val="20"/>
                          </w:rPr>
                          <w:t>▲康复医学专业医疗质量控制指标（</w:t>
                        </w:r>
                        <w:r>
                          <w:rPr>
                            <w:rFonts w:ascii="calibri" w:hAnsi="calibri" w:cs="calibri" w:eastAsia="calibri"/>
                            <w:sz w:val="20"/>
                          </w:rPr>
                          <w:t>2022</w:t>
                        </w:r>
                        <w:r>
                          <w:rPr>
                            <w:rFonts w:ascii="宋体" w:hAnsi="宋体" w:cs="宋体" w:eastAsia="宋体"/>
                            <w:sz w:val="20"/>
                          </w:rPr>
                          <w:t>年版）；疼痛专业医疗质量控制指标（</w:t>
                        </w:r>
                        <w:r>
                          <w:rPr>
                            <w:rFonts w:ascii="calibri" w:hAnsi="calibri" w:cs="calibri" w:eastAsia="calibri"/>
                            <w:sz w:val="20"/>
                          </w:rPr>
                          <w:t>2023</w:t>
                        </w:r>
                        <w:r>
                          <w:rPr>
                            <w:rFonts w:ascii="宋体" w:hAnsi="宋体" w:cs="宋体" w:eastAsia="宋体"/>
                            <w:sz w:val="20"/>
                          </w:rPr>
                          <w:t>年版），以上规范中康复相关的指标。（截图证明）</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科室运营监控</w:t>
                        </w:r>
                      </w:p>
                    </w:tc>
                    <w:tc>
                      <w:tcPr>
                        <w:tcW w:type="dxa" w:w="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实时的获取生产数据，能够使管理者从总体上监控科室当前的运行情况，监控指标需要包括但不限于：当前在院患者人数、出院人数统计、各病区床位使用率、在院患者主诊断分布、病区医师患者分布、在院患者住院日统计、在院患者年龄分布、在院患者病程分布、在院患者性别分布。</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提供可视化科室运营监控数据大屏展示，需实现网页、移动端查看。</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患者评估率</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需实现患者评估率统计及实时</w:t>
                        </w:r>
                        <w:r>
                          <w:rPr>
                            <w:rFonts w:ascii="calibri" w:hAnsi="calibri" w:cs="calibri" w:eastAsia="calibri"/>
                            <w:sz w:val="20"/>
                          </w:rPr>
                          <w:t>BI</w:t>
                        </w:r>
                        <w:r>
                          <w:rPr>
                            <w:rFonts w:ascii="宋体" w:hAnsi="宋体" w:cs="宋体" w:eastAsia="宋体"/>
                            <w:sz w:val="20"/>
                          </w:rPr>
                          <w:t>大屏展示。</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治疗组评估率</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需实现治疗组评估率管理及实时</w:t>
                        </w:r>
                        <w:r>
                          <w:rPr>
                            <w:rFonts w:ascii="calibri" w:hAnsi="calibri" w:cs="calibri" w:eastAsia="calibri"/>
                            <w:sz w:val="20"/>
                          </w:rPr>
                          <w:t>BI</w:t>
                        </w:r>
                        <w:r>
                          <w:rPr>
                            <w:rFonts w:ascii="宋体" w:hAnsi="宋体" w:cs="宋体" w:eastAsia="宋体"/>
                            <w:sz w:val="20"/>
                          </w:rPr>
                          <w:t>大屏展示。</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评估完成统计</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需实现评估完成统计及实时</w:t>
                        </w:r>
                        <w:r>
                          <w:rPr>
                            <w:rFonts w:ascii="calibri" w:hAnsi="calibri" w:cs="calibri" w:eastAsia="calibri"/>
                            <w:sz w:val="20"/>
                          </w:rPr>
                          <w:t>BI</w:t>
                        </w:r>
                        <w:r>
                          <w:rPr>
                            <w:rFonts w:ascii="宋体" w:hAnsi="宋体" w:cs="宋体" w:eastAsia="宋体"/>
                            <w:sz w:val="20"/>
                          </w:rPr>
                          <w:t>大屏展示。</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质控内容</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实现用户质控任务超时提醒，任务超过规定时间会有提醒。</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实现任务负责人自定义，可选择治疗区</w:t>
                        </w:r>
                        <w:r>
                          <w:rPr>
                            <w:rFonts w:ascii="calibri" w:hAnsi="calibri" w:cs="calibri" w:eastAsia="calibri"/>
                            <w:sz w:val="20"/>
                          </w:rPr>
                          <w:t>/</w:t>
                        </w:r>
                        <w:r>
                          <w:rPr>
                            <w:rFonts w:ascii="宋体" w:hAnsi="宋体" w:cs="宋体" w:eastAsia="宋体"/>
                            <w:sz w:val="20"/>
                          </w:rPr>
                          <w:t>科室下的用户或具体的用户负责并处理任务。</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实现自定义科室任务质控，根据每个疗区的任务由责任人负责并处理，以实际开展的具体业务决定。</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实现任务管理人自定义，可设置用户查看无操作的任务情况。</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实现时间质控，任务质控时间自定义编辑，可根据院方要求进行超时提醒。</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以时间轴的形式实时展示所有任务的相关动态，包括所有任务的动态、审核的动态。</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需实现环节质控，质控点自定义编辑。可设置以下内容：是否入院评估，是否开具建议医嘱，是否召开康复评价会，是否书写康复文书，是否安排责任治疗师，是否排班，是否完成治疗，是否完成计费功能等。</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需实现质控逾期提醒，实现质控逾期</w:t>
                        </w:r>
                        <w:r>
                          <w:rPr>
                            <w:rFonts w:ascii="calibri" w:hAnsi="calibri" w:cs="calibri" w:eastAsia="calibri"/>
                            <w:sz w:val="20"/>
                          </w:rPr>
                          <w:t>BI</w:t>
                        </w:r>
                        <w:r>
                          <w:rPr>
                            <w:rFonts w:ascii="宋体" w:hAnsi="宋体" w:cs="宋体" w:eastAsia="宋体"/>
                            <w:sz w:val="20"/>
                          </w:rPr>
                          <w:t>大屏展示。</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质控上报管理</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需实现质控上报管理，采集科室康复评估、治疗等质控数据，根据康复科及疼痛科现行国家及行业质量控制指标规范，生成质量控制指标数据报表，一键生成符合国家质控要求的上报材料。</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质控统计</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实现质控数据统计，可统计以下内容：个人超时任务清单明细，个人超时任务统计，治疗组超时任务清单明细，治疗组超时任务统计功能。</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实现在一个界面呈现所有质控内容，同时具备质控分析的功能，可通过图形化展示。</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实现以责任人维度进行统计，统计责任人的超时任务数量，可通过点超时未完成数值，查看未完成任务详情。</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患者移动端</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患者移动端</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需支持患者通过医院公众号、小程序、短信等方式获取患者诊疗预约信息、诊疗报告信息、被推送的家庭康复方案等。</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0"/>
                          </w:rPr>
                          <w:t>1.</w:t>
                        </w:r>
                        <w:r>
                          <w:rPr>
                            <w:rFonts w:ascii="宋体" w:hAnsi="宋体" w:cs="宋体" w:eastAsia="宋体"/>
                            <w:sz w:val="20"/>
                          </w:rPr>
                          <w:t>支持居家康复管理</w:t>
                        </w:r>
                        <w:r>
                          <w:br/>
                        </w:r>
                        <w:r>
                          <w:rPr>
                            <w:rFonts w:ascii="calibri" w:hAnsi="calibri" w:cs="calibri" w:eastAsia="calibri"/>
                            <w:sz w:val="20"/>
                          </w:rPr>
                          <w:t>1</w:t>
                        </w:r>
                        <w:r>
                          <w:rPr>
                            <w:rFonts w:ascii="宋体" w:hAnsi="宋体" w:cs="宋体" w:eastAsia="宋体"/>
                            <w:sz w:val="20"/>
                          </w:rPr>
                          <w:t>）系统需支持创建患者个人档案和居家康复计划。</w:t>
                        </w:r>
                        <w:r>
                          <w:br/>
                        </w:r>
                        <w:r>
                          <w:rPr>
                            <w:rFonts w:ascii="calibri" w:hAnsi="calibri" w:cs="calibri" w:eastAsia="calibri"/>
                            <w:sz w:val="20"/>
                          </w:rPr>
                          <w:t xml:space="preserve">2) </w:t>
                        </w:r>
                        <w:r>
                          <w:rPr>
                            <w:rFonts w:ascii="宋体" w:hAnsi="宋体" w:cs="宋体" w:eastAsia="宋体"/>
                            <w:sz w:val="20"/>
                          </w:rPr>
                          <w:t>系统需支持根据患者实际情况手动选择居家康复记录表、快速应用康复模板制定居家康复计划，支持设置居家康复的形式、频次、周期、填写相关注意事项等内容。</w:t>
                        </w:r>
                        <w:r>
                          <w:br/>
                        </w:r>
                        <w:r>
                          <w:rPr>
                            <w:rFonts w:ascii="calibri" w:hAnsi="calibri" w:cs="calibri" w:eastAsia="calibri"/>
                            <w:sz w:val="20"/>
                          </w:rPr>
                          <w:t>3</w:t>
                        </w:r>
                        <w:r>
                          <w:rPr>
                            <w:rFonts w:ascii="宋体" w:hAnsi="宋体" w:cs="宋体" w:eastAsia="宋体"/>
                            <w:sz w:val="20"/>
                          </w:rPr>
                          <w:t>）系统需支持根据患者情况制定个性化居家康复计划、居家康复目标、注意事项等信息，支持快速应用居家康复模板内容和历史居家方案信息。</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0"/>
                          </w:rPr>
                          <w:t>2.</w:t>
                        </w:r>
                        <w:r>
                          <w:rPr>
                            <w:rFonts w:ascii="宋体" w:hAnsi="宋体" w:cs="宋体" w:eastAsia="宋体"/>
                            <w:sz w:val="20"/>
                          </w:rPr>
                          <w:t>满意度评价</w:t>
                        </w:r>
                        <w:r>
                          <w:br/>
                        </w:r>
                        <w:r>
                          <w:rPr>
                            <w:rFonts w:ascii="宋体" w:hAnsi="宋体" w:cs="宋体" w:eastAsia="宋体"/>
                            <w:sz w:val="20"/>
                          </w:rPr>
                          <w:t>需实现患者完成患者满意度评价填报</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sz w:val="20"/>
                          </w:rPr>
                          <w:t>3.</w:t>
                        </w:r>
                        <w:r>
                          <w:rPr>
                            <w:rFonts w:ascii="宋体" w:hAnsi="宋体" w:cs="宋体" w:eastAsia="宋体"/>
                            <w:sz w:val="20"/>
                          </w:rPr>
                          <w:t>需实现展示宣教资料列表，按标题关键字查询患教资料，按病种、类型等条件筛选查询患教资料，查看宣教资料图文详情。需实现宣教资料与治疗项目关联。</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接口对接</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本项目为交钥匙工程，免费提供系统相关接口对接服务及第三方系统接口改造费用。（含其他系统改造费）</w:t>
                        </w:r>
                      </w:p>
                    </w:tc>
                  </w:tr>
                </w:tbl>
                <w:p>
                  <w:pPr>
                    <w:pStyle w:val="null3"/>
                  </w:pPr>
                  <w:r>
                    <w:rPr>
                      <w:rFonts w:ascii="宋体" w:hAnsi="宋体" w:cs="宋体" w:eastAsia="宋体"/>
                      <w:sz w:val="19"/>
                    </w:rPr>
                    <w:t xml:space="preserve"> </w:t>
                  </w:r>
                  <w:r>
                    <w:rPr>
                      <w:rFonts w:ascii="宋体" w:hAnsi="宋体" w:cs="宋体" w:eastAsia="宋体"/>
                      <w:sz w:val="19"/>
                    </w:rPr>
                    <w:t>其他要求：</w:t>
                  </w:r>
                </w:p>
                <w:p>
                  <w:pPr>
                    <w:pStyle w:val="null3"/>
                    <w:ind w:firstLine="840"/>
                  </w:pPr>
                  <w:r>
                    <w:rPr>
                      <w:rFonts w:ascii="calibri" w:hAnsi="calibri" w:cs="calibri" w:eastAsia="calibri"/>
                      <w:sz w:val="19"/>
                    </w:rPr>
                    <w:t>1</w:t>
                  </w:r>
                  <w:r>
                    <w:rPr>
                      <w:rFonts w:ascii="宋体" w:hAnsi="宋体" w:cs="宋体" w:eastAsia="宋体"/>
                      <w:sz w:val="19"/>
                    </w:rPr>
                    <w:t>、供应商应在采购文件中说明在免费维保期内提供的服务计划，维护范围包括（包括但不限于）软件安装，调试、维修，接口、集成、升级等内容。</w:t>
                  </w:r>
                </w:p>
                <w:p>
                  <w:pPr>
                    <w:pStyle w:val="null3"/>
                    <w:ind w:firstLine="840"/>
                  </w:pPr>
                  <w:r>
                    <w:rPr>
                      <w:rFonts w:ascii="calibri" w:hAnsi="calibri" w:cs="calibri" w:eastAsia="calibri"/>
                      <w:sz w:val="19"/>
                    </w:rPr>
                    <w:t>2</w:t>
                  </w:r>
                  <w:r>
                    <w:rPr>
                      <w:rFonts w:ascii="宋体" w:hAnsi="宋体" w:cs="宋体" w:eastAsia="宋体"/>
                      <w:sz w:val="19"/>
                    </w:rPr>
                    <w:t>、在免费维保期内，供应商应确保系统的正常使用。项目验收后有项目服务组人员驻场，根据实际需要，指定工程技术人员提供技术服务，采取现场支持、远程维护、电话、电子邮件、互联网远程支持等多种服务方式。</w:t>
                  </w:r>
                </w:p>
                <w:p>
                  <w:pPr>
                    <w:pStyle w:val="null3"/>
                    <w:ind w:firstLine="840"/>
                  </w:pPr>
                  <w:r>
                    <w:rPr>
                      <w:rFonts w:ascii="calibri" w:hAnsi="calibri" w:cs="calibri" w:eastAsia="calibri"/>
                      <w:sz w:val="19"/>
                    </w:rPr>
                    <w:t>3</w:t>
                  </w:r>
                  <w:r>
                    <w:rPr>
                      <w:rFonts w:ascii="宋体" w:hAnsi="宋体" w:cs="宋体" w:eastAsia="宋体"/>
                      <w:sz w:val="19"/>
                    </w:rPr>
                    <w:t>、项目建设及维保期内，软件版本及相关知识库免费升级。如遇国家或上级主管部门政策调整、要求，中标人需无偿提供相关接口、技术、开发服务。</w:t>
                  </w:r>
                </w:p>
                <w:p>
                  <w:pPr>
                    <w:pStyle w:val="null3"/>
                    <w:ind w:firstLine="840"/>
                  </w:pPr>
                  <w:r>
                    <w:rPr>
                      <w:rFonts w:ascii="calibri" w:hAnsi="calibri" w:cs="calibri" w:eastAsia="calibri"/>
                      <w:sz w:val="19"/>
                    </w:rPr>
                    <w:t>4</w:t>
                  </w:r>
                  <w:r>
                    <w:rPr>
                      <w:rFonts w:ascii="宋体" w:hAnsi="宋体" w:cs="宋体" w:eastAsia="宋体"/>
                      <w:sz w:val="19"/>
                    </w:rPr>
                    <w:t>、在免费维保期内，提供全年每周</w:t>
                  </w:r>
                  <w:r>
                    <w:rPr>
                      <w:rFonts w:ascii="calibri" w:hAnsi="calibri" w:cs="calibri" w:eastAsia="calibri"/>
                      <w:sz w:val="19"/>
                    </w:rPr>
                    <w:t>7</w:t>
                  </w:r>
                  <w:r>
                    <w:rPr>
                      <w:rFonts w:ascii="宋体" w:hAnsi="宋体" w:cs="宋体" w:eastAsia="宋体"/>
                      <w:sz w:val="19"/>
                    </w:rPr>
                    <w:t>天、每天</w:t>
                  </w:r>
                  <w:r>
                    <w:rPr>
                      <w:rFonts w:ascii="calibri" w:hAnsi="calibri" w:cs="calibri" w:eastAsia="calibri"/>
                      <w:sz w:val="19"/>
                    </w:rPr>
                    <w:t>24</w:t>
                  </w:r>
                  <w:r>
                    <w:rPr>
                      <w:rFonts w:ascii="宋体" w:hAnsi="宋体" w:cs="宋体" w:eastAsia="宋体"/>
                      <w:sz w:val="19"/>
                    </w:rPr>
                    <w:t>小时的全天候服务和每天</w:t>
                  </w:r>
                  <w:r>
                    <w:rPr>
                      <w:rFonts w:ascii="calibri" w:hAnsi="calibri" w:cs="calibri" w:eastAsia="calibri"/>
                      <w:sz w:val="19"/>
                    </w:rPr>
                    <w:t>24</w:t>
                  </w:r>
                  <w:r>
                    <w:rPr>
                      <w:rFonts w:ascii="宋体" w:hAnsi="宋体" w:cs="宋体" w:eastAsia="宋体"/>
                      <w:sz w:val="19"/>
                    </w:rPr>
                    <w:t>小时热线电话服务，包括节假日，电话响应时间不超过</w:t>
                  </w:r>
                  <w:r>
                    <w:rPr>
                      <w:rFonts w:ascii="calibri" w:hAnsi="calibri" w:cs="calibri" w:eastAsia="calibri"/>
                      <w:sz w:val="19"/>
                    </w:rPr>
                    <w:t>30</w:t>
                  </w:r>
                  <w:r>
                    <w:rPr>
                      <w:rFonts w:ascii="宋体" w:hAnsi="宋体" w:cs="宋体" w:eastAsia="宋体"/>
                      <w:sz w:val="19"/>
                    </w:rPr>
                    <w:t>分钟，一级故障处理时间不超过</w:t>
                  </w:r>
                  <w:r>
                    <w:rPr>
                      <w:rFonts w:ascii="calibri" w:hAnsi="calibri" w:cs="calibri" w:eastAsia="calibri"/>
                      <w:sz w:val="19"/>
                    </w:rPr>
                    <w:t>2h</w:t>
                  </w:r>
                  <w:r>
                    <w:rPr>
                      <w:rFonts w:ascii="宋体" w:hAnsi="宋体" w:cs="宋体" w:eastAsia="宋体"/>
                      <w:sz w:val="19"/>
                    </w:rPr>
                    <w:t>，二级故障处理时间不超过</w:t>
                  </w:r>
                  <w:r>
                    <w:rPr>
                      <w:rFonts w:ascii="calibri" w:hAnsi="calibri" w:cs="calibri" w:eastAsia="calibri"/>
                      <w:sz w:val="19"/>
                    </w:rPr>
                    <w:t>3h</w:t>
                  </w:r>
                  <w:r>
                    <w:rPr>
                      <w:rFonts w:ascii="宋体" w:hAnsi="宋体" w:cs="宋体" w:eastAsia="宋体"/>
                      <w:sz w:val="19"/>
                    </w:rPr>
                    <w:t>，三级故障处理时间不超过</w:t>
                  </w:r>
                  <w:r>
                    <w:rPr>
                      <w:rFonts w:ascii="calibri" w:hAnsi="calibri" w:cs="calibri" w:eastAsia="calibri"/>
                      <w:sz w:val="19"/>
                    </w:rPr>
                    <w:t>48h</w:t>
                  </w:r>
                  <w:r>
                    <w:rPr>
                      <w:rFonts w:ascii="宋体" w:hAnsi="宋体" w:cs="宋体" w:eastAsia="宋体"/>
                      <w:sz w:val="19"/>
                    </w:rPr>
                    <w:t>，四级故障处理时间不超过一周。</w:t>
                  </w:r>
                </w:p>
                <w:p>
                  <w:pPr>
                    <w:pStyle w:val="null3"/>
                    <w:ind w:firstLine="840"/>
                  </w:pPr>
                  <w:r>
                    <w:rPr>
                      <w:rFonts w:ascii="宋体" w:hAnsi="宋体" w:cs="宋体" w:eastAsia="宋体"/>
                      <w:sz w:val="19"/>
                    </w:rPr>
                    <w:t>一级故障：系统停机、数据库故障、服务器瘫痪等，或对正常业务运作有严重影响。</w:t>
                  </w:r>
                </w:p>
                <w:p>
                  <w:pPr>
                    <w:pStyle w:val="null3"/>
                    <w:ind w:firstLine="840"/>
                  </w:pPr>
                  <w:r>
                    <w:rPr>
                      <w:rFonts w:ascii="宋体" w:hAnsi="宋体" w:cs="宋体" w:eastAsia="宋体"/>
                      <w:sz w:val="19"/>
                    </w:rPr>
                    <w:t>二级故障：系统的操作性能严重下降，或由于系统性能明显下降，使业务运作有影响，系统功能</w:t>
                  </w:r>
                  <w:r>
                    <w:rPr>
                      <w:rFonts w:ascii="calibri" w:hAnsi="calibri" w:cs="calibri" w:eastAsia="calibri"/>
                      <w:sz w:val="19"/>
                    </w:rPr>
                    <w:t>bug</w:t>
                  </w:r>
                  <w:r>
                    <w:rPr>
                      <w:rFonts w:ascii="宋体" w:hAnsi="宋体" w:cs="宋体" w:eastAsia="宋体"/>
                      <w:sz w:val="19"/>
                    </w:rPr>
                    <w:t>或日常故障。</w:t>
                  </w:r>
                </w:p>
                <w:p>
                  <w:pPr>
                    <w:pStyle w:val="null3"/>
                    <w:ind w:firstLine="840"/>
                  </w:pPr>
                  <w:r>
                    <w:rPr>
                      <w:rFonts w:ascii="宋体" w:hAnsi="宋体" w:cs="宋体" w:eastAsia="宋体"/>
                      <w:sz w:val="19"/>
                    </w:rPr>
                    <w:t>三级故障：系统的操作性能下降，但大部分业务运作仍可正常工作。</w:t>
                  </w:r>
                </w:p>
                <w:p>
                  <w:pPr>
                    <w:pStyle w:val="null3"/>
                    <w:ind w:firstLine="840"/>
                  </w:pPr>
                  <w:r>
                    <w:rPr>
                      <w:rFonts w:ascii="宋体" w:hAnsi="宋体" w:cs="宋体" w:eastAsia="宋体"/>
                      <w:sz w:val="19"/>
                    </w:rPr>
                    <w:t>四级故障：软件功能、硬件更换、接口对接或其他需要时间修改的问题。</w:t>
                  </w:r>
                </w:p>
                <w:p>
                  <w:pPr>
                    <w:pStyle w:val="null3"/>
                    <w:ind w:firstLine="840"/>
                  </w:pPr>
                  <w:r>
                    <w:rPr>
                      <w:rFonts w:ascii="calibri" w:hAnsi="calibri" w:cs="calibri" w:eastAsia="calibri"/>
                      <w:sz w:val="19"/>
                    </w:rPr>
                    <w:t>5</w:t>
                  </w:r>
                  <w:r>
                    <w:rPr>
                      <w:rFonts w:ascii="宋体" w:hAnsi="宋体" w:cs="宋体" w:eastAsia="宋体"/>
                      <w:sz w:val="19"/>
                    </w:rPr>
                    <w:t>、项目验收合格后，维保期内每年不低于</w:t>
                  </w:r>
                  <w:r>
                    <w:rPr>
                      <w:rFonts w:ascii="calibri" w:hAnsi="calibri" w:cs="calibri" w:eastAsia="calibri"/>
                      <w:sz w:val="19"/>
                    </w:rPr>
                    <w:t>4</w:t>
                  </w:r>
                  <w:r>
                    <w:rPr>
                      <w:rFonts w:ascii="宋体" w:hAnsi="宋体" w:cs="宋体" w:eastAsia="宋体"/>
                      <w:sz w:val="19"/>
                    </w:rPr>
                    <w:t>次的例行维护及巡检。例行维护内容包括：软件的功能增强性维护等应用软件系统扩充升级（其中包括系统维护、跟踪检测），保证投标方所产品的正常运行。</w:t>
                  </w:r>
                </w:p>
                <w:p>
                  <w:pPr>
                    <w:pStyle w:val="null3"/>
                    <w:ind w:firstLine="840"/>
                  </w:pPr>
                  <w:r>
                    <w:rPr>
                      <w:rFonts w:ascii="calibri" w:hAnsi="calibri" w:cs="calibri" w:eastAsia="calibri"/>
                      <w:sz w:val="19"/>
                    </w:rPr>
                    <w:t>6</w:t>
                  </w:r>
                  <w:r>
                    <w:rPr>
                      <w:rFonts w:ascii="宋体" w:hAnsi="宋体" w:cs="宋体" w:eastAsia="宋体"/>
                      <w:sz w:val="19"/>
                    </w:rPr>
                    <w:t>、免费维保期满后，另签维保协议。每年的维保服务费不高于合同额的</w:t>
                  </w:r>
                  <w:r>
                    <w:rPr>
                      <w:rFonts w:ascii="calibri" w:hAnsi="calibri" w:cs="calibri" w:eastAsia="calibri"/>
                      <w:sz w:val="19"/>
                    </w:rPr>
                    <w:t>5%</w:t>
                  </w:r>
                  <w:r>
                    <w:rPr>
                      <w:rFonts w:ascii="宋体" w:hAnsi="宋体" w:cs="宋体" w:eastAsia="宋体"/>
                      <w:sz w:val="19"/>
                    </w:rPr>
                    <w:t>。</w:t>
                  </w:r>
                </w:p>
                <w:p>
                  <w:pPr>
                    <w:pStyle w:val="null3"/>
                    <w:ind w:firstLine="840"/>
                  </w:pPr>
                  <w:r>
                    <w:rPr>
                      <w:rFonts w:ascii="calibri" w:hAnsi="calibri" w:cs="calibri" w:eastAsia="calibri"/>
                      <w:sz w:val="19"/>
                    </w:rPr>
                    <w:t>7</w:t>
                  </w:r>
                  <w:r>
                    <w:rPr>
                      <w:rFonts w:ascii="宋体" w:hAnsi="宋体" w:cs="宋体" w:eastAsia="宋体"/>
                      <w:sz w:val="19"/>
                    </w:rPr>
                    <w:t>、项目验收之日起为项目免费维护期，采购方根据售后服务考核情况，因中标方服务考核不合格，采购方有权扣除合同款最高</w:t>
                  </w:r>
                  <w:r>
                    <w:rPr>
                      <w:rFonts w:ascii="calibri" w:hAnsi="calibri" w:cs="calibri" w:eastAsia="calibri"/>
                      <w:sz w:val="19"/>
                    </w:rPr>
                    <w:t>10%</w:t>
                  </w:r>
                  <w:r>
                    <w:rPr>
                      <w:rFonts w:ascii="宋体" w:hAnsi="宋体" w:cs="宋体" w:eastAsia="宋体"/>
                      <w:sz w:val="19"/>
                    </w:rPr>
                    <w:t>作为违约金。</w:t>
                  </w:r>
                </w:p>
              </w:tc>
            </w:tr>
          </w:tbl>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 xml:space="preserve"> 自合同签订起6个月内完成系统功能需求细化调研、设计开发、功能测试、应用培训、部署上线等工作。</w:t>
      </w:r>
    </w:p>
    <w:p>
      <w:pPr>
        <w:pStyle w:val="null3"/>
        <w:outlineLvl w:val="3"/>
      </w:pPr>
      <w:r>
        <w:rPr>
          <w:sz w:val="24"/>
          <w:b/>
        </w:rPr>
        <w:t>3.4.2交货地点</w:t>
      </w:r>
    </w:p>
    <w:p>
      <w:pPr>
        <w:pStyle w:val="null3"/>
      </w:pPr>
      <w:r>
        <w:rPr/>
        <w:t>采购包1：</w:t>
      </w:r>
    </w:p>
    <w:p>
      <w:pPr>
        <w:pStyle w:val="null3"/>
      </w:pPr>
      <w:r>
        <w:rPr/>
        <w:t>延安大学附属医院本部、心脑血管病医院及妇女儿童医院</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 xml:space="preserve"> 项目系统上线正常运行一个月且符合合同、招投标文件及实施计划的技术要求，采购方组织相关人员进行项目系统验收，双方签名确认验收报告后15个工作日内，中标方向采购方提供发票及付款申请，采购方向中标方支付合同金总额的90%。</w:t>
      </w:r>
      <w:r>
        <w:rPr/>
        <w:t xml:space="preserve"> ，达到付款条件起 </w:t>
      </w:r>
      <w:r>
        <w:rPr/>
        <w:t>15</w:t>
      </w:r>
      <w:r>
        <w:rPr/>
        <w:t xml:space="preserve"> 日内，支付合同总金额的 </w:t>
      </w:r>
      <w:r>
        <w:rPr/>
        <w:t>90.00</w:t>
      </w:r>
      <w:r>
        <w:rPr/>
        <w:t>%。</w:t>
      </w:r>
    </w:p>
    <w:p>
      <w:pPr>
        <w:pStyle w:val="null3"/>
      </w:pPr>
      <w:r>
        <w:rPr/>
        <w:t>采购包1：</w:t>
      </w:r>
      <w:r>
        <w:rPr/>
        <w:t xml:space="preserve"> 付款条件说明： </w:t>
      </w:r>
      <w:r>
        <w:rPr/>
        <w:t>双方约定项目系统上线正常运行一年后且符合合同、招投标文件及实施计划的技术要求，中标方向采购方提交付款申请，采购方收到付款申请后，15个工作日内支付合同总金额的10%。</w:t>
      </w:r>
      <w:r>
        <w:rPr/>
        <w:t xml:space="preserve"> ，达到付款条件起 </w:t>
      </w:r>
      <w:r>
        <w:rPr/>
        <w:t>15</w:t>
      </w:r>
      <w:r>
        <w:rPr/>
        <w:t xml:space="preserve"> 日内，支付合同总金额的 </w:t>
      </w:r>
      <w:r>
        <w:rPr/>
        <w:t>10.00</w:t>
      </w:r>
      <w:r>
        <w:rPr/>
        <w:t>%。</w:t>
      </w:r>
    </w:p>
    <w:p>
      <w:pPr>
        <w:pStyle w:val="null3"/>
        <w:outlineLvl w:val="3"/>
      </w:pPr>
      <w:r>
        <w:rPr>
          <w:sz w:val="24"/>
          <w:b/>
        </w:rPr>
        <w:t>3.4.5验收标准和方法</w:t>
      </w:r>
    </w:p>
    <w:p>
      <w:pPr>
        <w:pStyle w:val="null3"/>
      </w:pPr>
      <w:r>
        <w:rPr/>
        <w:t>采购包1：</w:t>
      </w:r>
    </w:p>
    <w:p>
      <w:pPr>
        <w:pStyle w:val="null3"/>
      </w:pPr>
      <w:r>
        <w:rPr/>
        <w:t>1、采购人对投标人提供的产品在使用前进行调试时，投标人需负责安装并培训采购人的使用操作人员，并协助采购人一起调试，直到符合技术要求，采购人才做最终验收。 2、验收时采购方、中标人等项目相关方都须在场，验收完毕后一致作出验收结果报告。</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一年</w:t>
      </w:r>
    </w:p>
    <w:p>
      <w:pPr>
        <w:pStyle w:val="null3"/>
        <w:outlineLvl w:val="3"/>
      </w:pPr>
      <w:r>
        <w:rPr>
          <w:sz w:val="24"/>
          <w:b/>
        </w:rPr>
        <w:t>3.4.8违约责任与解决争议的方法</w:t>
      </w:r>
    </w:p>
    <w:p>
      <w:pPr>
        <w:pStyle w:val="null3"/>
      </w:pPr>
      <w:r>
        <w:rPr/>
        <w:t>采购包1：</w:t>
      </w:r>
    </w:p>
    <w:p>
      <w:pPr>
        <w:pStyle w:val="null3"/>
      </w:pPr>
      <w:r>
        <w:rPr/>
        <w:t>凡因本合同的签订、履行、解除、终止引起的或与本合同有关的任何争议，双方应通过友好协商解决，协商不成时，向延安市宝塔区人民法院提起诉讼解决。诉讼期间,双方应继续执行合同其余部分。</w:t>
      </w:r>
    </w:p>
    <w:p>
      <w:pPr>
        <w:pStyle w:val="null3"/>
        <w:jc w:val="left"/>
        <w:outlineLvl w:val="2"/>
      </w:pPr>
      <w:r>
        <w:rPr>
          <w:sz w:val="28"/>
          <w:b/>
        </w:rPr>
        <w:t>3.5其他要求</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资格证明文件 投标函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法定代表人授权书</w:t>
            </w:r>
          </w:p>
        </w:tc>
        <w:tc>
          <w:tcPr>
            <w:tcW w:type="dxa" w:w="3322"/>
          </w:tcPr>
          <w:p>
            <w:pPr>
              <w:pStyle w:val="null3"/>
            </w:pPr>
            <w:r>
              <w:rPr/>
              <w:t>法定代表人授权书（附法定代表人身份证复印件）及被授权人身份证（法定代表人直接参加须提供法定代表人身份证明及法定代表人身份证复印件）；</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银行开户</w:t>
            </w:r>
          </w:p>
        </w:tc>
        <w:tc>
          <w:tcPr>
            <w:tcW w:type="dxa" w:w="3322"/>
          </w:tcPr>
          <w:p>
            <w:pPr>
              <w:pStyle w:val="null3"/>
            </w:pPr>
            <w:r>
              <w:rPr/>
              <w:t>提供银行开户许可证或开户行基本信息；</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财务状况证明</w:t>
            </w:r>
          </w:p>
        </w:tc>
        <w:tc>
          <w:tcPr>
            <w:tcW w:type="dxa" w:w="3322"/>
          </w:tcPr>
          <w:p>
            <w:pPr>
              <w:pStyle w:val="null3"/>
            </w:pPr>
            <w:r>
              <w:rPr/>
              <w:t>提供2023年度经审计完整的财务审计报告（成立时间至提交投标文件截止时间不足一年的可提供成立后任意时段的资产负债表）或截止开标时间前三个月内由基本账户开户银行出具的资信证明；</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税收缴纳证明</w:t>
            </w:r>
          </w:p>
        </w:tc>
        <w:tc>
          <w:tcPr>
            <w:tcW w:type="dxa" w:w="3322"/>
          </w:tcPr>
          <w:p>
            <w:pPr>
              <w:pStyle w:val="null3"/>
            </w:pPr>
            <w:r>
              <w:rPr/>
              <w:t>提供截止开标时间近一年内内任意一个月缴费凭据（依法免税的供应商应提供相关文件证明）；</w:t>
            </w:r>
          </w:p>
        </w:tc>
        <w:tc>
          <w:tcPr>
            <w:tcW w:type="dxa" w:w="1661"/>
          </w:tcPr>
          <w:p>
            <w:pPr>
              <w:pStyle w:val="null3"/>
            </w:pPr>
            <w:r>
              <w:rPr/>
              <w:t>资格证明文件</w:t>
            </w:r>
          </w:p>
        </w:tc>
      </w:tr>
      <w:tr>
        <w:tc>
          <w:tcPr>
            <w:tcW w:type="dxa" w:w="831"/>
          </w:tcPr>
          <w:p>
            <w:pPr>
              <w:pStyle w:val="null3"/>
            </w:pPr>
            <w:r>
              <w:rPr/>
              <w:t>6</w:t>
            </w:r>
          </w:p>
        </w:tc>
        <w:tc>
          <w:tcPr>
            <w:tcW w:type="dxa" w:w="2492"/>
          </w:tcPr>
          <w:p>
            <w:pPr>
              <w:pStyle w:val="null3"/>
            </w:pPr>
            <w:r>
              <w:rPr/>
              <w:t>社会保障资金缴纳证明</w:t>
            </w:r>
          </w:p>
        </w:tc>
        <w:tc>
          <w:tcPr>
            <w:tcW w:type="dxa" w:w="3322"/>
          </w:tcPr>
          <w:p>
            <w:pPr>
              <w:pStyle w:val="null3"/>
            </w:pPr>
            <w:r>
              <w:rPr/>
              <w:t xml:space="preserve">提供截止开标时间近一年内任意一个月的社保缴费凭据或社保机构开具的社会保险参保缴费情况证明（依法不需要缴纳社会保障资金的供应商应提供相关证明）； </w:t>
            </w:r>
          </w:p>
        </w:tc>
        <w:tc>
          <w:tcPr>
            <w:tcW w:type="dxa" w:w="1661"/>
          </w:tcPr>
          <w:p>
            <w:pPr>
              <w:pStyle w:val="null3"/>
            </w:pPr>
            <w:r>
              <w:rPr/>
              <w:t>资格证明文件</w:t>
            </w:r>
          </w:p>
        </w:tc>
      </w:tr>
      <w:tr>
        <w:tc>
          <w:tcPr>
            <w:tcW w:type="dxa" w:w="831"/>
          </w:tcPr>
          <w:p>
            <w:pPr>
              <w:pStyle w:val="null3"/>
            </w:pPr>
            <w:r>
              <w:rPr/>
              <w:t>7</w:t>
            </w:r>
          </w:p>
        </w:tc>
        <w:tc>
          <w:tcPr>
            <w:tcW w:type="dxa" w:w="2492"/>
          </w:tcPr>
          <w:p>
            <w:pPr>
              <w:pStyle w:val="null3"/>
            </w:pPr>
            <w:r>
              <w:rPr/>
              <w:t>信誉要求</w:t>
            </w:r>
          </w:p>
        </w:tc>
        <w:tc>
          <w:tcPr>
            <w:tcW w:type="dxa" w:w="3322"/>
          </w:tcPr>
          <w:p>
            <w:pPr>
              <w:pStyle w:val="null3"/>
            </w:pPr>
            <w:r>
              <w:rPr/>
              <w:t>供应商未被列入“信用中国”网站中严重主体失信名单和经营异常名单、“中国执行信息公开网”网站失信被执行人、中国政府采购网政府采购严重违法失信行为记录名单中被财政部门禁止参加政府采购活动的供应商（提供查询结果网页截图并加盖供应商公章）；参加政府采购活动近三年内，在经营活动中没有重大违法记录声明函；</w:t>
            </w:r>
          </w:p>
        </w:tc>
        <w:tc>
          <w:tcPr>
            <w:tcW w:type="dxa" w:w="1661"/>
          </w:tcPr>
          <w:p>
            <w:pPr>
              <w:pStyle w:val="null3"/>
            </w:pPr>
            <w:r>
              <w:rPr/>
              <w:t>资格证明文件</w:t>
            </w:r>
          </w:p>
        </w:tc>
      </w:tr>
      <w:tr>
        <w:tc>
          <w:tcPr>
            <w:tcW w:type="dxa" w:w="831"/>
          </w:tcPr>
          <w:p>
            <w:pPr>
              <w:pStyle w:val="null3"/>
            </w:pPr>
            <w:r>
              <w:rPr/>
              <w:t>8</w:t>
            </w:r>
          </w:p>
        </w:tc>
        <w:tc>
          <w:tcPr>
            <w:tcW w:type="dxa" w:w="2492"/>
          </w:tcPr>
          <w:p>
            <w:pPr>
              <w:pStyle w:val="null3"/>
            </w:pPr>
            <w:r>
              <w:rPr/>
              <w:t>联合体</w:t>
            </w:r>
          </w:p>
        </w:tc>
        <w:tc>
          <w:tcPr>
            <w:tcW w:type="dxa" w:w="3322"/>
          </w:tcPr>
          <w:p>
            <w:pPr>
              <w:pStyle w:val="null3"/>
            </w:pPr>
            <w:r>
              <w:rPr/>
              <w:t>本项目不接受联合体投标</w:t>
            </w:r>
          </w:p>
        </w:tc>
        <w:tc>
          <w:tcPr>
            <w:tcW w:type="dxa" w:w="1661"/>
          </w:tcPr>
          <w:p>
            <w:pPr>
              <w:pStyle w:val="null3"/>
            </w:pPr>
            <w:r>
              <w:rPr/>
              <w:t>资格证明文件</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供应商应具备《中华人民共和国政府采购法》第二十二条规定的条件</w:t>
            </w:r>
          </w:p>
        </w:tc>
        <w:tc>
          <w:tcPr>
            <w:tcW w:type="dxa" w:w="1661"/>
          </w:tcPr>
          <w:p>
            <w:pPr>
              <w:pStyle w:val="null3"/>
            </w:pPr>
            <w:r>
              <w:rPr/>
              <w:t>投标函</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w:t>
            </w:r>
          </w:p>
        </w:tc>
      </w:tr>
      <w:tr>
        <w:tc>
          <w:tcPr>
            <w:tcW w:type="dxa" w:w="831"/>
          </w:tcPr>
          <w:p>
            <w:pPr>
              <w:pStyle w:val="null3"/>
            </w:pPr>
            <w:r>
              <w:rPr/>
              <w:t>2</w:t>
            </w:r>
          </w:p>
        </w:tc>
        <w:tc>
          <w:tcPr>
            <w:tcW w:type="dxa" w:w="2492"/>
          </w:tcPr>
          <w:p>
            <w:pPr>
              <w:pStyle w:val="null3"/>
            </w:pPr>
            <w:r>
              <w:rPr/>
              <w:t>符合招标文件的实质性要求</w:t>
            </w:r>
          </w:p>
        </w:tc>
        <w:tc>
          <w:tcPr>
            <w:tcW w:type="dxa" w:w="3322"/>
          </w:tcPr>
          <w:p>
            <w:pPr>
              <w:pStyle w:val="null3"/>
            </w:pPr>
            <w:r>
              <w:rPr/>
              <w:t>供应商按照招标文件要求上传投标文件并进行电子签章</w:t>
            </w:r>
          </w:p>
        </w:tc>
        <w:tc>
          <w:tcPr>
            <w:tcW w:type="dxa" w:w="1661"/>
          </w:tcPr>
          <w:p>
            <w:pPr>
              <w:pStyle w:val="null3"/>
            </w:pPr>
            <w:r>
              <w:rPr/>
              <w:t>开标一览表 投标保证金 中小企业声明函 供应商认为有必要说明的其他问题 资格证明文件 响应方案说明 产品技术参数表 投标函 商务偏离表 残疾人福利性单位声明函 标的清单 投标文件封面 监狱企业的证明文件</w:t>
            </w:r>
          </w:p>
        </w:tc>
      </w:tr>
      <w:tr>
        <w:tc>
          <w:tcPr>
            <w:tcW w:type="dxa" w:w="831"/>
          </w:tcPr>
          <w:p>
            <w:pPr>
              <w:pStyle w:val="null3"/>
            </w:pPr>
            <w:r>
              <w:rPr/>
              <w:t>3</w:t>
            </w:r>
          </w:p>
        </w:tc>
        <w:tc>
          <w:tcPr>
            <w:tcW w:type="dxa" w:w="2492"/>
          </w:tcPr>
          <w:p>
            <w:pPr>
              <w:pStyle w:val="null3"/>
            </w:pPr>
            <w:r>
              <w:rPr/>
              <w:t>不属于采购文件规定的无效情形</w:t>
            </w:r>
          </w:p>
        </w:tc>
        <w:tc>
          <w:tcPr>
            <w:tcW w:type="dxa" w:w="3322"/>
          </w:tcPr>
          <w:p>
            <w:pPr>
              <w:pStyle w:val="null3"/>
            </w:pPr>
            <w:r>
              <w:rPr/>
              <w:t>供应商按照招标文件要求上传响应文件</w:t>
            </w:r>
          </w:p>
        </w:tc>
        <w:tc>
          <w:tcPr>
            <w:tcW w:type="dxa" w:w="1661"/>
          </w:tcPr>
          <w:p>
            <w:pPr>
              <w:pStyle w:val="null3"/>
            </w:pPr>
            <w:r>
              <w:rPr/>
              <w:t>开标一览表 投标保证金 中小企业声明函 供应商认为有必要说明的其他问题 资格证明文件 响应方案说明 产品技术参数表 投标函 商务偏离表 残疾人福利性单位声明函 标的清单 投标文件封面 监狱企业的证明文件</w:t>
            </w:r>
          </w:p>
        </w:tc>
      </w:tr>
      <w:tr>
        <w:tc>
          <w:tcPr>
            <w:tcW w:type="dxa" w:w="831"/>
          </w:tcPr>
          <w:p>
            <w:pPr>
              <w:pStyle w:val="null3"/>
            </w:pPr>
            <w:r>
              <w:rPr/>
              <w:t>4</w:t>
            </w:r>
          </w:p>
        </w:tc>
        <w:tc>
          <w:tcPr>
            <w:tcW w:type="dxa" w:w="2492"/>
          </w:tcPr>
          <w:p>
            <w:pPr>
              <w:pStyle w:val="null3"/>
            </w:pPr>
            <w:r>
              <w:rPr/>
              <w:t>响应文件有效期</w:t>
            </w:r>
          </w:p>
        </w:tc>
        <w:tc>
          <w:tcPr>
            <w:tcW w:type="dxa" w:w="3322"/>
          </w:tcPr>
          <w:p>
            <w:pPr>
              <w:pStyle w:val="null3"/>
            </w:pPr>
            <w:r>
              <w:rPr/>
              <w:t>均符合招标文件要求</w:t>
            </w:r>
          </w:p>
        </w:tc>
        <w:tc>
          <w:tcPr>
            <w:tcW w:type="dxa" w:w="1661"/>
          </w:tcPr>
          <w:p>
            <w:pPr>
              <w:pStyle w:val="null3"/>
            </w:pPr>
            <w:r>
              <w:rPr/>
              <w:t>投标函</w:t>
            </w:r>
          </w:p>
        </w:tc>
      </w:tr>
      <w:tr>
        <w:tc>
          <w:tcPr>
            <w:tcW w:type="dxa" w:w="831"/>
          </w:tcPr>
          <w:p>
            <w:pPr>
              <w:pStyle w:val="null3"/>
            </w:pPr>
            <w:r>
              <w:rPr/>
              <w:t>5</w:t>
            </w:r>
          </w:p>
        </w:tc>
        <w:tc>
          <w:tcPr>
            <w:tcW w:type="dxa" w:w="2492"/>
          </w:tcPr>
          <w:p>
            <w:pPr>
              <w:pStyle w:val="null3"/>
            </w:pPr>
            <w:r>
              <w:rPr/>
              <w:t>投标文件的语言及计量单位</w:t>
            </w:r>
          </w:p>
        </w:tc>
        <w:tc>
          <w:tcPr>
            <w:tcW w:type="dxa" w:w="3322"/>
          </w:tcPr>
          <w:p>
            <w:pPr>
              <w:pStyle w:val="null3"/>
            </w:pPr>
            <w:r>
              <w:rPr/>
              <w:t>均符合招标文件要求</w:t>
            </w:r>
          </w:p>
        </w:tc>
        <w:tc>
          <w:tcPr>
            <w:tcW w:type="dxa" w:w="1661"/>
          </w:tcPr>
          <w:p>
            <w:pPr>
              <w:pStyle w:val="null3"/>
            </w:pPr>
            <w:r>
              <w:rPr/>
              <w:t>开标一览表 投标函 标的清单</w:t>
            </w:r>
          </w:p>
        </w:tc>
      </w:tr>
      <w:tr>
        <w:tc>
          <w:tcPr>
            <w:tcW w:type="dxa" w:w="831"/>
          </w:tcPr>
          <w:p>
            <w:pPr>
              <w:pStyle w:val="null3"/>
            </w:pPr>
            <w:r>
              <w:rPr/>
              <w:t>6</w:t>
            </w:r>
          </w:p>
        </w:tc>
        <w:tc>
          <w:tcPr>
            <w:tcW w:type="dxa" w:w="2492"/>
          </w:tcPr>
          <w:p>
            <w:pPr>
              <w:pStyle w:val="null3"/>
            </w:pPr>
            <w:r>
              <w:rPr/>
              <w:t>投标保证金</w:t>
            </w:r>
          </w:p>
        </w:tc>
        <w:tc>
          <w:tcPr>
            <w:tcW w:type="dxa" w:w="3322"/>
          </w:tcPr>
          <w:p>
            <w:pPr>
              <w:pStyle w:val="null3"/>
            </w:pPr>
            <w:r>
              <w:rPr/>
              <w:t>均符合招标文件要求</w:t>
            </w:r>
          </w:p>
        </w:tc>
        <w:tc>
          <w:tcPr>
            <w:tcW w:type="dxa" w:w="1661"/>
          </w:tcPr>
          <w:p>
            <w:pPr>
              <w:pStyle w:val="null3"/>
            </w:pPr>
            <w:r>
              <w:rPr/>
              <w:t>投标保证金</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实施方案</w:t>
            </w:r>
          </w:p>
        </w:tc>
        <w:tc>
          <w:tcPr>
            <w:tcW w:type="dxa" w:w="2492"/>
          </w:tcPr>
          <w:p>
            <w:pPr>
              <w:pStyle w:val="null3"/>
            </w:pPr>
            <w:r>
              <w:rPr/>
              <w:t>供应商对项目的内容和目标的理解充分情况，技术思路、系统架构、功能设计描述清晰，技术方案功能完整，全面覆盖所有内容。综合以上要求根据方案内容进行打分。 1、方案细致完整、描述条理清晰，内容齐全，有较高的针对性，得10.1-15分； 2、方案较完整，可基本实现及满足采购要求，得5.1-10分； 3、方案明显缺陷，针对性较差，得1-5分； 4、不提供不得分。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响应方案说明</w:t>
            </w:r>
          </w:p>
        </w:tc>
      </w:tr>
      <w:tr>
        <w:tc>
          <w:tcPr>
            <w:tcW w:type="dxa" w:w="831"/>
            <w:vMerge/>
          </w:tcPr>
          <w:p/>
        </w:tc>
        <w:tc>
          <w:tcPr>
            <w:tcW w:type="dxa" w:w="1661"/>
          </w:tcPr>
          <w:p>
            <w:pPr>
              <w:pStyle w:val="null3"/>
            </w:pPr>
            <w:r>
              <w:rPr/>
              <w:t>人员配备</w:t>
            </w:r>
          </w:p>
        </w:tc>
        <w:tc>
          <w:tcPr>
            <w:tcW w:type="dxa" w:w="2492"/>
          </w:tcPr>
          <w:p>
            <w:pPr>
              <w:pStyle w:val="null3"/>
            </w:pPr>
            <w:r>
              <w:rPr/>
              <w:t>供应商针对本项目配置的项目负责人和实施人员，包括人员数量、人员学历、职称、人员类似经验，相关资格证书等。 1、总体实力较强的得得6.1-10分； 2、可满足项目需求的得得3.1-6分； 3、难以满足项目需求的得得1-3分； 4、不提供不得分。 （注：相关人员须提供社保缴纳证明）</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响应方案说明</w:t>
            </w:r>
          </w:p>
        </w:tc>
      </w:tr>
      <w:tr>
        <w:tc>
          <w:tcPr>
            <w:tcW w:type="dxa" w:w="831"/>
            <w:vMerge/>
          </w:tcPr>
          <w:p/>
        </w:tc>
        <w:tc>
          <w:tcPr>
            <w:tcW w:type="dxa" w:w="1661"/>
          </w:tcPr>
          <w:p>
            <w:pPr>
              <w:pStyle w:val="null3"/>
            </w:pPr>
            <w:r>
              <w:rPr/>
              <w:t>进度计划的安排及说明</w:t>
            </w:r>
          </w:p>
        </w:tc>
        <w:tc>
          <w:tcPr>
            <w:tcW w:type="dxa" w:w="2492"/>
          </w:tcPr>
          <w:p>
            <w:pPr>
              <w:pStyle w:val="null3"/>
            </w:pPr>
            <w:r>
              <w:rPr/>
              <w:t>供应商应针对本项目提供时间进度计划的安排及说明，根据其科学性、合理性、有效性、紧密程度等情况综合赋分。 （1）方案详细具体、科学合理、可行性高，得3.1-5分； （2）方案较详细、较合理、可行性较高，得1.1-3分； （3）方案一般、可行性一般的，得0-1分。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响应方案说明</w:t>
            </w:r>
          </w:p>
        </w:tc>
      </w:tr>
      <w:tr>
        <w:tc>
          <w:tcPr>
            <w:tcW w:type="dxa" w:w="831"/>
            <w:vMerge/>
          </w:tcPr>
          <w:p/>
        </w:tc>
        <w:tc>
          <w:tcPr>
            <w:tcW w:type="dxa" w:w="1661"/>
          </w:tcPr>
          <w:p>
            <w:pPr>
              <w:pStyle w:val="null3"/>
            </w:pPr>
            <w:r>
              <w:rPr/>
              <w:t>质量保证及安全保障质量控制体系</w:t>
            </w:r>
          </w:p>
        </w:tc>
        <w:tc>
          <w:tcPr>
            <w:tcW w:type="dxa" w:w="2492"/>
          </w:tcPr>
          <w:p>
            <w:pPr>
              <w:pStyle w:val="null3"/>
            </w:pPr>
            <w:r>
              <w:rPr/>
              <w:t>1、供应商须针对本项目提供完善的服务质量体系、安全保障体系，项目组工作模式等，按其响应程度计0-5分， 不提供不计分。 2、对项目建设相关的体制机制和保障措施全面、科学、合理，按其响应程度计0-5分，不提供不计分。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响应方案说明</w:t>
            </w:r>
          </w:p>
        </w:tc>
      </w:tr>
      <w:tr>
        <w:tc>
          <w:tcPr>
            <w:tcW w:type="dxa" w:w="831"/>
            <w:vMerge/>
          </w:tcPr>
          <w:p/>
        </w:tc>
        <w:tc>
          <w:tcPr>
            <w:tcW w:type="dxa" w:w="1661"/>
          </w:tcPr>
          <w:p>
            <w:pPr>
              <w:pStyle w:val="null3"/>
            </w:pPr>
            <w:r>
              <w:rPr/>
              <w:t>培训方案</w:t>
            </w:r>
          </w:p>
        </w:tc>
        <w:tc>
          <w:tcPr>
            <w:tcW w:type="dxa" w:w="2492"/>
          </w:tcPr>
          <w:p>
            <w:pPr>
              <w:pStyle w:val="null3"/>
            </w:pPr>
            <w:r>
              <w:rPr/>
              <w:t>供应商须为采购人培训系统等操作维护人员，并在投标文件中列出培训的内容及方式，根据供应商培训计划情况评分。 （1）培训方案全面合理有效，具有详细的培训计划、培训师资力量、培训课程，得3.1-5分。 （2）培训方案不够全面，有效性欠缺，培训计划、培训师资力量、培训课程内容不够详细，得1.1-3分。 （3）培训方案片面，不具有执行有效性，培训计划、培训师资力量、培训课程内容不详细，得0-1分。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响应方案说明</w:t>
            </w:r>
          </w:p>
        </w:tc>
      </w:tr>
      <w:tr>
        <w:tc>
          <w:tcPr>
            <w:tcW w:type="dxa" w:w="831"/>
            <w:vMerge/>
          </w:tcPr>
          <w:p/>
        </w:tc>
        <w:tc>
          <w:tcPr>
            <w:tcW w:type="dxa" w:w="1661"/>
          </w:tcPr>
          <w:p>
            <w:pPr>
              <w:pStyle w:val="null3"/>
            </w:pPr>
            <w:r>
              <w:rPr/>
              <w:t>技术方案</w:t>
            </w:r>
          </w:p>
        </w:tc>
        <w:tc>
          <w:tcPr>
            <w:tcW w:type="dxa" w:w="2492"/>
          </w:tcPr>
          <w:p>
            <w:pPr>
              <w:pStyle w:val="null3"/>
            </w:pPr>
            <w:r>
              <w:rPr/>
              <w:t>响应系统功能要求时需清楚、完整、明确，能够完全满足得20分，加▲项参数负偏离一项扣1分。（注：响应系统功能要求应根据响应产品实际情况逐项填写，响应内容不能完全复制招标文件技术参数要求，如响应文件完全复制招标文件技术参数要求的，评审委员会将对其本项扣20分。）</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响应方案说明</w:t>
            </w:r>
          </w:p>
        </w:tc>
      </w:tr>
      <w:tr>
        <w:tc>
          <w:tcPr>
            <w:tcW w:type="dxa" w:w="831"/>
            <w:vMerge/>
          </w:tcPr>
          <w:p/>
        </w:tc>
        <w:tc>
          <w:tcPr>
            <w:tcW w:type="dxa" w:w="1661"/>
          </w:tcPr>
          <w:p>
            <w:pPr>
              <w:pStyle w:val="null3"/>
            </w:pPr>
            <w:r>
              <w:rPr/>
              <w:t>售后服务方案</w:t>
            </w:r>
          </w:p>
        </w:tc>
        <w:tc>
          <w:tcPr>
            <w:tcW w:type="dxa" w:w="2492"/>
          </w:tcPr>
          <w:p>
            <w:pPr>
              <w:pStyle w:val="null3"/>
            </w:pPr>
            <w:r>
              <w:rPr/>
              <w:t>售后服务方案从质保期时间、售后服务承诺、质量控制体系的可行性/及时性/响应计划、质保期后售后服务承诺等方面综合评分。 （1）方案详细具体、科学合理、可行性高，3.1-5分； （2）方案较详细、较合理、可行性较高，得1-3分）； （3）方案一般、可行性一般的，得0-1分；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响应方案说明</w:t>
            </w:r>
          </w:p>
        </w:tc>
      </w:tr>
      <w:tr>
        <w:tc>
          <w:tcPr>
            <w:tcW w:type="dxa" w:w="831"/>
            <w:vMerge/>
          </w:tcPr>
          <w:p/>
        </w:tc>
        <w:tc>
          <w:tcPr>
            <w:tcW w:type="dxa" w:w="1661"/>
          </w:tcPr>
          <w:p>
            <w:pPr>
              <w:pStyle w:val="null3"/>
            </w:pPr>
            <w:r>
              <w:rPr/>
              <w:t>应急预案</w:t>
            </w:r>
          </w:p>
        </w:tc>
        <w:tc>
          <w:tcPr>
            <w:tcW w:type="dxa" w:w="2492"/>
          </w:tcPr>
          <w:p>
            <w:pPr>
              <w:pStyle w:val="null3"/>
            </w:pPr>
            <w:r>
              <w:rPr/>
              <w:t>针对本项目特点有处理应急突发事故、紧急特殊事件等的具体预案和措施。 （1）方案详细具体、科学合理、可行性高，得3.1-5分； （2）方案较详细、较合理、可行性较高，得1.1-3分； （3）方案一般、可行性一般的，得0-1分。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响应方案说明</w:t>
            </w:r>
          </w:p>
        </w:tc>
      </w:tr>
      <w:tr>
        <w:tc>
          <w:tcPr>
            <w:tcW w:type="dxa" w:w="831"/>
            <w:vMerge/>
          </w:tcPr>
          <w:p/>
        </w:tc>
        <w:tc>
          <w:tcPr>
            <w:tcW w:type="dxa" w:w="1661"/>
          </w:tcPr>
          <w:p>
            <w:pPr>
              <w:pStyle w:val="null3"/>
            </w:pPr>
            <w:r>
              <w:rPr/>
              <w:t>业绩</w:t>
            </w:r>
          </w:p>
        </w:tc>
        <w:tc>
          <w:tcPr>
            <w:tcW w:type="dxa" w:w="2492"/>
          </w:tcPr>
          <w:p>
            <w:pPr>
              <w:pStyle w:val="null3"/>
            </w:pPr>
            <w:r>
              <w:rPr/>
              <w:t>提供 2021年至今类似项目业绩每提供一份得1分，满分5分，未提供或时间不符的不得分。（提交案例采购方名称、联系人名字和联系方式、合同或中标通知书、有采购方和厂商公章的验收签字页、所有资料均加盖公章 ）</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响应方案说明</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经初审合格的投标文件，其投标报价为有效投标报价； 满足招标文件要求且提交报价最低的投标报价为评标基准价； 报价得分=(评审基准价／投标报价)×30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详见附件：开标一览表</w:t>
      </w:r>
    </w:p>
    <w:p>
      <w:pPr>
        <w:pStyle w:val="null3"/>
        <w:ind w:firstLine="960"/>
      </w:pPr>
      <w:r>
        <w:rPr/>
        <w:t>详见附件：标的清单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详见附件：资格证明文件</w:t>
      </w:r>
    </w:p>
    <w:p>
      <w:pPr>
        <w:pStyle w:val="null3"/>
        <w:ind w:firstLine="960"/>
      </w:pPr>
      <w:r>
        <w:rPr/>
        <w:t>详见附件：响应方案说明</w:t>
      </w:r>
    </w:p>
    <w:p>
      <w:pPr>
        <w:pStyle w:val="null3"/>
        <w:ind w:firstLine="960"/>
      </w:pPr>
      <w:r>
        <w:rPr/>
        <w:t>详见附件：产品技术参数表</w:t>
      </w:r>
    </w:p>
    <w:p>
      <w:pPr>
        <w:pStyle w:val="null3"/>
        <w:ind w:firstLine="960"/>
      </w:pPr>
      <w:r>
        <w:rPr/>
        <w:t>详见附件：商务偏离表</w:t>
      </w:r>
    </w:p>
    <w:p>
      <w:pPr>
        <w:pStyle w:val="null3"/>
        <w:ind w:firstLine="960"/>
      </w:pPr>
      <w:r>
        <w:rPr/>
        <w:t>详见附件：投标保证金</w:t>
      </w:r>
    </w:p>
    <w:p>
      <w:pPr>
        <w:pStyle w:val="null3"/>
        <w:ind w:firstLine="960"/>
      </w:pPr>
      <w:r>
        <w:rPr/>
        <w:t>详见附件：供应商认为有必要说明的其他问题</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详见附件：通用合同.docx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