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版本号：N510101202600083120260702001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布类洗涤服务项目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N5101012026000831</w:t>
      </w:r>
    </w:p>
    <w:p>
      <w:pPr>
        <w:pStyle w:val="null3"/>
        <w:jc w:val="left"/>
        <w:outlineLvl w:val="2"/>
      </w:pPr>
      <w:r>
        <w:rPr>
          <w:rFonts w:ascii="仿宋_GB2312" w:hAnsi="仿宋_GB2312" w:cs="仿宋_GB2312" w:eastAsia="仿宋_GB2312"/>
          <w:sz w:val="28"/>
          <w:b/>
        </w:rPr>
        <w:t>成都市第七人民医院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成都市第七人民医院</w:t>
      </w:r>
      <w:r>
        <w:rPr>
          <w:rFonts w:ascii="仿宋_GB2312" w:hAnsi="仿宋_GB2312" w:cs="仿宋_GB2312" w:eastAsia="仿宋_GB2312"/>
        </w:rPr>
        <w:t xml:space="preserve"> 委托，拟对 </w:t>
      </w:r>
      <w:r>
        <w:rPr>
          <w:rFonts w:ascii="仿宋_GB2312" w:hAnsi="仿宋_GB2312" w:cs="仿宋_GB2312" w:eastAsia="仿宋_GB2312"/>
        </w:rPr>
        <w:t>布类洗涤服务项目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N5101012026000831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布类洗涤服务项目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为保障我院织物洗涤质量持续符合院感控制标准，确保临床医疗工作的安全、有序运行，营造清洁、卫生、舒适的就医与工作环境，现采购布类洗涤服务项目。本项目共计一个包。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为有效缓解中小企业融资难、融资贵问题，成都市财政局、中国人民银行成都分行营业管理部制定了《成都市中小企业政府采购信用融资暂行办法》和《成都市级支持中小企业政府采购信用融资实施方案》，成都市范围内政府采购项目中标（成交）的中小微企业可向开展政府采购信用融资业务的银行提出融资申请。 （具体内容详见附件《供应商信用融资补充事宜》）</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成都市第七人民医院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四川省成都市双流区双兴大道1188号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颜老师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028-60677776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15520760918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采购包1：2,790,000.00元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交款方式：履约保证金可以以支票、汇票、本票或者金融机构出具的保函等非现金形式提交（包括网银转账，电汇等方式）。</w:t>
              <w:br/>
              <w:t>收款单位：成都市第七人民医院</w:t>
              <w:br/>
              <w:t>开户行：中国建设银行股份有限公司成都第一支行。</w:t>
              <w:br/>
              <w:t>银行账号：51001416108059337217。</w:t>
              <w:br/>
              <w:t>交款时间：中标通知书发放后，政府采购合同签订前。</w:t>
              <w:br/>
              <w:t>履约保证金退还方式：由采购人直接以银行转账的方式无息退还至供应商的基本账户。保函形式的，采购项目终验合格后自动失效。</w:t>
              <w:br/>
              <w:t>履约保证金退还时间：合同履约期结束且采购人出具终验通过资料后，采购人在10日内无息全额退还履约保证金。</w:t>
              <w:br/>
              <w:t>履约保证金不予退还情形：在履约过程中，出现因供应商原因导致未履约或履约不完全的情况，履约保证金将不予退还。履约保证金不予退还的，将按照有关规定上缴国库。</w:t>
              <w:br/>
              <w:t>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依照成本加合理利润的原则，本项目各采购包以中标金额作为计算基数，按差额定率累进法进行计算，并按以下费率标准（服务采购项目）下浮25%，不足2700元按照2700元收取：中标金额100万元以下，费率1.5%。 （2）收款单位：四川国际招标有限责任公司 （3）开户行：中国民生银行股份有限公司成都分行营业部 （4）银行账号： 9902001855063630（5）采购合同签订前向代理机构交纳招标代理服务费。 （6）招标代理服务费交纳完成后，可按照以下温馨提示开具发票：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成都市第七人民医院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成都市第七人民医院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90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2</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按照本项目招标文件中“服务要求”及中标人投标文件进行验收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按照《财政部关于进一步加强政府采购需求和履约验收管理的指导意见》（财库〔2016〕205号）、《政府采购需求管理办法》（财库〔2021〕22号）以及《成都市市级采购项目履约验收实施细则（试行）》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系统固化原因，七、履约验收时间中“1、验收条件说明”不适用于本项目，本项目“1、验收条件说明”以此为准（供应商应答“1、验收条件说明”时仅需应答此条要求即可，无需再应答七、履约验收时间中“1、验收条件说明”）： 供应商提出验收申请 ，达到验收条件起 2 日内，验收实际发生的相关金额。履约验收主体：成都市第七人民医院</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成都市第七人民医院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联系电话：028-87797776转820/725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2,790,000.00</w:t>
      </w:r>
    </w:p>
    <w:p>
      <w:pPr>
        <w:pStyle w:val="null3"/>
        <w:jc w:val="left"/>
      </w:pPr>
      <w:r>
        <w:rPr>
          <w:rFonts w:ascii="仿宋_GB2312" w:hAnsi="仿宋_GB2312" w:cs="仿宋_GB2312" w:eastAsia="仿宋_GB2312"/>
        </w:rPr>
        <w:t>采购包最高限价（元）: 2,790,000.00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C04010100 综合医院服务</w:t>
            </w:r>
          </w:p>
        </w:tc>
        <w:tc>
          <w:tcPr>
            <w:tcW w:type="dxa" w:w="821"/>
          </w:tcPr>
          <w:p>
            <w:pPr>
              <w:pStyle w:val="null3"/>
              <w:jc w:val="left"/>
            </w:pPr>
            <w:r>
              <w:rPr>
                <w:rFonts w:ascii="仿宋_GB2312" w:hAnsi="仿宋_GB2312" w:cs="仿宋_GB2312" w:eastAsia="仿宋_GB2312"/>
              </w:rPr>
              <w:t>布类洗涤服务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2,790,000.00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布类洗涤服务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2,790,000.00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因系统固化原因，供应商报价详见报价明细表，本项目涉及的数量为预估数量，仅供参考，供应商须按照预估数量填报总价，填报的总价仅用作价格评审，后期结算价格以单价据实结算，每年结算金额不超过279万元。</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标的名称：布类洗涤服务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20"/>
              <w:jc w:val="both"/>
            </w:pPr>
            <w:r>
              <w:rPr>
                <w:rFonts w:ascii="仿宋_GB2312" w:hAnsi="仿宋_GB2312" w:cs="仿宋_GB2312" w:eastAsia="仿宋_GB2312"/>
                <w:sz w:val="21"/>
              </w:rPr>
              <w:t>1.洗涤清单：</w:t>
            </w:r>
          </w:p>
          <w:tbl>
            <w:tblPr>
              <w:tblInd w:type="dxa" w:w="120"/>
              <w:tblBorders>
                <w:top w:val="none" w:color="000000" w:sz="4"/>
                <w:left w:val="none" w:color="000000" w:sz="4"/>
                <w:bottom w:val="none" w:color="000000" w:sz="4"/>
                <w:right w:val="none" w:color="000000" w:sz="4"/>
                <w:insideH w:val="none"/>
                <w:insideV w:val="none"/>
              </w:tblBorders>
            </w:tblPr>
            <w:tblGrid>
              <w:gridCol w:w="1553"/>
              <w:gridCol w:w="4792"/>
              <w:gridCol w:w="2461"/>
              <w:gridCol w:w="2374"/>
            </w:tblGrid>
            <w:tr>
              <w:tc>
                <w:tcPr>
                  <w:tcW w:type="dxa" w:w="1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品目</w:t>
                  </w:r>
                </w:p>
              </w:tc>
              <w:tc>
                <w:tcPr>
                  <w:tcW w:type="dxa" w:w="246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9"/>
                    </w:rPr>
                    <w:t>一年预估数量</w:t>
                  </w:r>
                  <w:r>
                    <w:br/>
                  </w:r>
                  <w:r>
                    <w:rPr>
                      <w:rFonts w:ascii="仿宋_GB2312" w:hAnsi="仿宋_GB2312" w:cs="仿宋_GB2312" w:eastAsia="仿宋_GB2312"/>
                      <w:sz w:val="19"/>
                    </w:rPr>
                    <w:t xml:space="preserve"> (件)</w:t>
                  </w:r>
                </w:p>
              </w:tc>
              <w:tc>
                <w:tcPr>
                  <w:tcW w:type="dxa" w:w="2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单价最高限价（元/件）</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大单（长220cm*宽180cm，±5cm。面料：纱卡C21*21/108*58。）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33600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中单（长200cm*宽110cm，±5cm。面料：纱卡C21*21/108*58。）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29800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2.38</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治疗巾(长110cm*宽40cm，±5cm。面料：纱卡C21*21/108*58。）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洞巾（大）（长215cm*宽145cm，±5cm。面料：纱卡C21*21/108*58。）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3.66</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洞巾（中）（长160cm*宽110cm，±5cm。面料：纱卡C21*21/108*58。）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2.91</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洞巾（小）（长105cm*宽75cm，±5cm。面料：纱卡C21*21/108*58。）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1.56</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包布（大）（长116cm*宽116cm，±5cm。面料：双层纱卡C21*21/108*58。）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110001</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2.19</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包布（中）（长85cm*宽85cm，±5cm。面料：双层纱卡C21*21/108*58。）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21600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1.54</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包布（小）（长60cm*宽60cm，±5cm。面料：双层纱卡C21*21/108*58。）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9580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剖腹单（长300cm*宽200cm，±5cm。面料：纱卡C21*21/108*58。）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15400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5.23</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桌布（大）（长235cm*宽165cm，±5cm。面料：纱卡C21*21/108*58。）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22100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4.58</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桌布（中）（长190cm*宽130cm，±5cm。面料：纱卡C21*21/108*58。）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4840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3.83</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桌布（小）（长150cm*宽100cm，±5cm。面料：纱卡C21*21/108*58。）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2.94</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足桶（（110cm*50cm，±5cm。面料：纱卡C21*21/108*58。）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4590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1.56</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手术衣（面料：纱卡C10/2*C10/2/47*25。）</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61001</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3.62</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洗手衣（面料：纱卡C21*21/108*58。）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2.21</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洗手裤（面料：纱卡C21*21/108*58。）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2.09</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病员衣（面料：纱卡C21*21/108*58。）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32000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2.57</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病员裤（面料：纱卡C21*21/108*58。）</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29000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2.45</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被套</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155697</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3.54</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枕套</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99000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0.87</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床套</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130000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2.64</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被套（婴）</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1.94</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床单（婴）</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1.49</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被套（儿童）</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2.05</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枕套（儿童）</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0.86</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床单(儿童)</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约束带</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305</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方巾</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0.85</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盘布</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11651</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机器套</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2.33</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隔离衣</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4260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2.37</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隔离裤</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单衣（婴）</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婴包（襁褓）</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4610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帽子</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0.79</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隔帘(窗帘)</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4920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5.73</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浴巾</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2220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1.51</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毛巾（大）</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4395</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毛巾（小）</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3061</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0.56</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工作服（冬）</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36800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2.97</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工作裤（冬）</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23200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2.85</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工作服（夏）</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17001</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工作裤（夏）</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11400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2.57</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围裙</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1.86</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4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遮光布</w:t>
                  </w:r>
                </w:p>
              </w:tc>
              <w:tc>
                <w:tcPr>
                  <w:tcW w:type="dxa" w:w="2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640</w:t>
                  </w:r>
                </w:p>
              </w:tc>
              <w:tc>
                <w:tcPr>
                  <w:tcW w:type="dxa" w:w="2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2.33</w:t>
                  </w:r>
                </w:p>
              </w:tc>
            </w:tr>
          </w:tbl>
          <w:p>
            <w:pPr>
              <w:pStyle w:val="null3"/>
              <w:spacing w:before="60"/>
              <w:ind w:firstLine="420"/>
              <w:jc w:val="left"/>
            </w:pPr>
            <w:r>
              <w:rPr>
                <w:rFonts w:ascii="仿宋_GB2312" w:hAnsi="仿宋_GB2312" w:cs="仿宋_GB2312" w:eastAsia="仿宋_GB2312"/>
                <w:sz w:val="21"/>
              </w:rPr>
              <w:t>2.基本要求</w:t>
            </w:r>
          </w:p>
          <w:p>
            <w:pPr>
              <w:pStyle w:val="null3"/>
              <w:spacing w:before="60"/>
              <w:ind w:firstLine="420"/>
              <w:jc w:val="left"/>
            </w:pPr>
            <w:r>
              <w:rPr>
                <w:rFonts w:ascii="仿宋_GB2312" w:hAnsi="仿宋_GB2312" w:cs="仿宋_GB2312" w:eastAsia="仿宋_GB2312"/>
                <w:sz w:val="21"/>
              </w:rPr>
              <w:t>2.1供应商各工作区域应划分清楚并有标识，布草由污到洁，不得交叉逆流，避免洁净布草二次污染。工作区域分为：洗涤区、压烫区、折叠区、清洁布草存放区。采购人有权对供应商的工作场地进行现场检查。</w:t>
            </w:r>
          </w:p>
          <w:p>
            <w:pPr>
              <w:pStyle w:val="null3"/>
              <w:spacing w:before="60"/>
              <w:ind w:firstLine="420"/>
              <w:jc w:val="left"/>
            </w:pPr>
            <w:r>
              <w:rPr>
                <w:rFonts w:ascii="仿宋_GB2312" w:hAnsi="仿宋_GB2312" w:cs="仿宋_GB2312" w:eastAsia="仿宋_GB2312"/>
                <w:sz w:val="21"/>
              </w:rPr>
              <w:t>2.2首次投入使用的布草应全新未使用过的，且布草不得有补丁、破损和污迹，如有上述情况，应直接更换。</w:t>
            </w:r>
          </w:p>
          <w:p>
            <w:pPr>
              <w:pStyle w:val="null3"/>
              <w:ind w:firstLine="420"/>
              <w:jc w:val="both"/>
            </w:pPr>
            <w:r>
              <w:rPr>
                <w:rFonts w:ascii="仿宋_GB2312" w:hAnsi="仿宋_GB2312" w:cs="仿宋_GB2312" w:eastAsia="仿宋_GB2312"/>
                <w:sz w:val="21"/>
              </w:rPr>
              <w:t>2.3供应商在提供每一件新布草时，应在布草上按照采购人要求标记采购人名称、品类名称、使用科室（提供承诺函）。</w:t>
            </w:r>
          </w:p>
          <w:p>
            <w:pPr>
              <w:pStyle w:val="null3"/>
              <w:ind w:firstLine="420"/>
              <w:jc w:val="both"/>
            </w:pPr>
            <w:r>
              <w:rPr>
                <w:rFonts w:ascii="仿宋_GB2312" w:hAnsi="仿宋_GB2312" w:cs="仿宋_GB2312" w:eastAsia="仿宋_GB2312"/>
                <w:sz w:val="21"/>
              </w:rPr>
              <w:t>2.4供应商提供的布草质量要求：符合《医用手术单、手术衣和洁净服 第1部分：通用要求》YY/T0506.1-2023、《国家纺织产品基本安全技术规范》GB18401-2010，并按照采购人要求统一规格及颜色；供应的布类需充分考虑缩水率，缩水尺寸变化率按《棉印染布》GB/T411-2017、《棉本色布》GB/T406-2018、《精梳涤棉混纺印染布》GB/T5326-2009标准不低于一等品标准。</w:t>
            </w:r>
          </w:p>
          <w:p>
            <w:pPr>
              <w:pStyle w:val="null3"/>
              <w:ind w:firstLine="420"/>
              <w:jc w:val="both"/>
            </w:pPr>
            <w:r>
              <w:rPr>
                <w:rFonts w:ascii="仿宋_GB2312" w:hAnsi="仿宋_GB2312" w:cs="仿宋_GB2312" w:eastAsia="仿宋_GB2312"/>
                <w:sz w:val="21"/>
              </w:rPr>
              <w:t>2.5供应商应为本项目布草日常洗涤进行信息化管理，采购人可随时查看每日、每月、每季度、每年布草的洗涤情况，内容至少包括：日期、品类、规格、收发数量、科室信息（提供承诺函）。</w:t>
            </w:r>
          </w:p>
          <w:p>
            <w:pPr>
              <w:pStyle w:val="null3"/>
              <w:spacing w:before="60"/>
              <w:ind w:firstLine="420"/>
              <w:jc w:val="left"/>
            </w:pPr>
            <w:r>
              <w:rPr>
                <w:rFonts w:ascii="仿宋_GB2312" w:hAnsi="仿宋_GB2312" w:cs="仿宋_GB2312" w:eastAsia="仿宋_GB2312"/>
                <w:sz w:val="21"/>
              </w:rPr>
              <w:t>3.洗涤服务要求</w:t>
            </w:r>
          </w:p>
          <w:p>
            <w:pPr>
              <w:pStyle w:val="null3"/>
              <w:spacing w:before="60"/>
              <w:ind w:firstLine="420"/>
              <w:jc w:val="left"/>
            </w:pPr>
            <w:r>
              <w:rPr>
                <w:rFonts w:ascii="仿宋_GB2312" w:hAnsi="仿宋_GB2312" w:cs="仿宋_GB2312" w:eastAsia="仿宋_GB2312"/>
                <w:sz w:val="21"/>
              </w:rPr>
              <w:t>3.1洗涤质量要求</w:t>
            </w:r>
          </w:p>
          <w:p>
            <w:pPr>
              <w:pStyle w:val="null3"/>
              <w:spacing w:before="60"/>
              <w:ind w:firstLine="420"/>
              <w:jc w:val="left"/>
            </w:pPr>
            <w:r>
              <w:rPr>
                <w:rFonts w:ascii="仿宋_GB2312" w:hAnsi="仿宋_GB2312" w:cs="仿宋_GB2312" w:eastAsia="仿宋_GB2312"/>
                <w:sz w:val="21"/>
              </w:rPr>
              <w:t>3.1.1洗涤物品质量标准：洗涤工作各环节严格遵守《医疗机构医用织物洗涤消毒技术标准》WS/T508-2025要求，达到医疗机构医用织物洗涤行业标准。</w:t>
            </w:r>
          </w:p>
          <w:p>
            <w:pPr>
              <w:pStyle w:val="null3"/>
              <w:spacing w:before="60"/>
              <w:ind w:firstLine="420"/>
              <w:jc w:val="left"/>
            </w:pPr>
            <w:r>
              <w:rPr>
                <w:rFonts w:ascii="仿宋_GB2312" w:hAnsi="仿宋_GB2312" w:cs="仿宋_GB2312" w:eastAsia="仿宋_GB2312"/>
                <w:sz w:val="21"/>
              </w:rPr>
              <w:t>3.1.2.供应商应承诺根据布草的材质要求使用有效的消毒剂，消毒剂应具有《消毒产品卫生安全评价报告》等资质，不得使用假冒、伪劣、无资质的消毒产品（提供承诺函）。</w:t>
            </w:r>
          </w:p>
          <w:p>
            <w:pPr>
              <w:pStyle w:val="null3"/>
              <w:spacing w:before="60"/>
              <w:ind w:firstLine="420"/>
              <w:jc w:val="left"/>
            </w:pPr>
            <w:r>
              <w:rPr>
                <w:rFonts w:ascii="仿宋_GB2312" w:hAnsi="仿宋_GB2312" w:cs="仿宋_GB2312" w:eastAsia="仿宋_GB2312"/>
                <w:sz w:val="21"/>
              </w:rPr>
              <w:t>3.1.3供应商须提供排污许可证相关证明(符合以下其一即可，提供相关证明材料，并加盖供应商公章)</w:t>
            </w:r>
          </w:p>
          <w:p>
            <w:pPr>
              <w:pStyle w:val="null3"/>
              <w:spacing w:before="60"/>
              <w:ind w:firstLine="420"/>
              <w:jc w:val="left"/>
            </w:pPr>
            <w:r>
              <w:rPr>
                <w:rFonts w:ascii="仿宋_GB2312" w:hAnsi="仿宋_GB2312" w:cs="仿宋_GB2312" w:eastAsia="仿宋_GB2312"/>
                <w:sz w:val="21"/>
              </w:rPr>
              <w:t>（1）供应商具有并提供拟投入本项目使用的洗涤生产车间地址的有效期内执行《医疗机构水污染物排放标准》（GB18466-2005）的《排放污染物许可证》扫描件；</w:t>
            </w:r>
          </w:p>
          <w:p>
            <w:pPr>
              <w:pStyle w:val="null3"/>
              <w:spacing w:before="60"/>
              <w:ind w:firstLine="420"/>
              <w:jc w:val="left"/>
            </w:pPr>
            <w:r>
              <w:rPr>
                <w:rFonts w:ascii="仿宋_GB2312" w:hAnsi="仿宋_GB2312" w:cs="仿宋_GB2312" w:eastAsia="仿宋_GB2312"/>
                <w:sz w:val="21"/>
              </w:rPr>
              <w:t>（2）供应商具有并提供拟投入本项目使用的洗涤生产车间地址的环保部门依据《固定污染源排污许可分类管理名录》、《排污许可管理办法(试行)》(部令第 48 号)出具的暂不需申请排污许可证的告知书[提供告知书的还须同时提供由环保部门出具的能体现供应商执行《医疗机构水污染物排放标准》（GB18466-2005）的环境影响报告批复扫描件]；</w:t>
            </w:r>
          </w:p>
          <w:p>
            <w:pPr>
              <w:pStyle w:val="null3"/>
              <w:spacing w:before="60"/>
              <w:ind w:firstLine="420"/>
              <w:jc w:val="left"/>
            </w:pPr>
            <w:r>
              <w:rPr>
                <w:rFonts w:ascii="仿宋_GB2312" w:hAnsi="仿宋_GB2312" w:cs="仿宋_GB2312" w:eastAsia="仿宋_GB2312"/>
                <w:sz w:val="21"/>
              </w:rPr>
              <w:t>（3）供应商具有并提供拟投入本项目使用的洗涤生产车间地址的在全国排污许可证管理信息平台上填报的能体现执行《医疗机构水污染物排放标准》（GB18466-2005）的“固定污染源排污登记表”以及“固定污染源排污登记回执”。</w:t>
            </w:r>
          </w:p>
          <w:p>
            <w:pPr>
              <w:pStyle w:val="null3"/>
              <w:spacing w:before="60"/>
              <w:ind w:firstLine="420"/>
              <w:jc w:val="left"/>
            </w:pPr>
            <w:r>
              <w:rPr>
                <w:rFonts w:ascii="仿宋_GB2312" w:hAnsi="仿宋_GB2312" w:cs="仿宋_GB2312" w:eastAsia="仿宋_GB2312"/>
                <w:sz w:val="21"/>
              </w:rPr>
              <w:t>3.1.4按照病员、医务人员（值班被服、工作服）、新生儿、儿童、手术室、产房、感染性等布草区分，需分机或分批洗涤、烘干、熨烫、折叠、储存。</w:t>
            </w:r>
          </w:p>
          <w:p>
            <w:pPr>
              <w:pStyle w:val="null3"/>
              <w:spacing w:before="60"/>
              <w:ind w:firstLine="420"/>
              <w:jc w:val="left"/>
            </w:pPr>
            <w:r>
              <w:rPr>
                <w:rFonts w:ascii="仿宋_GB2312" w:hAnsi="仿宋_GB2312" w:cs="仿宋_GB2312" w:eastAsia="仿宋_GB2312"/>
                <w:sz w:val="21"/>
              </w:rPr>
              <w:t>3.1.5采购人布草不可与其他单位布草混淆，也不得与其他单位布草交叉洗涤。</w:t>
            </w:r>
          </w:p>
          <w:p>
            <w:pPr>
              <w:pStyle w:val="null3"/>
              <w:spacing w:before="60"/>
              <w:ind w:firstLine="420"/>
              <w:jc w:val="left"/>
            </w:pPr>
            <w:r>
              <w:rPr>
                <w:rFonts w:ascii="仿宋_GB2312" w:hAnsi="仿宋_GB2312" w:cs="仿宋_GB2312" w:eastAsia="仿宋_GB2312"/>
                <w:sz w:val="21"/>
              </w:rPr>
              <w:t>3.1.6因洗涤不当造成采购人自购的布草损坏、变色、丢失，由供应商按款式进行赔偿，若供应商无法按照采购人款式进行赔偿，采购人可自行购买，费用从当月服务费中扣除。</w:t>
            </w:r>
          </w:p>
          <w:p>
            <w:pPr>
              <w:pStyle w:val="null3"/>
              <w:spacing w:before="60"/>
              <w:ind w:firstLine="420"/>
              <w:jc w:val="left"/>
            </w:pPr>
            <w:r>
              <w:rPr>
                <w:rFonts w:ascii="仿宋_GB2312" w:hAnsi="仿宋_GB2312" w:cs="仿宋_GB2312" w:eastAsia="仿宋_GB2312"/>
                <w:sz w:val="21"/>
              </w:rPr>
              <w:t>3.1.7对出现破损、开线、纽扣缺失、无系带、拉链和橡筋等损坏情况及时更换、缝补，缝补针迹要求均匀、整齐，线、纽扣等颜色与原布草一致。</w:t>
            </w:r>
          </w:p>
          <w:p>
            <w:pPr>
              <w:pStyle w:val="null3"/>
              <w:spacing w:before="60"/>
              <w:ind w:firstLine="420"/>
              <w:jc w:val="left"/>
            </w:pPr>
            <w:r>
              <w:rPr>
                <w:rFonts w:ascii="仿宋_GB2312" w:hAnsi="仿宋_GB2312" w:cs="仿宋_GB2312" w:eastAsia="仿宋_GB2312"/>
                <w:sz w:val="21"/>
              </w:rPr>
              <w:t>3.1.8需要返洗或缝补的布草，应在交接时提供明细清单，返洗时间不超过2天，缝补时间不超过3天，超过规定时间的，按丢失或损坏处理，由供应商按款式进行赔偿，若供应商无法按照采购人款式进行赔偿，采购人可自行购买，费用从当月服务费中扣除。</w:t>
            </w:r>
          </w:p>
          <w:p>
            <w:pPr>
              <w:pStyle w:val="null3"/>
              <w:spacing w:before="60"/>
              <w:ind w:firstLine="420"/>
              <w:jc w:val="both"/>
            </w:pPr>
            <w:r>
              <w:rPr>
                <w:rFonts w:ascii="仿宋_GB2312" w:hAnsi="仿宋_GB2312" w:cs="仿宋_GB2312" w:eastAsia="仿宋_GB2312"/>
                <w:sz w:val="21"/>
              </w:rPr>
              <w:t>3.1.9每半年由具有国家认可的第三方检测机构进行检测，至少包含洗涤后医用布草PH检测、微生物检测、生产车间内物体表面检查、污染区和清洁区员工手卫生检测，并提供合格检测报告，检测费用包含在投标报价中，采购人不再为此承担任何费用，若存在检测不合格的项目，采购人有权解除合同。</w:t>
            </w:r>
          </w:p>
          <w:p>
            <w:pPr>
              <w:pStyle w:val="null3"/>
              <w:spacing w:before="60"/>
              <w:ind w:firstLine="420"/>
              <w:jc w:val="both"/>
            </w:pPr>
            <w:r>
              <w:rPr>
                <w:rFonts w:ascii="仿宋_GB2312" w:hAnsi="仿宋_GB2312" w:cs="仿宋_GB2312" w:eastAsia="仿宋_GB2312"/>
                <w:sz w:val="21"/>
              </w:rPr>
              <w:t>3.1.10 采购人每季度按照《医疗机构医用织物洗涤消毒技术标准》WS/T508-2025的要求，对送洗至院区的布类进行微生物检测，对布草暂存间的空气、物表进行检测，若存在检测不合格的项目，采购人有权解除合同。</w:t>
            </w:r>
          </w:p>
          <w:p>
            <w:pPr>
              <w:pStyle w:val="null3"/>
              <w:spacing w:before="60"/>
              <w:ind w:firstLine="420"/>
              <w:jc w:val="left"/>
            </w:pPr>
            <w:r>
              <w:rPr>
                <w:rFonts w:ascii="仿宋_GB2312" w:hAnsi="仿宋_GB2312" w:cs="仿宋_GB2312" w:eastAsia="仿宋_GB2312"/>
                <w:sz w:val="21"/>
              </w:rPr>
              <w:t>3.2收发要求</w:t>
            </w:r>
          </w:p>
          <w:p>
            <w:pPr>
              <w:pStyle w:val="null3"/>
              <w:spacing w:before="60"/>
              <w:ind w:firstLine="420"/>
              <w:jc w:val="left"/>
            </w:pPr>
            <w:r>
              <w:rPr>
                <w:rFonts w:ascii="仿宋_GB2312" w:hAnsi="仿宋_GB2312" w:cs="仿宋_GB2312" w:eastAsia="仿宋_GB2312"/>
                <w:sz w:val="21"/>
              </w:rPr>
              <w:t>3.2.1供应商提供布草运送工具和服务人员，应按照感染类布草、手术类布草、病员普通布草、医务人员布草（值班被服、工作服）、新生儿布草，采取分类隔离、密闭包装运送。</w:t>
            </w:r>
          </w:p>
          <w:p>
            <w:pPr>
              <w:pStyle w:val="null3"/>
              <w:spacing w:before="60"/>
              <w:ind w:firstLine="420"/>
              <w:jc w:val="left"/>
            </w:pPr>
            <w:r>
              <w:rPr>
                <w:rFonts w:ascii="仿宋_GB2312" w:hAnsi="仿宋_GB2312" w:cs="仿宋_GB2312" w:eastAsia="仿宋_GB2312"/>
                <w:sz w:val="21"/>
              </w:rPr>
              <w:t>3.2.2运送工具需洁、污分开（包括运送车和包装袋），采取封闭方式运送，禁止用同一辆车将清洁、污染布草混合运送，使用后应进行清洁和消毒处理。</w:t>
            </w:r>
          </w:p>
          <w:p>
            <w:pPr>
              <w:pStyle w:val="null3"/>
              <w:spacing w:before="60"/>
              <w:ind w:firstLine="420"/>
              <w:jc w:val="left"/>
            </w:pPr>
            <w:r>
              <w:rPr>
                <w:rFonts w:ascii="仿宋_GB2312" w:hAnsi="仿宋_GB2312" w:cs="仿宋_GB2312" w:eastAsia="仿宋_GB2312"/>
                <w:sz w:val="21"/>
              </w:rPr>
              <w:t>3.2.3供应商根据采购人工作需要，原则上两院区每日17:00前完成脏污布草的收集，并形成当日的报表统计，隔日上午8:00前将两院区相同数量的洁净布草送至各科室，清点无误后交付，后续可根据采购人要求进行时间调整。临时应急响应在接到电话通知后，须在2小时内将物品送达医院（含节假日）。如遇不可抗力的突发事件，导致不能在规定时间内送达，应1小时内与采购人协商解决。</w:t>
            </w:r>
          </w:p>
          <w:p>
            <w:pPr>
              <w:pStyle w:val="null3"/>
              <w:spacing w:before="60"/>
              <w:ind w:firstLine="420"/>
              <w:jc w:val="both"/>
            </w:pPr>
            <w:r>
              <w:rPr>
                <w:rFonts w:ascii="仿宋_GB2312" w:hAnsi="仿宋_GB2312" w:cs="仿宋_GB2312" w:eastAsia="仿宋_GB2312"/>
                <w:sz w:val="21"/>
              </w:rPr>
              <w:t>3.2.4布草的洗涤数量及品种须明确交接，标记科室名称的应准确配送至对应科室，并由双方签字确认以做记录。每月25日前须向采购人提交各科室洗涤量清单，次月10日前完成上月已核对的洗涤量签字表科室签字手续，并提交至采购人。</w:t>
            </w:r>
          </w:p>
          <w:p>
            <w:pPr>
              <w:pStyle w:val="null3"/>
              <w:spacing w:before="60"/>
              <w:ind w:firstLine="420"/>
              <w:jc w:val="left"/>
            </w:pPr>
            <w:r>
              <w:rPr>
                <w:rFonts w:ascii="仿宋_GB2312" w:hAnsi="仿宋_GB2312" w:cs="仿宋_GB2312" w:eastAsia="仿宋_GB2312"/>
                <w:sz w:val="21"/>
              </w:rPr>
              <w:t>3.3服务人员要求</w:t>
            </w:r>
          </w:p>
          <w:p>
            <w:pPr>
              <w:pStyle w:val="null3"/>
              <w:spacing w:before="60"/>
              <w:ind w:firstLine="420"/>
              <w:jc w:val="left"/>
            </w:pPr>
            <w:r>
              <w:rPr>
                <w:rFonts w:ascii="仿宋_GB2312" w:hAnsi="仿宋_GB2312" w:cs="仿宋_GB2312" w:eastAsia="仿宋_GB2312"/>
                <w:sz w:val="21"/>
              </w:rPr>
              <w:t>3.3.1供应商须为本项目配置驻点项目经理1名（需驻场），主要负责与采购人管理部门进行两院区洗涤服务项目对接。在项目中代表供应商履行合同期限内有关洗涤管理、现场管理、质量监督、科室沟通、投诉处理方面工作；每个月不少于1次到全院临床科室走访沟通，对反映的问题立即处理。</w:t>
            </w:r>
          </w:p>
          <w:p>
            <w:pPr>
              <w:pStyle w:val="null3"/>
              <w:spacing w:before="60"/>
              <w:ind w:firstLine="420"/>
              <w:jc w:val="left"/>
            </w:pPr>
            <w:r>
              <w:rPr>
                <w:rFonts w:ascii="仿宋_GB2312" w:hAnsi="仿宋_GB2312" w:cs="仿宋_GB2312" w:eastAsia="仿宋_GB2312"/>
                <w:sz w:val="21"/>
              </w:rPr>
              <w:t>3.3.2合同期限内，项目经理原则上不得更换，确需更换的，应至少提前1个月提供人员配置详情并书面报知采购人，经同意后方可更换。</w:t>
            </w:r>
          </w:p>
          <w:p>
            <w:pPr>
              <w:pStyle w:val="null3"/>
              <w:spacing w:before="60"/>
              <w:ind w:firstLine="420"/>
              <w:jc w:val="left"/>
            </w:pPr>
            <w:r>
              <w:rPr>
                <w:rFonts w:ascii="仿宋_GB2312" w:hAnsi="仿宋_GB2312" w:cs="仿宋_GB2312" w:eastAsia="仿宋_GB2312"/>
                <w:sz w:val="21"/>
              </w:rPr>
              <w:t>3.3.3供应商应为采购人提供除驻点项目经理之外的驻点服务人员（需驻场，投标时在投标文件中提供人员配置方案，天府院区至少7人，新南院区至少2人），负责布草的收集与发放工作，驻点服务人员须遵守采购人的相关规定，服从采购人统筹安排，保证每日收发工作全部完成。如遇特殊情况，驻点服务人员30分钟内到达医院现场。</w:t>
            </w:r>
          </w:p>
          <w:p>
            <w:pPr>
              <w:pStyle w:val="null3"/>
              <w:spacing w:before="60"/>
              <w:ind w:firstLine="420"/>
              <w:jc w:val="left"/>
            </w:pPr>
            <w:r>
              <w:rPr>
                <w:rFonts w:ascii="仿宋_GB2312" w:hAnsi="仿宋_GB2312" w:cs="仿宋_GB2312" w:eastAsia="仿宋_GB2312"/>
                <w:sz w:val="21"/>
              </w:rPr>
              <w:t>3.3.4供应商驻点工作人员持有《四川省从业人员预防性体检合格证》，供应商应与驻点工作人员建立劳动合同关系并承担作为用人单位的权利义务，驻点工作人员在院服务期间所产生的一切人身财产损失，由供应商作为用人单位承担相应法律责任，与采购人无关。</w:t>
            </w:r>
          </w:p>
          <w:p>
            <w:pPr>
              <w:pStyle w:val="null3"/>
              <w:spacing w:before="60"/>
              <w:ind w:firstLine="420"/>
              <w:jc w:val="left"/>
            </w:pPr>
            <w:r>
              <w:rPr>
                <w:rFonts w:ascii="仿宋_GB2312" w:hAnsi="仿宋_GB2312" w:cs="仿宋_GB2312" w:eastAsia="仿宋_GB2312"/>
                <w:sz w:val="21"/>
              </w:rPr>
              <w:t>3.3.5供应商驻点工作人员在日常服务中若引发纠纷并对采购人造成不良社会影响或影响采购人工作秩序，造成采购人经济损失及法律责任，由供应商承担全部经济损失及法律责任。若每年发生3次以上，采购人有权解除合同。</w:t>
            </w:r>
          </w:p>
          <w:p>
            <w:pPr>
              <w:pStyle w:val="null3"/>
              <w:spacing w:before="60"/>
              <w:ind w:firstLine="420"/>
              <w:jc w:val="left"/>
            </w:pPr>
            <w:r>
              <w:rPr>
                <w:rFonts w:ascii="仿宋_GB2312" w:hAnsi="仿宋_GB2312" w:cs="仿宋_GB2312" w:eastAsia="仿宋_GB2312"/>
                <w:sz w:val="21"/>
              </w:rPr>
              <w:t>3.3.6供应商驻点工作人员在服务期间应规范着装、佩戴工作牌、态度端正，并按照采购人节能降耗管理规定做好布草暂存间的用电能耗管理，供应商按照3600元/年向采购人支付能耗费用（按年支付，在每年合同签订后的5个工作日内进行支付）。供应商应当自行将该部分成本费用考虑进本项目报价中。</w:t>
            </w:r>
          </w:p>
          <w:p>
            <w:pPr>
              <w:pStyle w:val="null3"/>
              <w:spacing w:before="60"/>
              <w:ind w:firstLine="420"/>
              <w:jc w:val="left"/>
            </w:pPr>
            <w:r>
              <w:rPr>
                <w:rFonts w:ascii="仿宋_GB2312" w:hAnsi="仿宋_GB2312" w:cs="仿宋_GB2312" w:eastAsia="仿宋_GB2312"/>
                <w:sz w:val="21"/>
              </w:rPr>
              <w:t>3.3.7供应商应在中标后10个工作日内将驻场人员的名单交至采购人，名单包含岗位、姓名、身份证及联系电话。</w:t>
            </w:r>
          </w:p>
          <w:p>
            <w:pPr>
              <w:pStyle w:val="null3"/>
              <w:spacing w:before="60"/>
              <w:ind w:firstLine="420"/>
              <w:jc w:val="left"/>
            </w:pPr>
            <w:r>
              <w:rPr>
                <w:rFonts w:ascii="仿宋_GB2312" w:hAnsi="仿宋_GB2312" w:cs="仿宋_GB2312" w:eastAsia="仿宋_GB2312"/>
                <w:sz w:val="21"/>
              </w:rPr>
              <w:t>3.4.布草暂存间应急备货</w:t>
            </w:r>
          </w:p>
          <w:p>
            <w:pPr>
              <w:pStyle w:val="null3"/>
              <w:spacing w:before="60"/>
              <w:ind w:firstLine="420"/>
              <w:jc w:val="left"/>
            </w:pPr>
            <w:r>
              <w:rPr>
                <w:rFonts w:ascii="仿宋_GB2312" w:hAnsi="仿宋_GB2312" w:cs="仿宋_GB2312" w:eastAsia="仿宋_GB2312"/>
                <w:sz w:val="21"/>
              </w:rPr>
              <w:t>3.4.1合同开始执行一个月后，供应商将一个月的洗涤数量进行分类汇总，第二个月内在采购人院内布草暂存间对每个品类的布草进行备货作为日常应急更换使用（备货数量如下：月洗涤数量＞1000件的，备货数量≥5%；500＜月洗涤数量≤1000件的，备货数量≥7%；100＜月洗涤数量≤500件的，备货数量≥10%，月洗涤数量为100（含）件以下或属于采购人自购的布草供应商无需备货），后续需根据实际需求进行数量动态调整，合同终止或服务期满后，备货布草由供应商自行处理。</w:t>
            </w:r>
          </w:p>
          <w:p>
            <w:pPr>
              <w:pStyle w:val="null3"/>
              <w:spacing w:before="60"/>
              <w:ind w:firstLine="420"/>
              <w:jc w:val="left"/>
            </w:pPr>
            <w:r>
              <w:rPr>
                <w:rFonts w:ascii="仿宋_GB2312" w:hAnsi="仿宋_GB2312" w:cs="仿宋_GB2312" w:eastAsia="仿宋_GB2312"/>
                <w:sz w:val="21"/>
              </w:rPr>
              <w:t>3.4.2供应商应对在采购人院内布草暂存间存放的布草进行信息化管理，采购人可随时查看布草库存数量等信息。每季度对布草暂存间存放的布草进行一次盘点，做好盘点记录，对基数缺少的布草应在3日内进行补充到位。</w:t>
            </w:r>
          </w:p>
          <w:p>
            <w:pPr>
              <w:pStyle w:val="null3"/>
              <w:spacing w:before="60"/>
              <w:ind w:firstLine="420"/>
              <w:jc w:val="left"/>
            </w:pPr>
            <w:r>
              <w:rPr>
                <w:rFonts w:ascii="仿宋_GB2312" w:hAnsi="仿宋_GB2312" w:cs="仿宋_GB2312" w:eastAsia="仿宋_GB2312"/>
                <w:sz w:val="21"/>
              </w:rPr>
              <w:t>4.其他要求</w:t>
            </w:r>
          </w:p>
          <w:p>
            <w:pPr>
              <w:pStyle w:val="null3"/>
              <w:spacing w:before="60"/>
              <w:ind w:firstLine="420"/>
              <w:jc w:val="left"/>
            </w:pPr>
            <w:r>
              <w:rPr>
                <w:rFonts w:ascii="仿宋_GB2312" w:hAnsi="仿宋_GB2312" w:cs="仿宋_GB2312" w:eastAsia="仿宋_GB2312"/>
                <w:sz w:val="21"/>
              </w:rPr>
              <w:t>4.1中标人须在本项目开始执行前20日到采购人现场了解各科室具体布草使用数量和要求，并在项目开始执行前5日将符合科室要求的布草和数量送至采购人布草暂存间。</w:t>
            </w:r>
          </w:p>
          <w:p>
            <w:pPr>
              <w:pStyle w:val="null3"/>
              <w:spacing w:before="60"/>
              <w:ind w:firstLine="420"/>
              <w:jc w:val="left"/>
            </w:pPr>
            <w:r>
              <w:rPr>
                <w:rFonts w:ascii="仿宋_GB2312" w:hAnsi="仿宋_GB2312" w:cs="仿宋_GB2312" w:eastAsia="仿宋_GB2312"/>
                <w:sz w:val="21"/>
              </w:rPr>
              <w:t>4.2洗涤清单中1-19项为供应商自行采购提供给采购人使用，并对所提供的布草质量及损耗更换负责，合同终止或服务期满后，由供应商自行处理，供应商应充分考虑并将成本费用摊至洗涤费用中。</w:t>
            </w:r>
          </w:p>
          <w:p>
            <w:pPr>
              <w:pStyle w:val="null3"/>
              <w:spacing w:before="60"/>
              <w:ind w:firstLine="420"/>
              <w:jc w:val="left"/>
            </w:pPr>
            <w:r>
              <w:rPr>
                <w:rFonts w:ascii="仿宋_GB2312" w:hAnsi="仿宋_GB2312" w:cs="仿宋_GB2312" w:eastAsia="仿宋_GB2312"/>
                <w:sz w:val="21"/>
              </w:rPr>
              <w:t>4.3洗涤清单中的1-15项材质要求必须为精梳无尘纯棉材质。</w:t>
            </w:r>
          </w:p>
          <w:p>
            <w:pPr>
              <w:pStyle w:val="null3"/>
              <w:spacing w:before="60"/>
              <w:ind w:firstLine="420"/>
              <w:jc w:val="left"/>
            </w:pPr>
            <w:r>
              <w:rPr>
                <w:rFonts w:ascii="仿宋_GB2312" w:hAnsi="仿宋_GB2312" w:cs="仿宋_GB2312" w:eastAsia="仿宋_GB2312"/>
                <w:sz w:val="21"/>
              </w:rPr>
              <w:t>4.4报价要求：本项目采用单价的形式报价，供应商对洗涤清单中各品目所报的单价不得超过其最高限价，超最高限价的按无效处理，本项目涉及的数量为预估数量，仅供参考，供应商须按照预估数量填报总价，填报的总价仅用作价格评审，后期结算价格以单价乘以洗涤数量据实结算，最终年度结算金额不超过采购预算（279万元/年）。</w:t>
            </w:r>
          </w:p>
          <w:p>
            <w:pPr>
              <w:pStyle w:val="null3"/>
              <w:spacing w:before="60"/>
              <w:ind w:firstLine="420"/>
              <w:jc w:val="left"/>
            </w:pPr>
            <w:r>
              <w:rPr>
                <w:rFonts w:ascii="仿宋_GB2312" w:hAnsi="仿宋_GB2312" w:cs="仿宋_GB2312" w:eastAsia="仿宋_GB2312"/>
                <w:sz w:val="21"/>
              </w:rPr>
              <w:t>4.5本项目采购文件中提及的技术标准在项目实施过程中若有更新的须按最新标准执行。</w:t>
            </w:r>
          </w:p>
          <w:p>
            <w:pPr>
              <w:pStyle w:val="null3"/>
              <w:spacing w:before="60"/>
              <w:ind w:firstLine="420"/>
              <w:jc w:val="left"/>
            </w:pPr>
            <w:r>
              <w:rPr>
                <w:rFonts w:ascii="仿宋_GB2312" w:hAnsi="仿宋_GB2312" w:cs="仿宋_GB2312" w:eastAsia="仿宋_GB2312"/>
                <w:sz w:val="21"/>
              </w:rPr>
              <w:t>5.考核办法：每月由供应商前往科室邀请科室填写月度考核 (详见附件成都市第七人民医院布类洗涤考核表)，并于次月10日前将上月所有科室考核表交至采购人管理部门。根据考核得分支付洗涤服务费，标准如下：</w:t>
            </w:r>
          </w:p>
          <w:tbl>
            <w:tblPr>
              <w:tblBorders>
                <w:top w:val="none" w:color="000000" w:sz="4"/>
                <w:left w:val="none" w:color="000000" w:sz="4"/>
                <w:bottom w:val="none" w:color="000000" w:sz="4"/>
                <w:right w:val="none" w:color="000000" w:sz="4"/>
                <w:insideH w:val="none"/>
                <w:insideV w:val="none"/>
              </w:tblBorders>
            </w:tblPr>
            <w:tblGrid>
              <w:gridCol w:w="828"/>
              <w:gridCol w:w="2609"/>
              <w:gridCol w:w="2160"/>
            </w:tblGrid>
            <w:tr>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序号</w:t>
                  </w:r>
                </w:p>
              </w:tc>
              <w:tc>
                <w:tcPr>
                  <w:tcW w:type="dxa" w:w="2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考核得分</w:t>
                  </w:r>
                </w:p>
              </w:tc>
              <w:tc>
                <w:tcPr>
                  <w:tcW w:type="dxa" w:w="2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标准</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1</w:t>
                  </w:r>
                </w:p>
              </w:tc>
              <w:tc>
                <w:tcPr>
                  <w:tcW w:type="dxa" w:w="2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考核得分</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分</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除满足违约责任中的扣除外，全额支付当月洗涤服务费</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2</w:t>
                  </w:r>
                </w:p>
              </w:tc>
              <w:tc>
                <w:tcPr>
                  <w:tcW w:type="dxa" w:w="2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85</w:t>
                  </w:r>
                  <w:r>
                    <w:rPr>
                      <w:rFonts w:ascii="仿宋_GB2312" w:hAnsi="仿宋_GB2312" w:cs="仿宋_GB2312" w:eastAsia="仿宋_GB2312"/>
                      <w:sz w:val="21"/>
                    </w:rPr>
                    <w:t>分≤考核得分＜</w:t>
                  </w:r>
                  <w:r>
                    <w:rPr>
                      <w:rFonts w:ascii="仿宋_GB2312" w:hAnsi="仿宋_GB2312" w:cs="仿宋_GB2312" w:eastAsia="仿宋_GB2312"/>
                      <w:sz w:val="21"/>
                    </w:rPr>
                    <w:t>90</w:t>
                  </w:r>
                  <w:r>
                    <w:rPr>
                      <w:rFonts w:ascii="仿宋_GB2312" w:hAnsi="仿宋_GB2312" w:cs="仿宋_GB2312" w:eastAsia="仿宋_GB2312"/>
                      <w:sz w:val="21"/>
                    </w:rPr>
                    <w:t>分</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与</w:t>
                  </w:r>
                  <w:r>
                    <w:rPr>
                      <w:rFonts w:ascii="仿宋_GB2312" w:hAnsi="仿宋_GB2312" w:cs="仿宋_GB2312" w:eastAsia="仿宋_GB2312"/>
                      <w:sz w:val="21"/>
                    </w:rPr>
                    <w:t>90</w:t>
                  </w:r>
                  <w:r>
                    <w:rPr>
                      <w:rFonts w:ascii="仿宋_GB2312" w:hAnsi="仿宋_GB2312" w:cs="仿宋_GB2312" w:eastAsia="仿宋_GB2312"/>
                      <w:sz w:val="21"/>
                    </w:rPr>
                    <w:t>分相比，每少一分扣</w:t>
                  </w:r>
                  <w:r>
                    <w:rPr>
                      <w:rFonts w:ascii="仿宋_GB2312" w:hAnsi="仿宋_GB2312" w:cs="仿宋_GB2312" w:eastAsia="仿宋_GB2312"/>
                      <w:sz w:val="21"/>
                    </w:rPr>
                    <w:t>2000</w:t>
                  </w:r>
                  <w:r>
                    <w:rPr>
                      <w:rFonts w:ascii="仿宋_GB2312" w:hAnsi="仿宋_GB2312" w:cs="仿宋_GB2312" w:eastAsia="仿宋_GB2312"/>
                      <w:sz w:val="21"/>
                    </w:rPr>
                    <w:t>元</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3</w:t>
                  </w:r>
                </w:p>
              </w:tc>
              <w:tc>
                <w:tcPr>
                  <w:tcW w:type="dxa" w:w="2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80</w:t>
                  </w:r>
                  <w:r>
                    <w:rPr>
                      <w:rFonts w:ascii="仿宋_GB2312" w:hAnsi="仿宋_GB2312" w:cs="仿宋_GB2312" w:eastAsia="仿宋_GB2312"/>
                      <w:sz w:val="21"/>
                    </w:rPr>
                    <w:t>分≤考核得分＜</w:t>
                  </w:r>
                  <w:r>
                    <w:rPr>
                      <w:rFonts w:ascii="仿宋_GB2312" w:hAnsi="仿宋_GB2312" w:cs="仿宋_GB2312" w:eastAsia="仿宋_GB2312"/>
                      <w:sz w:val="21"/>
                    </w:rPr>
                    <w:t>85</w:t>
                  </w:r>
                  <w:r>
                    <w:rPr>
                      <w:rFonts w:ascii="仿宋_GB2312" w:hAnsi="仿宋_GB2312" w:cs="仿宋_GB2312" w:eastAsia="仿宋_GB2312"/>
                      <w:sz w:val="21"/>
                    </w:rPr>
                    <w:t>分</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按照本条第</w:t>
                  </w:r>
                  <w:r>
                    <w:rPr>
                      <w:rFonts w:ascii="仿宋_GB2312" w:hAnsi="仿宋_GB2312" w:cs="仿宋_GB2312" w:eastAsia="仿宋_GB2312"/>
                      <w:sz w:val="21"/>
                    </w:rPr>
                    <w:t>2</w:t>
                  </w:r>
                  <w:r>
                    <w:rPr>
                      <w:rFonts w:ascii="仿宋_GB2312" w:hAnsi="仿宋_GB2312" w:cs="仿宋_GB2312" w:eastAsia="仿宋_GB2312"/>
                      <w:sz w:val="21"/>
                    </w:rPr>
                    <w:t>项标准扣除后，还将会与</w:t>
                  </w:r>
                  <w:r>
                    <w:rPr>
                      <w:rFonts w:ascii="仿宋_GB2312" w:hAnsi="仿宋_GB2312" w:cs="仿宋_GB2312" w:eastAsia="仿宋_GB2312"/>
                      <w:sz w:val="21"/>
                    </w:rPr>
                    <w:t>85</w:t>
                  </w:r>
                  <w:r>
                    <w:rPr>
                      <w:rFonts w:ascii="仿宋_GB2312" w:hAnsi="仿宋_GB2312" w:cs="仿宋_GB2312" w:eastAsia="仿宋_GB2312"/>
                      <w:sz w:val="21"/>
                    </w:rPr>
                    <w:t>分相比，每少一分扣</w:t>
                  </w:r>
                  <w:r>
                    <w:rPr>
                      <w:rFonts w:ascii="仿宋_GB2312" w:hAnsi="仿宋_GB2312" w:cs="仿宋_GB2312" w:eastAsia="仿宋_GB2312"/>
                      <w:sz w:val="21"/>
                    </w:rPr>
                    <w:t>5000</w:t>
                  </w:r>
                  <w:r>
                    <w:rPr>
                      <w:rFonts w:ascii="仿宋_GB2312" w:hAnsi="仿宋_GB2312" w:cs="仿宋_GB2312" w:eastAsia="仿宋_GB2312"/>
                      <w:sz w:val="21"/>
                    </w:rPr>
                    <w:t>元</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4</w:t>
                  </w:r>
                </w:p>
              </w:tc>
              <w:tc>
                <w:tcPr>
                  <w:tcW w:type="dxa" w:w="2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70</w:t>
                  </w:r>
                  <w:r>
                    <w:rPr>
                      <w:rFonts w:ascii="仿宋_GB2312" w:hAnsi="仿宋_GB2312" w:cs="仿宋_GB2312" w:eastAsia="仿宋_GB2312"/>
                      <w:sz w:val="21"/>
                    </w:rPr>
                    <w:t>分≤考核得分＜</w:t>
                  </w:r>
                  <w:r>
                    <w:rPr>
                      <w:rFonts w:ascii="仿宋_GB2312" w:hAnsi="仿宋_GB2312" w:cs="仿宋_GB2312" w:eastAsia="仿宋_GB2312"/>
                      <w:sz w:val="21"/>
                    </w:rPr>
                    <w:t>80</w:t>
                  </w:r>
                  <w:r>
                    <w:rPr>
                      <w:rFonts w:ascii="仿宋_GB2312" w:hAnsi="仿宋_GB2312" w:cs="仿宋_GB2312" w:eastAsia="仿宋_GB2312"/>
                      <w:sz w:val="21"/>
                    </w:rPr>
                    <w:t>分</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按照本条第</w:t>
                  </w:r>
                  <w:r>
                    <w:rPr>
                      <w:rFonts w:ascii="仿宋_GB2312" w:hAnsi="仿宋_GB2312" w:cs="仿宋_GB2312" w:eastAsia="仿宋_GB2312"/>
                      <w:sz w:val="21"/>
                    </w:rPr>
                    <w:t>3</w:t>
                  </w:r>
                  <w:r>
                    <w:rPr>
                      <w:rFonts w:ascii="仿宋_GB2312" w:hAnsi="仿宋_GB2312" w:cs="仿宋_GB2312" w:eastAsia="仿宋_GB2312"/>
                      <w:sz w:val="21"/>
                    </w:rPr>
                    <w:t>项标准扣除后，还将扣款当月应支付费用的</w:t>
                  </w:r>
                  <w:r>
                    <w:rPr>
                      <w:rFonts w:ascii="仿宋_GB2312" w:hAnsi="仿宋_GB2312" w:cs="仿宋_GB2312" w:eastAsia="仿宋_GB2312"/>
                      <w:sz w:val="21"/>
                    </w:rPr>
                    <w:t>10%</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5</w:t>
                  </w:r>
                </w:p>
              </w:tc>
              <w:tc>
                <w:tcPr>
                  <w:tcW w:type="dxa" w:w="2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考核得分小于</w:t>
                  </w:r>
                  <w:r>
                    <w:rPr>
                      <w:rFonts w:ascii="仿宋_GB2312" w:hAnsi="仿宋_GB2312" w:cs="仿宋_GB2312" w:eastAsia="仿宋_GB2312"/>
                      <w:sz w:val="21"/>
                    </w:rPr>
                    <w:t>70</w:t>
                  </w:r>
                  <w:r>
                    <w:rPr>
                      <w:rFonts w:ascii="仿宋_GB2312" w:hAnsi="仿宋_GB2312" w:cs="仿宋_GB2312" w:eastAsia="仿宋_GB2312"/>
                      <w:sz w:val="21"/>
                    </w:rPr>
                    <w:t>分</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按照本条第</w:t>
                  </w:r>
                  <w:r>
                    <w:rPr>
                      <w:rFonts w:ascii="仿宋_GB2312" w:hAnsi="仿宋_GB2312" w:cs="仿宋_GB2312" w:eastAsia="仿宋_GB2312"/>
                      <w:sz w:val="21"/>
                    </w:rPr>
                    <w:t>4</w:t>
                  </w:r>
                  <w:r>
                    <w:rPr>
                      <w:rFonts w:ascii="仿宋_GB2312" w:hAnsi="仿宋_GB2312" w:cs="仿宋_GB2312" w:eastAsia="仿宋_GB2312"/>
                      <w:sz w:val="21"/>
                    </w:rPr>
                    <w:t>项标准扣除后，还将扣款当月应支付费用的</w:t>
                  </w:r>
                  <w:r>
                    <w:rPr>
                      <w:rFonts w:ascii="仿宋_GB2312" w:hAnsi="仿宋_GB2312" w:cs="仿宋_GB2312" w:eastAsia="仿宋_GB2312"/>
                      <w:sz w:val="21"/>
                    </w:rPr>
                    <w:t>20%</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若每合同年度考核得分出现</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70</w:t>
                  </w:r>
                  <w:r>
                    <w:rPr>
                      <w:rFonts w:ascii="仿宋_GB2312" w:hAnsi="仿宋_GB2312" w:cs="仿宋_GB2312" w:eastAsia="仿宋_GB2312"/>
                      <w:sz w:val="21"/>
                    </w:rPr>
                    <w:t>分（不含）以下的，为考核不合格，采购人有权单方面解除合同，并由供应商承担由此带来的一切损失。</w:t>
                  </w:r>
                </w:p>
              </w:tc>
            </w:tr>
          </w:tbl>
          <w:p>
            <w:pPr>
              <w:pStyle w:val="null3"/>
              <w:spacing w:before="60"/>
              <w:ind w:firstLine="420"/>
              <w:jc w:val="left"/>
            </w:pPr>
            <w:r>
              <w:rPr>
                <w:rFonts w:ascii="仿宋_GB2312" w:hAnsi="仿宋_GB2312" w:cs="仿宋_GB2312" w:eastAsia="仿宋_GB2312"/>
                <w:sz w:val="21"/>
              </w:rPr>
              <w:t>附件：</w:t>
            </w:r>
          </w:p>
          <w:p>
            <w:pPr>
              <w:pStyle w:val="null3"/>
              <w:spacing w:before="60"/>
              <w:ind w:firstLine="420"/>
              <w:jc w:val="center"/>
            </w:pPr>
            <w:r>
              <w:rPr>
                <w:rFonts w:ascii="仿宋_GB2312" w:hAnsi="仿宋_GB2312" w:cs="仿宋_GB2312" w:eastAsia="仿宋_GB2312"/>
                <w:sz w:val="21"/>
              </w:rPr>
              <w:t>成都市第七人民医院洗涤服务月度考核表</w:t>
            </w:r>
          </w:p>
          <w:p>
            <w:pPr>
              <w:pStyle w:val="null3"/>
              <w:spacing w:before="60"/>
              <w:ind w:firstLine="420"/>
              <w:jc w:val="left"/>
            </w:pPr>
            <w:r>
              <w:rPr>
                <w:rFonts w:ascii="仿宋_GB2312" w:hAnsi="仿宋_GB2312" w:cs="仿宋_GB2312" w:eastAsia="仿宋_GB2312"/>
                <w:sz w:val="21"/>
              </w:rPr>
              <w:t>考核月份：       考核科室：     科室负责人签字：</w:t>
            </w:r>
          </w:p>
          <w:tbl>
            <w:tblPr>
              <w:tblInd w:type="dxa" w:w="120"/>
              <w:tblBorders>
                <w:top w:val="none" w:color="000000" w:sz="4"/>
                <w:left w:val="none" w:color="000000" w:sz="4"/>
                <w:bottom w:val="none" w:color="000000" w:sz="4"/>
                <w:right w:val="none" w:color="000000" w:sz="4"/>
                <w:insideH w:val="none"/>
                <w:insideV w:val="none"/>
              </w:tblBorders>
            </w:tblPr>
            <w:tblGrid>
              <w:gridCol w:w="2353"/>
              <w:gridCol w:w="5671"/>
              <w:gridCol w:w="3157"/>
            </w:tblGrid>
            <w:tr>
              <w:tc>
                <w:tcPr>
                  <w:tcW w:type="dxa" w:w="2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序号</w:t>
                  </w:r>
                </w:p>
              </w:tc>
              <w:tc>
                <w:tcPr>
                  <w:tcW w:type="dxa" w:w="5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考核内容（100分）</w:t>
                  </w:r>
                </w:p>
              </w:tc>
              <w:tc>
                <w:tcPr>
                  <w:tcW w:type="dxa" w:w="3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扣分</w:t>
                  </w:r>
                </w:p>
              </w:tc>
            </w:tr>
            <w:tr>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1"/>
                    </w:rPr>
                    <w:t>1</w:t>
                  </w:r>
                </w:p>
              </w:tc>
              <w:tc>
                <w:tcPr>
                  <w:tcW w:type="dxa" w:w="5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both"/>
                  </w:pPr>
                  <w:r>
                    <w:rPr>
                      <w:rFonts w:ascii="仿宋_GB2312" w:hAnsi="仿宋_GB2312" w:cs="仿宋_GB2312" w:eastAsia="仿宋_GB2312"/>
                      <w:sz w:val="21"/>
                    </w:rPr>
                    <w:t>洗涤后送回的布草发现有其他单位的，发现一次扣5分。</w:t>
                  </w:r>
                </w:p>
              </w:tc>
              <w:tc>
                <w:tcPr>
                  <w:tcW w:type="dxa" w:w="3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p>
              </w:tc>
            </w:tr>
            <w:tr>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both"/>
                  </w:pPr>
                  <w:r>
                    <w:rPr>
                      <w:rFonts w:ascii="仿宋_GB2312" w:hAnsi="仿宋_GB2312" w:cs="仿宋_GB2312" w:eastAsia="仿宋_GB2312"/>
                      <w:sz w:val="21"/>
                    </w:rPr>
                    <w:t>洗涤后送回的布草出现污渍、血迹等未洗干净或有异物的，发现一次扣2分。</w:t>
                  </w:r>
                </w:p>
              </w:tc>
              <w:tc>
                <w:tcPr>
                  <w:tcW w:type="dxa" w:w="3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p>
              </w:tc>
            </w:tr>
            <w:tr>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both"/>
                  </w:pPr>
                  <w:r>
                    <w:rPr>
                      <w:rFonts w:ascii="仿宋_GB2312" w:hAnsi="仿宋_GB2312" w:cs="仿宋_GB2312" w:eastAsia="仿宋_GB2312"/>
                      <w:sz w:val="21"/>
                    </w:rPr>
                    <w:t>洗涤后送回的布草出现破损未缝补或未更换的，发现一次扣1分。</w:t>
                  </w:r>
                </w:p>
              </w:tc>
              <w:tc>
                <w:tcPr>
                  <w:tcW w:type="dxa" w:w="3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p>
              </w:tc>
            </w:tr>
            <w:tr>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both"/>
                  </w:pPr>
                  <w:r>
                    <w:rPr>
                      <w:rFonts w:ascii="仿宋_GB2312" w:hAnsi="仿宋_GB2312" w:cs="仿宋_GB2312" w:eastAsia="仿宋_GB2312"/>
                      <w:sz w:val="21"/>
                    </w:rPr>
                    <w:t>未执行洁、污布草分开放置、打包、运送，发现一次扣1分。</w:t>
                  </w:r>
                </w:p>
              </w:tc>
              <w:tc>
                <w:tcPr>
                  <w:tcW w:type="dxa" w:w="3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p>
              </w:tc>
            </w:tr>
            <w:tr>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both"/>
                  </w:pPr>
                  <w:r>
                    <w:rPr>
                      <w:rFonts w:ascii="仿宋_GB2312" w:hAnsi="仿宋_GB2312" w:cs="仿宋_GB2312" w:eastAsia="仿宋_GB2312"/>
                      <w:sz w:val="21"/>
                    </w:rPr>
                    <w:t>手术单、手术衣、包布未按照采购人消毒供应中心要求进行折叠、整理的，发现一次扣1分。</w:t>
                  </w:r>
                </w:p>
              </w:tc>
              <w:tc>
                <w:tcPr>
                  <w:tcW w:type="dxa" w:w="3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p>
              </w:tc>
            </w:tr>
            <w:tr>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both"/>
                  </w:pPr>
                  <w:r>
                    <w:rPr>
                      <w:rFonts w:ascii="仿宋_GB2312" w:hAnsi="仿宋_GB2312" w:cs="仿宋_GB2312" w:eastAsia="仿宋_GB2312"/>
                      <w:sz w:val="21"/>
                    </w:rPr>
                    <w:t>洗涤后送回布草出现送错科室的，发现一次扣2分。</w:t>
                  </w:r>
                </w:p>
              </w:tc>
              <w:tc>
                <w:tcPr>
                  <w:tcW w:type="dxa" w:w="3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p>
              </w:tc>
            </w:tr>
            <w:tr>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both"/>
                  </w:pPr>
                  <w:r>
                    <w:rPr>
                      <w:rFonts w:ascii="仿宋_GB2312" w:hAnsi="仿宋_GB2312" w:cs="仿宋_GB2312" w:eastAsia="仿宋_GB2312"/>
                      <w:sz w:val="21"/>
                    </w:rPr>
                    <w:t>日常配送不及时，发现一次扣2分，临时配送应急响应不及时的，发现一次扣5分。</w:t>
                  </w:r>
                </w:p>
              </w:tc>
              <w:tc>
                <w:tcPr>
                  <w:tcW w:type="dxa" w:w="3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p>
              </w:tc>
            </w:tr>
            <w:tr>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both"/>
                  </w:pPr>
                  <w:r>
                    <w:rPr>
                      <w:rFonts w:ascii="仿宋_GB2312" w:hAnsi="仿宋_GB2312" w:cs="仿宋_GB2312" w:eastAsia="仿宋_GB2312"/>
                      <w:sz w:val="21"/>
                    </w:rPr>
                    <w:t>未对布草暂存间进行定期盘点并及时补充基数的，发现一次扣2分。</w:t>
                  </w:r>
                </w:p>
              </w:tc>
              <w:tc>
                <w:tcPr>
                  <w:tcW w:type="dxa" w:w="3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p>
              </w:tc>
            </w:tr>
            <w:tr>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5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both"/>
                  </w:pPr>
                  <w:r>
                    <w:rPr>
                      <w:rFonts w:ascii="仿宋_GB2312" w:hAnsi="仿宋_GB2312" w:cs="仿宋_GB2312" w:eastAsia="仿宋_GB2312"/>
                      <w:sz w:val="21"/>
                    </w:rPr>
                    <w:t>驻点工作人员未规范着装、未佩戴工作牌、服务态度不端正的，发现一次扣1分。</w:t>
                  </w:r>
                </w:p>
              </w:tc>
              <w:tc>
                <w:tcPr>
                  <w:tcW w:type="dxa" w:w="3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p>
              </w:tc>
            </w:tr>
            <w:tr>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both"/>
                  </w:pPr>
                  <w:r>
                    <w:rPr>
                      <w:rFonts w:ascii="仿宋_GB2312" w:hAnsi="仿宋_GB2312" w:cs="仿宋_GB2312" w:eastAsia="仿宋_GB2312"/>
                      <w:sz w:val="21"/>
                    </w:rPr>
                    <w:t>返洗时间超过2天或缝补时间超过3天，发现一次扣2分。</w:t>
                  </w:r>
                </w:p>
              </w:tc>
              <w:tc>
                <w:tcPr>
                  <w:tcW w:type="dxa" w:w="3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p>
              </w:tc>
            </w:tr>
            <w:tr>
              <w:tc>
                <w:tcPr>
                  <w:tcW w:type="dxa" w:w="80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实际得分</w:t>
                  </w:r>
                </w:p>
              </w:tc>
              <w:tc>
                <w:tcPr>
                  <w:tcW w:type="dxa" w:w="3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付款进度安排（以此为准）</w:t>
            </w:r>
          </w:p>
        </w:tc>
        <w:tc>
          <w:tcPr>
            <w:tcW w:type="dxa" w:w="5814"/>
          </w:tcPr>
          <w:p>
            <w:pPr>
              <w:pStyle w:val="null3"/>
              <w:jc w:val="left"/>
            </w:pPr>
            <w:r>
              <w:rPr>
                <w:rFonts w:ascii="仿宋_GB2312" w:hAnsi="仿宋_GB2312" w:cs="仿宋_GB2312" w:eastAsia="仿宋_GB2312"/>
                <w:sz w:val="21"/>
              </w:rPr>
              <w:t>因系统固化原因，3.3.2.商务要求中“付款进度安排”不适用于本项目，本项目“付款进度安排”以此为准（供应商应答“付款进度安排”时仅需应答此条要求即可，无需再应答3.3.2.商务要求中“付款进度安排”）：</w:t>
            </w:r>
          </w:p>
          <w:p>
            <w:pPr>
              <w:pStyle w:val="null3"/>
              <w:jc w:val="left"/>
            </w:pPr>
            <w:r>
              <w:rPr>
                <w:rFonts w:ascii="仿宋_GB2312" w:hAnsi="仿宋_GB2312" w:cs="仿宋_GB2312" w:eastAsia="仿宋_GB2312"/>
                <w:sz w:val="21"/>
              </w:rPr>
              <w:t>1、按自然月进行结算，每个服务月结束后，供应商根据该月实际洗涤数量和单价计算出总价。经采购人审核无误后5日内开具有效等额增值税发票，采购人收到发票后于10个工作日内支付上月的费用，如供应商提供服务不足一个月的，则按中标单价乘以实际数量计算费用。</w:t>
            </w:r>
          </w:p>
          <w:p>
            <w:pPr>
              <w:pStyle w:val="null3"/>
              <w:jc w:val="left"/>
            </w:pPr>
            <w:r>
              <w:rPr>
                <w:rFonts w:ascii="仿宋_GB2312" w:hAnsi="仿宋_GB2312" w:cs="仿宋_GB2312" w:eastAsia="仿宋_GB2312"/>
                <w:sz w:val="21"/>
              </w:rPr>
              <w:t>2、年度结算总额达到279万元/年，本年度合同终止。</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三年，合同一年一签。本项目上一个合同服务周期结束之后开始本项目服务期限，具体服务开始时间以采购人通知为准。当年考核合格后，方可续签下一年度合同。若在任何一个合同年度内，出现3次及以上考核得分低于70分（不含70分）的情形，则视为该合同年度考核不合格，采购人有权单方面解除合同。</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成都市第七人民医院天府院区、新南院区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采购文件的技术指标和商务要求、供应商的投标文件及承诺与本合同约定标准进行验收。验收时如发现供应商提供的服务不符合标准及本合同规定之情形者，由双方签署备忘录，由此产生的时间延误与有关费用由供应商承担，且验收期限相应顺延。（注：此处如有与招标文件2.6.6履约验收方案存在冲突的内容，以此为准）</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按自然月进行结算，每个服务月结束后，供应商根据该月实际洗涤数量和单价计算出总价。经采购人审核无误后5日内开具有效等额增值税发票，达到付款条件起10个工作日内，据实情况为如供应商提供服务不足一个月的，则按中标单价乘以实际数量计算费用</w:t>
            </w:r>
            <w:r>
              <w:br/>
            </w:r>
            <w:r>
              <w:rPr>
                <w:rFonts w:ascii="仿宋_GB2312" w:hAnsi="仿宋_GB2312" w:cs="仿宋_GB2312" w:eastAsia="仿宋_GB2312"/>
              </w:rPr>
              <w:t>2、</w:t>
            </w:r>
            <w:r>
              <w:rPr>
                <w:rFonts w:ascii="仿宋_GB2312" w:hAnsi="仿宋_GB2312" w:cs="仿宋_GB2312" w:eastAsia="仿宋_GB2312"/>
              </w:rPr>
              <w:t>进度款，按自然月进行结算，每个服务月结束后，供应商根据该月实际洗涤数量和单价计算出总价。经采购人审核无误后5日内开具有效等额增值税发票，达到付款条件起10个工作日内，据实情况为1.如供应商提供服务不足一个月的，则按中标单价乘以实际数量计算费用。 2.年度结算总额达到279万元/年，本年度合同终止</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供应商在参与本项目采购过程中，因自身围标、串标或提供虚假材料（承诺）、恶意竞标（中标后无法实质性响应招标要求等）谋取中标/成交/中选等行为被质疑成立、投诉成立或被相关上级部门通报处罚的，采购人有权解除合同，并追究供应商相关责任。 2.供应商违反《医疗机构医用织物洗涤消毒技术标准》WS/T508-2025要求及医院感染相关规定，未分类分区专机洗涤或违反洗涤流程、将采购人的织物与其他单位的织物混合洗涤等，从当月服务费中按照10000元/次进行扣除，并要求立即整改；供应商未及时整改的，采购人有权单方面解除合同并扣除全部履约保证金，并由供应商承担由此带来的一切不利后果。 3.采购人有权随时检查布草的洗涤质量，经洗涤后送回的布草出现污渍、血迹等未洗净或者折叠不符合要求等情形，采购人从当月服务费中按照20元/件进行扣除，每月超过20件情形，采购人有权扣除当月结算款的10%。 4.经供应商洗涤后送回的织物出现串色、染花，除按照物品的样式、规格包含所印标识进行补货外，采购人从当月服务费中按照50元/件进行扣除，若5日内未完成补货，每延迟1日按照500元/天进行扣除，从当月结算款中扣除。 5.经供应商洗涤后送回的织物出现开线、无纽扣、无系带、拉链和橡筋损坏未更换等缝补不符合要求的情形，供应商须及时整改，采购人从当月服务费中按照20元/件进行扣除。 6.供应商应在规定时间内进行收送，不得推迟收送时间，若推迟超过规定时间，采购人从当月服务费中按照100元/小时进行扣除，一月发生 3 次以上情况 (含 3 次) ，采购人有权扣除当月结算款的 10% (因不可抗拒的特殊原因延时，供应商事先告知采购人并征得采购人同意的除外) 。 7.未对布草暂存间进行定期盘点并及时补充基数的，发现基数不足当日起计算，3日内未及时补充的，每逾期1日，从当月服务费中按照2000元/日进行扣除。 8.未按采购人指定日期内提交电子、纸质资料的，每逾期1日，从当月服务费中按照2000元/日进行扣除 9.供应商应按规定时间将所有织物洗涤后及时送回，未按约定时间完成洗涤送回，采购人从当月服务费中按照1000元/件进行扣除，并要求立即整改，且由供应商承担由此带来的一切不利后果 (包括造成的采购人医疗工作的损失) 。 10.遇不可抗力的突发事件 (如地震等) ，导致供应商不能在规定的时间内将织物送回，供应商应及时通知采购人。同时供应商应立即启动应急预案，在规定的运送时间后8小时内及时将织物送回。 若供应商未及时告知采购人，影响采购人正常的医疗工作，由此引起的一切后果 (包括民事责任、刑事责任、 经济责任等)，由供应商承担，采购人有权扣除当月结算款的 10%；造成严重后果的，采购人有权终止供应商服务合同。 11.若出现供应商工作人员有聚集讨薪或罢工的情况，从当月服务费中按照10000元/次进行扣除，发生2次，采购人有权解除合同；对采购人造成重大损失或严重社会不良影响的，供应商需承担全部责任，包括经济责任和法律责任等； 12.因供应商原因造成采购人的重大损失或造成严重社会不良影响的，供应商需承担造成的经济责任和法律责任，同时采购人有权解除本合同并追究供应商的违约责任。 13.因供应商内部问题导致采购人受到互联网领域（包括抖音、小红书、今日头条、微信公众号、快手、微博、问政四川等）负面影响，应向采购人承担10000元/条的经济赔偿，并且供应商应在2小时内控制负面影响，且采购人有权解除合同，并追究供应商相关责任，从当月服务费中进行扣除。 14.供应商擅自单方解除本合同或终止提供服务，或因供应商原因导致本合同解除的，供应商应向采购人支付违约金 20000元。该违约金不足以弥补采购人实际损失的，供应商还应予以赔偿（损失范围定义见下款）。且在新供应商未进场前，供应商有义务继续严格按照本合同进行履约，直至新供应商进场，供应商需与新供应商平稳交接后，双方完成合同解除或终止。 15.第14条所述“实际损失”是指采购人因供应商违约所遭受的直接经济损失，以及为处理违约事件所支出的合理费用（包括但不限于律师费、诉讼费、鉴定费等）。 16.若供应商未按照要求提交检测报告，每逾期1日，从当月服务费中按照2000元/日进行扣除。 17.若供应商派驻的驻点服务人员人数不满足技术要求3.3.3要求，每少一人/次，供应商需向采购人支付2000元/人/次违约金。</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未载明或者载明的标的名称、数量、计量单位及其他政府采购合同实质性内容与采购文件要求不一致，且采购单位无法接受的，属于无效响应。★2.非特定美国企业生产产品（实质性要求）：根据《关于在政府采购活动中对有关美国企业采取相关措施的通知》（财库〔2026〕10号）规定，供应商不得提供该通知中所列46家美国企业（不包括在华美资企业）生产的产品，否则投标（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专门面向中小企业采购(监狱企业、残疾人福利性单位均视同小微企业，符合中小企业划分标准的个体工商户视同中小企业)，非中小企业参与的将视为无效响应〔中小企业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需要投标人提供材料进行响应的实质性要求</w:t>
            </w:r>
          </w:p>
        </w:tc>
        <w:tc>
          <w:tcPr>
            <w:tcW w:type="dxa" w:w="3322"/>
          </w:tcPr>
          <w:p>
            <w:pPr>
              <w:pStyle w:val="null3"/>
              <w:jc w:val="left"/>
            </w:pPr>
            <w:r>
              <w:rPr>
                <w:rFonts w:ascii="仿宋_GB2312" w:hAnsi="仿宋_GB2312" w:cs="仿宋_GB2312" w:eastAsia="仿宋_GB2312"/>
              </w:rPr>
              <w:t>需要投标人提供材料进行响应，按照招标文件要求提供相应的材料。</w:t>
            </w:r>
          </w:p>
        </w:tc>
        <w:tc>
          <w:tcPr>
            <w:tcW w:type="dxa" w:w="1661"/>
          </w:tcPr>
          <w:p>
            <w:pPr>
              <w:pStyle w:val="null3"/>
              <w:jc w:val="left"/>
            </w:pPr>
            <w:r>
              <w:rPr>
                <w:rFonts w:ascii="仿宋_GB2312" w:hAnsi="仿宋_GB2312" w:cs="仿宋_GB2312" w:eastAsia="仿宋_GB2312"/>
              </w:rPr>
              <w:t>技术服务响应表,供应商认为需要提供的其他证明材料,报价表,服务要求应答表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不存在招标文件规定的“无效”情形</w:t>
            </w:r>
          </w:p>
        </w:tc>
        <w:tc>
          <w:tcPr>
            <w:tcW w:type="dxa" w:w="3322"/>
          </w:tcPr>
          <w:p>
            <w:pPr>
              <w:pStyle w:val="null3"/>
              <w:jc w:val="left"/>
            </w:pPr>
            <w:r>
              <w:rPr>
                <w:rFonts w:ascii="仿宋_GB2312" w:hAnsi="仿宋_GB2312" w:cs="仿宋_GB2312" w:eastAsia="仿宋_GB2312"/>
              </w:rPr>
              <w:t>投标人按照招标文件要求进行响应，评标委员会对相关情形进行认定。</w:t>
            </w:r>
          </w:p>
        </w:tc>
        <w:tc>
          <w:tcPr>
            <w:tcW w:type="dxa" w:w="1661"/>
          </w:tcPr>
          <w:p>
            <w:pPr>
              <w:pStyle w:val="null3"/>
              <w:jc w:val="left"/>
            </w:pPr>
            <w:r>
              <w:rPr>
                <w:rFonts w:ascii="仿宋_GB2312" w:hAnsi="仿宋_GB2312" w:cs="仿宋_GB2312" w:eastAsia="仿宋_GB2312"/>
              </w:rPr>
              <w:t>技术服务响应表,供应商认为需要提供的其他证明材料,报价表,投标（响应）函,服务要求应答表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按投标人投标报价从低到高顺序排列，投标文件满足招标文件全部实质性要求且投标报价最低的投标人为排名第一的中标候选人。中标候选人并列的，由评标委员会根据招标文件规定的中标候选人数量，在排名并列的中标候选人中，采取随机抽取的方式确定中标候选人排名顺序。</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详见附件：供应商认为需要提供的其他证明材料</w:t>
      </w:r>
    </w:p>
    <w:p>
      <w:pPr>
        <w:pStyle w:val="null3"/>
        <w:ind w:firstLine="960"/>
        <w:jc w:val="left"/>
      </w:pPr>
      <w:r>
        <w:rPr>
          <w:rFonts w:ascii="仿宋_GB2312" w:hAnsi="仿宋_GB2312" w:cs="仿宋_GB2312" w:eastAsia="仿宋_GB2312"/>
        </w:rPr>
        <w:t>详见附件：技术服务响应表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详见附件：合同模板_电子采购合同文本-服务类-9Bu.docx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