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版本号：N511621202600014320260702001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岳池县翔凤大道以西城市公园生态修复项目长滩寺河流域洪水影响评价采购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N5116212026000143</w:t>
      </w:r>
    </w:p>
    <w:p>
      <w:pPr>
        <w:pStyle w:val="null3"/>
        <w:jc w:val="left"/>
        <w:outlineLvl w:val="2"/>
      </w:pPr>
      <w:r>
        <w:rPr>
          <w:rFonts w:ascii="仿宋_GB2312" w:hAnsi="仿宋_GB2312" w:cs="仿宋_GB2312" w:eastAsia="仿宋_GB2312"/>
          <w:sz w:val="28"/>
          <w:b/>
        </w:rPr>
        <w:t>岳池县住房和城乡建设局</w:t>
      </w:r>
    </w:p>
    <w:p>
      <w:pPr>
        <w:pStyle w:val="null3"/>
        <w:jc w:val="center"/>
        <w:outlineLvl w:val="2"/>
      </w:pPr>
      <w:r>
        <w:rPr>
          <w:rFonts w:ascii="仿宋_GB2312" w:hAnsi="仿宋_GB2312" w:cs="仿宋_GB2312" w:eastAsia="仿宋_GB2312"/>
          <w:sz w:val="28"/>
          <w:b/>
        </w:rPr>
        <w:t>广安永旺发工程管理有限公司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广安永旺发工程管理有限公司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岳池县住房和城乡建设局</w:t>
      </w:r>
      <w:r>
        <w:rPr>
          <w:rFonts w:ascii="仿宋_GB2312" w:hAnsi="仿宋_GB2312" w:cs="仿宋_GB2312" w:eastAsia="仿宋_GB2312"/>
        </w:rPr>
        <w:t xml:space="preserve"> 委托，拟对 </w:t>
      </w:r>
      <w:r>
        <w:rPr>
          <w:rFonts w:ascii="仿宋_GB2312" w:hAnsi="仿宋_GB2312" w:cs="仿宋_GB2312" w:eastAsia="仿宋_GB2312"/>
        </w:rPr>
        <w:t>岳池县翔凤大道以西城市公园生态修复项目长滩寺河流域洪水影响评价采购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N5116212026000143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岳池县翔凤大道以西城市公园生态修复项目长滩寺河流域洪水影响评价采购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岳池县翔凤大道以西城市公园生态修复项目，涉及长滩寺河沿线（自生桥至响水泄洪口段）新建人行桥梁4 座、改造桥梁 4 座、生态修复节点 5 处等内容，跨河桥梁及流域沿线生态修复节点，编制洪水影响评价报告。</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岳池县住房和城乡建设局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四川省岳池县九龙镇九龙大街271号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0826-5227069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广安永旺发工程管理有限公司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四川省广安市岳池县四川省广安市岳池县九龙镇园丁巷80号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15008433285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银行转账，支票/汇票/本票，保函/保险 交款方式：支票、汇票、本票或金融机构出具的保函等非现金形式提交（包括网银转账、电汇等方式）。 收款单位：岳池县住房和城乡建设局 开户行：中标后由采购单位提供 银行账号：中标后由采购单位提供。 交款时间：中标通知书发放后，采购合同签订前。</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采购代理服务费的支付方式照国家相关规定执行（计价格）【2002】1980号及《国家发展改革委办公厅关于招标代理服务收费有关问题的通知》发改办价格【2003】857号规定的标准基础下浮30%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岳池县住房和城乡建设局</w:t>
      </w:r>
      <w:r>
        <w:rPr>
          <w:rFonts w:ascii="仿宋_GB2312" w:hAnsi="仿宋_GB2312" w:cs="仿宋_GB2312" w:eastAsia="仿宋_GB2312"/>
        </w:rPr>
        <w:t xml:space="preserve"> 和 </w:t>
      </w:r>
      <w:r>
        <w:rPr>
          <w:rFonts w:ascii="仿宋_GB2312" w:hAnsi="仿宋_GB2312" w:cs="仿宋_GB2312" w:eastAsia="仿宋_GB2312"/>
        </w:rPr>
        <w:t>广安永旺发工程管理有限公司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岳池县住房和城乡建设局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广安永旺发工程管理有限公司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完成项目行洪论证与河势稳定评价报告并取得水行政主管部门批复</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岳池县政府采购项目履约验收工作规程》（岳财采〔2021〕82号）、采购文件要求、中标人投标文件及承诺函、政府采购合同等相关文件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岳池县政府采购项目履约验收工作规程》（岳财采〔2021〕82号）、采购文件要求、中标人投标文件及承诺函、政府采购合同等相关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岳池县政府采购项目履约验收工作规程》（岳财采〔2021〕82号）、采购文件要求、中标人投标文件及承诺函、政府采购合同等相关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岳池县政府采购项目履约验收工作规程》（岳财采〔2021〕82号）、采购文件要求、中标人投标文件及承诺函、政府采购合同等相关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岳池县政府采购项目履约验收工作规程》（岳财采〔2021〕82号）、采购文件要求、中标人投标文件及承诺函、政府采购合同等相关文件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岳池县住房和城乡建设局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广安永旺发工程管理有限公司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广安永旺发工程管理有限公司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联系人：戴老师</w:t>
      </w:r>
    </w:p>
    <w:p>
      <w:pPr>
        <w:pStyle w:val="null3"/>
        <w:jc w:val="left"/>
      </w:pPr>
      <w:r>
        <w:rPr>
          <w:rFonts w:ascii="仿宋_GB2312" w:hAnsi="仿宋_GB2312" w:cs="仿宋_GB2312" w:eastAsia="仿宋_GB2312"/>
        </w:rPr>
        <w:t>联系电话：0826-5227069</w:t>
      </w:r>
    </w:p>
    <w:p>
      <w:pPr>
        <w:pStyle w:val="null3"/>
        <w:jc w:val="left"/>
      </w:pPr>
      <w:r>
        <w:rPr>
          <w:rFonts w:ascii="仿宋_GB2312" w:hAnsi="仿宋_GB2312" w:cs="仿宋_GB2312" w:eastAsia="仿宋_GB2312"/>
        </w:rPr>
        <w:t>地址：四川省岳池县九龙镇九龙大街271号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联系人：滕老师</w:t>
      </w:r>
    </w:p>
    <w:p>
      <w:pPr>
        <w:pStyle w:val="null3"/>
        <w:jc w:val="left"/>
      </w:pPr>
      <w:r>
        <w:rPr>
          <w:rFonts w:ascii="仿宋_GB2312" w:hAnsi="仿宋_GB2312" w:cs="仿宋_GB2312" w:eastAsia="仿宋_GB2312"/>
        </w:rPr>
        <w:t>联系电话：15008433285</w:t>
      </w:r>
    </w:p>
    <w:p>
      <w:pPr>
        <w:pStyle w:val="null3"/>
        <w:jc w:val="left"/>
      </w:pPr>
      <w:r>
        <w:rPr>
          <w:rFonts w:ascii="仿宋_GB2312" w:hAnsi="仿宋_GB2312" w:cs="仿宋_GB2312" w:eastAsia="仿宋_GB2312"/>
        </w:rPr>
        <w:t>地址：四川省岳池县九龙镇翔凤大道中段777号（岳池亿联建材家居五金城28号楼215室）</w:t>
      </w:r>
    </w:p>
    <w:p>
      <w:pPr>
        <w:pStyle w:val="null3"/>
        <w:jc w:val="left"/>
      </w:pPr>
      <w:r>
        <w:rPr>
          <w:rFonts w:ascii="仿宋_GB2312" w:hAnsi="仿宋_GB2312" w:cs="仿宋_GB2312" w:eastAsia="仿宋_GB2312"/>
        </w:rPr>
        <w:t>邮编：638300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475,000.00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C07990000 其他生态环境保护和治理服务</w:t>
            </w:r>
          </w:p>
        </w:tc>
        <w:tc>
          <w:tcPr>
            <w:tcW w:type="dxa" w:w="821"/>
          </w:tcPr>
          <w:p>
            <w:pPr>
              <w:pStyle w:val="null3"/>
              <w:jc w:val="left"/>
            </w:pPr>
            <w:r>
              <w:rPr>
                <w:rFonts w:ascii="仿宋_GB2312" w:hAnsi="仿宋_GB2312" w:cs="仿宋_GB2312" w:eastAsia="仿宋_GB2312"/>
              </w:rPr>
              <w:t>岳池县翔凤大道以西城市公园生态修复项目长滩寺河流域洪水影响评价采购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岳池县翔凤大道以西城市公园生态修复项目长滩寺河流域洪水影响评价采购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标的名称：岳池县翔凤大道以西城市公园生态修复项目长滩寺河流域洪水影响评价采购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4"/>
              </w:rPr>
              <w:t>岳池县翔凤大道以西城市公园生态修复项目，主要对翔凤大道以西凤山公园、洗马河公园等</w:t>
            </w:r>
            <w:r>
              <w:rPr>
                <w:rFonts w:ascii="仿宋_GB2312" w:hAnsi="仿宋_GB2312" w:cs="仿宋_GB2312" w:eastAsia="仿宋_GB2312"/>
                <w:sz w:val="24"/>
              </w:rPr>
              <w:t>2</w:t>
            </w:r>
            <w:r>
              <w:rPr>
                <w:rFonts w:ascii="仿宋_GB2312" w:hAnsi="仿宋_GB2312" w:cs="仿宋_GB2312" w:eastAsia="仿宋_GB2312"/>
                <w:sz w:val="24"/>
              </w:rPr>
              <w:t>个老旧公园（约</w:t>
            </w:r>
            <w:r>
              <w:rPr>
                <w:rFonts w:ascii="仿宋_GB2312" w:hAnsi="仿宋_GB2312" w:cs="仿宋_GB2312" w:eastAsia="仿宋_GB2312"/>
                <w:sz w:val="24"/>
              </w:rPr>
              <w:t>2000</w:t>
            </w:r>
            <w:r>
              <w:rPr>
                <w:rFonts w:ascii="仿宋_GB2312" w:hAnsi="仿宋_GB2312" w:cs="仿宋_GB2312" w:eastAsia="仿宋_GB2312"/>
                <w:sz w:val="24"/>
              </w:rPr>
              <w:t>亩）实施滑坡治理、环境整治、生态修复工程，对护栏等附属设施改造提升；改造</w:t>
            </w:r>
            <w:r>
              <w:rPr>
                <w:rFonts w:ascii="仿宋_GB2312" w:hAnsi="仿宋_GB2312" w:cs="仿宋_GB2312" w:eastAsia="仿宋_GB2312"/>
                <w:sz w:val="24"/>
              </w:rPr>
              <w:t>8km</w:t>
            </w:r>
            <w:r>
              <w:rPr>
                <w:rFonts w:ascii="仿宋_GB2312" w:hAnsi="仿宋_GB2312" w:cs="仿宋_GB2312" w:eastAsia="仿宋_GB2312"/>
                <w:sz w:val="24"/>
              </w:rPr>
              <w:t>滨水智慧绿道及</w:t>
            </w:r>
            <w:r>
              <w:rPr>
                <w:rFonts w:ascii="仿宋_GB2312" w:hAnsi="仿宋_GB2312" w:cs="仿宋_GB2312" w:eastAsia="仿宋_GB2312"/>
                <w:sz w:val="24"/>
              </w:rPr>
              <w:t>3</w:t>
            </w:r>
            <w:r>
              <w:rPr>
                <w:rFonts w:ascii="仿宋_GB2312" w:hAnsi="仿宋_GB2312" w:cs="仿宋_GB2312" w:eastAsia="仿宋_GB2312"/>
                <w:sz w:val="24"/>
              </w:rPr>
              <w:t>处生态停车场（含</w:t>
            </w:r>
            <w:r>
              <w:rPr>
                <w:rFonts w:ascii="仿宋_GB2312" w:hAnsi="仿宋_GB2312" w:cs="仿宋_GB2312" w:eastAsia="仿宋_GB2312"/>
                <w:sz w:val="24"/>
              </w:rPr>
              <w:t>600</w:t>
            </w:r>
            <w:r>
              <w:rPr>
                <w:rFonts w:ascii="仿宋_GB2312" w:hAnsi="仿宋_GB2312" w:cs="仿宋_GB2312" w:eastAsia="仿宋_GB2312"/>
                <w:sz w:val="24"/>
              </w:rPr>
              <w:t>个标准车位、</w:t>
            </w:r>
            <w:r>
              <w:rPr>
                <w:rFonts w:ascii="仿宋_GB2312" w:hAnsi="仿宋_GB2312" w:cs="仿宋_GB2312" w:eastAsia="仿宋_GB2312"/>
                <w:sz w:val="24"/>
              </w:rPr>
              <w:t>180</w:t>
            </w:r>
            <w:r>
              <w:rPr>
                <w:rFonts w:ascii="仿宋_GB2312" w:hAnsi="仿宋_GB2312" w:cs="仿宋_GB2312" w:eastAsia="仿宋_GB2312"/>
                <w:sz w:val="24"/>
              </w:rPr>
              <w:t>个充电桩）；布局“</w:t>
            </w:r>
            <w:r>
              <w:rPr>
                <w:rFonts w:ascii="仿宋_GB2312" w:hAnsi="仿宋_GB2312" w:cs="仿宋_GB2312" w:eastAsia="仿宋_GB2312"/>
                <w:sz w:val="24"/>
              </w:rPr>
              <w:t>5+N</w:t>
            </w:r>
            <w:r>
              <w:rPr>
                <w:rFonts w:ascii="仿宋_GB2312" w:hAnsi="仿宋_GB2312" w:cs="仿宋_GB2312" w:eastAsia="仿宋_GB2312"/>
                <w:sz w:val="24"/>
              </w:rPr>
              <w:t>”口袋公园覆盖</w:t>
            </w:r>
            <w:r>
              <w:rPr>
                <w:rFonts w:ascii="仿宋_GB2312" w:hAnsi="仿宋_GB2312" w:cs="仿宋_GB2312" w:eastAsia="仿宋_GB2312"/>
                <w:sz w:val="24"/>
              </w:rPr>
              <w:t>4</w:t>
            </w:r>
            <w:r>
              <w:rPr>
                <w:rFonts w:ascii="仿宋_GB2312" w:hAnsi="仿宋_GB2312" w:cs="仿宋_GB2312" w:eastAsia="仿宋_GB2312"/>
                <w:sz w:val="24"/>
              </w:rPr>
              <w:t>个微社区；部署环境监测及智能灌溉功能，改建</w:t>
            </w:r>
            <w:r>
              <w:rPr>
                <w:rFonts w:ascii="仿宋_GB2312" w:hAnsi="仿宋_GB2312" w:cs="仿宋_GB2312" w:eastAsia="仿宋_GB2312"/>
                <w:sz w:val="24"/>
              </w:rPr>
              <w:t>2</w:t>
            </w:r>
            <w:r>
              <w:rPr>
                <w:rFonts w:ascii="仿宋_GB2312" w:hAnsi="仿宋_GB2312" w:cs="仿宋_GB2312" w:eastAsia="仿宋_GB2312"/>
                <w:sz w:val="24"/>
              </w:rPr>
              <w:t>处“平急两用”场所（</w:t>
            </w:r>
            <w:r>
              <w:rPr>
                <w:rFonts w:ascii="仿宋_GB2312" w:hAnsi="仿宋_GB2312" w:cs="仿宋_GB2312" w:eastAsia="仿宋_GB2312"/>
                <w:sz w:val="24"/>
              </w:rPr>
              <w:t>800m2</w:t>
            </w:r>
            <w:r>
              <w:rPr>
                <w:rFonts w:ascii="仿宋_GB2312" w:hAnsi="仿宋_GB2312" w:cs="仿宋_GB2312" w:eastAsia="仿宋_GB2312"/>
                <w:sz w:val="24"/>
              </w:rPr>
              <w:t>），新建无动力儿童设施、青年运动场所、老年健身场所共</w:t>
            </w:r>
            <w:r>
              <w:rPr>
                <w:rFonts w:ascii="仿宋_GB2312" w:hAnsi="仿宋_GB2312" w:cs="仿宋_GB2312" w:eastAsia="仿宋_GB2312"/>
                <w:sz w:val="24"/>
              </w:rPr>
              <w:t>24</w:t>
            </w:r>
            <w:r>
              <w:rPr>
                <w:rFonts w:ascii="仿宋_GB2312" w:hAnsi="仿宋_GB2312" w:cs="仿宋_GB2312" w:eastAsia="仿宋_GB2312"/>
                <w:sz w:val="24"/>
              </w:rPr>
              <w:t>处并完善其他配套设施建设。其中该项目涉及长滩寺河沿线（自生桥至响水泄洪口段）新建人行桥梁</w:t>
            </w:r>
            <w:r>
              <w:rPr>
                <w:rFonts w:ascii="仿宋_GB2312" w:hAnsi="仿宋_GB2312" w:cs="仿宋_GB2312" w:eastAsia="仿宋_GB2312"/>
                <w:sz w:val="24"/>
              </w:rPr>
              <w:t>4</w:t>
            </w:r>
            <w:r>
              <w:rPr>
                <w:rFonts w:ascii="仿宋_GB2312" w:hAnsi="仿宋_GB2312" w:cs="仿宋_GB2312" w:eastAsia="仿宋_GB2312"/>
                <w:sz w:val="24"/>
              </w:rPr>
              <w:t>座、改造桥梁</w:t>
            </w:r>
            <w:r>
              <w:rPr>
                <w:rFonts w:ascii="仿宋_GB2312" w:hAnsi="仿宋_GB2312" w:cs="仿宋_GB2312" w:eastAsia="仿宋_GB2312"/>
                <w:sz w:val="24"/>
              </w:rPr>
              <w:t>4</w:t>
            </w:r>
            <w:r>
              <w:rPr>
                <w:rFonts w:ascii="仿宋_GB2312" w:hAnsi="仿宋_GB2312" w:cs="仿宋_GB2312" w:eastAsia="仿宋_GB2312"/>
                <w:sz w:val="24"/>
              </w:rPr>
              <w:t>座、生态修复节点</w:t>
            </w:r>
            <w:r>
              <w:rPr>
                <w:rFonts w:ascii="仿宋_GB2312" w:hAnsi="仿宋_GB2312" w:cs="仿宋_GB2312" w:eastAsia="仿宋_GB2312"/>
                <w:sz w:val="24"/>
              </w:rPr>
              <w:t>5</w:t>
            </w:r>
            <w:r>
              <w:rPr>
                <w:rFonts w:ascii="仿宋_GB2312" w:hAnsi="仿宋_GB2312" w:cs="仿宋_GB2312" w:eastAsia="仿宋_GB2312"/>
                <w:sz w:val="24"/>
              </w:rPr>
              <w:t>处等内容，跨河桥梁及流域沿线生态修复节点，为满足岳池县翔凤大道以西城市公园生态修复项目建设需要，现需开展行洪论证与河势稳定评价工作，确保项目行洪安全、河势稳定、涉水建设合规可控。</w:t>
            </w:r>
          </w:p>
          <w:p>
            <w:pPr>
              <w:pStyle w:val="null3"/>
              <w:ind w:firstLine="480"/>
              <w:jc w:val="left"/>
            </w:pPr>
            <w:r>
              <w:rPr>
                <w:rFonts w:ascii="仿宋_GB2312" w:hAnsi="仿宋_GB2312" w:cs="仿宋_GB2312" w:eastAsia="仿宋_GB2312"/>
                <w:sz w:val="24"/>
              </w:rPr>
              <w:t>二、服务内容及要求：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服务地点：岳池县</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服务内容及要求：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根据国家、省、市现行涉河防洪相关法规、规范、技术标准，完成</w:t>
            </w:r>
            <w:r>
              <w:rPr>
                <w:rFonts w:ascii="仿宋_GB2312" w:hAnsi="仿宋_GB2312" w:cs="仿宋_GB2312" w:eastAsia="仿宋_GB2312"/>
                <w:sz w:val="24"/>
              </w:rPr>
              <w:t>对岳池县翔凤大道以西城市公园生态修复项目行洪论证与河势稳定评价</w:t>
            </w:r>
            <w:r>
              <w:rPr>
                <w:rFonts w:ascii="仿宋_GB2312" w:hAnsi="仿宋_GB2312" w:cs="仿宋_GB2312" w:eastAsia="仿宋_GB2312"/>
                <w:sz w:val="24"/>
              </w:rPr>
              <w:t>服务工作，</w:t>
            </w:r>
            <w:r>
              <w:rPr>
                <w:rFonts w:ascii="仿宋_GB2312" w:hAnsi="仿宋_GB2312" w:cs="仿宋_GB2312" w:eastAsia="仿宋_GB2312"/>
                <w:sz w:val="24"/>
              </w:rPr>
              <w:t>内容</w:t>
            </w:r>
            <w:r>
              <w:rPr>
                <w:rFonts w:ascii="仿宋_GB2312" w:hAnsi="仿宋_GB2312" w:cs="仿宋_GB2312" w:eastAsia="仿宋_GB2312"/>
                <w:sz w:val="24"/>
              </w:rPr>
              <w:t>主要包括</w:t>
            </w:r>
            <w:r>
              <w:rPr>
                <w:rFonts w:ascii="仿宋_GB2312" w:hAnsi="仿宋_GB2312" w:cs="仿宋_GB2312" w:eastAsia="仿宋_GB2312"/>
                <w:sz w:val="24"/>
              </w:rPr>
              <w:t>基础资料收集、水文分析计算、涉河建设方案行洪影响、河道河势稳定状况进行全面评价等内容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）在全面完成洪水影响评价服务工作后，应及时整理项目工作底稿、往来联系函等资料，根据资料存档要求配合使用单位做好归档工作，确保资料的收集完整、整理规范、归档及时、保管安全。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）行洪论证与河势稳定评价服务必须符合《洪水影响评价技术导则》</w:t>
            </w:r>
            <w:r>
              <w:rPr>
                <w:rFonts w:ascii="仿宋_GB2312" w:hAnsi="仿宋_GB2312" w:cs="仿宋_GB2312" w:eastAsia="仿宋_GB2312"/>
                <w:sz w:val="24"/>
              </w:rPr>
              <w:t>SL/T808-2025</w:t>
            </w:r>
            <w:r>
              <w:rPr>
                <w:rFonts w:ascii="仿宋_GB2312" w:hAnsi="仿宋_GB2312" w:cs="仿宋_GB2312" w:eastAsia="仿宋_GB2312"/>
                <w:sz w:val="24"/>
              </w:rPr>
              <w:t>以及河道管理相关法律法规及技术规范开展，</w:t>
            </w:r>
            <w:r>
              <w:rPr>
                <w:rFonts w:ascii="仿宋_GB2312" w:hAnsi="仿宋_GB2312" w:cs="仿宋_GB2312" w:eastAsia="仿宋_GB2312"/>
                <w:sz w:val="24"/>
              </w:rPr>
              <w:t>行洪论证与河势稳定评价相关成果报告</w:t>
            </w:r>
            <w:r>
              <w:rPr>
                <w:rFonts w:ascii="仿宋_GB2312" w:hAnsi="仿宋_GB2312" w:cs="仿宋_GB2312" w:eastAsia="仿宋_GB2312"/>
                <w:sz w:val="24"/>
              </w:rPr>
              <w:t>需通过</w:t>
            </w:r>
            <w:r>
              <w:rPr>
                <w:rFonts w:ascii="仿宋_GB2312" w:hAnsi="仿宋_GB2312" w:cs="仿宋_GB2312" w:eastAsia="仿宋_GB2312"/>
                <w:sz w:val="24"/>
              </w:rPr>
              <w:t>水行政主管部门</w:t>
            </w:r>
            <w:r>
              <w:rPr>
                <w:rFonts w:ascii="仿宋_GB2312" w:hAnsi="仿宋_GB2312" w:cs="仿宋_GB2312" w:eastAsia="仿宋_GB2312"/>
                <w:sz w:val="24"/>
              </w:rPr>
              <w:t>审查并取得相关批复文件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三、付款方式：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合同生效之日起，完成项目行洪论证与河势稳定评价报告并取得水行政主管部门批复后</w:t>
            </w:r>
            <w:r>
              <w:rPr>
                <w:rFonts w:ascii="仿宋_GB2312" w:hAnsi="仿宋_GB2312" w:cs="仿宋_GB2312" w:eastAsia="仿宋_GB2312"/>
                <w:sz w:val="24"/>
              </w:rPr>
              <w:t>30</w:t>
            </w:r>
            <w:r>
              <w:rPr>
                <w:rFonts w:ascii="仿宋_GB2312" w:hAnsi="仿宋_GB2312" w:cs="仿宋_GB2312" w:eastAsia="仿宋_GB2312"/>
                <w:sz w:val="24"/>
              </w:rPr>
              <w:t>日内，一次性付</w:t>
            </w:r>
            <w:r>
              <w:rPr>
                <w:rFonts w:ascii="仿宋_GB2312" w:hAnsi="仿宋_GB2312" w:cs="仿宋_GB2312" w:eastAsia="仿宋_GB2312"/>
                <w:sz w:val="24"/>
              </w:rPr>
              <w:t>清全部费用。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成交供应商向采购人开具发票，采购人以转账方式向成交供应商支付服务费。</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成交供应商必须按国家现行有关标准、规程和规范执行并符合上级主管部门对本项目的要求。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供应商的投标报价是指含人工、税金、利润、管理费及其他不可预见费等</w:t>
            </w:r>
            <w:r>
              <w:rPr>
                <w:rFonts w:ascii="仿宋_GB2312" w:hAnsi="仿宋_GB2312" w:cs="仿宋_GB2312" w:eastAsia="仿宋_GB2312"/>
                <w:sz w:val="24"/>
              </w:rPr>
              <w:t>完成本项目的</w:t>
            </w:r>
            <w:r>
              <w:rPr>
                <w:rFonts w:ascii="仿宋_GB2312" w:hAnsi="仿宋_GB2312" w:cs="仿宋_GB2312" w:eastAsia="仿宋_GB2312"/>
                <w:sz w:val="24"/>
              </w:rPr>
              <w:t>所有费用的包干价。</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其他未尽事宜按双方合同约定执行。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岳池县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岳池县政府采购项目履约验收工作规程》（岳财采〔2021〕82号）、采购文件要求、中标人投标文件及承诺函、政府采购合同等相关文件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1、完成项目行洪论证与河势稳定评价报告并取得水行政主管部门批复，达到付款条件起30日内，支付合同总金额的100.00%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第三章“技术、服务及其他要求”3.2.技术要求、3.3.服务要求中的实质性要求的内容。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第七章“拟签订采购合同文本"中内容均为可实质性变动的内容。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是否满足采购文件的技术及商务、其他要求的实质性条款</w:t>
            </w:r>
          </w:p>
        </w:tc>
        <w:tc>
          <w:tcPr>
            <w:tcW w:type="dxa" w:w="3322"/>
          </w:tcPr>
          <w:p>
            <w:pPr>
              <w:pStyle w:val="null3"/>
              <w:jc w:val="left"/>
            </w:pPr>
            <w:r>
              <w:rPr>
                <w:rFonts w:ascii="仿宋_GB2312" w:hAnsi="仿宋_GB2312" w:cs="仿宋_GB2312" w:eastAsia="仿宋_GB2312"/>
              </w:rPr>
              <w:t>按照采购文件第三章 服务及商务、其他要求的实质性条款评审</w:t>
            </w:r>
          </w:p>
        </w:tc>
        <w:tc>
          <w:tcPr>
            <w:tcW w:type="dxa" w:w="1661"/>
          </w:tcPr>
          <w:p>
            <w:pPr>
              <w:pStyle w:val="null3"/>
              <w:jc w:val="left"/>
            </w:pPr>
            <w:r>
              <w:rPr>
                <w:rFonts w:ascii="仿宋_GB2312" w:hAnsi="仿宋_GB2312" w:cs="仿宋_GB2312" w:eastAsia="仿宋_GB2312"/>
              </w:rPr>
              <w:t>商务应答表,服务应答表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满足本项目磋商文件所有实质性要求</w:t>
            </w:r>
          </w:p>
        </w:tc>
        <w:tc>
          <w:tcPr>
            <w:tcW w:type="dxa" w:w="3322"/>
          </w:tcPr>
          <w:p>
            <w:pPr>
              <w:pStyle w:val="null3"/>
              <w:jc w:val="left"/>
            </w:pPr>
            <w:r>
              <w:rPr>
                <w:rFonts w:ascii="仿宋_GB2312" w:hAnsi="仿宋_GB2312" w:cs="仿宋_GB2312" w:eastAsia="仿宋_GB2312"/>
              </w:rPr>
              <w:t>满足本项目磋商文件所有实质性要求</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项目计划与措施、后续服务方案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项目计划与措施</w:t>
            </w:r>
          </w:p>
        </w:tc>
        <w:tc>
          <w:tcPr>
            <w:tcW w:type="dxa" w:w="2575"/>
          </w:tcPr>
          <w:p>
            <w:pPr>
              <w:pStyle w:val="null3"/>
              <w:jc w:val="left"/>
            </w:pPr>
            <w:r>
              <w:rPr>
                <w:rFonts w:ascii="仿宋_GB2312" w:hAnsi="仿宋_GB2312" w:cs="仿宋_GB2312" w:eastAsia="仿宋_GB2312"/>
              </w:rPr>
              <w:t>供应商根据本项目情况及竞选需求编制实施方案，包括1、项目背景分析、项目内容、服务依据；2、工作流程及方法；3、重点难点、分析；4、重、难点合理化建议；5、质量保证体系与控制制度及风险管理制度；6、进度保证体系与措施。以上内容完整齐全得48分，每缺漏一项扣8分；每有一处有缺陷的扣2分，扣完为止。 注： 有缺陷是指：存在项目名称、服务期限等描述错误的内容、描述有歧义或逻辑有漏洞或表述不清、内容不完整、方案内容在实际操作中不能运用等任意一种情形。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项目计划与措施</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提供的后续服务方案进行综合评审，包括：1、后续服务内容；2、后续服务措施；3、后续服务承诺范围；4、服务响应时间。以上内容完整齐全得12分，每缺漏一项扣3分；每有一处有缺陷的扣1分，扣完为止。 注： 有缺陷是指：存在项目名称、服务期限等描述错误的内容；描述有歧义或逻辑有漏洞或表述不清；内容不完整；方案内容在实际操作中不能运用等任意一种情形。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2023年1月1日（含）以来提供1个水生态保护修复或河道治理类洪评业绩得3分，每增加一个类似业绩加3分，本项最高得12分，不提供不得分。 注：以上业绩须提供合同（或中标、成交通知书）等证明材料，加盖投标供应商电子章。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1、项目负责人（1人）：具有水利类或水文水资源相关专业中级职称的得3分；具有水利类或水文水资源相关专业高级及以上职称的得6分。本项最高得6分。 2、技术负责人（1人）：具有水利类或水文水资源相关专业中级职称的得3分；具有水利类或水文水资源相关专业高级及以上职称的得6分。本项最高得6分。 3、拟派项目组成人员（2人）：每具有一名水利类或水文水资源相关专业中级及以上职称的得3分。本项最高得6分。 注：以上人员不重复得分，须提供人员在职证明及相关职称证明材料的复印件或扫描件，均需加盖投标供应商电子章，否则不得分。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满足招标文件要求且最低的报价为评标基准价，其报价分为满分。其他供应商的价格分统一按照下列公式计算： 报价得分=（评标基准价/有效投标报价）×10%×100。（计算结果四舍五入，保留小数点后2位）。</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详见附件：项目计划与措施</w:t>
      </w:r>
    </w:p>
    <w:p>
      <w:pPr>
        <w:pStyle w:val="null3"/>
        <w:ind w:firstLine="960"/>
        <w:jc w:val="left"/>
      </w:pPr>
      <w:r>
        <w:rPr>
          <w:rFonts w:ascii="仿宋_GB2312" w:hAnsi="仿宋_GB2312" w:cs="仿宋_GB2312" w:eastAsia="仿宋_GB2312"/>
        </w:rPr>
        <w:t>详见附件：后续服务方案</w:t>
      </w:r>
    </w:p>
    <w:p>
      <w:pPr>
        <w:pStyle w:val="null3"/>
        <w:ind w:firstLine="960"/>
        <w:jc w:val="left"/>
      </w:pPr>
      <w:r>
        <w:rPr>
          <w:rFonts w:ascii="仿宋_GB2312" w:hAnsi="仿宋_GB2312" w:cs="仿宋_GB2312" w:eastAsia="仿宋_GB2312"/>
        </w:rPr>
        <w:t>详见附件：履约能力</w:t>
      </w:r>
    </w:p>
    <w:p>
      <w:pPr>
        <w:pStyle w:val="null3"/>
        <w:ind w:firstLine="960"/>
        <w:jc w:val="left"/>
      </w:pPr>
      <w:r>
        <w:rPr>
          <w:rFonts w:ascii="仿宋_GB2312" w:hAnsi="仿宋_GB2312" w:cs="仿宋_GB2312" w:eastAsia="仿宋_GB2312"/>
        </w:rPr>
        <w:t>详见附件：人员配置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