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版本号：SXBPRZB-2026-010520260302002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城西体育运动中心电力设备购置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SXBPRZB-2026-0105</w:t>
      </w:r>
      <w:r>
        <w:br/>
      </w:r>
      <w:r>
        <w:br/>
      </w:r>
      <w:r>
        <w:br/>
      </w:r>
    </w:p>
    <w:p>
      <w:pPr>
        <w:pStyle w:val="null3"/>
        <w:jc w:val="center"/>
        <w:outlineLvl w:val="2"/>
      </w:pPr>
      <w:r>
        <w:rPr>
          <w:rFonts w:ascii="仿宋_GB2312" w:hAnsi="仿宋_GB2312" w:cs="仿宋_GB2312" w:eastAsia="仿宋_GB2312"/>
          <w:sz w:val="28"/>
          <w:b/>
        </w:rPr>
        <w:t>城固县教育体育局机关</w:t>
      </w:r>
    </w:p>
    <w:p>
      <w:pPr>
        <w:pStyle w:val="null3"/>
        <w:jc w:val="center"/>
        <w:outlineLvl w:val="2"/>
      </w:pPr>
      <w:r>
        <w:rPr>
          <w:rFonts w:ascii="仿宋_GB2312" w:hAnsi="仿宋_GB2312" w:cs="仿宋_GB2312" w:eastAsia="仿宋_GB2312"/>
          <w:sz w:val="28"/>
          <w:b/>
        </w:rPr>
        <w:t>陕西博鹏瑞项目管理有限公司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陕西博鹏瑞项目管理有限公司</w:t>
      </w:r>
      <w:r>
        <w:rPr>
          <w:rFonts w:ascii="仿宋_GB2312" w:hAnsi="仿宋_GB2312" w:cs="仿宋_GB2312" w:eastAsia="仿宋_GB2312"/>
        </w:rPr>
        <w:t>（以下简称“代理机构”）受</w:t>
      </w:r>
      <w:r>
        <w:rPr>
          <w:rFonts w:ascii="仿宋_GB2312" w:hAnsi="仿宋_GB2312" w:cs="仿宋_GB2312" w:eastAsia="仿宋_GB2312"/>
        </w:rPr>
        <w:t>城固县教育体育局机关</w:t>
      </w:r>
      <w:r>
        <w:rPr>
          <w:rFonts w:ascii="仿宋_GB2312" w:hAnsi="仿宋_GB2312" w:cs="仿宋_GB2312" w:eastAsia="仿宋_GB2312"/>
        </w:rPr>
        <w:t>委托，拟对</w:t>
      </w:r>
      <w:r>
        <w:rPr>
          <w:rFonts w:ascii="仿宋_GB2312" w:hAnsi="仿宋_GB2312" w:cs="仿宋_GB2312" w:eastAsia="仿宋_GB2312"/>
        </w:rPr>
        <w:t>城西体育运动中心电力设备购置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SXBPRZB-2026-0105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城西体育运动中心电力设备购置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购置发电机组，变电箱，电力电缆及施工安装等；满足城西体育运动中心建设需求。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采购包1（城西体育运动中心电力设备购置）：属于专门面向中小企业采购。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定代表人、其他组织或自然人，营业执照、组织机构代码证、税务登记证（多证合一只提供营业执照，事业单位提供事业单位法定代表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3、承诺函：响应《汉中市政府采购供应商资格承诺函》</w:t>
      </w:r>
    </w:p>
    <w:p>
      <w:pPr>
        <w:pStyle w:val="null3"/>
      </w:pPr>
      <w:r>
        <w:rPr>
          <w:rFonts w:ascii="仿宋_GB2312" w:hAnsi="仿宋_GB2312" w:cs="仿宋_GB2312" w:eastAsia="仿宋_GB2312"/>
        </w:rPr>
        <w:t>4、投标人资格证书要求：供应商需具备电力工程施工总承包四级及以上资质，同时具备承装（修、试）电力设施 许可证五级及（含）以上电力设施许可证；拟派施工项目经理须具备机电工程专业二级及以上注册建造师执业资格，在本单位注册，供应商需具有安全生产许可证，具有有效的安全生产考核合格证书（建安 B 证），且未担任其他在施建设工程项目的项目经理。</w:t>
      </w:r>
    </w:p>
    <w:p>
      <w:pPr>
        <w:pStyle w:val="null3"/>
      </w:pPr>
      <w:r>
        <w:rPr>
          <w:rFonts w:ascii="仿宋_GB2312" w:hAnsi="仿宋_GB2312" w:cs="仿宋_GB2312" w:eastAsia="仿宋_GB2312"/>
        </w:rPr>
        <w:t>5、非联合体投标：本项目不接受联合体投标。</w:t>
      </w:r>
    </w:p>
    <w:p>
      <w:pPr>
        <w:pStyle w:val="null3"/>
      </w:pPr>
      <w:r>
        <w:rPr>
          <w:rFonts w:ascii="仿宋_GB2312" w:hAnsi="仿宋_GB2312" w:cs="仿宋_GB2312" w:eastAsia="仿宋_GB2312"/>
        </w:rPr>
        <w:t>6、无拖欠工资证明：投标单位需提供由相关政府部门出具无拖欠工资证明（盖公章）。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城固县教育体育局机关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城固县博望镇民主街36号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13892606278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陕西博鹏瑞项目管理有限公司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陕西省汉中市汉台区陕西省汉中市汉台区中山街街道办事处滨江苑小区一号楼一单元904室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15289267453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采购包1：3,388,000.00元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开户名称：陕西博鹏瑞项目管理有限公司</w:t>
            </w:r>
          </w:p>
          <w:p>
            <w:pPr>
              <w:pStyle w:val="null3"/>
            </w:pPr>
            <w:r>
              <w:rPr>
                <w:rFonts w:ascii="仿宋_GB2312" w:hAnsi="仿宋_GB2312" w:cs="仿宋_GB2312" w:eastAsia="仿宋_GB2312"/>
              </w:rPr>
              <w:t>开户银行：工商银行汉中人民路支行</w:t>
            </w:r>
          </w:p>
          <w:p>
            <w:pPr>
              <w:pStyle w:val="null3"/>
            </w:pPr>
            <w:r>
              <w:rPr>
                <w:rFonts w:ascii="仿宋_GB2312" w:hAnsi="仿宋_GB2312" w:cs="仿宋_GB2312" w:eastAsia="仿宋_GB2312"/>
              </w:rPr>
              <w:t>银行账号：2606053619200259834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100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代理服务费收费标准：代理服务费收取标准按照《招标代理服务收费管理暂行办法》计价格[2002]1980号文和发改价格[2011]534号文标准计取，由成交人在领取成交通知书前向代理机构支付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城固县教育体育局机关</w:t>
      </w:r>
      <w:r>
        <w:rPr>
          <w:rFonts w:ascii="仿宋_GB2312" w:hAnsi="仿宋_GB2312" w:cs="仿宋_GB2312" w:eastAsia="仿宋_GB2312"/>
        </w:rPr>
        <w:t>和</w:t>
      </w:r>
      <w:r>
        <w:rPr>
          <w:rFonts w:ascii="仿宋_GB2312" w:hAnsi="仿宋_GB2312" w:cs="仿宋_GB2312" w:eastAsia="仿宋_GB2312"/>
        </w:rPr>
        <w:t>陕西博鹏瑞项目管理有限公司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城固县教育体育局机关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陕西博鹏瑞项目管理有限公司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城固县教育体育局机关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陕西博鹏瑞项目管理有限公司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以采购文件及最终签订合同为准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联系人：黄工</w:t>
      </w:r>
    </w:p>
    <w:p>
      <w:pPr>
        <w:pStyle w:val="null3"/>
      </w:pPr>
      <w:r>
        <w:rPr>
          <w:rFonts w:ascii="仿宋_GB2312" w:hAnsi="仿宋_GB2312" w:cs="仿宋_GB2312" w:eastAsia="仿宋_GB2312"/>
        </w:rPr>
        <w:t>联系电话：15289267453</w:t>
      </w:r>
    </w:p>
    <w:p>
      <w:pPr>
        <w:pStyle w:val="null3"/>
      </w:pPr>
      <w:r>
        <w:rPr>
          <w:rFonts w:ascii="仿宋_GB2312" w:hAnsi="仿宋_GB2312" w:cs="仿宋_GB2312" w:eastAsia="仿宋_GB2312"/>
        </w:rPr>
        <w:t>地址：陕西省汉中市汉台区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购置发电机组，变电箱，电力电缆及施工安装等；满足城西体育运动中心建设需求。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3,388,000.00</w:t>
      </w:r>
    </w:p>
    <w:p>
      <w:pPr>
        <w:pStyle w:val="null3"/>
      </w:pPr>
      <w:r>
        <w:rPr>
          <w:rFonts w:ascii="仿宋_GB2312" w:hAnsi="仿宋_GB2312" w:cs="仿宋_GB2312" w:eastAsia="仿宋_GB2312"/>
        </w:rPr>
        <w:t>采购包最高限价（元）: 3,388,000.00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3388000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3,388,000.00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标的名称：3388000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200"/>
              <w:gridCol w:w="520"/>
              <w:gridCol w:w="780"/>
              <w:gridCol w:w="348"/>
              <w:gridCol w:w="700"/>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品名</w:t>
                  </w:r>
                </w:p>
              </w:tc>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30"/>
                    <w:jc w:val="center"/>
                  </w:pPr>
                  <w:r>
                    <w:rPr>
                      <w:rFonts w:ascii="仿宋_GB2312" w:hAnsi="仿宋_GB2312" w:cs="仿宋_GB2312" w:eastAsia="仿宋_GB2312"/>
                      <w:sz w:val="21"/>
                    </w:rPr>
                    <w:t>规格型号（参数）</w:t>
                  </w:r>
                </w:p>
              </w:tc>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数量《台》</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00"/>
                </w:tcPr>
                <w:p>
                  <w:pPr>
                    <w:pStyle w:val="null3"/>
                    <w:jc w:val="both"/>
                  </w:pPr>
                  <w:r>
                    <w:rPr>
                      <w:rFonts w:ascii="仿宋_GB2312" w:hAnsi="仿宋_GB2312" w:cs="仿宋_GB2312" w:eastAsia="仿宋_GB2312"/>
                      <w:sz w:val="21"/>
                    </w:rPr>
                    <w:t>1</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干式变压器</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SCB13--1250KVA/10KV/0.4KV</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防护等级</w:t>
                  </w:r>
                  <w:r>
                    <w:rPr>
                      <w:rFonts w:ascii="仿宋_GB2312" w:hAnsi="仿宋_GB2312" w:cs="仿宋_GB2312" w:eastAsia="仿宋_GB2312"/>
                      <w:sz w:val="21"/>
                    </w:rPr>
                    <w:t>IP21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干式变压器</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SCB13--1000KVA/10</w:t>
                  </w:r>
                  <w:r>
                    <w:rPr>
                      <w:rFonts w:ascii="仿宋_GB2312" w:hAnsi="仿宋_GB2312" w:cs="仿宋_GB2312" w:eastAsia="仿宋_GB2312"/>
                      <w:sz w:val="21"/>
                    </w:rPr>
                    <w:t>KV</w:t>
                  </w:r>
                  <w:r>
                    <w:rPr>
                      <w:rFonts w:ascii="仿宋_GB2312" w:hAnsi="仿宋_GB2312" w:cs="仿宋_GB2312" w:eastAsia="仿宋_GB2312"/>
                      <w:sz w:val="21"/>
                    </w:rPr>
                    <w:t>/0.4KV</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防护等级</w:t>
                  </w:r>
                  <w:r>
                    <w:rPr>
                      <w:rFonts w:ascii="仿宋_GB2312" w:hAnsi="仿宋_GB2312" w:cs="仿宋_GB2312" w:eastAsia="仿宋_GB2312"/>
                      <w:sz w:val="21"/>
                    </w:rPr>
                    <w:t>IP21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柴油发电机组</w:t>
                  </w:r>
                </w:p>
                <w:p>
                  <w:pPr>
                    <w:pStyle w:val="null3"/>
                    <w:jc w:val="both"/>
                  </w:pPr>
                  <w:r>
                    <w:rPr>
                      <w:rFonts w:ascii="仿宋_GB2312" w:hAnsi="仿宋_GB2312" w:cs="仿宋_GB2312" w:eastAsia="仿宋_GB2312"/>
                      <w:sz w:val="21"/>
                    </w:rPr>
                    <w:t>（核心产品）</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1、额定功率：1000千瓦</w:t>
                  </w:r>
                </w:p>
                <w:p>
                  <w:pPr>
                    <w:pStyle w:val="null3"/>
                    <w:jc w:val="both"/>
                  </w:pPr>
                  <w:r>
                    <w:rPr>
                      <w:rFonts w:ascii="仿宋_GB2312" w:hAnsi="仿宋_GB2312" w:cs="仿宋_GB2312" w:eastAsia="仿宋_GB2312"/>
                      <w:sz w:val="21"/>
                    </w:rPr>
                    <w:t>2、发电机全铜无刷；</w:t>
                  </w:r>
                </w:p>
                <w:p>
                  <w:pPr>
                    <w:pStyle w:val="null3"/>
                    <w:jc w:val="both"/>
                  </w:pPr>
                  <w:r>
                    <w:rPr>
                      <w:rFonts w:ascii="仿宋_GB2312" w:hAnsi="仿宋_GB2312" w:cs="仿宋_GB2312" w:eastAsia="仿宋_GB2312"/>
                      <w:sz w:val="21"/>
                    </w:rPr>
                    <w:t>3、ATS低压自动转换时间≤15秒</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高压电线电缆</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ZC--YJV22--8.7/15KV--3×185mm</w:t>
                  </w:r>
                  <w:r>
                    <w:rPr>
                      <w:rFonts w:ascii="仿宋_GB2312" w:hAnsi="仿宋_GB2312" w:cs="仿宋_GB2312" w:eastAsia="仿宋_GB2312"/>
                      <w:sz w:val="21"/>
                      <w:vertAlign w:val="superscript"/>
                    </w:rPr>
                    <w:t>2</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330</w:t>
                  </w:r>
                  <w:r>
                    <w:rPr>
                      <w:rFonts w:ascii="仿宋_GB2312" w:hAnsi="仿宋_GB2312" w:cs="仿宋_GB2312" w:eastAsia="仿宋_GB2312"/>
                      <w:sz w:val="21"/>
                    </w:rPr>
                    <w:t>米</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高压电线电缆</w:t>
                  </w:r>
                </w:p>
                <w:p>
                  <w:pPr>
                    <w:pStyle w:val="null3"/>
                    <w:jc w:val="center"/>
                  </w:pPr>
                  <w:r>
                    <w:rPr>
                      <w:rFonts w:ascii="仿宋_GB2312" w:hAnsi="仿宋_GB2312" w:cs="仿宋_GB2312" w:eastAsia="仿宋_GB2312"/>
                      <w:sz w:val="21"/>
                    </w:rPr>
                    <w:t>（核心产品）</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ZC--YJV22--8.7/15KV--3</w:t>
                  </w:r>
                  <w:r>
                    <w:rPr>
                      <w:rFonts w:ascii="仿宋_GB2312" w:hAnsi="仿宋_GB2312" w:cs="仿宋_GB2312" w:eastAsia="仿宋_GB2312"/>
                      <w:sz w:val="21"/>
                    </w:rPr>
                    <w:t>×</w:t>
                  </w:r>
                  <w:r>
                    <w:rPr>
                      <w:rFonts w:ascii="仿宋_GB2312" w:hAnsi="仿宋_GB2312" w:cs="仿宋_GB2312" w:eastAsia="仿宋_GB2312"/>
                      <w:sz w:val="21"/>
                    </w:rPr>
                    <w:t>95mm</w:t>
                  </w:r>
                  <w:r>
                    <w:rPr>
                      <w:rFonts w:ascii="仿宋_GB2312" w:hAnsi="仿宋_GB2312" w:cs="仿宋_GB2312" w:eastAsia="仿宋_GB2312"/>
                      <w:sz w:val="21"/>
                      <w:vertAlign w:val="superscript"/>
                    </w:rPr>
                    <w:t>2</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767</w:t>
                  </w:r>
                  <w:r>
                    <w:rPr>
                      <w:rFonts w:ascii="仿宋_GB2312" w:hAnsi="仿宋_GB2312" w:cs="仿宋_GB2312" w:eastAsia="仿宋_GB2312"/>
                      <w:sz w:val="21"/>
                    </w:rPr>
                    <w:t>米</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低压电线电缆</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YJV22--0.6/1KV--4</w:t>
                  </w:r>
                  <w:r>
                    <w:rPr>
                      <w:rFonts w:ascii="仿宋_GB2312" w:hAnsi="仿宋_GB2312" w:cs="仿宋_GB2312" w:eastAsia="仿宋_GB2312"/>
                      <w:sz w:val="21"/>
                    </w:rPr>
                    <w:t>×</w:t>
                  </w:r>
                  <w:r>
                    <w:rPr>
                      <w:rFonts w:ascii="仿宋_GB2312" w:hAnsi="仿宋_GB2312" w:cs="仿宋_GB2312" w:eastAsia="仿宋_GB2312"/>
                      <w:sz w:val="21"/>
                    </w:rPr>
                    <w:t>240mm</w:t>
                  </w:r>
                  <w:r>
                    <w:rPr>
                      <w:rFonts w:ascii="仿宋_GB2312" w:hAnsi="仿宋_GB2312" w:cs="仿宋_GB2312" w:eastAsia="仿宋_GB2312"/>
                      <w:sz w:val="21"/>
                      <w:vertAlign w:val="superscript"/>
                    </w:rPr>
                    <w:t>2</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120mm</w:t>
                  </w:r>
                  <w:r>
                    <w:rPr>
                      <w:rFonts w:ascii="仿宋_GB2312" w:hAnsi="仿宋_GB2312" w:cs="仿宋_GB2312" w:eastAsia="仿宋_GB2312"/>
                      <w:sz w:val="21"/>
                      <w:vertAlign w:val="superscript"/>
                    </w:rPr>
                    <w:t>2</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w:t>
                  </w:r>
                  <w:r>
                    <w:rPr>
                      <w:rFonts w:ascii="仿宋_GB2312" w:hAnsi="仿宋_GB2312" w:cs="仿宋_GB2312" w:eastAsia="仿宋_GB2312"/>
                      <w:sz w:val="21"/>
                    </w:rPr>
                    <w:t>米</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低压电线电缆</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YJV22--0.6/1KV--1</w:t>
                  </w:r>
                  <w:r>
                    <w:rPr>
                      <w:rFonts w:ascii="仿宋_GB2312" w:hAnsi="仿宋_GB2312" w:cs="仿宋_GB2312" w:eastAsia="仿宋_GB2312"/>
                      <w:sz w:val="21"/>
                    </w:rPr>
                    <w:t>×</w:t>
                  </w:r>
                  <w:r>
                    <w:rPr>
                      <w:rFonts w:ascii="仿宋_GB2312" w:hAnsi="仿宋_GB2312" w:cs="仿宋_GB2312" w:eastAsia="仿宋_GB2312"/>
                      <w:sz w:val="21"/>
                    </w:rPr>
                    <w:t>300mm</w:t>
                  </w:r>
                  <w:r>
                    <w:rPr>
                      <w:rFonts w:ascii="仿宋_GB2312" w:hAnsi="仿宋_GB2312" w:cs="仿宋_GB2312" w:eastAsia="仿宋_GB2312"/>
                      <w:sz w:val="21"/>
                      <w:vertAlign w:val="superscript"/>
                    </w:rPr>
                    <w:t>2</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r>
                    <w:rPr>
                      <w:rFonts w:ascii="仿宋_GB2312" w:hAnsi="仿宋_GB2312" w:cs="仿宋_GB2312" w:eastAsia="仿宋_GB2312"/>
                      <w:sz w:val="21"/>
                    </w:rPr>
                    <w:t>米</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发电机低压出线配电柜</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GCS</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设计功率不小于发电机功率。</w:t>
                  </w:r>
                </w:p>
              </w:tc>
            </w:tr>
          </w:tbl>
          <w:p>
            <w:pPr>
              <w:pStyle w:val="null3"/>
              <w:ind w:firstLine="448"/>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验收合格后（以财政资金到达情况为准，具体以采购合同为准）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以最终签订的合同内容执行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本项目需要设备安装，详见工程量清单。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资格证明文件格式1.docx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响应《汉中市政府采购供应商资格承诺函》</w:t>
            </w:r>
          </w:p>
        </w:tc>
        <w:tc>
          <w:tcPr>
            <w:tcW w:type="dxa" w:w="1661"/>
          </w:tcPr>
          <w:p>
            <w:pPr>
              <w:pStyle w:val="null3"/>
            </w:pPr>
            <w:r>
              <w:rPr>
                <w:rFonts w:ascii="仿宋_GB2312" w:hAnsi="仿宋_GB2312" w:cs="仿宋_GB2312" w:eastAsia="仿宋_GB2312"/>
              </w:rPr>
              <w:t>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投标人资格证书要求</w:t>
            </w:r>
          </w:p>
        </w:tc>
        <w:tc>
          <w:tcPr>
            <w:tcW w:type="dxa" w:w="3322"/>
          </w:tcPr>
          <w:p>
            <w:pPr>
              <w:pStyle w:val="null3"/>
            </w:pPr>
            <w:r>
              <w:rPr>
                <w:rFonts w:ascii="仿宋_GB2312" w:hAnsi="仿宋_GB2312" w:cs="仿宋_GB2312" w:eastAsia="仿宋_GB2312"/>
              </w:rPr>
              <w:t>供应商需具备电力工程施工总承包四级及以上资质，同时具备承装（修、试）电力设施 许可证五级及（含）以上电力设施许可证；拟派施工项目经理须具备机电工程专业二级及以上注册建造师执业资格，在本单位注册，供应商需具有安全生产许可证，具有有效的安全生产考核合格证书（建安 B 证），且未担任其他在施建设工程项目的项目经理。</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无拖欠工资证明</w:t>
            </w:r>
          </w:p>
        </w:tc>
        <w:tc>
          <w:tcPr>
            <w:tcW w:type="dxa" w:w="3322"/>
          </w:tcPr>
          <w:p>
            <w:pPr>
              <w:pStyle w:val="null3"/>
            </w:pPr>
            <w:r>
              <w:rPr>
                <w:rFonts w:ascii="仿宋_GB2312" w:hAnsi="仿宋_GB2312" w:cs="仿宋_GB2312" w:eastAsia="仿宋_GB2312"/>
              </w:rPr>
              <w:t>投标单位需提供由相关政府部门出具无拖欠工资证明（盖公章）。</w:t>
            </w:r>
          </w:p>
        </w:tc>
        <w:tc>
          <w:tcPr>
            <w:tcW w:type="dxa" w:w="1661"/>
          </w:tcPr>
          <w:p>
            <w:pPr>
              <w:pStyle w:val="null3"/>
            </w:pPr>
            <w:r>
              <w:rPr>
                <w:rFonts w:ascii="仿宋_GB2312" w:hAnsi="仿宋_GB2312" w:cs="仿宋_GB2312" w:eastAsia="仿宋_GB2312"/>
              </w:rPr>
              <w:t>资格证明文件格式1.docx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资格证明文件格式1.docx 开标一览表 中小企业声明函 分项报价表.xlsx 商务应答表 汉中市政府采购供应商资格承诺函.docx 投标人应提交的相关资格证明材料 产品技术参数表 投标函 残疾人福利性单位声明函 标的清单 投标文件封面 体育运动中心电气设备及外部线路安装工程量清单.docx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完整无缺项，未超过采购预算，无选择性报价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不少于100个日历天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响应文件构成无缺项</w:t>
            </w:r>
          </w:p>
        </w:tc>
        <w:tc>
          <w:tcPr>
            <w:tcW w:type="dxa" w:w="1661"/>
          </w:tcPr>
          <w:p>
            <w:pPr>
              <w:pStyle w:val="null3"/>
            </w:pPr>
            <w:r>
              <w:rPr>
                <w:rFonts w:ascii="仿宋_GB2312" w:hAnsi="仿宋_GB2312" w:cs="仿宋_GB2312" w:eastAsia="仿宋_GB2312"/>
              </w:rPr>
              <w:t>资格证明文件格式1.docx 开标一览表 中小企业声明函 分项报价表.xlsx 商务应答表 汉中市政府采购供应商资格承诺函.docx 投标人应提交的相关资格证明材料 产品技术参数表 投标函 残疾人福利性单位声明函 标的清单 投标文件封面 体育运动中心电气设备及外部线路安装工程量清单.docx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（1）项目组织实施计划完整可行，具有明确的项目组织 机构及实施方案： 交货期、项目进度安排计划及保证措施合理、科学的得8 分；交货 期、项目进度安排计划及保证措施基本满足要求得5分；交货期、项目进 度安排计划及保证措施简单、不足得2分；未提供得 0 分。 （2）拟投入本项目的人员专业，安排方案合理、完善得6 分；拟投入本 项目的人员安排方案较合理得 3 分；拟投入本项目的人员专业，安排方案 不完善得1分；未提供得 0 分。 （3）结合项目特点制定完善、科学合理的产品供货、安装、检测、调试 等方面的实施方案和保证措施得 6 分；结合项目特点制定较合理的产品供 货、安装、检测、调试等方面的实施方案和保证措施得 3 分；结合项目特点制定不合理的产品供货、安装、检测、调试等方面的实施方案和保证措 施得1分；未提供得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体育运动中心电气设备及外部线路安装工程量清单.docx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分项报价表.xlsx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产品技术指标</w:t>
            </w:r>
          </w:p>
        </w:tc>
        <w:tc>
          <w:tcPr>
            <w:tcW w:type="dxa" w:w="2492"/>
          </w:tcPr>
          <w:p>
            <w:pPr>
              <w:pStyle w:val="null3"/>
            </w:pPr>
            <w:r>
              <w:rPr>
                <w:rFonts w:ascii="仿宋_GB2312" w:hAnsi="仿宋_GB2312" w:cs="仿宋_GB2312" w:eastAsia="仿宋_GB2312"/>
              </w:rPr>
              <w:t>产品品牌、规格、型号描述详细，性能全部满足招标文件包括但不限于生产商出具的产品规格表、产品宣传彩页、技术白皮书、制造商官方网站发布的产品信息、说明书等或检测机构出具的检测报告等得 10分。 须在产品提供的证明资料中体现，未体现或不符合要求的视为负偏离，每负偏离一项扣3分。扣完为止。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体育运动中心电气设备及外部线路安装工程量清单.docx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分项报价表.xlsx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供应商提供的应急方案，内容详尽、描述清晰、且应急保障方案与该项目要求贴合度高得 5 分； 提供的应急方案，内容比较详尽、描述比较清晰、且应急保障方案与该项目有部分贴合度得 3 分； 提供的应急方案，内容、描述不清晰、不合理得 1 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体育运动中心电气设备及外部线路安装工程量清单.docx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分项报价表.xlsx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提供售后服务措施，并提供相关证明材料，售后服务条款具体、可行，并有详细的本地化售后服务措施承诺、售后服务响应时间及联系责任人等。 1.售后服务方案承诺完善，措施科学、合理得 10 分； 2.售后服务方案承诺完善，措施可行得 8 分； 3.售后服务方案承诺比较完善，措施基本可行得 6 分； 4.售后服务方案基本完善，措施基本可行得 4 分； 5.售后服务方案内容简单，可行性一般，得 2 分； 6.售后服务方案不合理得1分； 7.未提供不得分。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体育运动中心电气设备及外部线路安装工程量清单.docx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提供投标人自2023年1月1日至今以来类似项目业绩合同或业绩证明资料（复印件加盖公章），每提供一份得2分，最多得6分。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体育运动中心电气设备及外部线路安装工程量清单.docx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商务承诺</w:t>
            </w:r>
          </w:p>
        </w:tc>
        <w:tc>
          <w:tcPr>
            <w:tcW w:type="dxa" w:w="2492"/>
          </w:tcPr>
          <w:p>
            <w:pPr>
              <w:pStyle w:val="null3"/>
            </w:pPr>
            <w:r>
              <w:rPr>
                <w:rFonts w:ascii="仿宋_GB2312" w:hAnsi="仿宋_GB2312" w:cs="仿宋_GB2312" w:eastAsia="仿宋_GB2312"/>
              </w:rPr>
              <w:t>能详尽、科学合理的提供安全承诺、安全方案、近三年安全事故情况声明详细得7分；比较详细、可行性一般的提供安全承诺、安全方案、近三年安全事故情况声明详细得4分；简单、内容不完整，不合理的提供安全承诺、安全方案、近三年安全事故情况声明详细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体育运动中心电气设备及外部线路安装工程量清单.docx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质量控制的程序、措施和质量保证体系</w:t>
            </w:r>
          </w:p>
        </w:tc>
        <w:tc>
          <w:tcPr>
            <w:tcW w:type="dxa" w:w="2492"/>
          </w:tcPr>
          <w:p>
            <w:pPr>
              <w:pStyle w:val="null3"/>
            </w:pPr>
            <w:r>
              <w:rPr>
                <w:rFonts w:ascii="仿宋_GB2312" w:hAnsi="仿宋_GB2312" w:cs="仿宋_GB2312" w:eastAsia="仿宋_GB2312"/>
              </w:rPr>
              <w:t>根据供应商对本项目①质量控制的程序②质量控制措施③质量保证体系等综合评价。 以上方案内容全面、针对性强、符合本项目特点的得满分 7分，以上每缺少一项内容或内容非针对于本项目扣3分；每小项有一处缺陷扣 1 分，扣完为止，不提供不得分。（缺陷是指：存在不适用项目实际情况的情形、凭空编造、内容前后不一致、前后逻辑错误、针对性不强、只有简单描述没有实质性内容 、内容缺失、不符合采购需求等）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体育运动中心电气设备及外部线路安装工程量清单.docx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分项报价表.xlsx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以满足文件要求且投标价格最低的投标总报价为评标基准价，其价格分为满分35分。其他投标人的价格分统一按照下列公式计算:投标报价得分=(评标基准价/投标总报价)X100%X35。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体育运动中心电气设备及外部线路安装工程量清单.docx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分项报价表.xlsx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详见附件：资格证明文件格式1.docx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详见附件：分项报价表.xlsx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详见附件：体育运动中心电气设备及外部线路安装工程量清单.docx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