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EF5D66">
      <w:pPr>
        <w:jc w:val="center"/>
        <w:rPr>
          <w:rFonts w:ascii="微软雅黑" w:hAnsi="微软雅黑" w:eastAsia="微软雅黑" w:cs="微软雅黑"/>
          <w:b/>
          <w:bCs/>
          <w:i w:val="0"/>
          <w:iCs w:val="0"/>
          <w:caps w:val="0"/>
          <w:color w:val="333333"/>
          <w:spacing w:val="0"/>
          <w:sz w:val="36"/>
          <w:szCs w:val="36"/>
        </w:rPr>
      </w:pPr>
      <w:r>
        <w:rPr>
          <w:rFonts w:ascii="微软雅黑" w:hAnsi="微软雅黑" w:eastAsia="微软雅黑" w:cs="微软雅黑"/>
          <w:b/>
          <w:bCs/>
          <w:i w:val="0"/>
          <w:iCs w:val="0"/>
          <w:caps w:val="0"/>
          <w:color w:val="333333"/>
          <w:spacing w:val="0"/>
          <w:sz w:val="36"/>
          <w:szCs w:val="36"/>
        </w:rPr>
        <w:t>具有健全的财务会计制度</w:t>
      </w:r>
    </w:p>
    <w:p w14:paraId="092DD60B">
      <w:pPr>
        <w:jc w:val="center"/>
        <w:rPr>
          <w:rFonts w:ascii="微软雅黑" w:hAnsi="微软雅黑" w:eastAsia="微软雅黑" w:cs="微软雅黑"/>
          <w:b/>
          <w:bCs/>
          <w:i w:val="0"/>
          <w:iCs w:val="0"/>
          <w:caps w:val="0"/>
          <w:color w:val="333333"/>
          <w:spacing w:val="0"/>
          <w:sz w:val="36"/>
          <w:szCs w:val="36"/>
        </w:rPr>
      </w:pPr>
      <w:bookmarkStart w:id="0" w:name="_GoBack"/>
      <w:bookmarkEnd w:id="0"/>
    </w:p>
    <w:p w14:paraId="188C01C9">
      <w:pPr>
        <w:rPr>
          <w:rFonts w:hint="eastAsia"/>
          <w:lang w:eastAsia="zh-CN"/>
        </w:rPr>
      </w:pPr>
      <w:r>
        <w:rPr>
          <w:rFonts w:ascii="微软雅黑" w:hAnsi="微软雅黑" w:eastAsia="微软雅黑" w:cs="微软雅黑"/>
          <w:i w:val="0"/>
          <w:iCs w:val="0"/>
          <w:caps w:val="0"/>
          <w:color w:val="333333"/>
          <w:spacing w:val="0"/>
          <w:sz w:val="21"/>
          <w:szCs w:val="21"/>
        </w:rPr>
        <w:t>①可提供2022-2024年度（任意一年）供应商经审计的完整有效的财务报告复印件；②也可提供2022-2024年度（任意一年）供应商内部的财务报表复印件（至少应包含资产负债表、现金流量表、利润表）；③也可提供距文件递交截止日一年内银行出具的资信证明（复印件）；④供应商注册时间至文件递交截止日不足一年的，也可提供在市场监督管理部门备案的公司章程（复印件）；⑤非营利性单位或者社会团体或者其他机关事业单位提供的证明材料以符合财务会计制度为准。（以上5项材料任选其一即可）供应商需在使用投标(响应)客户端编制响应文件时，按要求上传相应证明材料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NhMWE3NTkxNzZmNGI1MDVkZjYwMjhiNGQ2YjQxMDkifQ=="/>
  </w:docVars>
  <w:rsids>
    <w:rsidRoot w:val="00000000"/>
    <w:rsid w:val="02AF0F61"/>
    <w:rsid w:val="125B4B6A"/>
    <w:rsid w:val="24842946"/>
    <w:rsid w:val="25527817"/>
    <w:rsid w:val="2CBB188D"/>
    <w:rsid w:val="5A106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Words>
  <Characters>13</Characters>
  <Lines>0</Lines>
  <Paragraphs>0</Paragraphs>
  <TotalTime>0</TotalTime>
  <ScaleCrop>false</ScaleCrop>
  <LinksUpToDate>false</LinksUpToDate>
  <CharactersWithSpaces>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kimi</cp:lastModifiedBy>
  <dcterms:modified xsi:type="dcterms:W3CDTF">2025-12-15T05:33:02Z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8333043F75E941F5BEABB55AC2C89D53_12</vt:lpwstr>
  </property>
  <property fmtid="{D5CDD505-2E9C-101B-9397-08002B2CF9AE}" pid="4" name="KSOTemplateDocerSaveRecord">
    <vt:lpwstr>eyJoZGlkIjoiNGNhMWE3NTkxNzZmNGI1MDVkZjYwMjhiNGQ2YjQxMDkiLCJ1c2VySWQiOiI0ODI5Njk1NDgifQ==</vt:lpwstr>
  </property>
</Properties>
</file>