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版本号：240718002</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2024年军休功臣荣誉疗养服务采购项目(二次)</w:t>
      </w:r>
    </w:p>
    <w:p>
      <w:pPr>
        <w:pStyle w:val="null3"/>
        <w:jc w:val="center"/>
        <w:outlineLvl w:val="2"/>
      </w:pPr>
      <w:r>
        <w:rPr>
          <w:b/>
          <w:sz w:val="28"/>
        </w:rPr>
        <w:t>采购项目编号：</w:t>
      </w:r>
      <w:r>
        <w:rPr>
          <w:b/>
          <w:sz w:val="28"/>
        </w:rPr>
        <w:t>N5101012024001051</w:t>
      </w:r>
    </w:p>
    <w:p>
      <w:pPr>
        <w:pStyle w:val="null3"/>
        <w:jc w:val="left"/>
        <w:outlineLvl w:val="2"/>
      </w:pPr>
      <w:r>
        <w:rPr>
          <w:b/>
          <w:sz w:val="28"/>
        </w:rPr>
        <w:t>成都市军队离休退休干部服务中心</w:t>
      </w:r>
    </w:p>
    <w:p>
      <w:pPr>
        <w:pStyle w:val="null3"/>
        <w:jc w:val="center"/>
        <w:outlineLvl w:val="2"/>
      </w:pPr>
      <w:r>
        <w:rPr>
          <w:b/>
          <w:sz w:val="28"/>
        </w:rPr>
        <w:t>成都励精工程项目管理有限公司</w:t>
      </w:r>
      <w:r>
        <w:rPr>
          <w:b/>
          <w:sz w:val="28"/>
        </w:rPr>
        <w:t>共同编制</w:t>
      </w:r>
    </w:p>
    <w:p>
      <w:pPr>
        <w:pStyle w:val="null3"/>
        <w:jc w:val="center"/>
      </w:pPr>
      <w:r>
        <w:rPr/>
        <w:t>2024年07月17日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成都励精工程项目管理有限公司</w:t>
      </w:r>
      <w:r>
        <w:rPr/>
        <w:t xml:space="preserve"> （以下简称“代理机构”）受 </w:t>
      </w:r>
      <w:r>
        <w:rPr/>
        <w:t>成都市军队离休退休干部服务中心</w:t>
      </w:r>
      <w:r>
        <w:rPr/>
        <w:t xml:space="preserve"> 委托，拟对 </w:t>
      </w:r>
      <w:r>
        <w:rPr/>
        <w:t>2024年军休功臣荣誉疗养服务采购项目(二次)</w:t>
      </w:r>
      <w:r>
        <w:rPr/>
        <w:t xml:space="preserve"> 采用竞争性磋商采购方式进行采购，兹邀请符合资格条件的供应商参加磋商，本项目为四川省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N5101012024001051</w:t>
      </w:r>
    </w:p>
    <w:p>
      <w:pPr>
        <w:pStyle w:val="null3"/>
        <w:jc w:val="left"/>
        <w:outlineLvl w:val="2"/>
      </w:pPr>
      <w:r>
        <w:rPr>
          <w:b/>
          <w:sz w:val="28"/>
        </w:rPr>
        <w:t>1.2.采购项目名称</w:t>
      </w:r>
      <w:r>
        <w:rPr>
          <w:b/>
          <w:sz w:val="28"/>
        </w:rPr>
        <w:t xml:space="preserve">： </w:t>
      </w:r>
      <w:r>
        <w:rPr>
          <w:b/>
          <w:sz w:val="28"/>
        </w:rPr>
        <w:t>2024年军休功臣荣誉疗养服务采购项目(二次)</w:t>
      </w:r>
    </w:p>
    <w:p>
      <w:pPr>
        <w:pStyle w:val="null3"/>
        <w:jc w:val="left"/>
        <w:outlineLvl w:val="2"/>
      </w:pPr>
      <w:r>
        <w:rPr>
          <w:b/>
          <w:sz w:val="28"/>
        </w:rPr>
        <w:t>1.3.磋商项目简介</w:t>
      </w:r>
    </w:p>
    <w:p>
      <w:pPr>
        <w:pStyle w:val="null3"/>
        <w:ind w:firstLine="480"/>
        <w:jc w:val="left"/>
      </w:pPr>
      <w:r>
        <w:rPr/>
        <w:t>为深入贯彻落实军休干部“两个待遇”，切实提升服役期间为党和国家作出过特殊贡献的军休功臣获得感、荣誉感，丰富全市军休功臣晚年生活，充分体现党和政府对广大军休功臣的关心。经研究决定，将组织开展全市军休功臣疗养活动。</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成都市军队离休退休干部服务中心</w:t>
      </w:r>
    </w:p>
    <w:p>
      <w:pPr>
        <w:pStyle w:val="null3"/>
        <w:ind w:firstLine="480"/>
        <w:jc w:val="left"/>
      </w:pPr>
      <w:r>
        <w:rPr/>
        <w:t xml:space="preserve"> 地址： </w:t>
      </w:r>
      <w:r>
        <w:rPr/>
        <w:t>成都市青羊区草堂北路18号</w:t>
      </w:r>
    </w:p>
    <w:p>
      <w:pPr>
        <w:pStyle w:val="null3"/>
        <w:jc w:val="left"/>
      </w:pPr>
      <w:r>
        <w:rPr/>
        <w:t xml:space="preserve"> 邮编： </w:t>
      </w:r>
      <w:r>
        <w:rPr/>
        <w:t>610000</w:t>
      </w:r>
    </w:p>
    <w:p>
      <w:pPr>
        <w:pStyle w:val="null3"/>
        <w:jc w:val="left"/>
      </w:pPr>
      <w:r>
        <w:rPr/>
        <w:t xml:space="preserve"> 联系人： </w:t>
      </w:r>
      <w:r>
        <w:rPr/>
        <w:t>陈老师</w:t>
      </w:r>
    </w:p>
    <w:p>
      <w:pPr>
        <w:pStyle w:val="null3"/>
        <w:jc w:val="left"/>
      </w:pPr>
      <w:r>
        <w:rPr/>
        <w:t xml:space="preserve"> 联系电话： </w:t>
      </w:r>
      <w:r>
        <w:rPr/>
        <w:t>028-87340777</w:t>
      </w:r>
    </w:p>
    <w:p>
      <w:pPr>
        <w:pStyle w:val="null3"/>
        <w:ind w:firstLine="480"/>
        <w:jc w:val="left"/>
        <w:outlineLvl w:val="3"/>
      </w:pPr>
      <w:r>
        <w:rPr>
          <w:b/>
          <w:sz w:val="24"/>
        </w:rPr>
        <w:t>代理机构</w:t>
      </w:r>
      <w:r>
        <w:rPr>
          <w:b/>
          <w:sz w:val="24"/>
        </w:rPr>
        <w:t xml:space="preserve">： </w:t>
      </w:r>
      <w:r>
        <w:rPr>
          <w:b/>
          <w:sz w:val="24"/>
        </w:rPr>
        <w:t>成都励精工程项目管理有限公司</w:t>
      </w:r>
    </w:p>
    <w:p>
      <w:pPr>
        <w:pStyle w:val="null3"/>
        <w:ind w:firstLine="480"/>
        <w:jc w:val="left"/>
      </w:pPr>
      <w:r>
        <w:rPr/>
        <w:t xml:space="preserve"> 地址： </w:t>
      </w:r>
      <w:r>
        <w:rPr/>
        <w:t>成都市成华区三友路217号3楼</w:t>
      </w:r>
    </w:p>
    <w:p>
      <w:pPr>
        <w:pStyle w:val="null3"/>
        <w:jc w:val="left"/>
      </w:pPr>
      <w:r>
        <w:rPr/>
        <w:t xml:space="preserve"> 邮编： </w:t>
      </w:r>
      <w:r>
        <w:rPr/>
        <w:t>610000</w:t>
      </w:r>
    </w:p>
    <w:p>
      <w:pPr>
        <w:pStyle w:val="null3"/>
        <w:jc w:val="left"/>
      </w:pPr>
      <w:r>
        <w:rPr/>
        <w:t xml:space="preserve"> 联系人： </w:t>
      </w:r>
      <w:r>
        <w:rPr/>
        <w:t>刘老师</w:t>
      </w:r>
    </w:p>
    <w:p>
      <w:pPr>
        <w:pStyle w:val="null3"/>
        <w:jc w:val="left"/>
      </w:pPr>
      <w:r>
        <w:rPr/>
        <w:t xml:space="preserve"> 联系电话： </w:t>
      </w:r>
      <w:r>
        <w:rPr/>
        <w:t>028-83277766</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采购包1：1,100,000.00元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根据《四川省政府采购营商环境指标提升专项行动工作方案》的通知(川财采[2020]74号)规定、按照拟代理采购项目的成本支出加合理利润的原则确定，该费用按固定金额12640元收取采购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成都市军队离休退休干部服务中心</w:t>
      </w:r>
      <w:r>
        <w:rPr/>
        <w:t xml:space="preserve"> 和 </w:t>
      </w:r>
      <w:r>
        <w:rPr/>
        <w:t>成都励精工程项目管理有限公司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成都市军队离休退休干部服务中心</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成都励精工程项目管理有限公司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严格按照政府采购相关法律法规、《财政部关于进一步加强政府采购需求和履约验收管理的指导意见》（财库〔2016〕205 号）、《政府采购需求管理办法》（财库〔2021〕22 号）的要求，及采购文件的服务和质量要求、成交人的响应文件及承诺以及合同约定标准进行验收。</w:t>
      </w:r>
    </w:p>
    <w:p>
      <w:pPr>
        <w:pStyle w:val="null3"/>
        <w:ind w:firstLine="480"/>
        <w:jc w:val="left"/>
      </w:pPr>
      <w:r>
        <w:rPr/>
        <w:t>十、商务履约验收内容：</w:t>
      </w:r>
    </w:p>
    <w:p>
      <w:pPr>
        <w:pStyle w:val="null3"/>
        <w:ind w:firstLine="480"/>
        <w:jc w:val="left"/>
      </w:pPr>
      <w:r>
        <w:rPr/>
        <w:t>采购包1：</w:t>
      </w:r>
      <w:r>
        <w:rPr/>
        <w:t>严格按照政府采购相关法律法规、《财政部关于进一步加强政府采购需求和履约验收管理的指导意见》（财库〔2016〕205 号）、《政府采购需求管理办法》（财库〔2021〕22 号）的要求，及采购文件的服务和质量要求、成交人的响应文件及承诺以及合同约定标准进行验收。</w:t>
      </w:r>
    </w:p>
    <w:p>
      <w:pPr>
        <w:pStyle w:val="null3"/>
        <w:ind w:firstLine="480"/>
        <w:jc w:val="left"/>
      </w:pPr>
      <w:r>
        <w:rPr/>
        <w:t>十一、履约验收标准：</w:t>
      </w:r>
    </w:p>
    <w:p>
      <w:pPr>
        <w:pStyle w:val="null3"/>
        <w:ind w:firstLine="480"/>
        <w:jc w:val="left"/>
      </w:pPr>
      <w:r>
        <w:rPr/>
        <w:t>采购包1：</w:t>
      </w:r>
      <w:r>
        <w:rPr/>
        <w:t>严格按照政府采购相关法律法规、《财政部关于进一步加强政府采购需求和履约验收管理的指导意见》（财库〔2016〕205 号）、《政府采购需求管理办法》（财库〔2021〕22 号）的要求，及采购文件的服务和质量要求、成交人的响应文件及承诺以及合同约定标准进行验收。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成都市军队离休退休干部服务中心</w:t>
      </w:r>
      <w:r>
        <w:rPr/>
        <w:t xml:space="preserve"> 负责答复；供应商对除采购需求外的磋商文件的询问、质疑由 </w:t>
      </w:r>
      <w:r>
        <w:rPr/>
        <w:t>成都励精工程项目管理有限公司</w:t>
      </w:r>
      <w:r>
        <w:rPr/>
        <w:t xml:space="preserve"> 负责答复；供应商对采购过程、采购结果的询问、质疑由 </w:t>
      </w:r>
      <w:r>
        <w:rPr/>
        <w:t>成都励精工程项目管理有限公司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联系人：陈老师</w:t>
      </w:r>
    </w:p>
    <w:p>
      <w:pPr>
        <w:pStyle w:val="null3"/>
        <w:jc w:val="left"/>
      </w:pPr>
      <w:r>
        <w:rPr/>
        <w:t>联系电话：028-87340777</w:t>
      </w:r>
    </w:p>
    <w:p>
      <w:pPr>
        <w:pStyle w:val="null3"/>
        <w:jc w:val="left"/>
      </w:pPr>
      <w:r>
        <w:rPr/>
        <w:t>地址：成都市青羊区草堂北路18号</w:t>
      </w:r>
    </w:p>
    <w:p>
      <w:pPr>
        <w:pStyle w:val="null3"/>
        <w:jc w:val="left"/>
      </w:pPr>
      <w:r>
        <w:rPr/>
        <w:t>邮编：610000</w:t>
      </w:r>
    </w:p>
    <w:p>
      <w:pPr>
        <w:pStyle w:val="null3"/>
        <w:jc w:val="left"/>
      </w:pPr>
      <w:r>
        <w:rPr/>
        <w:t>答复主体：代理机构</w:t>
      </w:r>
    </w:p>
    <w:p>
      <w:pPr>
        <w:pStyle w:val="null3"/>
        <w:jc w:val="left"/>
      </w:pPr>
      <w:r>
        <w:rPr/>
        <w:t>联系人：刘老师</w:t>
      </w:r>
    </w:p>
    <w:p>
      <w:pPr>
        <w:pStyle w:val="null3"/>
        <w:jc w:val="left"/>
      </w:pPr>
      <w:r>
        <w:rPr/>
        <w:t>联系电话：028-83277766</w:t>
      </w:r>
    </w:p>
    <w:p>
      <w:pPr>
        <w:pStyle w:val="null3"/>
        <w:jc w:val="left"/>
      </w:pPr>
      <w:r>
        <w:rPr/>
        <w:t>地址：成都市成华区三友路217号3楼</w:t>
      </w:r>
    </w:p>
    <w:p>
      <w:pPr>
        <w:pStyle w:val="null3"/>
        <w:jc w:val="left"/>
      </w:pPr>
      <w:r>
        <w:rPr/>
        <w:t>邮编：610000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深入贯彻落实军休干部“两个待遇”，切实提升服役期间为党和国家作出过特殊贡献的军休功臣获得感、荣誉感，丰富全市军休功臣晚年生活，充分体现党和政府对广大军休功臣的关心。经研究决定，将组织开展全市军休功臣疗养活动。</w:t>
      </w:r>
    </w:p>
    <w:p>
      <w:pPr>
        <w:pStyle w:val="null3"/>
        <w:jc w:val="left"/>
        <w:outlineLvl w:val="2"/>
      </w:pPr>
      <w:r>
        <w:rPr>
          <w:b/>
          <w:sz w:val="28"/>
        </w:rPr>
        <w:t>3.2.采购内容</w:t>
      </w:r>
    </w:p>
    <w:p>
      <w:pPr>
        <w:pStyle w:val="null3"/>
        <w:jc w:val="left"/>
      </w:pPr>
      <w:r>
        <w:rPr/>
        <w:t>采购包1：</w:t>
      </w:r>
    </w:p>
    <w:p>
      <w:pPr>
        <w:pStyle w:val="null3"/>
        <w:jc w:val="left"/>
      </w:pPr>
      <w:r>
        <w:rPr/>
        <w:t>采购包预算金额（元）: 1,100,000.00</w:t>
      </w:r>
    </w:p>
    <w:p>
      <w:pPr>
        <w:pStyle w:val="null3"/>
        <w:jc w:val="left"/>
      </w:pPr>
      <w:r>
        <w:rPr/>
        <w:t>采购包最高限价（元）: 1,097,944.00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优抚安置服务</w:t>
            </w:r>
          </w:p>
        </w:tc>
        <w:tc>
          <w:tcPr>
            <w:tcW w:type="dxa" w:w="821"/>
          </w:tcPr>
          <w:p>
            <w:pPr>
              <w:pStyle w:val="null3"/>
              <w:jc w:val="left"/>
            </w:pPr>
            <w:r>
              <w:rPr/>
              <w:t>2024年军休功臣荣誉疗养服务</w:t>
            </w:r>
          </w:p>
        </w:tc>
        <w:tc>
          <w:tcPr>
            <w:tcW w:type="dxa" w:w="821"/>
          </w:tcPr>
          <w:p>
            <w:pPr>
              <w:pStyle w:val="null3"/>
              <w:jc w:val="right"/>
            </w:pPr>
            <w:r>
              <w:rPr/>
              <w:t>1.00（项）</w:t>
            </w:r>
          </w:p>
        </w:tc>
        <w:tc>
          <w:tcPr>
            <w:tcW w:type="dxa" w:w="821"/>
          </w:tcPr>
          <w:p>
            <w:pPr>
              <w:pStyle w:val="null3"/>
              <w:jc w:val="right"/>
            </w:pPr>
            <w:r>
              <w:rPr/>
              <w:t>1,097,944.00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2024年军休功臣荣誉疗养服务</w:t>
            </w:r>
          </w:p>
        </w:tc>
        <w:tc>
          <w:tcPr>
            <w:tcW w:type="dxa" w:w="977"/>
          </w:tcPr>
          <w:p>
            <w:pPr>
              <w:pStyle w:val="null3"/>
              <w:jc w:val="right"/>
            </w:pPr>
            <w:r>
              <w:rPr/>
              <w:t>1.00（项）</w:t>
            </w:r>
          </w:p>
        </w:tc>
        <w:tc>
          <w:tcPr>
            <w:tcW w:type="dxa" w:w="1173"/>
          </w:tcPr>
          <w:p>
            <w:pPr>
              <w:pStyle w:val="null3"/>
              <w:jc w:val="right"/>
            </w:pPr>
            <w:r>
              <w:rPr/>
              <w:t>1,097,944.00（元）</w:t>
            </w:r>
          </w:p>
        </w:tc>
        <w:tc>
          <w:tcPr>
            <w:tcW w:type="dxa" w:w="1173"/>
          </w:tcPr>
          <w:p>
            <w:pPr>
              <w:pStyle w:val="null3"/>
              <w:jc w:val="right"/>
            </w:pPr>
            <w:r>
              <w:rPr/>
              <w:t>1,097,944.00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标的名称：2024年军休功臣荣誉疗养服务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ind w:firstLine="489"/>
              <w:jc w:val="both"/>
            </w:pPr>
            <w:r>
              <w:rPr>
                <w:rFonts w:ascii="宋体" w:hAnsi="宋体" w:cs="宋体" w:eastAsia="宋体"/>
                <w:sz w:val="24"/>
              </w:rPr>
              <w:t>一、服务范围：</w:t>
            </w:r>
          </w:p>
          <w:p>
            <w:pPr>
              <w:pStyle w:val="null3"/>
              <w:ind w:firstLine="489"/>
              <w:jc w:val="both"/>
            </w:pPr>
            <w:r>
              <w:rPr>
                <w:rFonts w:ascii="宋体" w:hAnsi="宋体" w:cs="宋体" w:eastAsia="宋体"/>
                <w:sz w:val="24"/>
              </w:rPr>
              <w:t>1、疗养批次及人数：</w:t>
            </w:r>
          </w:p>
          <w:tbl>
            <w:tblPr>
              <w:tblBorders>
                <w:top w:val="none" w:color="000000" w:sz="4"/>
                <w:left w:val="none" w:color="000000" w:sz="4"/>
                <w:bottom w:val="none" w:color="000000" w:sz="4"/>
                <w:right w:val="none" w:color="000000" w:sz="4"/>
                <w:insideH w:val="none"/>
                <w:insideV w:val="none"/>
              </w:tblBorders>
            </w:tblPr>
            <w:tblGrid>
              <w:gridCol w:w="875"/>
              <w:gridCol w:w="2725"/>
              <w:gridCol w:w="1500"/>
            </w:tblGrid>
            <w:tr>
              <w:tc>
                <w:tcPr>
                  <w:tcW w:type="dxa" w:w="87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疗养批次</w:t>
                  </w:r>
                </w:p>
              </w:tc>
              <w:tc>
                <w:tcPr>
                  <w:tcW w:type="dxa" w:w="27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预计人数</w:t>
                  </w:r>
                </w:p>
              </w:tc>
              <w:tc>
                <w:tcPr>
                  <w:tcW w:type="dxa" w:w="150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预计疗养时间</w:t>
                  </w:r>
                </w:p>
              </w:tc>
            </w:tr>
            <w:tr>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第一批</w:t>
                  </w:r>
                </w:p>
              </w:tc>
              <w:tc>
                <w:tcPr>
                  <w:tcW w:type="dxa" w:w="27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both"/>
                  </w:pPr>
                  <w:r>
                    <w:rPr>
                      <w:rFonts w:ascii="宋体" w:hAnsi="宋体" w:cs="宋体" w:eastAsia="宋体"/>
                      <w:sz w:val="24"/>
                    </w:rPr>
                    <w:t>93人（含军休工作人员）（人数以实际为准）</w:t>
                  </w:r>
                </w:p>
              </w:tc>
              <w:tc>
                <w:tcPr>
                  <w:tcW w:type="dxa" w:w="1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2024年10月-11月</w:t>
                  </w:r>
                </w:p>
              </w:tc>
            </w:tr>
            <w:tr>
              <w:tc>
                <w:tcPr>
                  <w:tcW w:type="dxa" w:w="8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第二批</w:t>
                  </w:r>
                </w:p>
              </w:tc>
              <w:tc>
                <w:tcPr>
                  <w:tcW w:type="dxa" w:w="27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both"/>
                  </w:pPr>
                  <w:r>
                    <w:rPr>
                      <w:rFonts w:ascii="宋体" w:hAnsi="宋体" w:cs="宋体" w:eastAsia="宋体"/>
                      <w:sz w:val="24"/>
                    </w:rPr>
                    <w:t>93人（含军休工作人员）（人数以实际为准）</w:t>
                  </w:r>
                </w:p>
              </w:tc>
              <w:tc>
                <w:tcPr>
                  <w:tcW w:type="dxa" w:w="150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2024年10月-11月</w:t>
                  </w:r>
                </w:p>
              </w:tc>
            </w:tr>
            <w:tr>
              <w:tc>
                <w:tcPr>
                  <w:tcW w:type="dxa" w:w="5100"/>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after="120"/>
                    <w:ind w:firstLine="480"/>
                    <w:jc w:val="both"/>
                  </w:pPr>
                  <w:r>
                    <w:rPr>
                      <w:rFonts w:ascii="宋体" w:hAnsi="宋体" w:cs="宋体" w:eastAsia="宋体"/>
                      <w:sz w:val="24"/>
                    </w:rPr>
                    <w:t>两批共计</w:t>
                  </w:r>
                  <w:r>
                    <w:rPr>
                      <w:rFonts w:ascii="宋体" w:hAnsi="宋体" w:cs="宋体" w:eastAsia="宋体"/>
                      <w:sz w:val="24"/>
                    </w:rPr>
                    <w:t>186人（含军休工作人员）。（人数以实际为准）</w:t>
                  </w:r>
                </w:p>
              </w:tc>
            </w:tr>
          </w:tbl>
          <w:p>
            <w:pPr>
              <w:pStyle w:val="null3"/>
              <w:ind w:firstLine="480"/>
              <w:jc w:val="both"/>
            </w:pPr>
            <w:r>
              <w:rPr>
                <w:rFonts w:ascii="宋体" w:hAnsi="宋体" w:cs="宋体" w:eastAsia="宋体"/>
                <w:sz w:val="24"/>
              </w:rPr>
              <w:t>注：具体疗养时间、疗养人数以合同签订时采购人实际需求为准。</w:t>
            </w:r>
          </w:p>
          <w:p>
            <w:pPr>
              <w:pStyle w:val="null3"/>
              <w:ind w:firstLine="480"/>
              <w:jc w:val="both"/>
            </w:pPr>
            <w:r>
              <w:rPr>
                <w:rFonts w:ascii="宋体" w:hAnsi="宋体" w:cs="宋体" w:eastAsia="宋体"/>
                <w:sz w:val="24"/>
              </w:rPr>
              <w:t>2、疗养地点：贵州省遵义市。</w:t>
            </w:r>
          </w:p>
          <w:p>
            <w:pPr>
              <w:pStyle w:val="null3"/>
              <w:ind w:firstLine="480"/>
              <w:jc w:val="both"/>
            </w:pPr>
            <w:r>
              <w:rPr>
                <w:rFonts w:ascii="宋体" w:hAnsi="宋体" w:cs="宋体" w:eastAsia="宋体"/>
                <w:sz w:val="24"/>
              </w:rPr>
              <w:t>3、时间：2024年10月-11月，分两批次。（具体以采购人指定为准）</w:t>
            </w:r>
          </w:p>
          <w:p>
            <w:pPr>
              <w:pStyle w:val="null3"/>
              <w:spacing w:after="120"/>
              <w:jc w:val="both"/>
            </w:pPr>
            <w:r>
              <w:rPr>
                <w:rFonts w:ascii="宋体" w:hAnsi="宋体" w:cs="宋体" w:eastAsia="宋体"/>
                <w:sz w:val="24"/>
              </w:rPr>
              <w:t>二、服务要求（两批次疗养各项标准应一致，采购人按实际需求修改的除外）：</w:t>
            </w:r>
          </w:p>
          <w:p>
            <w:pPr>
              <w:pStyle w:val="null3"/>
              <w:ind w:firstLine="489"/>
              <w:jc w:val="both"/>
            </w:pPr>
            <w:r>
              <w:rPr>
                <w:rFonts w:ascii="宋体" w:hAnsi="宋体" w:cs="宋体" w:eastAsia="宋体"/>
                <w:sz w:val="24"/>
              </w:rPr>
              <w:t>（一）活动服务要求及活动费用</w:t>
            </w:r>
          </w:p>
          <w:p>
            <w:pPr>
              <w:pStyle w:val="null3"/>
              <w:ind w:firstLine="480"/>
              <w:jc w:val="both"/>
            </w:pPr>
            <w:r>
              <w:rPr>
                <w:rFonts w:ascii="宋体" w:hAnsi="宋体" w:cs="宋体" w:eastAsia="宋体"/>
                <w:sz w:val="24"/>
              </w:rPr>
              <w:t>1、供应商成交后需提供符合标准（具体参见服务要求3.1住处要求）的宾馆供采购人选择，直至采购人满意。</w:t>
            </w:r>
          </w:p>
          <w:p>
            <w:pPr>
              <w:pStyle w:val="null3"/>
              <w:ind w:firstLine="480"/>
              <w:jc w:val="both"/>
            </w:pPr>
            <w:r>
              <w:rPr>
                <w:rFonts w:ascii="宋体" w:hAnsi="宋体" w:cs="宋体" w:eastAsia="宋体"/>
                <w:sz w:val="24"/>
              </w:rPr>
              <w:t>2、车辆安全：需提供证照齐全，安全舒适的车辆，驾驶人员合规安全驾驶。车辆应为39～55座及以上大客车，便于老年人乘坐及上下，实际车辆数需满足乘坐需求。</w:t>
            </w:r>
          </w:p>
          <w:p>
            <w:pPr>
              <w:pStyle w:val="null3"/>
              <w:ind w:firstLine="480"/>
              <w:jc w:val="both"/>
            </w:pPr>
            <w:r>
              <w:rPr>
                <w:rFonts w:ascii="宋体" w:hAnsi="宋体" w:cs="宋体" w:eastAsia="宋体"/>
                <w:sz w:val="24"/>
              </w:rPr>
              <w:t>3、疗养住宿及餐饮：</w:t>
            </w:r>
          </w:p>
          <w:p>
            <w:pPr>
              <w:pStyle w:val="null3"/>
              <w:ind w:firstLine="480"/>
              <w:jc w:val="both"/>
            </w:pPr>
            <w:r>
              <w:rPr>
                <w:rFonts w:ascii="宋体" w:hAnsi="宋体" w:cs="宋体" w:eastAsia="宋体"/>
                <w:sz w:val="24"/>
              </w:rPr>
              <w:t>3.1住处要求：住处地质环境较好、不易发生自然灾害、居住安全、交通便利、空气质量优良。具有较好的私密性，靠近景区、公园，适宜老年人疗养居住，离住处五公里范围内须有二级以上公立医院。</w:t>
            </w:r>
          </w:p>
          <w:p>
            <w:pPr>
              <w:pStyle w:val="null3"/>
              <w:ind w:firstLine="480"/>
              <w:jc w:val="both"/>
            </w:pPr>
            <w:r>
              <w:rPr>
                <w:rFonts w:ascii="宋体" w:hAnsi="宋体" w:cs="宋体" w:eastAsia="宋体"/>
                <w:sz w:val="24"/>
              </w:rPr>
              <w:t>为满足军休老同志居住，住宿条件应具有一次性接待</w:t>
            </w:r>
            <w:r>
              <w:rPr>
                <w:rFonts w:ascii="宋体" w:hAnsi="宋体" w:cs="宋体" w:eastAsia="宋体"/>
                <w:sz w:val="24"/>
              </w:rPr>
              <w:t>100人以上住宿的能力，住宿区域较为集中，上下楼较为方便，道路平坦，有大型会议室或固定活动场所，并包含棋牌茶水室。</w:t>
            </w:r>
          </w:p>
          <w:p>
            <w:pPr>
              <w:pStyle w:val="null3"/>
              <w:ind w:firstLine="480"/>
              <w:jc w:val="both"/>
            </w:pPr>
            <w:r>
              <w:rPr>
                <w:rFonts w:ascii="宋体" w:hAnsi="宋体" w:cs="宋体" w:eastAsia="宋体"/>
                <w:sz w:val="24"/>
              </w:rPr>
              <w:t>3.2餐饮：包含早、中、晚三餐。早餐与住宿地点的其他住宿人员同等待遇，午餐及晚餐标准为150元/人/天，并每天更换菜单，保证所有人能同时就餐。</w:t>
            </w:r>
            <w:r>
              <w:rPr>
                <w:rFonts w:ascii="宋体" w:hAnsi="宋体" w:cs="宋体" w:eastAsia="宋体"/>
                <w:sz w:val="24"/>
              </w:rPr>
              <w:t>在饮食方面保证食材新鲜、搭配合理、干净卫生，菜品多样，适合老年人饮食。</w:t>
            </w:r>
          </w:p>
          <w:p>
            <w:pPr>
              <w:pStyle w:val="null3"/>
              <w:ind w:firstLine="480"/>
              <w:jc w:val="both"/>
            </w:pPr>
            <w:r>
              <w:rPr>
                <w:rFonts w:ascii="宋体" w:hAnsi="宋体" w:cs="宋体" w:eastAsia="宋体"/>
                <w:sz w:val="24"/>
              </w:rPr>
              <w:t>4、房间分配：按计划疗养总人数分配标间（双床房，房费需包含双份早餐）</w:t>
            </w:r>
          </w:p>
          <w:p>
            <w:pPr>
              <w:pStyle w:val="null3"/>
              <w:ind w:firstLine="480"/>
              <w:jc w:val="both"/>
            </w:pPr>
            <w:r>
              <w:rPr>
                <w:rFonts w:ascii="宋体" w:hAnsi="宋体" w:cs="宋体" w:eastAsia="宋体"/>
                <w:sz w:val="24"/>
              </w:rPr>
              <w:t>5、为每名出行人员（军休干部年龄为50岁至80岁的军休干部）购买相同保额的意外保险，购买的意外保险中意外身故、意外伤残保额不低于人民币30万元/人，意外医疗费用保额不低于1万元/人。</w:t>
            </w:r>
          </w:p>
          <w:p>
            <w:pPr>
              <w:pStyle w:val="null3"/>
              <w:ind w:firstLine="480"/>
              <w:jc w:val="both"/>
            </w:pPr>
            <w:r>
              <w:rPr>
                <w:rFonts w:ascii="宋体" w:hAnsi="宋体" w:cs="宋体" w:eastAsia="宋体"/>
                <w:sz w:val="24"/>
              </w:rPr>
              <w:t>6、供应商承担本次疗养活动的疗养手册设计及制作、会议室、棋牌、茶水、外出现场教学点门票、讲解、参观学习车辆及饮用水等费用。</w:t>
            </w:r>
          </w:p>
          <w:p>
            <w:pPr>
              <w:pStyle w:val="null3"/>
              <w:ind w:firstLine="480"/>
              <w:jc w:val="both"/>
            </w:pPr>
            <w:r>
              <w:rPr>
                <w:rFonts w:ascii="宋体" w:hAnsi="宋体" w:cs="宋体" w:eastAsia="宋体"/>
                <w:sz w:val="24"/>
              </w:rPr>
              <w:t>7、供应商配置随行服务人员（每批次不少于4人，该类人员不包含医生护士）负责本次疗养活动保障工作。</w:t>
            </w:r>
          </w:p>
          <w:p>
            <w:pPr>
              <w:pStyle w:val="null3"/>
              <w:spacing w:after="120"/>
              <w:ind w:firstLine="480"/>
              <w:jc w:val="both"/>
            </w:pPr>
            <w:r>
              <w:rPr>
                <w:rFonts w:ascii="宋体" w:hAnsi="宋体" w:cs="宋体" w:eastAsia="宋体"/>
                <w:sz w:val="24"/>
              </w:rPr>
              <w:t>8、报价要求：</w:t>
            </w:r>
            <w:r>
              <w:rPr>
                <w:rFonts w:ascii="宋体" w:hAnsi="宋体" w:cs="宋体" w:eastAsia="宋体"/>
                <w:sz w:val="24"/>
              </w:rPr>
              <w:t>供应商的</w:t>
            </w:r>
            <w:r>
              <w:rPr>
                <w:rFonts w:ascii="宋体" w:hAnsi="宋体" w:cs="宋体" w:eastAsia="宋体"/>
                <w:sz w:val="24"/>
              </w:rPr>
              <w:t>活动费用报价不得超过</w:t>
            </w:r>
            <w:r>
              <w:rPr>
                <w:rFonts w:ascii="宋体" w:hAnsi="宋体" w:cs="宋体" w:eastAsia="宋体"/>
                <w:sz w:val="24"/>
              </w:rPr>
              <w:t>4550元/人，活动总费用报价不得超过846300元。</w:t>
            </w:r>
          </w:p>
          <w:p>
            <w:pPr>
              <w:pStyle w:val="null3"/>
              <w:ind w:firstLine="489"/>
              <w:jc w:val="both"/>
            </w:pPr>
            <w:r>
              <w:rPr>
                <w:rFonts w:ascii="宋体" w:hAnsi="宋体" w:cs="宋体" w:eastAsia="宋体"/>
                <w:sz w:val="24"/>
              </w:rPr>
              <w:t>（二）其他服务要求及费用</w:t>
            </w:r>
          </w:p>
          <w:p>
            <w:pPr>
              <w:pStyle w:val="null3"/>
              <w:spacing w:after="120"/>
              <w:ind w:firstLine="480"/>
              <w:jc w:val="both"/>
            </w:pPr>
            <w:r>
              <w:rPr>
                <w:rFonts w:ascii="宋体" w:hAnsi="宋体" w:cs="宋体" w:eastAsia="宋体"/>
                <w:sz w:val="24"/>
              </w:rPr>
              <w:t>1、疗养期间及结束后，供应商需提供照片拍摄、视频剪辑制作、疗养成果手册设计制作等服务。该费用为固定费用80000元，供应商报价时为固定报价，费用单独列支，不计入活动费用当中。</w:t>
            </w:r>
          </w:p>
          <w:p>
            <w:pPr>
              <w:pStyle w:val="null3"/>
              <w:spacing w:after="120"/>
              <w:ind w:firstLine="480"/>
              <w:jc w:val="both"/>
            </w:pPr>
            <w:r>
              <w:rPr>
                <w:rFonts w:ascii="宋体" w:hAnsi="宋体" w:cs="宋体" w:eastAsia="宋体"/>
                <w:sz w:val="24"/>
              </w:rPr>
              <w:t>2、</w:t>
            </w:r>
            <w:r>
              <w:rPr>
                <w:rFonts w:ascii="宋体" w:hAnsi="宋体" w:cs="宋体" w:eastAsia="宋体"/>
                <w:sz w:val="24"/>
              </w:rPr>
              <w:t>医疗保障：每批次随团医生、护士各</w:t>
            </w:r>
            <w:r>
              <w:rPr>
                <w:rFonts w:ascii="宋体" w:hAnsi="宋体" w:cs="宋体" w:eastAsia="宋体"/>
                <w:sz w:val="24"/>
              </w:rPr>
              <w:t>1人。</w:t>
            </w:r>
            <w:r>
              <w:rPr>
                <w:rFonts w:ascii="宋体" w:hAnsi="宋体" w:cs="宋体" w:eastAsia="宋体"/>
                <w:sz w:val="24"/>
              </w:rPr>
              <w:t>该费用为固定费用</w:t>
            </w:r>
            <w:r>
              <w:rPr>
                <w:rFonts w:ascii="宋体" w:hAnsi="宋体" w:cs="宋体" w:eastAsia="宋体"/>
                <w:sz w:val="24"/>
              </w:rPr>
              <w:t>40000元，包含医护人员工资、住宿、伙食、往返高铁票及应急药品等费用，供应商报价时为固定报价，费用单独列支，不计入活动费用当中，最终据实结算。</w:t>
            </w:r>
          </w:p>
          <w:p>
            <w:pPr>
              <w:pStyle w:val="null3"/>
              <w:spacing w:after="120"/>
              <w:ind w:firstLine="480"/>
              <w:jc w:val="both"/>
            </w:pPr>
            <w:r>
              <w:rPr>
                <w:rFonts w:ascii="宋体" w:hAnsi="宋体" w:cs="宋体" w:eastAsia="宋体"/>
                <w:sz w:val="24"/>
              </w:rPr>
              <w:t>3、供应商提供应急车辆服务，疗养期间需随时配备一台应急车辆。该费用为固定费用10000元，供应商报价时为固定报价，费用单独列支，不计入活动费用当中。</w:t>
            </w:r>
          </w:p>
          <w:p>
            <w:pPr>
              <w:pStyle w:val="null3"/>
              <w:spacing w:after="120"/>
              <w:ind w:firstLine="480"/>
              <w:jc w:val="both"/>
            </w:pPr>
            <w:r>
              <w:rPr>
                <w:rFonts w:ascii="宋体" w:hAnsi="宋体" w:cs="宋体" w:eastAsia="宋体"/>
                <w:sz w:val="24"/>
              </w:rPr>
              <w:t>4、供应商协助购买成都往返遵义高铁票，往返高铁票为508元/人，如高铁票价因铁路部门调整价格的，以最终车票价格为准据实结算，费用单独列支，不计入活动费用当中，供应商报价时为固定报价。</w:t>
            </w:r>
          </w:p>
          <w:p>
            <w:pPr>
              <w:pStyle w:val="null3"/>
              <w:spacing w:after="120"/>
              <w:ind w:firstLine="480"/>
              <w:jc w:val="both"/>
            </w:pPr>
            <w:r>
              <w:rPr>
                <w:rFonts w:ascii="宋体" w:hAnsi="宋体" w:cs="宋体" w:eastAsia="宋体"/>
                <w:sz w:val="24"/>
              </w:rPr>
              <w:t>5、供应商负责购买成都往返遵义高铁票，往返高铁票代理费为16元/人/往返，费用单独列支，不计入活动费用当中，供应商报价时为固定报价，最终按实际参加人数据实结算。</w:t>
            </w:r>
          </w:p>
          <w:p>
            <w:pPr>
              <w:pStyle w:val="null3"/>
              <w:spacing w:after="120"/>
              <w:ind w:firstLine="480"/>
              <w:jc w:val="both"/>
            </w:pPr>
            <w:r>
              <w:rPr>
                <w:rFonts w:ascii="宋体" w:hAnsi="宋体" w:cs="宋体" w:eastAsia="宋体"/>
                <w:sz w:val="24"/>
              </w:rPr>
              <w:t>6、供应商提供马甲制作服务，马甲费用130元/件，费用单独列支，不计入活动费用当中，供应商报价时为固定报价，最终按实际制作数量据实结算，制作数量以采购人确定为准。马甲最终的所有权归属</w:t>
            </w:r>
            <w:r>
              <w:rPr>
                <w:rFonts w:ascii="宋体" w:hAnsi="宋体" w:cs="宋体" w:eastAsia="宋体"/>
                <w:sz w:val="24"/>
              </w:rPr>
              <w:t>于采购人。</w:t>
            </w:r>
          </w:p>
          <w:p>
            <w:pPr>
              <w:pStyle w:val="null3"/>
              <w:spacing w:after="120"/>
              <w:ind w:firstLine="480"/>
              <w:jc w:val="both"/>
            </w:pPr>
            <w:r>
              <w:rPr>
                <w:rFonts w:ascii="宋体" w:hAnsi="宋体" w:cs="宋体" w:eastAsia="宋体"/>
                <w:sz w:val="24"/>
              </w:rPr>
              <w:t>注：以上其他服务内容的费用均包含在项目总报价中。</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报价要求</w:t>
            </w:r>
          </w:p>
        </w:tc>
        <w:tc>
          <w:tcPr>
            <w:tcW w:type="dxa" w:w="2076"/>
          </w:tcPr>
          <w:p>
            <w:pPr>
              <w:pStyle w:val="null3"/>
              <w:ind w:firstLine="482"/>
              <w:jc w:val="both"/>
            </w:pPr>
            <w:r>
              <w:rPr>
                <w:rFonts w:ascii="宋体" w:hAnsi="宋体" w:cs="宋体" w:eastAsia="宋体"/>
                <w:sz w:val="24"/>
              </w:rPr>
              <w:t>供应商应当确保在响应报价时已经充分了解本项目内容，其报价已经包含了完成本项目所有内容所需的费用。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考核方法</w:t>
            </w:r>
          </w:p>
        </w:tc>
        <w:tc>
          <w:tcPr>
            <w:tcW w:type="dxa" w:w="2076"/>
          </w:tcPr>
          <w:p>
            <w:pPr>
              <w:pStyle w:val="null3"/>
              <w:ind w:firstLine="482"/>
              <w:jc w:val="both"/>
            </w:pPr>
            <w:r>
              <w:rPr>
                <w:rFonts w:ascii="宋体" w:hAnsi="宋体" w:cs="宋体" w:eastAsia="宋体"/>
                <w:sz w:val="24"/>
              </w:rPr>
              <w:t>疗养对象将对成交人提供的服务进行满意度评价，满意度达到实际参加人数</w:t>
            </w:r>
            <w:r>
              <w:rPr>
                <w:rFonts w:ascii="宋体" w:hAnsi="宋体" w:cs="宋体" w:eastAsia="宋体"/>
                <w:sz w:val="24"/>
              </w:rPr>
              <w:t>90%及以上为合格；如满意度为60%—90%，从疗养活动合同款中扣除该活动总价1%；如满意度为30%—60%，从疗养活动合同款中扣除该活动总价3%；如满意度低于30%，从疗养活动合同款中扣除该活动总价5%。</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2024年10月-11月，两批次（均为7天6晚，早、晚餐各6餐、午餐7餐）。</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贵州省遵义市</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严格按照政府采购相关法律法规、《财政部关于进一步加强政府采购需求和履约验收管理的指导意见》（财库〔2016〕205 号）、《政府采购需求管理办法》（财库〔2021〕22 号）的要求，及采购文件的服务和质量要求、成交人的响应文件及承诺以及合同约定标准进行验收。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采购人在合同签订生效后14日内（每次付款前，供应商应当向采购人提供“货物或应税劳务、服务名称”或“项目名称”内容为“*现代服务*功臣疗养活动服务费”的发票），达到付款条件起14日内，支付合同总金额的50.00%</w:t>
            </w:r>
          </w:p>
          <w:p>
            <w:pPr>
              <w:pStyle w:val="null3"/>
              <w:jc w:val="left"/>
            </w:pPr>
            <w:r>
              <w:rPr/>
              <w:t>2、服务项目结算完成并考评合格后14日内，按实际参加人数支付剩余合同款。（每次付款前，供应商应当向采购人提供“货物或应税劳务、服务名称”或“项目名称”内容为“*现代服务*功臣疗养活动服务费”的发票），达到付款条件起14日内，支付合同总金额的50.00%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如因成交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（2）供应商提供的服务不符合采购文件、响应文件或本合同规定的，每有一项违约供应商须向采购人支付本合同总价5%的违约金。 （3）采购人无正当理由拒收接受服务，到期拒付服务款项的，采购人向供应商偿付本合同总金额5%的违约金。采购人逾期付款，则每日按本合同总价的5‰向供应商偿付违约金。</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★供应商最终报价说明：因系统局限性，供应商在最终报价报价环节须按要求填写最终报价表（详见采购文件第六章）并加盖电子公章作为附件上传。供应商在编制响应文件时可以不提供最终报价表。 注：此条内容只作为采购文件编制的说明，不作为技术服务要求。</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rFonts w:ascii="宋体" w:hAnsi="宋体" w:cs="宋体" w:eastAsia="宋体"/>
          <w:sz w:val="21"/>
        </w:rPr>
        <w:t>详见第三章</w:t>
      </w:r>
      <w:r>
        <w:rPr>
          <w:rFonts w:ascii="calibri" w:hAnsi="calibri" w:cs="calibri" w:eastAsia="calibri"/>
          <w:sz w:val="21"/>
        </w:rPr>
        <w:t>“</w:t>
      </w:r>
      <w:r>
        <w:rPr>
          <w:rFonts w:ascii="宋体" w:hAnsi="宋体" w:cs="宋体" w:eastAsia="宋体"/>
          <w:sz w:val="21"/>
        </w:rPr>
        <w:t>技术、服务及其他要求</w:t>
      </w:r>
      <w:r>
        <w:rPr>
          <w:rFonts w:ascii="calibri" w:hAnsi="calibri" w:cs="calibri" w:eastAsia="calibri"/>
          <w:sz w:val="21"/>
        </w:rPr>
        <w:t>”</w:t>
      </w:r>
    </w:p>
    <w:p>
      <w:pPr>
        <w:pStyle w:val="null3"/>
        <w:ind w:firstLine="480"/>
        <w:jc w:val="left"/>
      </w:pPr>
      <w:r>
        <w:rPr/>
        <w:t>二、第七章“拟签订采购合同文本”：</w:t>
      </w:r>
    </w:p>
    <w:p>
      <w:pPr>
        <w:pStyle w:val="null3"/>
        <w:ind w:firstLine="480"/>
        <w:jc w:val="left"/>
      </w:pPr>
      <w:r>
        <w:rPr>
          <w:rFonts w:ascii="宋体" w:hAnsi="宋体" w:cs="宋体" w:eastAsia="宋体"/>
          <w:sz w:val="21"/>
        </w:rPr>
        <w:t>详见第七章</w:t>
      </w:r>
      <w:r>
        <w:rPr>
          <w:rFonts w:ascii="calibri" w:hAnsi="calibri" w:cs="calibri" w:eastAsia="calibri"/>
          <w:sz w:val="21"/>
        </w:rPr>
        <w:t>“</w:t>
      </w:r>
      <w:r>
        <w:rPr>
          <w:rFonts w:ascii="宋体" w:hAnsi="宋体" w:cs="宋体" w:eastAsia="宋体"/>
          <w:sz w:val="21"/>
        </w:rPr>
        <w:t>拟签订采购合同文本</w:t>
      </w:r>
      <w:r>
        <w:rPr>
          <w:rFonts w:ascii="calibri" w:hAnsi="calibri" w:cs="calibri" w:eastAsia="calibri"/>
          <w:sz w:val="21"/>
        </w:rPr>
        <w:t>”</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供应商提交的相关资格证明材料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供应商按照采购文件要求上传相应证明材料。</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不属于采购文件规定的无效情形</w:t>
            </w:r>
          </w:p>
        </w:tc>
        <w:tc>
          <w:tcPr>
            <w:tcW w:type="dxa" w:w="3322"/>
          </w:tcPr>
          <w:p>
            <w:pPr>
              <w:pStyle w:val="null3"/>
              <w:jc w:val="left"/>
            </w:pPr>
            <w:r>
              <w:rPr/>
              <w:t>供应商按照采购文件要求上传相应证明材料。</w:t>
            </w:r>
          </w:p>
        </w:tc>
        <w:tc>
          <w:tcPr>
            <w:tcW w:type="dxa" w:w="1910"/>
          </w:tcPr>
          <w:p>
            <w:pPr>
              <w:pStyle w:val="null3"/>
              <w:jc w:val="left"/>
            </w:pPr>
            <w:r>
              <w:rPr/>
              <w:t>响应文件封面 报价一览表 供应商提交的相关资格证明材料 中小企业声明函 残疾人福利性单位声明函 报价明细表 供应商认为应当提供的其他资料 投标（响应）函 监狱企业的证明文件</w:t>
            </w:r>
          </w:p>
        </w:tc>
      </w:tr>
      <w:tr>
        <w:tc>
          <w:tcPr>
            <w:tcW w:type="dxa" w:w="581"/>
          </w:tcPr>
          <w:p>
            <w:pPr>
              <w:pStyle w:val="null3"/>
              <w:jc w:val="center"/>
            </w:pPr>
            <w:r>
              <w:rPr/>
              <w:t>4</w:t>
            </w:r>
          </w:p>
        </w:tc>
        <w:tc>
          <w:tcPr>
            <w:tcW w:type="dxa" w:w="2492"/>
          </w:tcPr>
          <w:p>
            <w:pPr>
              <w:pStyle w:val="null3"/>
              <w:jc w:val="left"/>
            </w:pPr>
            <w:r>
              <w:rPr/>
              <w:t>符合采购文件的实质性要求</w:t>
            </w:r>
          </w:p>
        </w:tc>
        <w:tc>
          <w:tcPr>
            <w:tcW w:type="dxa" w:w="3322"/>
          </w:tcPr>
          <w:p>
            <w:pPr>
              <w:pStyle w:val="null3"/>
              <w:jc w:val="left"/>
            </w:pPr>
            <w:r>
              <w:rPr/>
              <w:t>供应商按照采购文件要求上传相应证明材料</w:t>
            </w:r>
          </w:p>
        </w:tc>
        <w:tc>
          <w:tcPr>
            <w:tcW w:type="dxa" w:w="1910"/>
          </w:tcPr>
          <w:p>
            <w:pPr>
              <w:pStyle w:val="null3"/>
              <w:jc w:val="left"/>
            </w:pPr>
            <w:r>
              <w:rPr/>
              <w:t>响应文件封面 报价一览表 供应商提交的相关资格证明材料 中小企业声明函 残疾人福利性单位声明函 报价明细表 供应商认为应当提供的其他资料 投标（响应）函 监狱企业的证明文件 技术、服务及商务要求应答表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1.服务方案（24分），包括但不限于：①疗养服务整体流程；②安全保卫方案；③车辆安排；④针对活动期间配餐科学性安排。方案内容全面完整、完全满足或优于项目需求的得24分；每缺少一项内容扣6分，每有一项内容有缺陷扣3分，扣完为止。 2.应急预案（12分），包括但不限于：①安全管理预案；②应急医疗服务；③自然灾害紧急情况应对。方案内容全面完整、完全满足或优于项目需求的得12分；每缺少一项内容扣4分，每有一项内容有缺陷扣2分，扣完为止。 上述缺陷是指：存在不适用项目实际情况的情形、套用其他项目方案、内容前后矛盾、涉及的规范及标准错误、地点区域错误、标题与内容不对应，以上任意一种情形）</w:t>
            </w:r>
          </w:p>
        </w:tc>
        <w:tc>
          <w:tcPr>
            <w:tcW w:type="dxa" w:w="831"/>
          </w:tcPr>
          <w:p>
            <w:pPr>
              <w:pStyle w:val="null3"/>
              <w:jc w:val="center"/>
            </w:pPr>
            <w:r>
              <w:rPr/>
              <w:t>36.00</w:t>
            </w:r>
          </w:p>
        </w:tc>
        <w:tc>
          <w:tcPr>
            <w:tcW w:type="dxa" w:w="748"/>
          </w:tcPr>
          <w:p>
            <w:pPr>
              <w:pStyle w:val="null3"/>
              <w:jc w:val="center"/>
            </w:pPr>
            <w:r>
              <w:rPr/>
              <w:t>主观</w:t>
            </w:r>
          </w:p>
        </w:tc>
        <w:tc>
          <w:tcPr>
            <w:tcW w:type="dxa" w:w="1661"/>
          </w:tcPr>
          <w:p>
            <w:pPr>
              <w:pStyle w:val="null3"/>
              <w:jc w:val="left"/>
            </w:pPr>
            <w:r>
              <w:rPr/>
              <w:t>供应商认为应当提供的其他资料</w:t>
            </w:r>
          </w:p>
        </w:tc>
      </w:tr>
      <w:tr>
        <w:tc>
          <w:tcPr>
            <w:tcW w:type="dxa" w:w="831"/>
            <w:vMerge/>
          </w:tcPr>
          <w:p/>
        </w:tc>
        <w:tc>
          <w:tcPr>
            <w:tcW w:type="dxa" w:w="1661"/>
          </w:tcPr>
          <w:p>
            <w:pPr>
              <w:pStyle w:val="null3"/>
              <w:jc w:val="left"/>
            </w:pPr>
            <w:r>
              <w:rPr/>
              <w:t>住处宾馆设施</w:t>
            </w:r>
          </w:p>
        </w:tc>
        <w:tc>
          <w:tcPr>
            <w:tcW w:type="dxa" w:w="2575"/>
          </w:tcPr>
          <w:p>
            <w:pPr>
              <w:pStyle w:val="null3"/>
              <w:jc w:val="left"/>
            </w:pPr>
            <w:r>
              <w:rPr/>
              <w:t>1.住处宾馆靠近国家级、省市级景区的（国家级或省市级景区以相关官方网站截图或百度地图或高德地图截图为准，须包含景区名称、有明确注明该景区为国家级或省市级景区），距离景区小于1000米得5分；大于等于1000米小于2000米得3分；大于等于2000米小于3000米的得1分。（说明：住处离景区的距离以百度地图或高德地图中住处宾馆至景区步行导航为准，提供截图，截图需包含宾馆名称、景区名称、步行距离） 2.住处宾馆的客房数量在70间及以上的得5分，客房数量不足70间的不得分。（说明：宾馆客房数量以携程旅行网或飞猪旅行网或去哪儿旅行网的截图为准，截图需包含宾馆名称、客房数量） 3.住处宾馆在携程旅行网或飞猪旅行网或去哪儿旅行网的评价得分大于等于4.5分的得5分，评价得分在4.3分-4.4分的得3分，评价得分在4.1分-4.2分的得1分，小于4.1分的不得分。（说明：住处宾馆的评价得分以携程旅行网或飞猪旅行网或去哪儿旅行网的截图为准，截图需包含宾馆名称及评分） 注：供应商需提供1家宾馆进行评分，如提供超过1家宾馆的，则每家宾馆分别评分，取得分最高的宾馆为该项最终得分。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供应商认为应当提供的其他资料</w:t>
            </w:r>
          </w:p>
        </w:tc>
      </w:tr>
      <w:tr>
        <w:tc>
          <w:tcPr>
            <w:tcW w:type="dxa" w:w="831"/>
            <w:vMerge/>
          </w:tcPr>
          <w:p/>
        </w:tc>
        <w:tc>
          <w:tcPr>
            <w:tcW w:type="dxa" w:w="1661"/>
          </w:tcPr>
          <w:p>
            <w:pPr>
              <w:pStyle w:val="null3"/>
              <w:jc w:val="left"/>
            </w:pPr>
            <w:r>
              <w:rPr/>
              <w:t>健康管理服务</w:t>
            </w:r>
          </w:p>
        </w:tc>
        <w:tc>
          <w:tcPr>
            <w:tcW w:type="dxa" w:w="2575"/>
          </w:tcPr>
          <w:p>
            <w:pPr>
              <w:pStyle w:val="null3"/>
              <w:jc w:val="left"/>
            </w:pPr>
            <w:r>
              <w:rPr/>
              <w:t>1.供应商拟派入本项目的人员配置中，有一名健康管理师的得5分，多名健康管理师不重复计分； 2.供应商拟派入本项目的人员配置中，有一名公共营养师的得5分，多名营养师不重复计分； 3.供应商拟派入本项目的人员配置中，有一名养老护理员的得5分，多名养老护理员不重复计分。 同一人员不重复得分，本项最高得10分（即提供以上三种证书中的两种或以上则为满分）。 注：供应商需提供职业技能等级证书及身份证复印件。</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供应商认为应当提供的其他资料</w:t>
            </w:r>
          </w:p>
        </w:tc>
      </w:tr>
      <w:tr>
        <w:tc>
          <w:tcPr>
            <w:tcW w:type="dxa" w:w="831"/>
            <w:vMerge/>
          </w:tcPr>
          <w:p/>
        </w:tc>
        <w:tc>
          <w:tcPr>
            <w:tcW w:type="dxa" w:w="1661"/>
          </w:tcPr>
          <w:p>
            <w:pPr>
              <w:pStyle w:val="null3"/>
              <w:jc w:val="left"/>
            </w:pPr>
            <w:r>
              <w:rPr/>
              <w:t>导游服务</w:t>
            </w:r>
          </w:p>
        </w:tc>
        <w:tc>
          <w:tcPr>
            <w:tcW w:type="dxa" w:w="2575"/>
          </w:tcPr>
          <w:p>
            <w:pPr>
              <w:pStyle w:val="null3"/>
              <w:jc w:val="left"/>
            </w:pPr>
            <w:r>
              <w:rPr/>
              <w:t>供应商拟派入本项目的随队工作人员中，有一名高级导游的得6分，增加一名初级或以上导游的加3分。本项最高得9分。 注：同一人的不同证书以最高得分计，不重复得分；需提供行政主管部门颁发的导游证书复印件及身份证复印件。</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供应商认为应当提供的其他资料</w:t>
            </w:r>
          </w:p>
        </w:tc>
      </w:tr>
      <w:tr>
        <w:tc>
          <w:tcPr>
            <w:tcW w:type="dxa" w:w="831"/>
            <w:vMerge/>
          </w:tcPr>
          <w:p/>
        </w:tc>
        <w:tc>
          <w:tcPr>
            <w:tcW w:type="dxa" w:w="1661"/>
          </w:tcPr>
          <w:p>
            <w:pPr>
              <w:pStyle w:val="null3"/>
              <w:jc w:val="left"/>
            </w:pPr>
            <w:r>
              <w:rPr/>
              <w:t>医疗保障</w:t>
            </w:r>
          </w:p>
        </w:tc>
        <w:tc>
          <w:tcPr>
            <w:tcW w:type="dxa" w:w="2575"/>
          </w:tcPr>
          <w:p>
            <w:pPr>
              <w:pStyle w:val="null3"/>
              <w:jc w:val="left"/>
            </w:pPr>
            <w:r>
              <w:rPr/>
              <w:t>1.供应商拟派入本项目的一名医生为初级职称的得1分，中级职称的得3分，高级职称的得5分；本项最高得5分，未提供或不符合的不得分。 注：供应商需提供执业资格证及能够证明职称的相关证书复印件。 2.供应商拟派入本项目的一名护士为初级职称或初级专业技术资格的得1分，中级及以上职称或中级及以上专业技术资格的得3分；本项最高得3分，未提供或不符合的不得分。 注：供应商需提供执业资格证及能够证明职称或专业技术资格的相关证书复印件。</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供应商认为应当提供的其他资料</w:t>
            </w:r>
          </w:p>
        </w:tc>
      </w:tr>
      <w:tr>
        <w:tc>
          <w:tcPr>
            <w:tcW w:type="dxa" w:w="831"/>
            <w:vMerge/>
          </w:tcPr>
          <w:p/>
        </w:tc>
        <w:tc>
          <w:tcPr>
            <w:tcW w:type="dxa" w:w="1661"/>
          </w:tcPr>
          <w:p>
            <w:pPr>
              <w:pStyle w:val="null3"/>
              <w:jc w:val="left"/>
            </w:pPr>
            <w:r>
              <w:rPr/>
              <w:t>意外保险</w:t>
            </w:r>
          </w:p>
        </w:tc>
        <w:tc>
          <w:tcPr>
            <w:tcW w:type="dxa" w:w="2575"/>
          </w:tcPr>
          <w:p>
            <w:pPr>
              <w:pStyle w:val="null3"/>
              <w:jc w:val="left"/>
            </w:pPr>
            <w:r>
              <w:rPr/>
              <w:t>1.供应商能为每名出行人员购买相同保额的意外保险，购买的意外保险中意外身故、意外伤残保额在30万（不含）至40万（含）的得1分；保额在40万（不含）至50万（含）的得3分；保额在50万（不含）以上的得6分；保险单或保险确认书上若有特别约定（特别条款）的以特别约定（特别条款）中约定的保额为准。 2.供应商能为每名出行人员购买相同保额的意外保险，购买的意外保险中意外医疗费用保额在2万（含）至3万（不含）的得1分；保额在3万及以上得3分；保单或确认书上若有特别约定（特别条款）的以特别约定（特别条款）中约定的保额为准。 3.供应商能为每名出行人员购买相同保额的意外保险，购买的意外保险中急性病身故保险1万（含）至4万（不含）的得1分；4万（含）至8万（不含）的得2分，8万（含）以上的3分。保单或确认书上若有特别约定（特别条款）的以特别约定（特别条款）中约定的保额为准。 注：提供2022年1月1日（含）以来为老龄人（年龄大于等于76岁）购买的相应保额的保险单或保险确认书（单）以佐证具备该能力，保险单或确认书（单）上至少须包含：①投保人（投保人名称须与供应商名称一致），②年龄大于等于76岁的被保险人姓名、被保险人身份证号，③保险公司印章。</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供应商认为应当提供的其他资料</w:t>
            </w:r>
          </w:p>
        </w:tc>
      </w:tr>
      <w:tr>
        <w:tc>
          <w:tcPr>
            <w:tcW w:type="dxa" w:w="831"/>
          </w:tcPr>
          <w:p>
            <w:pPr>
              <w:pStyle w:val="null3"/>
              <w:jc w:val="left"/>
            </w:pPr>
            <w:r>
              <w:rPr/>
              <w:t>价格分</w:t>
            </w:r>
          </w:p>
        </w:tc>
        <w:tc>
          <w:tcPr>
            <w:tcW w:type="dxa" w:w="1661"/>
          </w:tcPr>
          <w:p>
            <w:pPr>
              <w:pStyle w:val="null3"/>
              <w:jc w:val="left"/>
            </w:pPr>
            <w:r>
              <w:rPr/>
              <w:t>活动费用报价评审</w:t>
            </w:r>
          </w:p>
        </w:tc>
        <w:tc>
          <w:tcPr>
            <w:tcW w:type="dxa" w:w="2575"/>
          </w:tcPr>
          <w:p>
            <w:pPr>
              <w:pStyle w:val="null3"/>
              <w:jc w:val="left"/>
            </w:pPr>
            <w:r>
              <w:rPr/>
              <w:t>1.经磋商小组评审，通过资格和符合性审查，且最终报价最低的供应商的报价作为评审基准价。 2.报价得分=(评审基准价／最终报价)×分值。 注：报价评审时，应将供应商的最终报价扣除其他服务费用来计算报价得分。评审价格=最终报价-其他服务费用。</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p>
            <w:pPr>
              <w:pStyle w:val="null3"/>
              <w:jc w:val="left"/>
            </w:pPr>
            <w:r>
              <w:rPr/>
              <w:t>最终报价表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个工作日内，在四川政府采购网上公告成交结果，磋商文件应当随成交结果同时公告。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详见附件：供应商提交的相关资格证明材料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详见附件：供应商认为应当提供的其他资料</w:t>
      </w:r>
    </w:p>
    <w:p>
      <w:pPr>
        <w:pStyle w:val="null3"/>
        <w:ind w:firstLine="960"/>
        <w:jc w:val="left"/>
      </w:pPr>
      <w:r>
        <w:rPr/>
        <w:t>详见附件：技术、服务及商务要求应答表</w:t>
      </w:r>
    </w:p>
    <w:p>
      <w:pPr>
        <w:pStyle w:val="null3"/>
        <w:ind w:firstLine="960"/>
        <w:jc w:val="left"/>
      </w:pPr>
      <w:r>
        <w:rPr/>
        <w:t>详见附件：最终报价表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