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版本号：N510725202500014520251022001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采购CT球管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N5107252025000145</w:t>
      </w:r>
    </w:p>
    <w:p>
      <w:pPr>
        <w:pStyle w:val="null3"/>
        <w:jc w:val="left"/>
        <w:outlineLvl w:val="2"/>
      </w:pPr>
      <w:r>
        <w:rPr>
          <w:rFonts w:ascii="仿宋_GB2312" w:hAnsi="仿宋_GB2312" w:cs="仿宋_GB2312" w:eastAsia="仿宋_GB2312"/>
          <w:sz w:val="28"/>
          <w:b/>
        </w:rPr>
        <w:t>梓潼县人民医院</w:t>
      </w:r>
    </w:p>
    <w:p>
      <w:pPr>
        <w:pStyle w:val="null3"/>
        <w:jc w:val="center"/>
        <w:outlineLvl w:val="2"/>
      </w:pPr>
      <w:r>
        <w:rPr>
          <w:rFonts w:ascii="仿宋_GB2312" w:hAnsi="仿宋_GB2312" w:cs="仿宋_GB2312" w:eastAsia="仿宋_GB2312"/>
          <w:sz w:val="28"/>
          <w:b/>
        </w:rPr>
        <w:t>四川鼎智盛工程项目管理有限公司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四川鼎智盛工程项目管理有限公司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梓潼县人民医院</w:t>
      </w:r>
      <w:r>
        <w:rPr>
          <w:rFonts w:ascii="仿宋_GB2312" w:hAnsi="仿宋_GB2312" w:cs="仿宋_GB2312" w:eastAsia="仿宋_GB2312"/>
        </w:rPr>
        <w:t xml:space="preserve"> 委托，拟对 </w:t>
      </w:r>
      <w:r>
        <w:rPr>
          <w:rFonts w:ascii="仿宋_GB2312" w:hAnsi="仿宋_GB2312" w:cs="仿宋_GB2312" w:eastAsia="仿宋_GB2312"/>
        </w:rPr>
        <w:t>采购CT球管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绵阳市梓潼县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N5107252025000145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采购CT球管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采购CT球管。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1、供应商及投标产品应具有的资格条件（描述：1、投标供应商为生产厂家提供《医疗器械生产许可证》；投标供应商为非生产厂家提供《医疗器械经营许可证》或医疗器械经营备案证明材料； 2、投标供应商为生产厂家提供《辐射安全许可证》（范围包含生产、销售）；投标供应商为非生产厂家提供：（1）投标供应商的《辐射安全许可证》（范围包含销售）；（2）生产厂家的《辐射安全许可证》（范围包含生产） 3、投标产品须具有医疗器械注册相关证明材料。）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梓潼县人民医院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梓潼县金牛大道中段200号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13108197722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四川鼎智盛工程项目管理有限公司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四川省成都市青羊区北大街19号3栋6层612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0816-2711080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代理服务费收费标准：1、采购代理费参照《四川省政府采购营商环境指标提升专项行动工作方案》[川财采〔2020〕74 号]文件，按照成本加合理利润原则向成交供应商收取2.2万元，由成交供应商在领取成交（中标）通知书时一次性付清。 2、代理费由成交供应商公对公转入以下账户： ①单位名称：四川鼎智盛工程项目管理有限公司绵阳分公司； ②开户行：绵阳市商业银行 股份有限公司开元支行； ③账号：07051700000486。</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梓潼县人民医院</w:t>
      </w:r>
      <w:r>
        <w:rPr>
          <w:rFonts w:ascii="仿宋_GB2312" w:hAnsi="仿宋_GB2312" w:cs="仿宋_GB2312" w:eastAsia="仿宋_GB2312"/>
        </w:rPr>
        <w:t xml:space="preserve"> 和 </w:t>
      </w:r>
      <w:r>
        <w:rPr>
          <w:rFonts w:ascii="仿宋_GB2312" w:hAnsi="仿宋_GB2312" w:cs="仿宋_GB2312" w:eastAsia="仿宋_GB2312"/>
        </w:rPr>
        <w:t>四川鼎智盛工程项目管理有限公司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梓潼县人民医院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四川鼎智盛工程项目管理有限公司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第一根CT球管产品安装调试完毕，达到正常使用状态，供应商向采购人提交书面验收申请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第二根CT球管产品安装调试完毕，达到正常使用状态，供应商向采购人提交书面验收申请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号）以及《绵阳市财政局关于进一步做好政府采购项目履约验收工作的通知》（绵财采〔2021〕15 号）文件要求，采购文件要求、响应文件响应及合同约定进行验收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四川鼎智盛工程项目管理有限公司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四川鼎智盛工程项目管理有限公司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四川鼎智盛工程项目管理有限公司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联系人：石老师</w:t>
      </w:r>
    </w:p>
    <w:p>
      <w:pPr>
        <w:pStyle w:val="null3"/>
        <w:jc w:val="left"/>
      </w:pPr>
      <w:r>
        <w:rPr>
          <w:rFonts w:ascii="仿宋_GB2312" w:hAnsi="仿宋_GB2312" w:cs="仿宋_GB2312" w:eastAsia="仿宋_GB2312"/>
        </w:rPr>
        <w:t>联系电话：0816-2711080</w:t>
      </w:r>
    </w:p>
    <w:p>
      <w:pPr>
        <w:pStyle w:val="null3"/>
        <w:jc w:val="left"/>
      </w:pPr>
      <w:r>
        <w:rPr>
          <w:rFonts w:ascii="仿宋_GB2312" w:hAnsi="仿宋_GB2312" w:cs="仿宋_GB2312" w:eastAsia="仿宋_GB2312"/>
        </w:rPr>
        <w:t>地址：绵阳市涪城区南河路7号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CT球管</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CT球管</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CT球管</w:t>
            </w:r>
          </w:p>
        </w:tc>
        <w:tc>
          <w:tcPr>
            <w:tcW w:type="dxa" w:w="2492"/>
          </w:tcPr>
          <w:p>
            <w:pPr>
              <w:pStyle w:val="null3"/>
              <w:jc w:val="left"/>
            </w:pPr>
            <w:r>
              <w:rPr>
                <w:rFonts w:ascii="仿宋_GB2312" w:hAnsi="仿宋_GB2312" w:cs="仿宋_GB2312" w:eastAsia="仿宋_GB2312"/>
              </w:rPr>
              <w:t>CT球管</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标的名称：CT球管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主要技术参数</w:t>
            </w:r>
          </w:p>
        </w:tc>
        <w:tc>
          <w:tcPr>
            <w:tcW w:type="dxa" w:w="5814"/>
          </w:tcPr>
          <w:p>
            <w:pPr>
              <w:pStyle w:val="null3"/>
              <w:ind w:firstLine="312"/>
              <w:jc w:val="left"/>
            </w:pPr>
            <w:r>
              <w:rPr>
                <w:rFonts w:ascii="仿宋_GB2312" w:hAnsi="仿宋_GB2312" w:cs="仿宋_GB2312" w:eastAsia="仿宋_GB2312"/>
                <w:sz w:val="24"/>
              </w:rPr>
              <w:t>1、标称电压：140kV。</w:t>
            </w:r>
          </w:p>
          <w:p>
            <w:pPr>
              <w:pStyle w:val="null3"/>
              <w:ind w:firstLine="312"/>
              <w:jc w:val="left"/>
            </w:pPr>
            <w:r>
              <w:rPr>
                <w:rFonts w:ascii="仿宋_GB2312" w:hAnsi="仿宋_GB2312" w:cs="仿宋_GB2312" w:eastAsia="仿宋_GB2312"/>
                <w:sz w:val="24"/>
              </w:rPr>
              <w:t>2、标称阳极输入功率：小焦点36kW，大焦点50kW。</w:t>
            </w:r>
          </w:p>
          <w:p>
            <w:pPr>
              <w:pStyle w:val="null3"/>
              <w:ind w:firstLine="312"/>
              <w:jc w:val="left"/>
            </w:pPr>
            <w:r>
              <w:rPr>
                <w:rFonts w:ascii="仿宋_GB2312" w:hAnsi="仿宋_GB2312" w:cs="仿宋_GB2312" w:eastAsia="仿宋_GB2312"/>
                <w:sz w:val="24"/>
              </w:rPr>
              <w:t>3、焦点尺寸：小焦点0.6X1.2，大焦点1.1X1.2。</w:t>
            </w:r>
          </w:p>
          <w:p>
            <w:pPr>
              <w:pStyle w:val="null3"/>
              <w:ind w:firstLine="312"/>
              <w:jc w:val="left"/>
            </w:pPr>
            <w:r>
              <w:rPr>
                <w:rFonts w:ascii="仿宋_GB2312" w:hAnsi="仿宋_GB2312" w:cs="仿宋_GB2312" w:eastAsia="仿宋_GB2312"/>
                <w:sz w:val="24"/>
              </w:rPr>
              <w:t>4、阳极热存储能力≧5.3MHU。</w:t>
            </w:r>
          </w:p>
          <w:p>
            <w:pPr>
              <w:pStyle w:val="null3"/>
              <w:ind w:firstLine="312"/>
              <w:jc w:val="left"/>
            </w:pPr>
            <w:r>
              <w:rPr>
                <w:rFonts w:ascii="仿宋_GB2312" w:hAnsi="仿宋_GB2312" w:cs="仿宋_GB2312" w:eastAsia="仿宋_GB2312"/>
                <w:sz w:val="24"/>
              </w:rPr>
              <w:t>5、最大阳极散热率：8.0kW。</w:t>
            </w:r>
          </w:p>
          <w:p>
            <w:pPr>
              <w:pStyle w:val="null3"/>
              <w:ind w:firstLine="312"/>
              <w:jc w:val="left"/>
            </w:pPr>
            <w:r>
              <w:rPr>
                <w:rFonts w:ascii="仿宋_GB2312" w:hAnsi="仿宋_GB2312" w:cs="仿宋_GB2312" w:eastAsia="仿宋_GB2312"/>
                <w:sz w:val="24"/>
              </w:rPr>
              <w:t>6、标称连续输入功率≧6.00kW。</w:t>
            </w:r>
          </w:p>
          <w:p>
            <w:pPr>
              <w:pStyle w:val="null3"/>
              <w:ind w:firstLine="312"/>
              <w:jc w:val="left"/>
            </w:pPr>
            <w:r>
              <w:rPr>
                <w:rFonts w:ascii="仿宋_GB2312" w:hAnsi="仿宋_GB2312" w:cs="仿宋_GB2312" w:eastAsia="仿宋_GB2312"/>
                <w:sz w:val="24"/>
              </w:rPr>
              <w:t>7、最小固有过滤≧0.5mm A1。</w:t>
            </w:r>
          </w:p>
          <w:p>
            <w:pPr>
              <w:pStyle w:val="null3"/>
              <w:ind w:firstLine="312"/>
              <w:jc w:val="left"/>
            </w:pPr>
            <w:r>
              <w:rPr>
                <w:rFonts w:ascii="仿宋_GB2312" w:hAnsi="仿宋_GB2312" w:cs="仿宋_GB2312" w:eastAsia="仿宋_GB2312"/>
                <w:sz w:val="24"/>
              </w:rPr>
              <w:t>8、产品能完全适用于东软NeuViz 64 In，保证图像质量达到质量标准。</w:t>
            </w:r>
          </w:p>
          <w:p>
            <w:pPr>
              <w:pStyle w:val="null3"/>
              <w:jc w:val="both"/>
            </w:pPr>
            <w:r>
              <w:rPr>
                <w:rFonts w:ascii="仿宋_GB2312" w:hAnsi="仿宋_GB2312" w:cs="仿宋_GB2312" w:eastAsia="仿宋_GB2312"/>
                <w:sz w:val="24"/>
              </w:rPr>
              <w:t>（注：技术参数或配置要求高于采购文件要求的，都视作满足采购文件要求）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 xml:space="preserve">  1、供应商负责将CT球管运至采购人最终指定的地点并负责拆箱安装就位，并根据采购人实际使用需要调试设备测试程序，使整套系统达到预定可使用状态。</w:t>
            </w:r>
          </w:p>
          <w:p>
            <w:pPr>
              <w:pStyle w:val="null3"/>
              <w:jc w:val="left"/>
            </w:pPr>
            <w:r>
              <w:rPr>
                <w:rFonts w:ascii="仿宋_GB2312" w:hAnsi="仿宋_GB2312" w:cs="仿宋_GB2312" w:eastAsia="仿宋_GB2312"/>
                <w:sz w:val="24"/>
              </w:rPr>
              <w:t xml:space="preserve">  2、供应商须在运输及安装过程中匹配足够、适宜的人员、车辆、工具，材料，采购人验收合格前，货物的所有风险由成交供应商承担。</w:t>
            </w:r>
          </w:p>
          <w:p>
            <w:pPr>
              <w:pStyle w:val="null3"/>
              <w:jc w:val="left"/>
            </w:pPr>
            <w:r>
              <w:rPr>
                <w:rFonts w:ascii="仿宋_GB2312" w:hAnsi="仿宋_GB2312" w:cs="仿宋_GB2312" w:eastAsia="仿宋_GB2312"/>
                <w:sz w:val="24"/>
              </w:rPr>
              <w:t xml:space="preserve">  3、旧球管的处置：废弃球管由供应商按照相关要求进行回收、处置。</w:t>
            </w:r>
          </w:p>
          <w:p>
            <w:pPr>
              <w:pStyle w:val="null3"/>
              <w:jc w:val="left"/>
            </w:pPr>
            <w:r>
              <w:rPr>
                <w:rFonts w:ascii="仿宋_GB2312" w:hAnsi="仿宋_GB2312" w:cs="仿宋_GB2312" w:eastAsia="仿宋_GB2312"/>
                <w:sz w:val="24"/>
              </w:rPr>
              <w:t xml:space="preserve">  4、安全要求</w:t>
            </w:r>
          </w:p>
          <w:p>
            <w:pPr>
              <w:pStyle w:val="null3"/>
              <w:jc w:val="left"/>
            </w:pPr>
            <w:r>
              <w:rPr>
                <w:rFonts w:ascii="仿宋_GB2312" w:hAnsi="仿宋_GB2312" w:cs="仿宋_GB2312" w:eastAsia="仿宋_GB2312"/>
                <w:sz w:val="24"/>
              </w:rPr>
              <w:t xml:space="preserve">  本项目自成交人签订合同之日起至验收合格日止，成交人将负责运输配送过程中的人身安全、财产安全、环境安全。因项目实施过程中造成的直接或间接损失，均由成交人自行承担。</w:t>
            </w:r>
          </w:p>
          <w:p>
            <w:pPr>
              <w:pStyle w:val="null3"/>
              <w:jc w:val="left"/>
            </w:pPr>
            <w:r>
              <w:rPr>
                <w:rFonts w:ascii="仿宋_GB2312" w:hAnsi="仿宋_GB2312" w:cs="仿宋_GB2312" w:eastAsia="仿宋_GB2312"/>
                <w:sz w:val="24"/>
              </w:rPr>
              <w:t xml:space="preserve">  5、成交人要负责向采购人提供产品的性能讲解和使用操作培训，确保每位参训人员都能够熟悉产品的性能，熟练掌握产品的正确操作。</w:t>
            </w:r>
          </w:p>
          <w:p>
            <w:pPr>
              <w:pStyle w:val="null3"/>
              <w:jc w:val="left"/>
            </w:pPr>
            <w:r>
              <w:rPr>
                <w:rFonts w:ascii="仿宋_GB2312" w:hAnsi="仿宋_GB2312" w:cs="仿宋_GB2312" w:eastAsia="仿宋_GB2312"/>
                <w:sz w:val="24"/>
              </w:rPr>
              <w:t xml:space="preserve">  6、产品交货日期距产品出厂日期不超过3个月（90天）。</w:t>
            </w:r>
          </w:p>
          <w:p>
            <w:pPr>
              <w:pStyle w:val="null3"/>
              <w:jc w:val="left"/>
            </w:pPr>
            <w:r>
              <w:rPr>
                <w:rFonts w:ascii="仿宋_GB2312" w:hAnsi="仿宋_GB2312" w:cs="仿宋_GB2312" w:eastAsia="仿宋_GB2312"/>
                <w:sz w:val="24"/>
              </w:rPr>
              <w:t xml:space="preserve">  7、本次采购货物供应商须提供具有合格证的全新货物，表面无划伤、无碰撞痕迹，且权属清楚，不得侵害他人的知识产权。货物符合或优于国家（行业）标准，符合本项目采购文件的质量要求和技术参数要求与出厂标准。采购人有权对货物送专业检测机构进行检测。若检测结果合格，检测费用及货物损耗由采购人承担；若检测结果不合格，检测费用及货物损耗由供应商承担，采购人将不予验收，并追究供应商违约责任。</w:t>
            </w:r>
          </w:p>
          <w:p>
            <w:pPr>
              <w:pStyle w:val="null3"/>
              <w:jc w:val="left"/>
            </w:pPr>
            <w:r>
              <w:rPr>
                <w:rFonts w:ascii="仿宋_GB2312" w:hAnsi="仿宋_GB2312" w:cs="仿宋_GB2312" w:eastAsia="仿宋_GB2312"/>
                <w:sz w:val="24"/>
              </w:rPr>
              <w:t xml:space="preserve">  8、在签订采购合同前，成交供应商须向采购人提交产品生产厂家的相关资质。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 xml:space="preserve">  1、合同价款</w:t>
            </w:r>
          </w:p>
          <w:p>
            <w:pPr>
              <w:pStyle w:val="null3"/>
              <w:jc w:val="left"/>
            </w:pPr>
            <w:r>
              <w:rPr>
                <w:rFonts w:ascii="仿宋_GB2312" w:hAnsi="仿宋_GB2312" w:cs="仿宋_GB2312" w:eastAsia="仿宋_GB2312"/>
                <w:sz w:val="24"/>
              </w:rPr>
              <w:t xml:space="preserve">  合同价是供应商完成项目要求的全部工作内容的价格体现，包括货物购置、运输、安装、调试、培训费用和采购文件规定的其他费用，采购人不再支付其他任何费用。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自合同签订之日起，至第二根CT球管完成安装调试并达到正常使用状态。自合同签订之日起30天内，供应商须完成第一根CT球管的安装调试，达到正常使用状态。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梓潼县人民医院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1、自合同签订之日起30日内，供应商先供货一根CT球管并完成安装调试，达到正常使用状态，供应商提供完整的支付票据等相关资料，达到付款条件起30日内，支付合同总金额的50.00%</w:t>
            </w:r>
          </w:p>
          <w:p>
            <w:pPr>
              <w:pStyle w:val="null3"/>
              <w:jc w:val="left"/>
            </w:pPr>
            <w:r>
              <w:rPr>
                <w:rFonts w:ascii="仿宋_GB2312" w:hAnsi="仿宋_GB2312" w:cs="仿宋_GB2312" w:eastAsia="仿宋_GB2312"/>
              </w:rPr>
              <w:t>2、供应商接到采购人通知，供货第二根CT球管并完成安装调试，达到正常使用状态，供应商提供完整的支付票据等相关资料，达到付款条件起30日内，支付合同总金额的50.00%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按照采购文件要求、合同约定及供应商响应文件的响应进行验收。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（1）质保期：单个CT球管使用达到30万秒次或18个月，自产品正式运行之日起计算。 （2）质保期内：保证后台服务中心365 天x24 小时人工电话响应和远程网络支持，远程网络需要具备维修以及诊断系统能力。热线响应时间：24小时*7天人工电话服务，接到用户报修通知响应时间：2-4 小时内通过电话或者远程协助的方式解决问题。本地到现场时间：4小时内（节假日照常服务），不可抗力除外，情况特殊可与采购人协商到场时间。供应商提供专业售后工程师并注明名字、联系方式和地址，并承诺如需要时工程师每周7天均能到达采购人地点。 （3）质保期外：提供优质、高效、不高于成本价的维修维护或更换服务。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（1）甲乙双方需遵守合同并执行合同中的各项规定，保证合同的正常履行。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需按合同约定的内容、期限、标准等向甲方交付约定标的物，否则应当承担交付不能或交付瑕疵的违约责任，除按甲方要求限期整改外，还需按照采购文件和合同约定承担违约赔偿。乙方因“货物不符合本合同约定，且经整改后在合同约定期内仍不能提供符合合同约定的货物”而违约的，甲方有权立即解除合同，乙方应当退还已向甲方收取的全部费用，同时乙方还应当按照合同总价的10%的款额向甲方偿付违约金。 （4）如乙方未按合同约定履行售后服务义务的，甲方有权自行或委托第三方维修维护或更换，所需费用由乙方承担，同时乙方应向甲方支付违约金。甲方按本条约定自行或委托第三方维修维护或更换的，不因此免除或减轻乙方应承担的售后服务义务。 （5）甲乙双方因货物的质量问题发生争议，由质量技术监督部门或其指定的质量鉴定机构进行质量鉴定。货物符合标准的，鉴定费及其他相关费用由采购人承担；货物不符合质量标准的，鉴定费及其他相关费用由供应商承担。 （6）合同履行期间，若双方发生争议，双方应通过友好协商或由有关部门调解解决，协商或调解不成的，应提交甲方所在地人民法院诉讼解决。 （7）违约方除承担违约责任外，还需承担另一方因主张权利产生的费用，包括但不限于律师代理费（按照诉讼或者仲裁所在地相关部门颁布的律师收费标准计算）、诉讼费用、差旅费、公证费、保全费、鉴定费、评估费、拍卖费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电子化交易系统中按要求上传相应证明材料并进行电子签章。供应商根据自身情况选择一项提供对应证明材料：1、供应商为企业（包括合伙企业）、个体工商户的，应提供工商营业执照或提供由市场监管部门核发的法人或者其他组织统一社会信用代码的营业执照；2、供应商属于银行、保险、石油石化、电力、电信等有行业特殊情况的，提供企业分支机构营业执照或统一社会信用代码的营业执照；3、供应商为其他组织的，提供事业单位法人证书或执业许可证等相关证明材料；4、如为自然人的提供身份证明材料。</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应根据自身情况选择提供以下任意一项证明材料并电子签章：1、供应商提供（2023年或2024年）经审计的财务报告（包含审计报告和审计报告中所涉及的财务报表和报表附注）；2、未经审计的提供（2023年或2024年）财务报告（包括资产负债表、利润表、现金流量表、所有者权益变动表及其附注）；3、提供距投标（响应）文件递交截止日一年内银行出具的资信证明；4、供应商注册时间至投标（响应）文件递交截止日不足一年的，也可提供在相关主管部门备案的公司章程等证明材料；5、供应商为个体工商户或自然人时，可提供《投标（响应）函》;6、可提供“具有健全的财务会计制度”承诺函，格式自拟。</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供应商及投标产品应具有的资格条件</w:t>
            </w:r>
          </w:p>
        </w:tc>
        <w:tc>
          <w:tcPr>
            <w:tcW w:type="dxa" w:w="3322"/>
          </w:tcPr>
          <w:p>
            <w:pPr>
              <w:pStyle w:val="null3"/>
              <w:jc w:val="left"/>
            </w:pPr>
            <w:r>
              <w:rPr>
                <w:rFonts w:ascii="仿宋_GB2312" w:hAnsi="仿宋_GB2312" w:cs="仿宋_GB2312" w:eastAsia="仿宋_GB2312"/>
              </w:rPr>
              <w:t>1、投标供应商为生产厂家提供《医疗器械生产许可证》；投标供应商为非生产厂家提供《医疗器械经营许可证》或医疗器械经营备案证明材料； 2、投标供应商为生产厂家提供《辐射安全许可证》（范围包含生产、销售）；投标供应商为非生产厂家提供：（1）投标供应商的《辐射安全许可证》（范围包含销售）；（2）生产厂家的《辐射安全许可证》（范围包含生产） 3、投标产品须具有医疗器械注册相关证明材料。</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供应商对第三章“技术、服务及其他要求”中“3.2.技术要求”全部内容进行响应。 注：实质性要求未响应或不满足为无效响应。</w:t>
            </w:r>
          </w:p>
        </w:tc>
        <w:tc>
          <w:tcPr>
            <w:tcW w:type="dxa" w:w="1910"/>
          </w:tcPr>
          <w:p>
            <w:pPr>
              <w:pStyle w:val="null3"/>
              <w:jc w:val="left"/>
            </w:pPr>
            <w:r>
              <w:rPr>
                <w:rFonts w:ascii="仿宋_GB2312" w:hAnsi="仿宋_GB2312" w:cs="仿宋_GB2312" w:eastAsia="仿宋_GB2312"/>
              </w:rPr>
              <w:t>产品技术参数响应表,供应商应提交的相关证明材料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服务及商务要求</w:t>
            </w:r>
          </w:p>
        </w:tc>
        <w:tc>
          <w:tcPr>
            <w:tcW w:type="dxa" w:w="3322"/>
          </w:tcPr>
          <w:p>
            <w:pPr>
              <w:pStyle w:val="null3"/>
              <w:jc w:val="left"/>
            </w:pPr>
            <w:r>
              <w:rPr>
                <w:rFonts w:ascii="仿宋_GB2312" w:hAnsi="仿宋_GB2312" w:cs="仿宋_GB2312" w:eastAsia="仿宋_GB2312"/>
              </w:rPr>
              <w:t>供应商对第三章“技术、服务及其他要求”中“3.3.服务要求”全部内容进行响应。 注：实质性要求未响应或不满足为无效响应。</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