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B72F9">
      <w:pPr>
        <w:jc w:val="center"/>
        <w:rPr>
          <w:rFonts w:hint="eastAsia"/>
          <w:sz w:val="32"/>
          <w:szCs w:val="32"/>
        </w:rPr>
      </w:pPr>
      <w:bookmarkStart w:id="0" w:name="_GoBack"/>
      <w:bookmarkEnd w:id="0"/>
      <w:r>
        <w:rPr>
          <w:rFonts w:hint="eastAsia"/>
          <w:sz w:val="32"/>
          <w:szCs w:val="32"/>
        </w:rPr>
        <w:t>医用气体配送服务买卖合同</w:t>
      </w:r>
    </w:p>
    <w:p w14:paraId="64A2BA8C">
      <w:pPr>
        <w:rPr>
          <w:rFonts w:hint="eastAsia"/>
        </w:rPr>
      </w:pPr>
    </w:p>
    <w:p w14:paraId="5CE4FA5F">
      <w:pPr>
        <w:rPr>
          <w:rFonts w:hint="eastAsia" w:ascii="宋体" w:hAnsi="宋体" w:eastAsia="宋体" w:cs="宋体"/>
          <w:sz w:val="32"/>
          <w:szCs w:val="32"/>
        </w:rPr>
      </w:pPr>
      <w:r>
        <w:rPr>
          <w:rFonts w:hint="eastAsia" w:ascii="宋体" w:hAnsi="宋体" w:eastAsia="宋体" w:cs="宋体"/>
          <w:sz w:val="32"/>
          <w:szCs w:val="32"/>
        </w:rPr>
        <w:t>合同编号：</w:t>
      </w:r>
    </w:p>
    <w:p w14:paraId="43432A36">
      <w:pPr>
        <w:rPr>
          <w:rFonts w:hint="eastAsia" w:ascii="宋体" w:hAnsi="宋体" w:eastAsia="宋体" w:cs="宋体"/>
          <w:sz w:val="32"/>
          <w:szCs w:val="32"/>
        </w:rPr>
      </w:pPr>
      <w:r>
        <w:rPr>
          <w:rFonts w:hint="eastAsia" w:ascii="宋体" w:hAnsi="宋体" w:eastAsia="宋体" w:cs="宋体"/>
          <w:sz w:val="32"/>
          <w:szCs w:val="32"/>
        </w:rPr>
        <w:t>甲    方：</w:t>
      </w:r>
    </w:p>
    <w:p w14:paraId="711CC37F">
      <w:pPr>
        <w:rPr>
          <w:rFonts w:hint="eastAsia" w:ascii="宋体" w:hAnsi="宋体" w:eastAsia="宋体" w:cs="宋体"/>
          <w:sz w:val="32"/>
          <w:szCs w:val="32"/>
        </w:rPr>
      </w:pPr>
      <w:r>
        <w:rPr>
          <w:rFonts w:hint="eastAsia" w:ascii="宋体" w:hAnsi="宋体" w:eastAsia="宋体" w:cs="宋体"/>
          <w:sz w:val="32"/>
          <w:szCs w:val="32"/>
        </w:rPr>
        <w:t>法定代表人：</w:t>
      </w:r>
    </w:p>
    <w:p w14:paraId="2E9BF365">
      <w:pPr>
        <w:rPr>
          <w:rFonts w:hint="eastAsia" w:ascii="宋体" w:hAnsi="宋体" w:eastAsia="宋体" w:cs="宋体"/>
          <w:sz w:val="32"/>
          <w:szCs w:val="32"/>
        </w:rPr>
      </w:pPr>
      <w:r>
        <w:rPr>
          <w:rFonts w:hint="eastAsia" w:ascii="宋体" w:hAnsi="宋体" w:eastAsia="宋体" w:cs="宋体"/>
          <w:sz w:val="32"/>
          <w:szCs w:val="32"/>
        </w:rPr>
        <w:t>住    址：</w:t>
      </w:r>
    </w:p>
    <w:p w14:paraId="71C41EEC">
      <w:pPr>
        <w:rPr>
          <w:rFonts w:hint="eastAsia" w:ascii="宋体" w:hAnsi="宋体" w:eastAsia="宋体" w:cs="宋体"/>
          <w:sz w:val="32"/>
          <w:szCs w:val="32"/>
        </w:rPr>
      </w:pPr>
      <w:r>
        <w:rPr>
          <w:rFonts w:hint="eastAsia" w:ascii="宋体" w:hAnsi="宋体" w:eastAsia="宋体" w:cs="宋体"/>
          <w:sz w:val="32"/>
          <w:szCs w:val="32"/>
        </w:rPr>
        <w:t>统一社会信用代码：</w:t>
      </w:r>
    </w:p>
    <w:p w14:paraId="7F34BC7B">
      <w:pPr>
        <w:rPr>
          <w:rFonts w:hint="eastAsia" w:ascii="宋体" w:hAnsi="宋体" w:eastAsia="宋体" w:cs="宋体"/>
          <w:sz w:val="32"/>
          <w:szCs w:val="32"/>
        </w:rPr>
      </w:pPr>
    </w:p>
    <w:p w14:paraId="0771D430">
      <w:pPr>
        <w:rPr>
          <w:rFonts w:hint="eastAsia" w:ascii="宋体" w:hAnsi="宋体" w:eastAsia="宋体" w:cs="宋体"/>
          <w:sz w:val="32"/>
          <w:szCs w:val="32"/>
        </w:rPr>
      </w:pPr>
      <w:r>
        <w:rPr>
          <w:rFonts w:hint="eastAsia" w:ascii="宋体" w:hAnsi="宋体" w:eastAsia="宋体" w:cs="宋体"/>
          <w:sz w:val="32"/>
          <w:szCs w:val="32"/>
        </w:rPr>
        <w:t>乙    方：</w:t>
      </w:r>
    </w:p>
    <w:p w14:paraId="76E477DF">
      <w:pPr>
        <w:rPr>
          <w:rFonts w:hint="eastAsia" w:ascii="宋体" w:hAnsi="宋体" w:eastAsia="宋体" w:cs="宋体"/>
          <w:sz w:val="32"/>
          <w:szCs w:val="32"/>
        </w:rPr>
      </w:pPr>
      <w:r>
        <w:rPr>
          <w:rFonts w:hint="eastAsia" w:ascii="宋体" w:hAnsi="宋体" w:eastAsia="宋体" w:cs="宋体"/>
          <w:sz w:val="32"/>
          <w:szCs w:val="32"/>
        </w:rPr>
        <w:t>法定代表人：</w:t>
      </w:r>
    </w:p>
    <w:p w14:paraId="4FA4CC3D">
      <w:pPr>
        <w:rPr>
          <w:rFonts w:hint="eastAsia" w:ascii="宋体" w:hAnsi="宋体" w:eastAsia="宋体" w:cs="宋体"/>
          <w:sz w:val="32"/>
          <w:szCs w:val="32"/>
        </w:rPr>
      </w:pPr>
      <w:r>
        <w:rPr>
          <w:rFonts w:hint="eastAsia" w:ascii="宋体" w:hAnsi="宋体" w:eastAsia="宋体" w:cs="宋体"/>
          <w:sz w:val="32"/>
          <w:szCs w:val="32"/>
        </w:rPr>
        <w:t>住    址：</w:t>
      </w:r>
    </w:p>
    <w:p w14:paraId="656B22A6">
      <w:pPr>
        <w:rPr>
          <w:rFonts w:hint="eastAsia" w:ascii="宋体" w:hAnsi="宋体" w:eastAsia="宋体" w:cs="宋体"/>
          <w:sz w:val="32"/>
          <w:szCs w:val="32"/>
        </w:rPr>
      </w:pPr>
      <w:r>
        <w:rPr>
          <w:rFonts w:hint="eastAsia" w:ascii="宋体" w:hAnsi="宋体" w:eastAsia="宋体" w:cs="宋体"/>
          <w:sz w:val="32"/>
          <w:szCs w:val="32"/>
        </w:rPr>
        <w:t>统一社会信用代码：</w:t>
      </w:r>
    </w:p>
    <w:p w14:paraId="3BCBE37D">
      <w:pPr>
        <w:ind w:firstLine="640" w:firstLineChars="200"/>
        <w:rPr>
          <w:rFonts w:hint="eastAsia"/>
        </w:rPr>
      </w:pPr>
      <w:r>
        <w:rPr>
          <w:rFonts w:hint="eastAsia" w:ascii="宋体" w:hAnsi="宋体" w:eastAsia="宋体" w:cs="宋体"/>
          <w:sz w:val="32"/>
          <w:szCs w:val="32"/>
        </w:rPr>
        <w:t>依据《中华人民共和国民法典》《中华人民共和国政府采购法》与项目行业有关的法律法规，以及XX配送服务采购项目（采购项目编号：XX）的《磋商文件》，乙方的《投标（响应）文件》及《中标（成交）通知书》，甲乙双方同意签订本合同。具体情况及要求如下：</w:t>
      </w:r>
    </w:p>
    <w:p w14:paraId="17049C59">
      <w:pPr>
        <w:rPr>
          <w:rFonts w:hint="eastAsia"/>
        </w:rPr>
      </w:pPr>
    </w:p>
    <w:p w14:paraId="3B2E2991">
      <w:pPr>
        <w:rPr>
          <w:rFonts w:hint="eastAsia" w:ascii="黑体" w:hAnsi="黑体" w:eastAsia="黑体" w:cs="黑体"/>
          <w:sz w:val="32"/>
          <w:szCs w:val="32"/>
        </w:rPr>
      </w:pPr>
      <w:r>
        <w:rPr>
          <w:rFonts w:hint="eastAsia" w:ascii="黑体" w:hAnsi="黑体" w:eastAsia="黑体" w:cs="黑体"/>
          <w:sz w:val="32"/>
          <w:szCs w:val="32"/>
        </w:rPr>
        <w:t>一、项目概况</w:t>
      </w:r>
    </w:p>
    <w:p w14:paraId="1E6A23A6">
      <w:pPr>
        <w:ind w:firstLine="640" w:firstLineChars="200"/>
        <w:rPr>
          <w:rFonts w:hint="eastAsia"/>
        </w:rPr>
      </w:pPr>
      <w:r>
        <w:rPr>
          <w:rFonts w:hint="eastAsia" w:ascii="宋体" w:hAnsi="宋体" w:eastAsia="宋体" w:cs="宋体"/>
          <w:sz w:val="32"/>
          <w:szCs w:val="32"/>
        </w:rPr>
        <w:t>为保障临床医用气体使用，甲方采购医用液氧、医用氧及纯二氧化碳配送服务，服务年限为三年。合同一年一签（服务期限为三年，合同一年一签，履约期限或预算金额任一到限后，经甲方考核合格后方可续签）。货物中标（成交）金额为XX万元/年。合同总价包含人工劳务、设备投入、配送、保险、税费、利润等完成本项目所需的一切费用，甲方无须另向乙方支付其他任何费用。</w:t>
      </w:r>
    </w:p>
    <w:p w14:paraId="08E18FEF">
      <w:pPr>
        <w:rPr>
          <w:rFonts w:hint="eastAsia" w:ascii="黑体" w:hAnsi="黑体" w:eastAsia="黑体" w:cs="黑体"/>
          <w:sz w:val="32"/>
          <w:szCs w:val="40"/>
        </w:rPr>
      </w:pPr>
      <w:r>
        <w:rPr>
          <w:rFonts w:hint="eastAsia" w:ascii="黑体" w:hAnsi="黑体" w:eastAsia="黑体" w:cs="黑体"/>
          <w:sz w:val="32"/>
          <w:szCs w:val="40"/>
          <w:lang w:eastAsia="zh-CN"/>
        </w:rPr>
        <w:t>二</w:t>
      </w:r>
      <w:r>
        <w:rPr>
          <w:rFonts w:hint="eastAsia" w:ascii="黑体" w:hAnsi="黑体" w:eastAsia="黑体" w:cs="黑体"/>
          <w:sz w:val="32"/>
          <w:szCs w:val="40"/>
        </w:rPr>
        <w:t>、服务要求</w:t>
      </w:r>
    </w:p>
    <w:p w14:paraId="1952222F">
      <w:pPr>
        <w:rPr>
          <w:rFonts w:hint="eastAsia"/>
        </w:rPr>
      </w:pPr>
    </w:p>
    <w:p w14:paraId="718EF276">
      <w:pPr>
        <w:ind w:firstLine="640" w:firstLineChars="200"/>
        <w:rPr>
          <w:rFonts w:hint="eastAsia" w:ascii="宋体" w:hAnsi="宋体" w:eastAsia="宋体" w:cs="宋体"/>
          <w:sz w:val="32"/>
          <w:szCs w:val="32"/>
        </w:rPr>
      </w:pPr>
      <w:r>
        <w:rPr>
          <w:rFonts w:hint="eastAsia" w:ascii="宋体" w:hAnsi="宋体" w:eastAsia="宋体" w:cs="宋体"/>
          <w:sz w:val="32"/>
          <w:szCs w:val="32"/>
        </w:rPr>
        <w:t>1.配送清单</w:t>
      </w:r>
    </w:p>
    <w:tbl>
      <w:tblPr>
        <w:tblStyle w:val="3"/>
        <w:tblpPr w:leftFromText="180" w:rightFromText="180" w:vertAnchor="text" w:horzAnchor="page" w:tblpX="1629" w:tblpY="187"/>
        <w:tblOverlap w:val="never"/>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78"/>
        <w:gridCol w:w="1105"/>
        <w:gridCol w:w="735"/>
        <w:gridCol w:w="1230"/>
        <w:gridCol w:w="1335"/>
        <w:gridCol w:w="1350"/>
        <w:gridCol w:w="2565"/>
      </w:tblGrid>
      <w:tr w14:paraId="290A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5" w:hRule="atLeast"/>
        </w:trPr>
        <w:tc>
          <w:tcPr>
            <w:tcW w:w="578" w:type="dxa"/>
            <w:noWrap w:val="0"/>
            <w:vAlign w:val="center"/>
          </w:tcPr>
          <w:p w14:paraId="5ED06DF0">
            <w:pPr>
              <w:spacing w:line="460" w:lineRule="exact"/>
              <w:jc w:val="center"/>
              <w:rPr>
                <w:rFonts w:ascii="Times New Roman" w:hAnsi="Times New Roman" w:cs="Times New Roman"/>
                <w:sz w:val="28"/>
                <w:szCs w:val="28"/>
              </w:rPr>
            </w:pPr>
            <w:r>
              <w:rPr>
                <w:rFonts w:ascii="Times New Roman" w:hAnsi="Times New Roman" w:cs="Times New Roman"/>
                <w:sz w:val="28"/>
                <w:szCs w:val="28"/>
              </w:rPr>
              <w:t>序号</w:t>
            </w:r>
          </w:p>
        </w:tc>
        <w:tc>
          <w:tcPr>
            <w:tcW w:w="1105" w:type="dxa"/>
            <w:noWrap w:val="0"/>
            <w:vAlign w:val="center"/>
          </w:tcPr>
          <w:p w14:paraId="7822B508">
            <w:pPr>
              <w:spacing w:line="460" w:lineRule="exact"/>
              <w:jc w:val="center"/>
              <w:rPr>
                <w:rFonts w:hint="eastAsia" w:ascii="Times New Roman" w:hAnsi="Times New Roman" w:cs="Times New Roman"/>
                <w:sz w:val="28"/>
                <w:szCs w:val="28"/>
                <w:lang w:eastAsia="zh-CN"/>
              </w:rPr>
            </w:pPr>
            <w:r>
              <w:rPr>
                <w:rFonts w:hint="eastAsia" w:ascii="Times New Roman" w:hAnsi="Times New Roman" w:cs="Times New Roman"/>
                <w:sz w:val="28"/>
                <w:szCs w:val="28"/>
                <w:lang w:eastAsia="zh-CN"/>
              </w:rPr>
              <w:t>标的</w:t>
            </w:r>
          </w:p>
          <w:p w14:paraId="70714ADC">
            <w:pPr>
              <w:spacing w:line="460" w:lineRule="exact"/>
              <w:jc w:val="center"/>
              <w:rPr>
                <w:rFonts w:hint="default" w:ascii="Times New Roman" w:hAnsi="Times New Roman" w:cs="Times New Roman"/>
                <w:sz w:val="28"/>
                <w:szCs w:val="28"/>
                <w:lang w:val="en-US"/>
              </w:rPr>
            </w:pPr>
            <w:r>
              <w:rPr>
                <w:rFonts w:hint="eastAsia" w:cs="Times New Roman"/>
                <w:sz w:val="28"/>
                <w:szCs w:val="28"/>
                <w:lang w:val="en-US" w:eastAsia="zh-CN"/>
              </w:rPr>
              <w:t>名称</w:t>
            </w:r>
          </w:p>
        </w:tc>
        <w:tc>
          <w:tcPr>
            <w:tcW w:w="735" w:type="dxa"/>
            <w:noWrap w:val="0"/>
            <w:vAlign w:val="center"/>
          </w:tcPr>
          <w:p w14:paraId="676C5D27">
            <w:pPr>
              <w:spacing w:line="460" w:lineRule="exact"/>
              <w:jc w:val="center"/>
              <w:rPr>
                <w:rFonts w:ascii="Times New Roman" w:hAnsi="Times New Roman" w:cs="Times New Roman"/>
                <w:sz w:val="28"/>
                <w:szCs w:val="28"/>
              </w:rPr>
            </w:pPr>
            <w:r>
              <w:rPr>
                <w:rFonts w:ascii="Times New Roman" w:hAnsi="Times New Roman" w:cs="Times New Roman"/>
                <w:sz w:val="28"/>
                <w:szCs w:val="28"/>
              </w:rPr>
              <w:t>单位</w:t>
            </w:r>
          </w:p>
        </w:tc>
        <w:tc>
          <w:tcPr>
            <w:tcW w:w="1230" w:type="dxa"/>
            <w:noWrap w:val="0"/>
            <w:vAlign w:val="center"/>
          </w:tcPr>
          <w:p w14:paraId="5B568E64">
            <w:pPr>
              <w:spacing w:line="460" w:lineRule="exact"/>
              <w:jc w:val="center"/>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参数</w:t>
            </w:r>
          </w:p>
        </w:tc>
        <w:tc>
          <w:tcPr>
            <w:tcW w:w="1335" w:type="dxa"/>
            <w:noWrap w:val="0"/>
            <w:vAlign w:val="center"/>
          </w:tcPr>
          <w:p w14:paraId="5C5736FF">
            <w:pPr>
              <w:spacing w:line="460" w:lineRule="exact"/>
              <w:jc w:val="center"/>
              <w:rPr>
                <w:rFonts w:ascii="Times New Roman" w:hAnsi="Times New Roman" w:cs="Times New Roman"/>
                <w:sz w:val="28"/>
                <w:szCs w:val="28"/>
              </w:rPr>
            </w:pPr>
            <w:r>
              <w:rPr>
                <w:rFonts w:ascii="Times New Roman" w:hAnsi="Times New Roman" w:cs="Times New Roman"/>
                <w:sz w:val="28"/>
                <w:szCs w:val="28"/>
              </w:rPr>
              <w:t>预计年采购数量</w:t>
            </w:r>
          </w:p>
        </w:tc>
        <w:tc>
          <w:tcPr>
            <w:tcW w:w="1350" w:type="dxa"/>
            <w:noWrap w:val="0"/>
            <w:vAlign w:val="center"/>
          </w:tcPr>
          <w:p w14:paraId="3634402D">
            <w:pPr>
              <w:spacing w:line="460" w:lineRule="exact"/>
              <w:jc w:val="center"/>
              <w:rPr>
                <w:rFonts w:ascii="Times New Roman" w:hAnsi="Times New Roman" w:cs="Times New Roman"/>
                <w:sz w:val="28"/>
                <w:szCs w:val="28"/>
              </w:rPr>
            </w:pPr>
            <w:r>
              <w:rPr>
                <w:rFonts w:hint="eastAsia" w:ascii="Times New Roman" w:hAnsi="Times New Roman" w:cs="Times New Roman"/>
                <w:sz w:val="28"/>
                <w:szCs w:val="28"/>
                <w:lang w:eastAsia="zh-CN"/>
              </w:rPr>
              <w:t>单价（元）</w:t>
            </w:r>
          </w:p>
        </w:tc>
        <w:tc>
          <w:tcPr>
            <w:tcW w:w="2565" w:type="dxa"/>
            <w:noWrap w:val="0"/>
            <w:vAlign w:val="center"/>
          </w:tcPr>
          <w:p w14:paraId="7FC5CBB4">
            <w:pPr>
              <w:spacing w:line="460" w:lineRule="exact"/>
              <w:jc w:val="center"/>
              <w:rPr>
                <w:rFonts w:hint="eastAsia"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备注</w:t>
            </w:r>
          </w:p>
        </w:tc>
      </w:tr>
      <w:tr w14:paraId="65CE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5" w:hRule="atLeast"/>
        </w:trPr>
        <w:tc>
          <w:tcPr>
            <w:tcW w:w="578" w:type="dxa"/>
            <w:noWrap w:val="0"/>
            <w:vAlign w:val="center"/>
          </w:tcPr>
          <w:p w14:paraId="19C79EBB">
            <w:pPr>
              <w:spacing w:line="46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1105" w:type="dxa"/>
            <w:noWrap w:val="0"/>
            <w:vAlign w:val="center"/>
          </w:tcPr>
          <w:p w14:paraId="57B68FF5">
            <w:pPr>
              <w:spacing w:line="460" w:lineRule="exact"/>
              <w:jc w:val="center"/>
              <w:rPr>
                <w:rFonts w:ascii="Times New Roman" w:hAnsi="Times New Roman" w:cs="Times New Roman"/>
                <w:sz w:val="28"/>
                <w:szCs w:val="28"/>
              </w:rPr>
            </w:pPr>
            <w:r>
              <w:rPr>
                <w:rFonts w:hint="eastAsia" w:ascii="Times New Roman" w:hAnsi="Times New Roman" w:cs="Times New Roman"/>
                <w:sz w:val="28"/>
                <w:szCs w:val="28"/>
              </w:rPr>
              <w:t>纯二氧化碳</w:t>
            </w:r>
          </w:p>
        </w:tc>
        <w:tc>
          <w:tcPr>
            <w:tcW w:w="735" w:type="dxa"/>
            <w:noWrap w:val="0"/>
            <w:vAlign w:val="center"/>
          </w:tcPr>
          <w:p w14:paraId="71A82865">
            <w:pPr>
              <w:spacing w:line="460" w:lineRule="exact"/>
              <w:jc w:val="center"/>
              <w:rPr>
                <w:rFonts w:ascii="Times New Roman" w:hAnsi="Times New Roman" w:cs="Times New Roman"/>
                <w:sz w:val="28"/>
                <w:szCs w:val="28"/>
              </w:rPr>
            </w:pPr>
            <w:r>
              <w:rPr>
                <w:rFonts w:ascii="Times New Roman" w:hAnsi="Times New Roman" w:cs="Times New Roman"/>
                <w:sz w:val="28"/>
                <w:szCs w:val="28"/>
              </w:rPr>
              <w:t>瓶</w:t>
            </w:r>
          </w:p>
        </w:tc>
        <w:tc>
          <w:tcPr>
            <w:tcW w:w="1230" w:type="dxa"/>
            <w:noWrap w:val="0"/>
            <w:vAlign w:val="center"/>
          </w:tcPr>
          <w:p w14:paraId="4E729E2A">
            <w:pPr>
              <w:spacing w:line="460" w:lineRule="exact"/>
              <w:jc w:val="center"/>
              <w:rPr>
                <w:rFonts w:hint="default" w:ascii="Times New Roman" w:hAnsi="Times New Roman" w:eastAsia="宋体" w:cs="Times New Roman"/>
                <w:sz w:val="28"/>
                <w:szCs w:val="28"/>
                <w:lang w:val="en-US" w:eastAsia="zh-CN"/>
              </w:rPr>
            </w:pPr>
            <w:r>
              <w:rPr>
                <w:rFonts w:ascii="Times New Roman" w:hAnsi="Times New Roman" w:cs="Times New Roman"/>
                <w:sz w:val="28"/>
                <w:szCs w:val="28"/>
              </w:rPr>
              <w:t>40L</w:t>
            </w:r>
            <w:r>
              <w:rPr>
                <w:rFonts w:hint="eastAsia" w:ascii="Times New Roman" w:hAnsi="Times New Roman" w:cs="Times New Roman"/>
                <w:sz w:val="28"/>
                <w:szCs w:val="28"/>
                <w:lang w:eastAsia="zh-CN"/>
              </w:rPr>
              <w:t>，纯度</w:t>
            </w:r>
            <w:r>
              <w:rPr>
                <w:rFonts w:hint="eastAsia" w:ascii="Times New Roman" w:hAnsi="Times New Roman" w:cs="Times New Roman"/>
                <w:bCs/>
                <w:sz w:val="28"/>
                <w:szCs w:val="28"/>
              </w:rPr>
              <w:t>≥</w:t>
            </w:r>
            <w:r>
              <w:rPr>
                <w:rFonts w:hint="eastAsia" w:ascii="Times New Roman" w:hAnsi="Times New Roman" w:cs="Times New Roman"/>
                <w:bCs/>
                <w:sz w:val="28"/>
                <w:szCs w:val="28"/>
                <w:lang w:val="en-US" w:eastAsia="zh-CN"/>
              </w:rPr>
              <w:t>99.5%</w:t>
            </w:r>
          </w:p>
        </w:tc>
        <w:tc>
          <w:tcPr>
            <w:tcW w:w="1335" w:type="dxa"/>
            <w:noWrap w:val="0"/>
            <w:vAlign w:val="center"/>
          </w:tcPr>
          <w:p w14:paraId="5D03422C">
            <w:pPr>
              <w:spacing w:line="460" w:lineRule="exact"/>
              <w:jc w:val="center"/>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20瓶/年</w:t>
            </w:r>
          </w:p>
        </w:tc>
        <w:tc>
          <w:tcPr>
            <w:tcW w:w="1350" w:type="dxa"/>
            <w:noWrap w:val="0"/>
            <w:vAlign w:val="center"/>
          </w:tcPr>
          <w:p w14:paraId="699BF38F">
            <w:pPr>
              <w:spacing w:line="460" w:lineRule="exact"/>
              <w:jc w:val="center"/>
              <w:rPr>
                <w:rFonts w:hint="default" w:ascii="Times New Roman" w:hAnsi="Times New Roman" w:eastAsia="宋体" w:cs="Times New Roman"/>
                <w:sz w:val="28"/>
                <w:szCs w:val="28"/>
                <w:lang w:val="en-US" w:eastAsia="zh-CN"/>
              </w:rPr>
            </w:pPr>
          </w:p>
        </w:tc>
        <w:tc>
          <w:tcPr>
            <w:tcW w:w="2565" w:type="dxa"/>
            <w:noWrap w:val="0"/>
            <w:vAlign w:val="center"/>
          </w:tcPr>
          <w:p w14:paraId="2A312F0E">
            <w:pPr>
              <w:spacing w:line="460" w:lineRule="exact"/>
              <w:jc w:val="left"/>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配送至总院1楼中心供氧室内。预计年采购数量仅供参考，以实际配送数量为准</w:t>
            </w:r>
          </w:p>
        </w:tc>
      </w:tr>
      <w:tr w14:paraId="3020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92" w:hRule="atLeast"/>
        </w:trPr>
        <w:tc>
          <w:tcPr>
            <w:tcW w:w="578" w:type="dxa"/>
            <w:noWrap w:val="0"/>
            <w:vAlign w:val="center"/>
          </w:tcPr>
          <w:p w14:paraId="6C23868A">
            <w:pPr>
              <w:spacing w:line="460" w:lineRule="exact"/>
              <w:jc w:val="center"/>
              <w:rPr>
                <w:rFonts w:ascii="Times New Roman" w:hAnsi="Times New Roman" w:cs="Times New Roman"/>
                <w:sz w:val="28"/>
                <w:szCs w:val="28"/>
              </w:rPr>
            </w:pPr>
            <w:r>
              <w:rPr>
                <w:rFonts w:ascii="Times New Roman" w:hAnsi="Times New Roman" w:cs="Times New Roman"/>
                <w:sz w:val="28"/>
                <w:szCs w:val="28"/>
              </w:rPr>
              <w:t>2</w:t>
            </w:r>
          </w:p>
        </w:tc>
        <w:tc>
          <w:tcPr>
            <w:tcW w:w="1105" w:type="dxa"/>
            <w:noWrap w:val="0"/>
            <w:vAlign w:val="center"/>
          </w:tcPr>
          <w:p w14:paraId="59EED667">
            <w:pPr>
              <w:spacing w:line="460" w:lineRule="exact"/>
              <w:jc w:val="center"/>
              <w:rPr>
                <w:rFonts w:hint="eastAsia" w:ascii="Times New Roman" w:hAnsi="Times New Roman" w:cs="Times New Roman"/>
                <w:sz w:val="28"/>
                <w:szCs w:val="28"/>
              </w:rPr>
            </w:pPr>
            <w:r>
              <w:rPr>
                <w:rFonts w:hint="eastAsia" w:ascii="Times New Roman" w:hAnsi="Times New Roman" w:cs="Times New Roman"/>
                <w:sz w:val="28"/>
                <w:szCs w:val="28"/>
              </w:rPr>
              <w:t>医用</w:t>
            </w:r>
          </w:p>
          <w:p w14:paraId="28EEC985">
            <w:pPr>
              <w:spacing w:line="460" w:lineRule="exact"/>
              <w:jc w:val="center"/>
              <w:rPr>
                <w:rFonts w:ascii="Times New Roman" w:hAnsi="Times New Roman" w:cs="Times New Roman"/>
                <w:sz w:val="28"/>
                <w:szCs w:val="28"/>
              </w:rPr>
            </w:pPr>
            <w:r>
              <w:rPr>
                <w:rFonts w:hint="eastAsia" w:ascii="Times New Roman" w:hAnsi="Times New Roman" w:cs="Times New Roman"/>
                <w:sz w:val="28"/>
                <w:szCs w:val="28"/>
              </w:rPr>
              <w:t>液氧</w:t>
            </w:r>
          </w:p>
        </w:tc>
        <w:tc>
          <w:tcPr>
            <w:tcW w:w="735" w:type="dxa"/>
            <w:noWrap w:val="0"/>
            <w:vAlign w:val="center"/>
          </w:tcPr>
          <w:p w14:paraId="2E9C8EAB">
            <w:pPr>
              <w:spacing w:line="460" w:lineRule="exact"/>
              <w:jc w:val="center"/>
              <w:rPr>
                <w:rFonts w:ascii="Times New Roman" w:hAnsi="Times New Roman" w:cs="Times New Roman"/>
                <w:sz w:val="28"/>
                <w:szCs w:val="28"/>
              </w:rPr>
            </w:pPr>
            <w:r>
              <w:rPr>
                <w:rFonts w:ascii="Times New Roman" w:hAnsi="Times New Roman" w:cs="Times New Roman"/>
                <w:sz w:val="28"/>
                <w:szCs w:val="28"/>
              </w:rPr>
              <w:t>罐</w:t>
            </w:r>
          </w:p>
        </w:tc>
        <w:tc>
          <w:tcPr>
            <w:tcW w:w="1230" w:type="dxa"/>
            <w:noWrap w:val="0"/>
            <w:vAlign w:val="center"/>
          </w:tcPr>
          <w:p w14:paraId="011E9618">
            <w:pPr>
              <w:spacing w:line="460" w:lineRule="exact"/>
              <w:jc w:val="center"/>
              <w:rPr>
                <w:rFonts w:ascii="Times New Roman" w:hAnsi="Times New Roman" w:cs="Times New Roman"/>
                <w:sz w:val="28"/>
                <w:szCs w:val="28"/>
              </w:rPr>
            </w:pPr>
            <w:r>
              <w:rPr>
                <w:rFonts w:hint="eastAsia" w:ascii="Times New Roman" w:hAnsi="Times New Roman" w:cs="Times New Roman"/>
                <w:sz w:val="28"/>
                <w:szCs w:val="28"/>
              </w:rPr>
              <w:t>195</w:t>
            </w:r>
            <w:r>
              <w:rPr>
                <w:rFonts w:ascii="Times New Roman" w:hAnsi="Times New Roman" w:cs="Times New Roman"/>
                <w:sz w:val="28"/>
                <w:szCs w:val="28"/>
              </w:rPr>
              <w:t>L</w:t>
            </w:r>
            <w:r>
              <w:rPr>
                <w:rFonts w:hint="eastAsia" w:ascii="Times New Roman" w:hAnsi="Times New Roman" w:cs="Times New Roman"/>
                <w:sz w:val="28"/>
                <w:szCs w:val="28"/>
                <w:lang w:eastAsia="zh-CN"/>
              </w:rPr>
              <w:t>，纯度</w:t>
            </w:r>
            <w:r>
              <w:rPr>
                <w:rFonts w:hint="eastAsia" w:ascii="Times New Roman" w:hAnsi="Times New Roman" w:cs="Times New Roman"/>
                <w:bCs/>
                <w:sz w:val="28"/>
                <w:szCs w:val="28"/>
              </w:rPr>
              <w:t>≥</w:t>
            </w:r>
            <w:r>
              <w:rPr>
                <w:rFonts w:hint="eastAsia" w:ascii="Times New Roman" w:hAnsi="Times New Roman" w:cs="Times New Roman"/>
                <w:bCs/>
                <w:sz w:val="28"/>
                <w:szCs w:val="28"/>
                <w:lang w:val="en-US" w:eastAsia="zh-CN"/>
              </w:rPr>
              <w:t>99.5%</w:t>
            </w:r>
          </w:p>
        </w:tc>
        <w:tc>
          <w:tcPr>
            <w:tcW w:w="1335" w:type="dxa"/>
            <w:noWrap w:val="0"/>
            <w:vAlign w:val="center"/>
          </w:tcPr>
          <w:p w14:paraId="1734FA14">
            <w:pPr>
              <w:spacing w:line="460" w:lineRule="exact"/>
              <w:jc w:val="center"/>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1300罐/年</w:t>
            </w:r>
          </w:p>
        </w:tc>
        <w:tc>
          <w:tcPr>
            <w:tcW w:w="1350" w:type="dxa"/>
            <w:noWrap w:val="0"/>
            <w:vAlign w:val="center"/>
          </w:tcPr>
          <w:p w14:paraId="19EE3FF7">
            <w:pPr>
              <w:spacing w:line="460" w:lineRule="exact"/>
              <w:jc w:val="center"/>
              <w:rPr>
                <w:rFonts w:hint="default" w:ascii="Times New Roman" w:hAnsi="Times New Roman" w:eastAsia="宋体" w:cs="Times New Roman"/>
                <w:sz w:val="28"/>
                <w:szCs w:val="28"/>
                <w:lang w:val="en-US" w:eastAsia="zh-CN"/>
              </w:rPr>
            </w:pPr>
          </w:p>
        </w:tc>
        <w:tc>
          <w:tcPr>
            <w:tcW w:w="2565" w:type="dxa"/>
            <w:noWrap w:val="0"/>
            <w:vAlign w:val="center"/>
          </w:tcPr>
          <w:p w14:paraId="2CB2F0C7">
            <w:pPr>
              <w:spacing w:line="460" w:lineRule="exact"/>
              <w:jc w:val="left"/>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配送至总院1楼中心供氧室内。预计年采购数量仅供参考，以实际配送数量为准</w:t>
            </w:r>
          </w:p>
        </w:tc>
      </w:tr>
      <w:tr w14:paraId="30F5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92" w:hRule="atLeast"/>
        </w:trPr>
        <w:tc>
          <w:tcPr>
            <w:tcW w:w="578" w:type="dxa"/>
            <w:noWrap w:val="0"/>
            <w:vAlign w:val="center"/>
          </w:tcPr>
          <w:p w14:paraId="6FBB3E42">
            <w:pPr>
              <w:spacing w:line="460" w:lineRule="exact"/>
              <w:jc w:val="center"/>
              <w:rPr>
                <w:rFonts w:hint="eastAsia"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3</w:t>
            </w:r>
          </w:p>
        </w:tc>
        <w:tc>
          <w:tcPr>
            <w:tcW w:w="1105" w:type="dxa"/>
            <w:noWrap w:val="0"/>
            <w:vAlign w:val="center"/>
          </w:tcPr>
          <w:p w14:paraId="267889F6">
            <w:pPr>
              <w:spacing w:line="460" w:lineRule="exact"/>
              <w:jc w:val="center"/>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医用氧</w:t>
            </w:r>
          </w:p>
        </w:tc>
        <w:tc>
          <w:tcPr>
            <w:tcW w:w="735" w:type="dxa"/>
            <w:noWrap w:val="0"/>
            <w:vAlign w:val="center"/>
          </w:tcPr>
          <w:p w14:paraId="30CFC4CC">
            <w:pPr>
              <w:spacing w:line="460" w:lineRule="exact"/>
              <w:jc w:val="center"/>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瓶</w:t>
            </w:r>
          </w:p>
        </w:tc>
        <w:tc>
          <w:tcPr>
            <w:tcW w:w="1230" w:type="dxa"/>
            <w:noWrap w:val="0"/>
            <w:vAlign w:val="center"/>
          </w:tcPr>
          <w:p w14:paraId="4A2D296C">
            <w:pPr>
              <w:spacing w:line="460" w:lineRule="exact"/>
              <w:jc w:val="center"/>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40L</w:t>
            </w:r>
            <w:r>
              <w:rPr>
                <w:rFonts w:hint="eastAsia" w:ascii="Times New Roman" w:hAnsi="Times New Roman" w:cs="Times New Roman"/>
                <w:sz w:val="28"/>
                <w:szCs w:val="28"/>
                <w:lang w:eastAsia="zh-CN"/>
              </w:rPr>
              <w:t>，纯度</w:t>
            </w:r>
            <w:r>
              <w:rPr>
                <w:rFonts w:hint="eastAsia" w:ascii="Times New Roman" w:hAnsi="Times New Roman" w:cs="Times New Roman"/>
                <w:bCs/>
                <w:sz w:val="28"/>
                <w:szCs w:val="28"/>
              </w:rPr>
              <w:t>≥</w:t>
            </w:r>
            <w:r>
              <w:rPr>
                <w:rFonts w:hint="eastAsia" w:ascii="Times New Roman" w:hAnsi="Times New Roman" w:cs="Times New Roman"/>
                <w:bCs/>
                <w:sz w:val="28"/>
                <w:szCs w:val="28"/>
                <w:lang w:val="en-US" w:eastAsia="zh-CN"/>
              </w:rPr>
              <w:t>99.5%</w:t>
            </w:r>
          </w:p>
        </w:tc>
        <w:tc>
          <w:tcPr>
            <w:tcW w:w="1335" w:type="dxa"/>
            <w:noWrap w:val="0"/>
            <w:vAlign w:val="center"/>
          </w:tcPr>
          <w:p w14:paraId="0F4941F0">
            <w:pPr>
              <w:spacing w:line="460" w:lineRule="exact"/>
              <w:jc w:val="center"/>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1180瓶/年</w:t>
            </w:r>
          </w:p>
        </w:tc>
        <w:tc>
          <w:tcPr>
            <w:tcW w:w="1350" w:type="dxa"/>
            <w:noWrap w:val="0"/>
            <w:vAlign w:val="center"/>
          </w:tcPr>
          <w:p w14:paraId="1952A454">
            <w:pPr>
              <w:spacing w:line="460" w:lineRule="exact"/>
              <w:jc w:val="center"/>
              <w:rPr>
                <w:rFonts w:hint="default" w:ascii="Times New Roman" w:hAnsi="Times New Roman" w:eastAsia="宋体" w:cs="Times New Roman"/>
                <w:sz w:val="28"/>
                <w:szCs w:val="28"/>
                <w:lang w:val="en-US" w:eastAsia="zh-CN"/>
              </w:rPr>
            </w:pPr>
          </w:p>
        </w:tc>
        <w:tc>
          <w:tcPr>
            <w:tcW w:w="2565" w:type="dxa"/>
            <w:noWrap w:val="0"/>
            <w:vAlign w:val="center"/>
          </w:tcPr>
          <w:p w14:paraId="17FF9F94">
            <w:pPr>
              <w:spacing w:line="460" w:lineRule="exact"/>
              <w:jc w:val="left"/>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配送至宜宾市第四人民医院总院、护理照护中心、南溪二院、南溪新院区1楼氧气房内。预计年采购数量仅供参考，以实际配送数量为准</w:t>
            </w:r>
          </w:p>
        </w:tc>
      </w:tr>
    </w:tbl>
    <w:p w14:paraId="0BDA2DEE">
      <w:pPr>
        <w:rPr>
          <w:rFonts w:hint="eastAsia"/>
          <w:sz w:val="28"/>
          <w:szCs w:val="36"/>
        </w:rPr>
      </w:pPr>
      <w:r>
        <w:rPr>
          <w:rFonts w:hint="eastAsia"/>
          <w:sz w:val="28"/>
          <w:szCs w:val="36"/>
        </w:rPr>
        <w:t>注：单价包括医用液氧、医用氧及纯二氧化碳来回运输、下车搬运至采购人各院区（总院、南溪二院、南溪新院区、护理照护中心）集中存放点及采购人空瓶上车等所有产生费用的含税费用，采购人无需向供应商另行支付其他任何费用。</w:t>
      </w:r>
    </w:p>
    <w:p w14:paraId="526E81EB">
      <w:pPr>
        <w:ind w:firstLine="560" w:firstLineChars="200"/>
        <w:rPr>
          <w:rFonts w:hint="eastAsia" w:ascii="宋体" w:hAnsi="宋体" w:eastAsia="宋体" w:cs="宋体"/>
          <w:sz w:val="28"/>
          <w:szCs w:val="36"/>
        </w:rPr>
      </w:pPr>
      <w:r>
        <w:rPr>
          <w:rFonts w:hint="eastAsia" w:ascii="宋体" w:hAnsi="宋体" w:eastAsia="宋体" w:cs="宋体"/>
          <w:sz w:val="28"/>
          <w:szCs w:val="36"/>
        </w:rPr>
        <w:t>2.履约期限</w:t>
      </w:r>
      <w:r>
        <w:rPr>
          <w:rFonts w:hint="eastAsia" w:ascii="宋体" w:hAnsi="宋体" w:cs="宋体"/>
          <w:sz w:val="28"/>
          <w:szCs w:val="36"/>
          <w:lang w:eastAsia="zh-CN"/>
        </w:rPr>
        <w:t>：</w:t>
      </w:r>
      <w:r>
        <w:rPr>
          <w:rFonts w:hint="eastAsia" w:ascii="宋体" w:hAnsi="宋体" w:eastAsia="宋体" w:cs="宋体"/>
          <w:sz w:val="28"/>
          <w:szCs w:val="36"/>
        </w:rPr>
        <w:t>本合同履约期限为壹年。自____年__月__日起至____年__月__日止。履约时间（壹年）和货款累计金额（XX万元）两个条件任意一项到限，合同终止。乙方在中标合同签订前应缴纳总合同金额的5％作为履约保证金。</w:t>
      </w:r>
    </w:p>
    <w:p w14:paraId="54A7C42F">
      <w:pPr>
        <w:ind w:firstLine="560" w:firstLineChars="200"/>
        <w:rPr>
          <w:rFonts w:hint="eastAsia" w:ascii="宋体" w:hAnsi="宋体" w:eastAsia="宋体" w:cs="宋体"/>
          <w:sz w:val="28"/>
          <w:szCs w:val="36"/>
        </w:rPr>
      </w:pPr>
      <w:r>
        <w:rPr>
          <w:rFonts w:hint="eastAsia" w:ascii="宋体" w:hAnsi="宋体" w:eastAsia="宋体" w:cs="宋体"/>
          <w:sz w:val="28"/>
          <w:szCs w:val="36"/>
        </w:rPr>
        <w:t>3.履约地点</w:t>
      </w:r>
      <w:r>
        <w:rPr>
          <w:rFonts w:hint="eastAsia" w:ascii="宋体" w:hAnsi="宋体" w:eastAsia="宋体" w:cs="宋体"/>
          <w:sz w:val="28"/>
          <w:szCs w:val="36"/>
          <w:lang w:eastAsia="zh-CN"/>
        </w:rPr>
        <w:t>：</w:t>
      </w:r>
      <w:r>
        <w:rPr>
          <w:rFonts w:hint="eastAsia" w:ascii="宋体" w:hAnsi="宋体" w:eastAsia="宋体" w:cs="宋体"/>
          <w:sz w:val="28"/>
          <w:szCs w:val="36"/>
        </w:rPr>
        <w:t>宜宾市第四人民医院及各院区（包含总院、南溪二院、南溪新院区、李庄院区、护理照护中心）</w:t>
      </w:r>
    </w:p>
    <w:p w14:paraId="63209223">
      <w:pPr>
        <w:ind w:firstLine="560" w:firstLineChars="200"/>
        <w:rPr>
          <w:rFonts w:hint="eastAsia" w:ascii="宋体" w:hAnsi="宋体" w:eastAsia="宋体" w:cs="宋体"/>
          <w:sz w:val="28"/>
          <w:szCs w:val="36"/>
        </w:rPr>
      </w:pPr>
      <w:r>
        <w:rPr>
          <w:rFonts w:hint="eastAsia" w:ascii="宋体" w:hAnsi="宋体" w:eastAsia="宋体" w:cs="宋体"/>
          <w:sz w:val="28"/>
          <w:szCs w:val="36"/>
        </w:rPr>
        <w:t>4.安全供应要求</w:t>
      </w:r>
      <w:r>
        <w:rPr>
          <w:rFonts w:hint="eastAsia" w:ascii="宋体" w:hAnsi="宋体" w:eastAsia="宋体" w:cs="宋体"/>
          <w:sz w:val="28"/>
          <w:szCs w:val="36"/>
          <w:lang w:eastAsia="zh-CN"/>
        </w:rPr>
        <w:t>：</w:t>
      </w:r>
      <w:r>
        <w:rPr>
          <w:rFonts w:hint="eastAsia" w:ascii="宋体" w:hAnsi="宋体" w:eastAsia="宋体" w:cs="宋体"/>
          <w:sz w:val="28"/>
          <w:szCs w:val="36"/>
        </w:rPr>
        <w:t>乙方按照国家对危化品的管理要求，做到安全生产、安全运输、安全送达甲方指定地点，保障医院的医用气体正常供应。</w:t>
      </w:r>
    </w:p>
    <w:p w14:paraId="3641BC89">
      <w:pPr>
        <w:ind w:firstLine="560" w:firstLineChars="200"/>
        <w:rPr>
          <w:rFonts w:hint="eastAsia"/>
        </w:rPr>
      </w:pPr>
      <w:r>
        <w:rPr>
          <w:rFonts w:hint="eastAsia" w:ascii="宋体" w:hAnsi="宋体" w:eastAsia="宋体" w:cs="宋体"/>
          <w:sz w:val="28"/>
          <w:szCs w:val="36"/>
        </w:rPr>
        <w:t>5.配送响应要求</w:t>
      </w:r>
      <w:r>
        <w:rPr>
          <w:rFonts w:hint="eastAsia" w:ascii="宋体" w:hAnsi="宋体" w:eastAsia="宋体" w:cs="宋体"/>
          <w:sz w:val="28"/>
          <w:szCs w:val="36"/>
          <w:lang w:eastAsia="zh-CN"/>
        </w:rPr>
        <w:t>：</w:t>
      </w:r>
      <w:r>
        <w:rPr>
          <w:rFonts w:hint="eastAsia" w:ascii="宋体" w:hAnsi="宋体" w:eastAsia="宋体" w:cs="宋体"/>
          <w:sz w:val="28"/>
          <w:szCs w:val="36"/>
        </w:rPr>
        <w:t>乙方接到甲方需求后，对采购需求应第一时间响应，并作出及时供货，正常情况下24小时内配送到位，紧急情况下6小时内配送到位。</w:t>
      </w:r>
    </w:p>
    <w:p w14:paraId="2669CD69">
      <w:pPr>
        <w:ind w:firstLine="560" w:firstLineChars="200"/>
        <w:rPr>
          <w:rFonts w:hint="eastAsia"/>
        </w:rPr>
      </w:pPr>
      <w:r>
        <w:rPr>
          <w:rFonts w:hint="eastAsia" w:ascii="宋体" w:hAnsi="宋体" w:eastAsia="宋体" w:cs="宋体"/>
          <w:sz w:val="28"/>
          <w:szCs w:val="36"/>
        </w:rPr>
        <w:t>6.人员及车辆要求</w:t>
      </w:r>
      <w:r>
        <w:rPr>
          <w:rFonts w:hint="eastAsia" w:ascii="宋体" w:hAnsi="宋体" w:eastAsia="宋体" w:cs="宋体"/>
          <w:sz w:val="28"/>
          <w:szCs w:val="36"/>
          <w:lang w:eastAsia="zh-CN"/>
        </w:rPr>
        <w:t>：</w:t>
      </w:r>
      <w:r>
        <w:rPr>
          <w:rFonts w:hint="eastAsia" w:ascii="宋体" w:hAnsi="宋体" w:eastAsia="宋体" w:cs="宋体"/>
          <w:sz w:val="28"/>
          <w:szCs w:val="36"/>
        </w:rPr>
        <w:t>乙方提供的运输车辆和驾驶员、押运等人员均需按照国家对危化品管理的要求持证上岗，乙方自行承担来回运输途中和甲方签收前的一切安全风险和责任。</w:t>
      </w:r>
    </w:p>
    <w:p w14:paraId="44B43D45">
      <w:pPr>
        <w:ind w:firstLine="560" w:firstLineChars="200"/>
        <w:rPr>
          <w:rFonts w:hint="eastAsia" w:ascii="宋体" w:hAnsi="宋体" w:eastAsia="宋体" w:cs="宋体"/>
          <w:sz w:val="28"/>
          <w:szCs w:val="36"/>
        </w:rPr>
      </w:pPr>
      <w:r>
        <w:rPr>
          <w:rFonts w:hint="eastAsia" w:ascii="宋体" w:hAnsi="宋体" w:eastAsia="宋体" w:cs="宋体"/>
          <w:sz w:val="28"/>
          <w:szCs w:val="36"/>
        </w:rPr>
        <w:t>7.故障协助要求</w:t>
      </w:r>
      <w:r>
        <w:rPr>
          <w:rFonts w:hint="eastAsia" w:ascii="宋体" w:hAnsi="宋体" w:cs="宋体"/>
          <w:sz w:val="28"/>
          <w:szCs w:val="36"/>
          <w:lang w:eastAsia="zh-CN"/>
        </w:rPr>
        <w:t>：</w:t>
      </w:r>
      <w:r>
        <w:rPr>
          <w:rFonts w:hint="eastAsia" w:ascii="宋体" w:hAnsi="宋体" w:eastAsia="宋体" w:cs="宋体"/>
          <w:sz w:val="28"/>
          <w:szCs w:val="36"/>
        </w:rPr>
        <w:t>若甲方供氧系统或设备发生故障，乙方接到甲方故障通知后，4小时内响应，24小时内派人到现场协助甲方解决故障，保障设施设备正常运行。乙方未按时进场维修的，甲方有权委托第三方进场维修，因此产生的一切维修成本由乙方承担。</w:t>
      </w:r>
    </w:p>
    <w:p w14:paraId="12FC58C3">
      <w:pPr>
        <w:ind w:firstLine="560" w:firstLineChars="200"/>
        <w:rPr>
          <w:rFonts w:hint="eastAsia" w:ascii="宋体" w:hAnsi="宋体" w:eastAsia="宋体" w:cs="宋体"/>
          <w:sz w:val="28"/>
          <w:szCs w:val="36"/>
        </w:rPr>
      </w:pPr>
      <w:r>
        <w:rPr>
          <w:rFonts w:hint="eastAsia" w:ascii="宋体" w:hAnsi="宋体" w:eastAsia="宋体" w:cs="宋体"/>
          <w:sz w:val="28"/>
          <w:szCs w:val="36"/>
        </w:rPr>
        <w:t>8.充装要求</w:t>
      </w:r>
      <w:r>
        <w:rPr>
          <w:rFonts w:hint="eastAsia" w:ascii="宋体" w:hAnsi="宋体" w:eastAsia="宋体" w:cs="宋体"/>
          <w:sz w:val="28"/>
          <w:szCs w:val="36"/>
          <w:lang w:eastAsia="zh-CN"/>
        </w:rPr>
        <w:t>：</w:t>
      </w:r>
      <w:r>
        <w:rPr>
          <w:rFonts w:hint="eastAsia" w:ascii="宋体" w:hAnsi="宋体" w:eastAsia="宋体" w:cs="宋体"/>
          <w:sz w:val="28"/>
          <w:szCs w:val="36"/>
        </w:rPr>
        <w:t>乙方提供的医用液氧、医用氧及纯二氧化碳必须按国家、行业最新使用标准规范足量充装。</w:t>
      </w:r>
    </w:p>
    <w:p w14:paraId="095AB9BB">
      <w:pPr>
        <w:ind w:firstLine="560" w:firstLineChars="200"/>
        <w:rPr>
          <w:rFonts w:hint="eastAsia" w:ascii="宋体" w:hAnsi="宋体" w:eastAsia="宋体" w:cs="宋体"/>
          <w:sz w:val="28"/>
          <w:szCs w:val="36"/>
        </w:rPr>
      </w:pPr>
      <w:r>
        <w:rPr>
          <w:rFonts w:hint="eastAsia" w:ascii="宋体" w:hAnsi="宋体" w:eastAsia="宋体" w:cs="宋体"/>
          <w:sz w:val="28"/>
          <w:szCs w:val="36"/>
        </w:rPr>
        <w:t>9.资料及检测要求</w:t>
      </w:r>
      <w:r>
        <w:rPr>
          <w:rFonts w:hint="eastAsia" w:ascii="宋体" w:hAnsi="宋体" w:eastAsia="宋体" w:cs="宋体"/>
          <w:sz w:val="28"/>
          <w:szCs w:val="36"/>
          <w:lang w:eastAsia="zh-CN"/>
        </w:rPr>
        <w:t>：</w:t>
      </w:r>
      <w:r>
        <w:rPr>
          <w:rFonts w:hint="eastAsia" w:ascii="宋体" w:hAnsi="宋体" w:eastAsia="宋体" w:cs="宋体"/>
          <w:sz w:val="28"/>
          <w:szCs w:val="36"/>
        </w:rPr>
        <w:t>乙方每次送货时须提供货物清单；根据罐体安全检测要求，定期提供罐体安全检测报告，保证罐体在安全检测有效期内。</w:t>
      </w:r>
    </w:p>
    <w:p w14:paraId="6565DBF6">
      <w:pPr>
        <w:ind w:firstLine="560" w:firstLineChars="200"/>
        <w:rPr>
          <w:rFonts w:hint="eastAsia" w:ascii="宋体" w:hAnsi="宋体" w:eastAsia="宋体" w:cs="宋体"/>
          <w:sz w:val="28"/>
          <w:szCs w:val="36"/>
        </w:rPr>
      </w:pPr>
      <w:r>
        <w:rPr>
          <w:rFonts w:hint="eastAsia" w:ascii="宋体" w:hAnsi="宋体" w:eastAsia="宋体" w:cs="宋体"/>
          <w:sz w:val="28"/>
          <w:szCs w:val="36"/>
        </w:rPr>
        <w:t>10.库存保障要求</w:t>
      </w:r>
      <w:r>
        <w:rPr>
          <w:rFonts w:hint="eastAsia" w:ascii="宋体" w:hAnsi="宋体" w:eastAsia="宋体" w:cs="宋体"/>
          <w:sz w:val="28"/>
          <w:szCs w:val="36"/>
          <w:lang w:eastAsia="zh-CN"/>
        </w:rPr>
        <w:t>：</w:t>
      </w:r>
      <w:r>
        <w:rPr>
          <w:rFonts w:hint="eastAsia" w:ascii="宋体" w:hAnsi="宋体" w:eastAsia="宋体" w:cs="宋体"/>
          <w:sz w:val="28"/>
          <w:szCs w:val="36"/>
        </w:rPr>
        <w:t>乙方如遇特殊原因，出现库存不足时，应优先保障甲方用氧需求与供应，若发生1次未能保障时，采购人有权另行寻找其他供应商配送，并扣除履约保证金总金额的50％不予以退换或给予同等违约保证金相同金额的扣款。</w:t>
      </w:r>
    </w:p>
    <w:p w14:paraId="0B9F9A6F">
      <w:pPr>
        <w:ind w:firstLine="560" w:firstLineChars="200"/>
        <w:rPr>
          <w:rFonts w:hint="eastAsia" w:ascii="宋体" w:hAnsi="宋体" w:eastAsia="宋体" w:cs="宋体"/>
          <w:sz w:val="28"/>
          <w:szCs w:val="36"/>
        </w:rPr>
      </w:pPr>
      <w:r>
        <w:rPr>
          <w:rFonts w:hint="eastAsia" w:ascii="宋体" w:hAnsi="宋体" w:eastAsia="宋体" w:cs="宋体"/>
          <w:sz w:val="28"/>
          <w:szCs w:val="36"/>
        </w:rPr>
        <w:t>11.罐体及设施维护要求</w:t>
      </w:r>
      <w:r>
        <w:rPr>
          <w:rFonts w:hint="eastAsia" w:ascii="宋体" w:hAnsi="宋体" w:eastAsia="宋体" w:cs="宋体"/>
          <w:sz w:val="28"/>
          <w:szCs w:val="36"/>
          <w:lang w:eastAsia="zh-CN"/>
        </w:rPr>
        <w:t>：</w:t>
      </w:r>
      <w:r>
        <w:rPr>
          <w:rFonts w:hint="eastAsia" w:ascii="宋体" w:hAnsi="宋体" w:eastAsia="宋体" w:cs="宋体"/>
          <w:sz w:val="28"/>
          <w:szCs w:val="36"/>
        </w:rPr>
        <w:t>乙方按上级有关管理部门关于医用液氧、医用氧及纯二氧化碳管理要求对罐体进行定期校验并张贴检验合格标识；乙方应定期配合甲方开展中心供氧站的安全隐患排查，对气化器、氧气压力管道及压力表、安全阀等配件的维修、维护、校验、更换等。</w:t>
      </w:r>
    </w:p>
    <w:p w14:paraId="14672B0B">
      <w:pPr>
        <w:rPr>
          <w:rFonts w:hint="eastAsia" w:ascii="黑体" w:hAnsi="黑体" w:eastAsia="黑体" w:cs="黑体"/>
          <w:sz w:val="32"/>
          <w:szCs w:val="40"/>
        </w:rPr>
      </w:pPr>
      <w:r>
        <w:rPr>
          <w:rFonts w:hint="eastAsia" w:ascii="黑体" w:hAnsi="黑体" w:eastAsia="黑体" w:cs="黑体"/>
          <w:sz w:val="32"/>
          <w:szCs w:val="40"/>
          <w:lang w:eastAsia="zh-CN"/>
        </w:rPr>
        <w:t>三</w:t>
      </w:r>
      <w:r>
        <w:rPr>
          <w:rFonts w:hint="eastAsia" w:ascii="黑体" w:hAnsi="黑体" w:eastAsia="黑体" w:cs="黑体"/>
          <w:sz w:val="32"/>
          <w:szCs w:val="40"/>
        </w:rPr>
        <w:t>、付款进度和支付方式</w:t>
      </w:r>
    </w:p>
    <w:p w14:paraId="0D79F596">
      <w:pPr>
        <w:ind w:firstLine="640" w:firstLineChars="200"/>
        <w:rPr>
          <w:rFonts w:hint="eastAsia" w:ascii="宋体" w:hAnsi="宋体" w:eastAsia="宋体" w:cs="宋体"/>
          <w:sz w:val="32"/>
          <w:szCs w:val="40"/>
        </w:rPr>
      </w:pPr>
      <w:r>
        <w:rPr>
          <w:rFonts w:hint="eastAsia" w:ascii="宋体" w:hAnsi="宋体" w:eastAsia="宋体" w:cs="宋体"/>
          <w:sz w:val="32"/>
          <w:szCs w:val="40"/>
        </w:rPr>
        <w:t>据实结算，甲方每月支付一次货款，经甲方在验收合格并收到乙方出具合法有效完整的增值税发票后30日内付款。乙方未出具发票或出具的发票不合格的，甲方有权拒绝付款并不承担任何违约责任，而乙方不免除继续履行服务的义务。</w:t>
      </w:r>
    </w:p>
    <w:p w14:paraId="23F2EA9B">
      <w:pPr>
        <w:rPr>
          <w:rFonts w:hint="eastAsia" w:ascii="黑体" w:hAnsi="黑体" w:eastAsia="黑体" w:cs="黑体"/>
          <w:sz w:val="32"/>
          <w:szCs w:val="40"/>
        </w:rPr>
      </w:pPr>
      <w:r>
        <w:rPr>
          <w:rFonts w:hint="eastAsia" w:ascii="黑体" w:hAnsi="黑体" w:eastAsia="黑体" w:cs="黑体"/>
          <w:sz w:val="32"/>
          <w:szCs w:val="40"/>
          <w:lang w:eastAsia="zh-CN"/>
        </w:rPr>
        <w:t>四</w:t>
      </w:r>
      <w:r>
        <w:rPr>
          <w:rFonts w:hint="eastAsia" w:ascii="黑体" w:hAnsi="黑体" w:eastAsia="黑体" w:cs="黑体"/>
          <w:sz w:val="32"/>
          <w:szCs w:val="40"/>
        </w:rPr>
        <w:t>、验收标准、方法和考核办法</w:t>
      </w:r>
    </w:p>
    <w:p w14:paraId="7D822096">
      <w:pPr>
        <w:ind w:firstLine="560" w:firstLineChars="200"/>
        <w:rPr>
          <w:rFonts w:hint="eastAsia" w:ascii="宋体" w:hAnsi="宋体" w:cs="宋体"/>
          <w:sz w:val="28"/>
          <w:szCs w:val="36"/>
          <w:lang w:eastAsia="zh-CN"/>
        </w:rPr>
      </w:pPr>
      <w:r>
        <w:rPr>
          <w:rFonts w:hint="eastAsia" w:ascii="宋体" w:hAnsi="宋体" w:eastAsia="宋体" w:cs="宋体"/>
          <w:sz w:val="28"/>
          <w:szCs w:val="36"/>
        </w:rPr>
        <w:t>1.日常供应服务验收标准</w:t>
      </w:r>
      <w:r>
        <w:rPr>
          <w:rFonts w:hint="eastAsia" w:ascii="宋体" w:hAnsi="宋体" w:cs="宋体"/>
          <w:sz w:val="28"/>
          <w:szCs w:val="36"/>
          <w:lang w:eastAsia="zh-CN"/>
        </w:rPr>
        <w:t>：</w:t>
      </w:r>
    </w:p>
    <w:p w14:paraId="75F9B77D">
      <w:pPr>
        <w:ind w:firstLine="560" w:firstLineChars="200"/>
        <w:rPr>
          <w:rFonts w:hint="eastAsia" w:ascii="宋体" w:hAnsi="宋体" w:eastAsia="宋体" w:cs="宋体"/>
          <w:sz w:val="28"/>
          <w:szCs w:val="36"/>
        </w:rPr>
      </w:pPr>
      <w:r>
        <w:rPr>
          <w:rFonts w:hint="eastAsia" w:ascii="宋体" w:hAnsi="宋体" w:eastAsia="宋体" w:cs="宋体"/>
          <w:sz w:val="28"/>
          <w:szCs w:val="36"/>
        </w:rPr>
        <w:t>1.1 乙方所供医用液氧、医用氧须符合《中华人民共和国药典》(2025版)以及最新相关质量标准要求，具有行政主管部门颁发的医用液氧、医用氧《药品生产许可证》、《药品注册批件》或《药品经营许可证》。</w:t>
      </w:r>
    </w:p>
    <w:p w14:paraId="1FE6C4BC">
      <w:pPr>
        <w:ind w:firstLine="560" w:firstLineChars="200"/>
        <w:rPr>
          <w:rFonts w:hint="eastAsia" w:ascii="宋体" w:hAnsi="宋体" w:eastAsia="宋体" w:cs="宋体"/>
          <w:sz w:val="28"/>
          <w:szCs w:val="36"/>
        </w:rPr>
      </w:pPr>
      <w:r>
        <w:rPr>
          <w:rFonts w:hint="eastAsia" w:ascii="宋体" w:hAnsi="宋体" w:eastAsia="宋体" w:cs="宋体"/>
          <w:sz w:val="28"/>
          <w:szCs w:val="36"/>
        </w:rPr>
        <w:t>1.2 医用液氧包装要求：采用符合标准规范的低温绝热液氧容器盛装，液氧输出接口须与医院现有管道匹配，保证安全有效连接。</w:t>
      </w:r>
    </w:p>
    <w:p w14:paraId="49FC6DFE">
      <w:pPr>
        <w:ind w:firstLine="560" w:firstLineChars="200"/>
        <w:rPr>
          <w:rFonts w:hint="eastAsia" w:ascii="宋体" w:hAnsi="宋体" w:eastAsia="宋体" w:cs="宋体"/>
          <w:sz w:val="28"/>
          <w:szCs w:val="36"/>
        </w:rPr>
      </w:pPr>
      <w:r>
        <w:rPr>
          <w:rFonts w:hint="eastAsia" w:ascii="宋体" w:hAnsi="宋体" w:eastAsia="宋体" w:cs="宋体"/>
          <w:sz w:val="28"/>
          <w:szCs w:val="36"/>
        </w:rPr>
        <w:t>1.3 医用氧和纯二氧化碳包装要求：采用专用医用氧和纯二氧化碳气瓶容器盛装。</w:t>
      </w:r>
    </w:p>
    <w:p w14:paraId="1E19D93C">
      <w:pPr>
        <w:ind w:firstLine="560" w:firstLineChars="200"/>
        <w:rPr>
          <w:rFonts w:hint="eastAsia" w:ascii="宋体" w:hAnsi="宋体" w:eastAsia="宋体" w:cs="宋体"/>
          <w:sz w:val="28"/>
          <w:szCs w:val="36"/>
        </w:rPr>
      </w:pPr>
      <w:r>
        <w:rPr>
          <w:rFonts w:hint="eastAsia" w:ascii="宋体" w:hAnsi="宋体" w:eastAsia="宋体" w:cs="宋体"/>
          <w:sz w:val="28"/>
          <w:szCs w:val="36"/>
        </w:rPr>
        <w:t>1.4 医用液氧、医用氧及纯二氧化碳纯度要求：≥99.5%。</w:t>
      </w:r>
    </w:p>
    <w:p w14:paraId="10C37CB4">
      <w:pPr>
        <w:ind w:firstLine="560" w:firstLineChars="200"/>
        <w:rPr>
          <w:rFonts w:hint="eastAsia" w:ascii="宋体" w:hAnsi="宋体" w:eastAsia="宋体" w:cs="宋体"/>
          <w:sz w:val="28"/>
          <w:szCs w:val="36"/>
        </w:rPr>
      </w:pPr>
      <w:r>
        <w:rPr>
          <w:rFonts w:hint="eastAsia" w:ascii="宋体" w:hAnsi="宋体" w:eastAsia="宋体" w:cs="宋体"/>
          <w:sz w:val="28"/>
          <w:szCs w:val="36"/>
        </w:rPr>
        <w:t>1.5 具有生产合格证明。</w:t>
      </w:r>
    </w:p>
    <w:p w14:paraId="6CFF26D5">
      <w:pPr>
        <w:ind w:firstLine="560" w:firstLineChars="200"/>
        <w:rPr>
          <w:rFonts w:hint="eastAsia" w:ascii="宋体" w:hAnsi="宋体" w:eastAsia="宋体" w:cs="宋体"/>
          <w:sz w:val="28"/>
          <w:szCs w:val="36"/>
          <w:lang w:eastAsia="zh-CN"/>
        </w:rPr>
      </w:pPr>
      <w:r>
        <w:rPr>
          <w:rFonts w:hint="eastAsia" w:ascii="宋体" w:hAnsi="宋体" w:eastAsia="宋体" w:cs="宋体"/>
          <w:sz w:val="28"/>
          <w:szCs w:val="36"/>
        </w:rPr>
        <w:t>2.验收方法</w:t>
      </w:r>
      <w:r>
        <w:rPr>
          <w:rFonts w:hint="eastAsia" w:ascii="宋体" w:hAnsi="宋体" w:cs="宋体"/>
          <w:sz w:val="28"/>
          <w:szCs w:val="36"/>
          <w:lang w:eastAsia="zh-CN"/>
        </w:rPr>
        <w:t>：</w:t>
      </w:r>
    </w:p>
    <w:p w14:paraId="5389E81D">
      <w:pPr>
        <w:ind w:firstLine="560" w:firstLineChars="200"/>
        <w:rPr>
          <w:rFonts w:hint="eastAsia" w:ascii="宋体" w:hAnsi="宋体" w:eastAsia="宋体" w:cs="宋体"/>
          <w:sz w:val="28"/>
          <w:szCs w:val="36"/>
        </w:rPr>
      </w:pPr>
      <w:r>
        <w:rPr>
          <w:rFonts w:hint="eastAsia" w:ascii="宋体" w:hAnsi="宋体" w:eastAsia="宋体" w:cs="宋体"/>
          <w:sz w:val="28"/>
          <w:szCs w:val="36"/>
        </w:rPr>
        <w:t>2.1 对照随货同行单清点货物实际数量；</w:t>
      </w:r>
    </w:p>
    <w:p w14:paraId="218A3B12">
      <w:pPr>
        <w:ind w:firstLine="560" w:firstLineChars="200"/>
        <w:rPr>
          <w:rFonts w:hint="eastAsia" w:ascii="宋体" w:hAnsi="宋体" w:eastAsia="宋体" w:cs="宋体"/>
          <w:sz w:val="28"/>
          <w:szCs w:val="36"/>
        </w:rPr>
      </w:pPr>
      <w:r>
        <w:rPr>
          <w:rFonts w:hint="eastAsia" w:ascii="宋体" w:hAnsi="宋体" w:eastAsia="宋体" w:cs="宋体"/>
          <w:sz w:val="28"/>
          <w:szCs w:val="36"/>
        </w:rPr>
        <w:t>2.2 检查罐体或气瓶有无异常；</w:t>
      </w:r>
    </w:p>
    <w:p w14:paraId="6D617837">
      <w:pPr>
        <w:ind w:firstLine="560" w:firstLineChars="200"/>
        <w:rPr>
          <w:rFonts w:hint="eastAsia" w:ascii="宋体" w:hAnsi="宋体" w:eastAsia="宋体" w:cs="宋体"/>
          <w:sz w:val="28"/>
          <w:szCs w:val="36"/>
        </w:rPr>
      </w:pPr>
      <w:r>
        <w:rPr>
          <w:rFonts w:hint="eastAsia" w:ascii="宋体" w:hAnsi="宋体" w:eastAsia="宋体" w:cs="宋体"/>
          <w:sz w:val="28"/>
          <w:szCs w:val="36"/>
        </w:rPr>
        <w:t>2.3 安全排气阀是否在检测有效期内；</w:t>
      </w:r>
    </w:p>
    <w:p w14:paraId="1DD3B6B1">
      <w:pPr>
        <w:ind w:firstLine="560" w:firstLineChars="200"/>
        <w:rPr>
          <w:rFonts w:hint="eastAsia" w:ascii="宋体" w:hAnsi="宋体" w:eastAsia="宋体" w:cs="宋体"/>
          <w:sz w:val="28"/>
          <w:szCs w:val="36"/>
        </w:rPr>
      </w:pPr>
      <w:r>
        <w:rPr>
          <w:rFonts w:hint="eastAsia" w:ascii="宋体" w:hAnsi="宋体" w:eastAsia="宋体" w:cs="宋体"/>
          <w:sz w:val="28"/>
          <w:szCs w:val="36"/>
        </w:rPr>
        <w:t>2.4 查看出厂检验报告是否合格；</w:t>
      </w:r>
    </w:p>
    <w:p w14:paraId="63C74579">
      <w:pPr>
        <w:ind w:firstLine="560" w:firstLineChars="200"/>
        <w:rPr>
          <w:rFonts w:hint="eastAsia" w:ascii="宋体" w:hAnsi="宋体" w:eastAsia="宋体" w:cs="宋体"/>
          <w:sz w:val="28"/>
          <w:szCs w:val="36"/>
        </w:rPr>
      </w:pPr>
      <w:r>
        <w:rPr>
          <w:rFonts w:hint="eastAsia" w:ascii="宋体" w:hAnsi="宋体" w:eastAsia="宋体" w:cs="宋体"/>
          <w:sz w:val="28"/>
          <w:szCs w:val="36"/>
        </w:rPr>
        <w:t>2.5 检查是否张贴合格证；</w:t>
      </w:r>
    </w:p>
    <w:p w14:paraId="24A2F89F">
      <w:pPr>
        <w:ind w:firstLine="560" w:firstLineChars="200"/>
        <w:rPr>
          <w:rFonts w:hint="eastAsia" w:ascii="宋体" w:hAnsi="宋体" w:eastAsia="宋体" w:cs="宋体"/>
          <w:sz w:val="28"/>
          <w:szCs w:val="36"/>
        </w:rPr>
      </w:pPr>
      <w:r>
        <w:rPr>
          <w:rFonts w:hint="eastAsia" w:ascii="宋体" w:hAnsi="宋体" w:eastAsia="宋体" w:cs="宋体"/>
          <w:sz w:val="28"/>
          <w:szCs w:val="36"/>
        </w:rPr>
        <w:t>2.6 检查有效期是否达到总有效期的2/3及以上；</w:t>
      </w:r>
    </w:p>
    <w:p w14:paraId="6A7C33E6">
      <w:pPr>
        <w:ind w:firstLine="560" w:firstLineChars="200"/>
        <w:rPr>
          <w:rFonts w:hint="eastAsia" w:ascii="宋体" w:hAnsi="宋体" w:eastAsia="宋体" w:cs="宋体"/>
          <w:sz w:val="28"/>
          <w:szCs w:val="36"/>
        </w:rPr>
      </w:pPr>
      <w:r>
        <w:rPr>
          <w:rFonts w:hint="eastAsia" w:ascii="宋体" w:hAnsi="宋体" w:eastAsia="宋体" w:cs="宋体"/>
          <w:sz w:val="28"/>
          <w:szCs w:val="36"/>
        </w:rPr>
        <w:t>2.7 甲乙双方交接签字确认。</w:t>
      </w:r>
    </w:p>
    <w:p w14:paraId="17DDC67D">
      <w:pPr>
        <w:ind w:firstLine="560" w:firstLineChars="200"/>
        <w:rPr>
          <w:rFonts w:hint="eastAsia" w:ascii="宋体" w:hAnsi="宋体" w:eastAsia="宋体" w:cs="宋体"/>
          <w:sz w:val="28"/>
          <w:szCs w:val="36"/>
        </w:rPr>
      </w:pPr>
      <w:r>
        <w:rPr>
          <w:rFonts w:hint="eastAsia" w:ascii="宋体" w:hAnsi="宋体" w:eastAsia="宋体" w:cs="宋体"/>
          <w:sz w:val="28"/>
          <w:szCs w:val="36"/>
        </w:rPr>
        <w:t>2.8 甲方的验收行为不作为乙方提供的货物隐蔽瑕疵质量问题合格的依据，不影响乙方因质量问题承担违约责任。</w:t>
      </w:r>
    </w:p>
    <w:p w14:paraId="03FBF199">
      <w:pPr>
        <w:ind w:firstLine="560" w:firstLineChars="200"/>
        <w:rPr>
          <w:rFonts w:hint="eastAsia" w:ascii="宋体" w:hAnsi="宋体" w:eastAsia="宋体" w:cs="宋体"/>
          <w:sz w:val="28"/>
          <w:szCs w:val="36"/>
          <w:lang w:eastAsia="zh-CN"/>
        </w:rPr>
      </w:pPr>
      <w:r>
        <w:rPr>
          <w:rFonts w:hint="eastAsia" w:ascii="宋体" w:hAnsi="宋体" w:eastAsia="宋体" w:cs="宋体"/>
          <w:sz w:val="28"/>
          <w:szCs w:val="36"/>
        </w:rPr>
        <w:t>3.考核办法</w:t>
      </w:r>
      <w:r>
        <w:rPr>
          <w:rFonts w:hint="eastAsia" w:ascii="宋体" w:hAnsi="宋体" w:cs="宋体"/>
          <w:sz w:val="28"/>
          <w:szCs w:val="36"/>
          <w:lang w:eastAsia="zh-CN"/>
        </w:rPr>
        <w:t>：</w:t>
      </w:r>
    </w:p>
    <w:p w14:paraId="0127DA7C">
      <w:pPr>
        <w:ind w:firstLine="560" w:firstLineChars="200"/>
        <w:rPr>
          <w:rFonts w:hint="eastAsia" w:ascii="宋体" w:hAnsi="宋体" w:eastAsia="宋体" w:cs="宋体"/>
          <w:sz w:val="28"/>
          <w:szCs w:val="36"/>
        </w:rPr>
      </w:pPr>
      <w:r>
        <w:rPr>
          <w:rFonts w:hint="eastAsia" w:ascii="宋体" w:hAnsi="宋体" w:eastAsia="宋体" w:cs="宋体"/>
          <w:sz w:val="28"/>
          <w:szCs w:val="36"/>
        </w:rPr>
        <w:t>3.1月考核</w:t>
      </w:r>
    </w:p>
    <w:p w14:paraId="066AABCE">
      <w:pPr>
        <w:ind w:firstLine="560" w:firstLineChars="200"/>
        <w:rPr>
          <w:rFonts w:hint="eastAsia" w:ascii="宋体" w:hAnsi="宋体" w:eastAsia="宋体" w:cs="宋体"/>
          <w:sz w:val="28"/>
          <w:szCs w:val="36"/>
        </w:rPr>
      </w:pPr>
      <w:r>
        <w:rPr>
          <w:rFonts w:hint="eastAsia" w:ascii="宋体" w:hAnsi="宋体" w:eastAsia="宋体" w:cs="宋体"/>
          <w:sz w:val="28"/>
          <w:szCs w:val="36"/>
        </w:rPr>
        <w:t>3.1.1 供货时效性：乙方接到甲方需求在24小时内配送和紧急情况下6小时内配送，到货时间每逾期一次，甲方将在当月货款中扣除500元。一月内逾期达到2次及以上的，甲方将在当月货款中扣除总金额的5%。</w:t>
      </w:r>
    </w:p>
    <w:p w14:paraId="77A2A69F">
      <w:pPr>
        <w:ind w:firstLine="560" w:firstLineChars="200"/>
        <w:rPr>
          <w:rFonts w:hint="eastAsia" w:ascii="宋体" w:hAnsi="宋体" w:eastAsia="宋体" w:cs="宋体"/>
          <w:sz w:val="28"/>
          <w:szCs w:val="36"/>
        </w:rPr>
      </w:pPr>
      <w:r>
        <w:rPr>
          <w:rFonts w:hint="eastAsia" w:ascii="宋体" w:hAnsi="宋体" w:eastAsia="宋体" w:cs="宋体"/>
          <w:sz w:val="28"/>
          <w:szCs w:val="36"/>
        </w:rPr>
        <w:t>3.1.2 货物质量：乙方交付的货物质量不符合质量标准或合同规定的，甲方有权要求乙方对不符合质量标准或无证的不合格产品予以退货。</w:t>
      </w:r>
    </w:p>
    <w:p w14:paraId="427E41A0">
      <w:pPr>
        <w:ind w:firstLine="560" w:firstLineChars="200"/>
        <w:rPr>
          <w:rFonts w:hint="eastAsia" w:ascii="宋体" w:hAnsi="宋体" w:eastAsia="宋体" w:cs="宋体"/>
          <w:sz w:val="28"/>
          <w:szCs w:val="36"/>
        </w:rPr>
      </w:pPr>
      <w:r>
        <w:rPr>
          <w:rFonts w:hint="eastAsia" w:ascii="宋体" w:hAnsi="宋体" w:eastAsia="宋体" w:cs="宋体"/>
          <w:sz w:val="28"/>
          <w:szCs w:val="36"/>
        </w:rPr>
        <w:t>3.1.3 设备维护、巡查：乙方应定期配合甲方开展中心供氧站的设备进行维护巡查，其中包括对气化器、氧气压力管道及压力表、安全阀等配件的维修、维护、校验、更换等，并做好记录。当月未进行维护、巡查的扣除400元。</w:t>
      </w:r>
    </w:p>
    <w:p w14:paraId="7A95AAF9">
      <w:pPr>
        <w:ind w:firstLine="560" w:firstLineChars="200"/>
        <w:rPr>
          <w:rFonts w:hint="eastAsia" w:ascii="宋体" w:hAnsi="宋体" w:eastAsia="宋体" w:cs="宋体"/>
          <w:sz w:val="28"/>
          <w:szCs w:val="36"/>
          <w:lang w:eastAsia="zh-CN"/>
        </w:rPr>
      </w:pPr>
      <w:r>
        <w:rPr>
          <w:rFonts w:hint="eastAsia" w:ascii="宋体" w:hAnsi="宋体" w:eastAsia="宋体" w:cs="宋体"/>
          <w:sz w:val="28"/>
          <w:szCs w:val="36"/>
        </w:rPr>
        <w:t>3.2年度考核</w:t>
      </w:r>
      <w:r>
        <w:rPr>
          <w:rFonts w:hint="eastAsia" w:ascii="宋体" w:hAnsi="宋体" w:cs="宋体"/>
          <w:sz w:val="28"/>
          <w:szCs w:val="36"/>
          <w:lang w:eastAsia="zh-CN"/>
        </w:rPr>
        <w:t>：</w:t>
      </w:r>
    </w:p>
    <w:p w14:paraId="4DE84705">
      <w:pPr>
        <w:ind w:firstLine="560" w:firstLineChars="200"/>
        <w:rPr>
          <w:rFonts w:hint="eastAsia" w:ascii="宋体" w:hAnsi="宋体" w:eastAsia="宋体" w:cs="宋体"/>
          <w:sz w:val="28"/>
          <w:szCs w:val="36"/>
        </w:rPr>
      </w:pPr>
      <w:r>
        <w:rPr>
          <w:rFonts w:hint="eastAsia" w:ascii="宋体" w:hAnsi="宋体" w:eastAsia="宋体" w:cs="宋体"/>
          <w:sz w:val="28"/>
          <w:szCs w:val="36"/>
        </w:rPr>
        <w:t>3.2.1 考核方式：将月考核结果纳入年度考核标准，占年终考核结果的50%（若提前考核，实际服务时间不到1年，取已发生月份总得分的平均分数作为年度考核50%的考核指标），剩余50%结合月考核内容以及其他需求和约定条款履约情况进行年终考核，附年终考核表（考核内容可根据实际需求和约定进行更改）。</w:t>
      </w:r>
    </w:p>
    <w:p w14:paraId="190B12B0">
      <w:pPr>
        <w:ind w:firstLine="560" w:firstLineChars="200"/>
        <w:rPr>
          <w:rFonts w:hint="eastAsia"/>
        </w:rPr>
      </w:pPr>
      <w:r>
        <w:rPr>
          <w:rFonts w:hint="eastAsia" w:ascii="宋体" w:hAnsi="宋体" w:eastAsia="宋体" w:cs="宋体"/>
          <w:sz w:val="28"/>
          <w:szCs w:val="36"/>
        </w:rPr>
        <w:t>3.2.2 经甲方考核合格（总考核结果≧85分）后，双方协商一致同意可续签第二年合同</w:t>
      </w:r>
      <w:r>
        <w:rPr>
          <w:rFonts w:hint="eastAsia"/>
        </w:rPr>
        <w:t>。</w:t>
      </w:r>
    </w:p>
    <w:p w14:paraId="2D34BA2A">
      <w:pPr>
        <w:rPr>
          <w:rFonts w:hint="eastAsia" w:ascii="黑体" w:hAnsi="黑体" w:eastAsia="黑体" w:cs="黑体"/>
          <w:sz w:val="32"/>
          <w:szCs w:val="40"/>
        </w:rPr>
      </w:pPr>
      <w:r>
        <w:rPr>
          <w:rFonts w:hint="eastAsia" w:ascii="黑体" w:hAnsi="黑体" w:eastAsia="黑体" w:cs="黑体"/>
          <w:sz w:val="32"/>
          <w:szCs w:val="40"/>
          <w:lang w:eastAsia="zh-CN"/>
        </w:rPr>
        <w:t>五</w:t>
      </w:r>
      <w:r>
        <w:rPr>
          <w:rFonts w:hint="eastAsia" w:ascii="黑体" w:hAnsi="黑体" w:eastAsia="黑体" w:cs="黑体"/>
          <w:sz w:val="32"/>
          <w:szCs w:val="40"/>
        </w:rPr>
        <w:t>、甲方的权利和义务</w:t>
      </w:r>
    </w:p>
    <w:p w14:paraId="7389EC34">
      <w:pPr>
        <w:ind w:firstLine="560" w:firstLineChars="200"/>
        <w:rPr>
          <w:rFonts w:hint="eastAsia" w:ascii="宋体" w:hAnsi="宋体" w:eastAsia="宋体" w:cs="宋体"/>
          <w:sz w:val="28"/>
          <w:szCs w:val="36"/>
        </w:rPr>
      </w:pPr>
      <w:r>
        <w:rPr>
          <w:rFonts w:hint="eastAsia" w:ascii="宋体" w:hAnsi="宋体" w:eastAsia="宋体" w:cs="宋体"/>
          <w:sz w:val="28"/>
          <w:szCs w:val="36"/>
        </w:rPr>
        <w:t>1. 甲方有权对合同规定范围内乙方的服务行为进行监督和管理，拥有监管权。有权定期核对乙方提供服务所配备的人员数量、运输车辆规范以及运输过程的操作规范进行监督管理。对甲方认为不合理的部分可提出整改意见，对于乙方违反合同条款的，甲方有权按照违约责任条款做出相应处理。</w:t>
      </w:r>
    </w:p>
    <w:p w14:paraId="1EE93874">
      <w:pPr>
        <w:ind w:firstLine="560" w:firstLineChars="200"/>
        <w:rPr>
          <w:rFonts w:hint="eastAsia" w:ascii="宋体" w:hAnsi="宋体" w:eastAsia="宋体" w:cs="宋体"/>
          <w:sz w:val="28"/>
          <w:szCs w:val="36"/>
        </w:rPr>
      </w:pPr>
      <w:r>
        <w:rPr>
          <w:rFonts w:hint="eastAsia" w:ascii="宋体" w:hAnsi="宋体" w:eastAsia="宋体" w:cs="宋体"/>
          <w:sz w:val="28"/>
          <w:szCs w:val="36"/>
        </w:rPr>
        <w:t>2. 根据本合同规定，按时向乙方支付应付服务费用。</w:t>
      </w:r>
    </w:p>
    <w:p w14:paraId="1B7B3A74">
      <w:pPr>
        <w:ind w:firstLine="560" w:firstLineChars="200"/>
        <w:rPr>
          <w:rFonts w:hint="eastAsia"/>
        </w:rPr>
      </w:pPr>
      <w:r>
        <w:rPr>
          <w:rFonts w:hint="eastAsia" w:ascii="宋体" w:hAnsi="宋体" w:eastAsia="宋体" w:cs="宋体"/>
          <w:sz w:val="28"/>
          <w:szCs w:val="36"/>
        </w:rPr>
        <w:t>3. 承担国家法律、法规所规定的其它责任。</w:t>
      </w:r>
    </w:p>
    <w:p w14:paraId="5BD6366F">
      <w:pPr>
        <w:rPr>
          <w:rFonts w:hint="eastAsia" w:ascii="黑体" w:hAnsi="黑体" w:eastAsia="黑体" w:cs="黑体"/>
          <w:sz w:val="28"/>
          <w:szCs w:val="36"/>
        </w:rPr>
      </w:pPr>
      <w:r>
        <w:rPr>
          <w:rFonts w:hint="eastAsia" w:ascii="黑体" w:hAnsi="黑体" w:eastAsia="黑体" w:cs="黑体"/>
          <w:sz w:val="28"/>
          <w:szCs w:val="36"/>
          <w:lang w:eastAsia="zh-CN"/>
        </w:rPr>
        <w:t>六</w:t>
      </w:r>
      <w:r>
        <w:rPr>
          <w:rFonts w:hint="eastAsia" w:ascii="黑体" w:hAnsi="黑体" w:eastAsia="黑体" w:cs="黑体"/>
          <w:sz w:val="28"/>
          <w:szCs w:val="36"/>
        </w:rPr>
        <w:t>、乙方的权利和义务</w:t>
      </w:r>
    </w:p>
    <w:p w14:paraId="2F34F892">
      <w:pPr>
        <w:ind w:firstLine="560" w:firstLineChars="200"/>
        <w:rPr>
          <w:rFonts w:hint="eastAsia" w:ascii="宋体" w:hAnsi="宋体" w:eastAsia="宋体" w:cs="宋体"/>
          <w:sz w:val="28"/>
          <w:szCs w:val="36"/>
        </w:rPr>
      </w:pPr>
      <w:r>
        <w:rPr>
          <w:rFonts w:hint="eastAsia" w:ascii="宋体" w:hAnsi="宋体" w:eastAsia="宋体" w:cs="宋体"/>
          <w:sz w:val="28"/>
          <w:szCs w:val="36"/>
        </w:rPr>
        <w:t>1. 根据本合同的约定向甲方收取相关服务费用。</w:t>
      </w:r>
    </w:p>
    <w:p w14:paraId="6AAF363B">
      <w:pPr>
        <w:ind w:firstLine="560" w:firstLineChars="200"/>
        <w:rPr>
          <w:rFonts w:hint="eastAsia" w:ascii="宋体" w:hAnsi="宋体" w:eastAsia="宋体" w:cs="宋体"/>
          <w:sz w:val="28"/>
          <w:szCs w:val="36"/>
        </w:rPr>
      </w:pPr>
      <w:r>
        <w:rPr>
          <w:rFonts w:hint="eastAsia" w:ascii="宋体" w:hAnsi="宋体" w:eastAsia="宋体" w:cs="宋体"/>
          <w:sz w:val="28"/>
          <w:szCs w:val="36"/>
        </w:rPr>
        <w:t>2. 接受项目行业管理部门及政府有关部门的指导，接受甲方的监督和考核管理。</w:t>
      </w:r>
    </w:p>
    <w:p w14:paraId="5D169BC6">
      <w:pPr>
        <w:ind w:firstLine="560" w:firstLineChars="200"/>
        <w:rPr>
          <w:rFonts w:hint="eastAsia" w:ascii="宋体" w:hAnsi="宋体" w:eastAsia="宋体" w:cs="宋体"/>
          <w:sz w:val="28"/>
          <w:szCs w:val="36"/>
        </w:rPr>
      </w:pPr>
      <w:r>
        <w:rPr>
          <w:rFonts w:hint="eastAsia" w:ascii="宋体" w:hAnsi="宋体" w:eastAsia="宋体" w:cs="宋体"/>
          <w:sz w:val="28"/>
          <w:szCs w:val="36"/>
        </w:rPr>
        <w:t>3. 乙方承诺遵守《中华人民共和国劳动合同法》有关规定和《中华人民共和国妇女权益保障法》中关于“劳动和社会保障权益”的有关要求。</w:t>
      </w:r>
    </w:p>
    <w:p w14:paraId="57613E1B">
      <w:pPr>
        <w:ind w:firstLine="560" w:firstLineChars="200"/>
        <w:rPr>
          <w:rFonts w:hint="eastAsia" w:ascii="宋体" w:hAnsi="宋体" w:eastAsia="宋体" w:cs="宋体"/>
          <w:sz w:val="28"/>
          <w:szCs w:val="36"/>
        </w:rPr>
      </w:pPr>
      <w:r>
        <w:rPr>
          <w:rFonts w:hint="eastAsia" w:ascii="宋体" w:hAnsi="宋体" w:eastAsia="宋体" w:cs="宋体"/>
          <w:sz w:val="28"/>
          <w:szCs w:val="36"/>
        </w:rPr>
        <w:t>4. 承担国家法律、法规所规定的其它责任。</w:t>
      </w:r>
    </w:p>
    <w:p w14:paraId="389C85E2">
      <w:pPr>
        <w:rPr>
          <w:rFonts w:hint="eastAsia" w:ascii="黑体" w:hAnsi="黑体" w:eastAsia="黑体" w:cs="黑体"/>
          <w:sz w:val="28"/>
          <w:szCs w:val="36"/>
        </w:rPr>
      </w:pPr>
      <w:r>
        <w:rPr>
          <w:rFonts w:hint="eastAsia" w:ascii="黑体" w:hAnsi="黑体" w:eastAsia="黑体" w:cs="黑体"/>
          <w:sz w:val="28"/>
          <w:szCs w:val="36"/>
          <w:lang w:eastAsia="zh-CN"/>
        </w:rPr>
        <w:t>七</w:t>
      </w:r>
      <w:r>
        <w:rPr>
          <w:rFonts w:hint="eastAsia" w:ascii="黑体" w:hAnsi="黑体" w:eastAsia="黑体" w:cs="黑体"/>
          <w:sz w:val="28"/>
          <w:szCs w:val="36"/>
        </w:rPr>
        <w:t>、违约责任</w:t>
      </w:r>
    </w:p>
    <w:p w14:paraId="1AC0C53F">
      <w:pPr>
        <w:ind w:firstLine="560" w:firstLineChars="200"/>
        <w:rPr>
          <w:rFonts w:hint="eastAsia" w:ascii="宋体" w:hAnsi="宋体" w:eastAsia="宋体" w:cs="宋体"/>
          <w:sz w:val="28"/>
          <w:szCs w:val="36"/>
        </w:rPr>
      </w:pPr>
      <w:r>
        <w:rPr>
          <w:rFonts w:hint="eastAsia" w:ascii="宋体" w:hAnsi="宋体" w:eastAsia="宋体" w:cs="宋体"/>
          <w:sz w:val="28"/>
          <w:szCs w:val="36"/>
        </w:rPr>
        <w:t>1. 质量违约：乙方交付的货物质量不符合质量标准或合同规定的，甲方有权要求乙方对不符合质量标准或无证的不合格产品予以退货，乙方拒绝退货或乙方未在4小时内更换合格的货物给甲方的，甲方有权视情况单方解除合同并要求乙方支付合同总金额20%的违约金，违约金不足以弥补损失的乙方应全额弥补。</w:t>
      </w:r>
    </w:p>
    <w:p w14:paraId="1CC06821">
      <w:pPr>
        <w:ind w:firstLine="560" w:firstLineChars="200"/>
        <w:rPr>
          <w:rFonts w:hint="eastAsia" w:ascii="宋体" w:hAnsi="宋体" w:eastAsia="宋体" w:cs="宋体"/>
          <w:sz w:val="28"/>
          <w:szCs w:val="36"/>
        </w:rPr>
      </w:pPr>
      <w:r>
        <w:rPr>
          <w:rFonts w:hint="eastAsia" w:ascii="宋体" w:hAnsi="宋体" w:eastAsia="宋体" w:cs="宋体"/>
          <w:sz w:val="28"/>
          <w:szCs w:val="36"/>
        </w:rPr>
        <w:t>2. 损失赔偿违约：给甲方造成医疗事故或其他损失的，乙方应承担全部责任，甲方有权要求乙方支付合同总价款20%的违约金，违约金不足以弥补损失的，乙方应全额弥补。甲方因此遭受索赔的，有权向乙方全额追偿，追偿产生的一切成本费用包括但不限于律师费、诉讼费、交通费、保全费等均由乙方承担。</w:t>
      </w:r>
    </w:p>
    <w:p w14:paraId="52E251CB">
      <w:pPr>
        <w:ind w:firstLine="560" w:firstLineChars="200"/>
        <w:rPr>
          <w:rFonts w:hint="eastAsia" w:ascii="宋体" w:hAnsi="宋体" w:eastAsia="宋体" w:cs="宋体"/>
          <w:sz w:val="28"/>
          <w:szCs w:val="36"/>
        </w:rPr>
      </w:pPr>
      <w:r>
        <w:rPr>
          <w:rFonts w:hint="eastAsia" w:ascii="宋体" w:hAnsi="宋体" w:eastAsia="宋体" w:cs="宋体"/>
          <w:sz w:val="28"/>
          <w:szCs w:val="36"/>
        </w:rPr>
        <w:t>3. 供货不及时违约：乙方接到甲方需求在24小时内配送和紧急情况下6小时内配送，到货时间每逾期一次，甲方将在当月货款中扣除500元。一月内逾期达到2次及以上的，甲方将在当月货款中扣除总金额的5％。合同期内累计逾期达到3次及以上的，甲方有权要求乙方支付合同总价款20%的违约金，违约金不足以弥补损失的，乙方应全额弥补。</w:t>
      </w:r>
    </w:p>
    <w:p w14:paraId="74480228">
      <w:pPr>
        <w:ind w:firstLine="560" w:firstLineChars="200"/>
        <w:rPr>
          <w:rFonts w:hint="eastAsia" w:ascii="宋体" w:hAnsi="宋体" w:eastAsia="宋体" w:cs="宋体"/>
          <w:sz w:val="28"/>
          <w:szCs w:val="36"/>
        </w:rPr>
      </w:pPr>
      <w:r>
        <w:rPr>
          <w:rFonts w:hint="eastAsia" w:ascii="宋体" w:hAnsi="宋体" w:eastAsia="宋体" w:cs="宋体"/>
          <w:sz w:val="28"/>
          <w:szCs w:val="36"/>
          <w:lang w:val="en-US" w:eastAsia="zh-CN"/>
        </w:rPr>
        <w:t>4.</w:t>
      </w:r>
      <w:r>
        <w:rPr>
          <w:rFonts w:hint="eastAsia" w:ascii="宋体" w:hAnsi="宋体" w:eastAsia="宋体" w:cs="宋体"/>
          <w:sz w:val="28"/>
          <w:szCs w:val="36"/>
        </w:rPr>
        <w:t>乙方如遇特殊原因，出现库存不足时，应优先无条件保障采购人用氧需求与供应，若发生1次未能保障时，采购人有权另行寻找其他供应商配送，并扣除履约保证金总金额的50％不予以退换或给予当批次货款相同金额的扣款。</w:t>
      </w:r>
    </w:p>
    <w:p w14:paraId="3A338191">
      <w:pPr>
        <w:ind w:firstLine="560" w:firstLineChars="200"/>
        <w:rPr>
          <w:rFonts w:hint="eastAsia" w:ascii="宋体" w:hAnsi="宋体" w:eastAsia="宋体" w:cs="宋体"/>
          <w:sz w:val="28"/>
          <w:szCs w:val="36"/>
        </w:rPr>
      </w:pPr>
      <w:r>
        <w:rPr>
          <w:rFonts w:hint="eastAsia" w:ascii="宋体" w:hAnsi="宋体" w:eastAsia="宋体" w:cs="宋体"/>
          <w:sz w:val="28"/>
          <w:szCs w:val="36"/>
          <w:lang w:val="en-US" w:eastAsia="zh-CN"/>
        </w:rPr>
        <w:t>5</w:t>
      </w:r>
      <w:r>
        <w:rPr>
          <w:rFonts w:hint="eastAsia" w:ascii="宋体" w:hAnsi="宋体" w:eastAsia="宋体" w:cs="宋体"/>
          <w:sz w:val="28"/>
          <w:szCs w:val="36"/>
        </w:rPr>
        <w:t>.安全问题违约：如乙方违反国家对危化品管理、特种设备管理要求生产、运输或人员未持证上岗等造成安全事故给甲方或第三方造成财产损失或人身损害的，乙方应承担全部经济赔偿责任和法律责任，履约金不足以弥补损失的，乙方应全额弥补。甲方因此遭受罚款或第三方索赔的，有权向乙方全额追偿，追偿产生的一切成本费用包括但不限于律师费、诉讼费、交通费、保全费等均由乙方承担。</w:t>
      </w:r>
    </w:p>
    <w:p w14:paraId="25535CBA">
      <w:pPr>
        <w:ind w:firstLine="560" w:firstLineChars="200"/>
        <w:rPr>
          <w:rFonts w:hint="eastAsia"/>
        </w:rPr>
      </w:pPr>
      <w:r>
        <w:rPr>
          <w:rFonts w:hint="eastAsia" w:ascii="宋体" w:hAnsi="宋体" w:eastAsia="宋体" w:cs="宋体"/>
          <w:sz w:val="28"/>
          <w:szCs w:val="36"/>
          <w:lang w:val="en-US" w:eastAsia="zh-CN"/>
        </w:rPr>
        <w:t>6</w:t>
      </w:r>
      <w:r>
        <w:rPr>
          <w:rFonts w:hint="eastAsia" w:ascii="宋体" w:hAnsi="宋体" w:eastAsia="宋体" w:cs="宋体"/>
          <w:sz w:val="28"/>
          <w:szCs w:val="36"/>
        </w:rPr>
        <w:t>.乙方拒绝承担违约责任的，甲方有权通过法律途径向乙方追偿，追偿产生的费用包括但不限于律师费、诉讼费等均由乙方承担。</w:t>
      </w:r>
    </w:p>
    <w:p w14:paraId="2E118859">
      <w:pPr>
        <w:rPr>
          <w:rFonts w:hint="eastAsia"/>
        </w:rPr>
      </w:pPr>
    </w:p>
    <w:p w14:paraId="6D5B2191">
      <w:pPr>
        <w:rPr>
          <w:rFonts w:hint="eastAsia" w:ascii="黑体" w:hAnsi="黑体" w:eastAsia="黑体" w:cs="黑体"/>
          <w:sz w:val="32"/>
          <w:szCs w:val="40"/>
        </w:rPr>
      </w:pPr>
      <w:r>
        <w:rPr>
          <w:rFonts w:hint="eastAsia" w:ascii="黑体" w:hAnsi="黑体" w:eastAsia="黑体" w:cs="黑体"/>
          <w:sz w:val="32"/>
          <w:szCs w:val="40"/>
          <w:lang w:eastAsia="zh-CN"/>
        </w:rPr>
        <w:t>八</w:t>
      </w:r>
      <w:r>
        <w:rPr>
          <w:rFonts w:hint="eastAsia" w:ascii="黑体" w:hAnsi="黑体" w:eastAsia="黑体" w:cs="黑体"/>
          <w:sz w:val="32"/>
          <w:szCs w:val="40"/>
        </w:rPr>
        <w:t>、不可抗事件处理</w:t>
      </w:r>
    </w:p>
    <w:p w14:paraId="23C89CC4">
      <w:pPr>
        <w:ind w:firstLine="560" w:firstLineChars="200"/>
        <w:rPr>
          <w:rFonts w:hint="eastAsia" w:ascii="宋体" w:hAnsi="宋体" w:eastAsia="宋体" w:cs="宋体"/>
          <w:sz w:val="28"/>
          <w:szCs w:val="36"/>
        </w:rPr>
      </w:pPr>
      <w:r>
        <w:rPr>
          <w:rFonts w:hint="eastAsia" w:ascii="宋体" w:hAnsi="宋体" w:eastAsia="宋体" w:cs="宋体"/>
          <w:sz w:val="28"/>
          <w:szCs w:val="36"/>
        </w:rPr>
        <w:t>1. 在合同有效期内，任何一方因战争、洪灾、台风、地震等不可抗力事件导致不能履行合同，则合同履行期可延长，其延长期与不可抗力事件影响期相同。</w:t>
      </w:r>
    </w:p>
    <w:p w14:paraId="44616AF5">
      <w:pPr>
        <w:ind w:firstLine="560" w:firstLineChars="200"/>
        <w:rPr>
          <w:rFonts w:hint="eastAsia" w:ascii="宋体" w:hAnsi="宋体" w:eastAsia="宋体" w:cs="宋体"/>
          <w:sz w:val="28"/>
          <w:szCs w:val="36"/>
        </w:rPr>
      </w:pPr>
      <w:r>
        <w:rPr>
          <w:rFonts w:hint="eastAsia" w:ascii="宋体" w:hAnsi="宋体" w:eastAsia="宋体" w:cs="宋体"/>
          <w:sz w:val="28"/>
          <w:szCs w:val="36"/>
        </w:rPr>
        <w:t>2. 受阻一方应在不可抗事件发生后尽快用电话通知对方并于事故发生后7天内将有关部门出具的证明文件等用特快专递或挂号信寄给对方审阅确认。</w:t>
      </w:r>
    </w:p>
    <w:p w14:paraId="48DAE0CD">
      <w:pPr>
        <w:ind w:firstLine="560" w:firstLineChars="200"/>
        <w:rPr>
          <w:rFonts w:hint="eastAsia" w:ascii="宋体" w:hAnsi="宋体" w:eastAsia="宋体" w:cs="宋体"/>
          <w:sz w:val="28"/>
          <w:szCs w:val="36"/>
        </w:rPr>
      </w:pPr>
      <w:r>
        <w:rPr>
          <w:rFonts w:hint="eastAsia" w:ascii="宋体" w:hAnsi="宋体" w:eastAsia="宋体" w:cs="宋体"/>
          <w:sz w:val="28"/>
          <w:szCs w:val="36"/>
        </w:rPr>
        <w:t>3. 不可抗事件延续30天以上，双方应通过友好协商，确定是否继续履行合同。</w:t>
      </w:r>
    </w:p>
    <w:p w14:paraId="4D657C2E">
      <w:pPr>
        <w:rPr>
          <w:rFonts w:hint="eastAsia" w:ascii="黑体" w:hAnsi="黑体" w:eastAsia="黑体" w:cs="黑体"/>
          <w:sz w:val="32"/>
          <w:szCs w:val="32"/>
        </w:rPr>
      </w:pPr>
      <w:r>
        <w:rPr>
          <w:rFonts w:hint="eastAsia" w:ascii="黑体" w:hAnsi="黑体" w:eastAsia="黑体" w:cs="黑体"/>
          <w:sz w:val="32"/>
          <w:szCs w:val="32"/>
          <w:lang w:eastAsia="zh-CN"/>
        </w:rPr>
        <w:t>九</w:t>
      </w:r>
      <w:r>
        <w:rPr>
          <w:rFonts w:hint="eastAsia" w:ascii="黑体" w:hAnsi="黑体" w:eastAsia="黑体" w:cs="黑体"/>
          <w:sz w:val="32"/>
          <w:szCs w:val="32"/>
        </w:rPr>
        <w:t>、争议解决办法</w:t>
      </w:r>
    </w:p>
    <w:p w14:paraId="6D0E154E">
      <w:pPr>
        <w:ind w:firstLine="560" w:firstLineChars="200"/>
        <w:rPr>
          <w:rFonts w:hint="eastAsia"/>
          <w:sz w:val="28"/>
          <w:szCs w:val="28"/>
        </w:rPr>
      </w:pPr>
      <w:r>
        <w:rPr>
          <w:rFonts w:hint="eastAsia"/>
          <w:sz w:val="28"/>
          <w:szCs w:val="28"/>
        </w:rPr>
        <w:t>因本合同发生争议的，甲乙双方可协商解决，协商不成的，双方均有权向甲方所在地有管辖权的人民法院提起诉讼。</w:t>
      </w:r>
    </w:p>
    <w:p w14:paraId="482A9D75">
      <w:pPr>
        <w:rPr>
          <w:rFonts w:hint="eastAsia" w:ascii="黑体" w:hAnsi="黑体" w:eastAsia="黑体" w:cs="黑体"/>
          <w:sz w:val="32"/>
          <w:szCs w:val="40"/>
        </w:rPr>
      </w:pPr>
      <w:r>
        <w:rPr>
          <w:rFonts w:hint="eastAsia" w:ascii="黑体" w:hAnsi="黑体" w:eastAsia="黑体" w:cs="黑体"/>
          <w:sz w:val="32"/>
          <w:szCs w:val="40"/>
        </w:rPr>
        <w:t>十、送达条款</w:t>
      </w:r>
    </w:p>
    <w:p w14:paraId="36E48A85">
      <w:pPr>
        <w:rPr>
          <w:rFonts w:hint="eastAsia"/>
        </w:rPr>
      </w:pPr>
    </w:p>
    <w:p w14:paraId="22B2139D">
      <w:pPr>
        <w:ind w:firstLine="560" w:firstLineChars="200"/>
        <w:rPr>
          <w:rFonts w:hint="eastAsia" w:ascii="宋体" w:hAnsi="宋体" w:eastAsia="宋体" w:cs="宋体"/>
          <w:sz w:val="28"/>
          <w:szCs w:val="36"/>
        </w:rPr>
      </w:pPr>
      <w:r>
        <w:rPr>
          <w:rFonts w:hint="eastAsia" w:ascii="宋体" w:hAnsi="宋体" w:eastAsia="宋体" w:cs="宋体"/>
          <w:sz w:val="28"/>
          <w:szCs w:val="36"/>
        </w:rPr>
        <w:t>甲方指定联系人、电话、邮箱，地址：宜宾市南岸外江路2号，接收对方函件、文件。</w:t>
      </w:r>
    </w:p>
    <w:p w14:paraId="38F854AF">
      <w:pPr>
        <w:ind w:firstLine="560" w:firstLineChars="200"/>
        <w:rPr>
          <w:rFonts w:hint="eastAsia" w:ascii="宋体" w:hAnsi="宋体" w:eastAsia="宋体" w:cs="宋体"/>
          <w:sz w:val="28"/>
          <w:szCs w:val="36"/>
        </w:rPr>
      </w:pPr>
      <w:r>
        <w:rPr>
          <w:rFonts w:hint="eastAsia" w:ascii="宋体" w:hAnsi="宋体" w:eastAsia="宋体" w:cs="宋体"/>
          <w:sz w:val="28"/>
          <w:szCs w:val="36"/>
        </w:rPr>
        <w:t>乙方指定联系人、电话、邮箱，地址：__________，接收对方函件、文件。</w:t>
      </w:r>
    </w:p>
    <w:p w14:paraId="1B253074">
      <w:pPr>
        <w:rPr>
          <w:rFonts w:hint="eastAsia" w:ascii="宋体" w:hAnsi="宋体" w:eastAsia="宋体" w:cs="宋体"/>
          <w:sz w:val="28"/>
          <w:szCs w:val="36"/>
        </w:rPr>
      </w:pPr>
      <w:r>
        <w:rPr>
          <w:rFonts w:hint="eastAsia" w:ascii="宋体" w:hAnsi="宋体" w:eastAsia="宋体" w:cs="宋体"/>
          <w:sz w:val="28"/>
          <w:szCs w:val="36"/>
        </w:rPr>
        <w:t>任何一方不得拒收，或以未收到为由进行抗辩。</w:t>
      </w:r>
    </w:p>
    <w:p w14:paraId="212DE097">
      <w:pPr>
        <w:rPr>
          <w:rFonts w:hint="eastAsia" w:ascii="黑体" w:hAnsi="黑体" w:eastAsia="黑体" w:cs="黑体"/>
          <w:sz w:val="32"/>
          <w:szCs w:val="40"/>
        </w:rPr>
      </w:pPr>
      <w:r>
        <w:rPr>
          <w:rFonts w:hint="eastAsia" w:ascii="黑体" w:hAnsi="黑体" w:eastAsia="黑体" w:cs="黑体"/>
          <w:sz w:val="32"/>
          <w:szCs w:val="40"/>
        </w:rPr>
        <w:t>十</w:t>
      </w:r>
      <w:r>
        <w:rPr>
          <w:rFonts w:hint="eastAsia" w:ascii="黑体" w:hAnsi="黑体" w:eastAsia="黑体" w:cs="黑体"/>
          <w:sz w:val="32"/>
          <w:szCs w:val="40"/>
          <w:lang w:eastAsia="zh-CN"/>
        </w:rPr>
        <w:t>一</w:t>
      </w:r>
      <w:r>
        <w:rPr>
          <w:rFonts w:hint="eastAsia" w:ascii="黑体" w:hAnsi="黑体" w:eastAsia="黑体" w:cs="黑体"/>
          <w:sz w:val="32"/>
          <w:szCs w:val="40"/>
        </w:rPr>
        <w:t>、合同生效及其他</w:t>
      </w:r>
    </w:p>
    <w:p w14:paraId="33CB5BDC">
      <w:pPr>
        <w:ind w:firstLine="560" w:firstLineChars="200"/>
        <w:rPr>
          <w:rFonts w:hint="eastAsia" w:ascii="宋体" w:hAnsi="宋体" w:eastAsia="宋体" w:cs="宋体"/>
          <w:sz w:val="28"/>
          <w:szCs w:val="36"/>
        </w:rPr>
      </w:pPr>
      <w:r>
        <w:rPr>
          <w:rFonts w:hint="eastAsia" w:ascii="宋体" w:hAnsi="宋体" w:eastAsia="宋体" w:cs="宋体"/>
          <w:sz w:val="28"/>
          <w:szCs w:val="36"/>
        </w:rPr>
        <w:t>1. 本合同经甲乙双方法定代表人（或主要负责人）或授权代表签字并加盖公章后生效。</w:t>
      </w:r>
    </w:p>
    <w:p w14:paraId="03E59635">
      <w:pPr>
        <w:ind w:firstLine="560" w:firstLineChars="200"/>
        <w:rPr>
          <w:rFonts w:hint="eastAsia" w:ascii="宋体" w:hAnsi="宋体" w:eastAsia="宋体" w:cs="宋体"/>
          <w:sz w:val="28"/>
          <w:szCs w:val="36"/>
        </w:rPr>
      </w:pPr>
      <w:r>
        <w:rPr>
          <w:rFonts w:hint="eastAsia" w:ascii="宋体" w:hAnsi="宋体" w:eastAsia="宋体" w:cs="宋体"/>
          <w:sz w:val="28"/>
          <w:szCs w:val="36"/>
        </w:rPr>
        <w:t>2. 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16255FDD">
      <w:pPr>
        <w:ind w:firstLine="560" w:firstLineChars="200"/>
        <w:rPr>
          <w:rFonts w:hint="eastAsia" w:ascii="宋体" w:hAnsi="宋体" w:eastAsia="宋体" w:cs="宋体"/>
          <w:sz w:val="28"/>
          <w:szCs w:val="36"/>
        </w:rPr>
      </w:pPr>
      <w:r>
        <w:rPr>
          <w:rFonts w:hint="eastAsia" w:ascii="宋体" w:hAnsi="宋体" w:eastAsia="宋体" w:cs="宋体"/>
          <w:sz w:val="28"/>
          <w:szCs w:val="36"/>
        </w:rPr>
        <w:t>3. 本合同一式</w:t>
      </w:r>
      <w:r>
        <w:rPr>
          <w:rFonts w:hint="eastAsia" w:ascii="宋体" w:hAnsi="宋体" w:cs="宋体"/>
          <w:sz w:val="28"/>
          <w:szCs w:val="36"/>
          <w:lang w:eastAsia="zh-CN"/>
        </w:rPr>
        <w:t>肆</w:t>
      </w:r>
      <w:r>
        <w:rPr>
          <w:rFonts w:hint="eastAsia" w:ascii="宋体" w:hAnsi="宋体" w:eastAsia="宋体" w:cs="宋体"/>
          <w:sz w:val="28"/>
          <w:szCs w:val="36"/>
        </w:rPr>
        <w:t>份，甲方持有</w:t>
      </w:r>
      <w:r>
        <w:rPr>
          <w:rFonts w:hint="eastAsia" w:ascii="宋体" w:hAnsi="宋体" w:cs="宋体"/>
          <w:sz w:val="28"/>
          <w:szCs w:val="36"/>
          <w:lang w:eastAsia="zh-CN"/>
        </w:rPr>
        <w:t>叁</w:t>
      </w:r>
      <w:r>
        <w:rPr>
          <w:rFonts w:hint="eastAsia" w:ascii="宋体" w:hAnsi="宋体" w:eastAsia="宋体" w:cs="宋体"/>
          <w:sz w:val="28"/>
          <w:szCs w:val="36"/>
        </w:rPr>
        <w:t>份，乙方持有壹份，每份具有同等法律效力。</w:t>
      </w:r>
    </w:p>
    <w:p w14:paraId="2FF8C3D9">
      <w:pPr>
        <w:rPr>
          <w:rFonts w:hint="eastAsia" w:ascii="黑体" w:hAnsi="黑体" w:eastAsia="黑体" w:cs="黑体"/>
          <w:sz w:val="32"/>
          <w:szCs w:val="40"/>
        </w:rPr>
      </w:pPr>
      <w:r>
        <w:rPr>
          <w:rFonts w:hint="eastAsia" w:ascii="黑体" w:hAnsi="黑体" w:eastAsia="黑体" w:cs="黑体"/>
          <w:sz w:val="32"/>
          <w:szCs w:val="40"/>
        </w:rPr>
        <w:t>十</w:t>
      </w:r>
      <w:r>
        <w:rPr>
          <w:rFonts w:hint="eastAsia" w:ascii="黑体" w:hAnsi="黑体" w:eastAsia="黑体" w:cs="黑体"/>
          <w:sz w:val="32"/>
          <w:szCs w:val="40"/>
          <w:lang w:eastAsia="zh-CN"/>
        </w:rPr>
        <w:t>二</w:t>
      </w:r>
      <w:r>
        <w:rPr>
          <w:rFonts w:hint="eastAsia" w:ascii="黑体" w:hAnsi="黑体" w:eastAsia="黑体" w:cs="黑体"/>
          <w:sz w:val="32"/>
          <w:szCs w:val="40"/>
        </w:rPr>
        <w:t>、附件</w:t>
      </w:r>
    </w:p>
    <w:p w14:paraId="31F39274">
      <w:pPr>
        <w:ind w:firstLine="560" w:firstLineChars="200"/>
        <w:rPr>
          <w:rFonts w:hint="eastAsia" w:ascii="宋体" w:hAnsi="宋体" w:eastAsia="宋体" w:cs="宋体"/>
          <w:sz w:val="28"/>
          <w:szCs w:val="36"/>
        </w:rPr>
      </w:pPr>
      <w:r>
        <w:rPr>
          <w:rFonts w:hint="eastAsia" w:ascii="宋体" w:hAnsi="宋体" w:eastAsia="宋体" w:cs="宋体"/>
          <w:sz w:val="28"/>
          <w:szCs w:val="36"/>
        </w:rPr>
        <w:t>1、《买卖廉洁协议书》《宜宾市第四人民医院医用气体（）月验收考核表》《宜宾市第四人民医院医用气体年年终考核表》为合同附件，与本合同具有同等法律效力。</w:t>
      </w:r>
    </w:p>
    <w:p w14:paraId="1FF4B412">
      <w:pPr>
        <w:ind w:firstLine="560" w:firstLineChars="200"/>
        <w:rPr>
          <w:rFonts w:hint="eastAsia" w:ascii="宋体" w:hAnsi="宋体" w:eastAsia="宋体" w:cs="宋体"/>
          <w:sz w:val="28"/>
          <w:szCs w:val="36"/>
        </w:rPr>
      </w:pPr>
      <w:r>
        <w:rPr>
          <w:rFonts w:hint="eastAsia" w:ascii="宋体" w:hAnsi="宋体" w:eastAsia="宋体" w:cs="宋体"/>
          <w:sz w:val="28"/>
          <w:szCs w:val="36"/>
        </w:rPr>
        <w:t>2、甲乙双方营业执照。</w:t>
      </w:r>
    </w:p>
    <w:p w14:paraId="0143FC2E">
      <w:pPr>
        <w:rPr>
          <w:rFonts w:hint="eastAsia"/>
        </w:rPr>
      </w:pPr>
    </w:p>
    <w:p w14:paraId="71BD3D5F">
      <w:pPr>
        <w:rPr>
          <w:rFonts w:hint="eastAsia" w:ascii="宋体" w:hAnsi="宋体" w:eastAsia="宋体" w:cs="宋体"/>
          <w:sz w:val="28"/>
          <w:szCs w:val="36"/>
        </w:rPr>
      </w:pPr>
      <w:r>
        <w:rPr>
          <w:rFonts w:hint="eastAsia" w:ascii="宋体" w:hAnsi="宋体" w:eastAsia="宋体" w:cs="宋体"/>
          <w:sz w:val="28"/>
          <w:szCs w:val="36"/>
        </w:rPr>
        <w:t>甲方：宜宾市第四人民医院 （盖章）</w:t>
      </w:r>
    </w:p>
    <w:p w14:paraId="78B89A0E">
      <w:pPr>
        <w:rPr>
          <w:rFonts w:hint="eastAsia" w:ascii="宋体" w:hAnsi="宋体" w:eastAsia="宋体" w:cs="宋体"/>
          <w:sz w:val="28"/>
          <w:szCs w:val="36"/>
        </w:rPr>
      </w:pPr>
      <w:r>
        <w:rPr>
          <w:rFonts w:hint="eastAsia" w:ascii="宋体" w:hAnsi="宋体" w:eastAsia="宋体" w:cs="宋体"/>
          <w:sz w:val="28"/>
          <w:szCs w:val="36"/>
        </w:rPr>
        <w:t>法定代表人或主要负责人（授权代表）：</w:t>
      </w:r>
    </w:p>
    <w:p w14:paraId="00B03AB1">
      <w:pPr>
        <w:rPr>
          <w:rFonts w:hint="eastAsia" w:ascii="宋体" w:hAnsi="宋体" w:eastAsia="宋体" w:cs="宋体"/>
          <w:sz w:val="28"/>
          <w:szCs w:val="36"/>
        </w:rPr>
      </w:pPr>
      <w:r>
        <w:rPr>
          <w:rFonts w:hint="eastAsia" w:ascii="宋体" w:hAnsi="宋体" w:eastAsia="宋体" w:cs="宋体"/>
          <w:sz w:val="28"/>
          <w:szCs w:val="36"/>
        </w:rPr>
        <w:t>地址：</w:t>
      </w:r>
    </w:p>
    <w:p w14:paraId="143F8B36">
      <w:pPr>
        <w:rPr>
          <w:rFonts w:hint="eastAsia" w:ascii="宋体" w:hAnsi="宋体" w:eastAsia="宋体" w:cs="宋体"/>
          <w:sz w:val="28"/>
          <w:szCs w:val="36"/>
        </w:rPr>
      </w:pPr>
      <w:r>
        <w:rPr>
          <w:rFonts w:hint="eastAsia" w:ascii="宋体" w:hAnsi="宋体" w:eastAsia="宋体" w:cs="宋体"/>
          <w:sz w:val="28"/>
          <w:szCs w:val="36"/>
        </w:rPr>
        <w:t>开户银行：</w:t>
      </w:r>
    </w:p>
    <w:p w14:paraId="5309AE6C">
      <w:pPr>
        <w:rPr>
          <w:rFonts w:hint="eastAsia" w:ascii="宋体" w:hAnsi="宋体" w:eastAsia="宋体" w:cs="宋体"/>
          <w:sz w:val="28"/>
          <w:szCs w:val="36"/>
        </w:rPr>
      </w:pPr>
      <w:r>
        <w:rPr>
          <w:rFonts w:hint="eastAsia" w:ascii="宋体" w:hAnsi="宋体" w:eastAsia="宋体" w:cs="宋体"/>
          <w:sz w:val="28"/>
          <w:szCs w:val="36"/>
        </w:rPr>
        <w:t>账号：</w:t>
      </w:r>
    </w:p>
    <w:p w14:paraId="032679A0">
      <w:pPr>
        <w:rPr>
          <w:rFonts w:hint="eastAsia" w:ascii="宋体" w:hAnsi="宋体" w:eastAsia="宋体" w:cs="宋体"/>
          <w:sz w:val="28"/>
          <w:szCs w:val="36"/>
        </w:rPr>
      </w:pPr>
      <w:r>
        <w:rPr>
          <w:rFonts w:hint="eastAsia" w:ascii="宋体" w:hAnsi="宋体" w:eastAsia="宋体" w:cs="宋体"/>
          <w:sz w:val="28"/>
          <w:szCs w:val="36"/>
        </w:rPr>
        <w:t>签订时间：____年__月__日</w:t>
      </w:r>
    </w:p>
    <w:p w14:paraId="47BE8D26">
      <w:pPr>
        <w:rPr>
          <w:rFonts w:hint="eastAsia" w:ascii="宋体" w:hAnsi="宋体" w:eastAsia="宋体" w:cs="宋体"/>
          <w:sz w:val="28"/>
          <w:szCs w:val="36"/>
        </w:rPr>
      </w:pPr>
    </w:p>
    <w:p w14:paraId="256DC4AA">
      <w:pPr>
        <w:rPr>
          <w:rFonts w:hint="eastAsia" w:ascii="宋体" w:hAnsi="宋体" w:eastAsia="宋体" w:cs="宋体"/>
          <w:sz w:val="28"/>
          <w:szCs w:val="36"/>
        </w:rPr>
      </w:pPr>
      <w:r>
        <w:rPr>
          <w:rFonts w:hint="eastAsia" w:ascii="宋体" w:hAnsi="宋体" w:eastAsia="宋体" w:cs="宋体"/>
          <w:sz w:val="28"/>
          <w:szCs w:val="36"/>
        </w:rPr>
        <w:t>乙方：(盖章）</w:t>
      </w:r>
    </w:p>
    <w:p w14:paraId="5F866E88">
      <w:pPr>
        <w:rPr>
          <w:rFonts w:hint="eastAsia" w:ascii="宋体" w:hAnsi="宋体" w:eastAsia="宋体" w:cs="宋体"/>
          <w:sz w:val="28"/>
          <w:szCs w:val="36"/>
        </w:rPr>
      </w:pPr>
      <w:r>
        <w:rPr>
          <w:rFonts w:hint="eastAsia" w:ascii="宋体" w:hAnsi="宋体" w:eastAsia="宋体" w:cs="宋体"/>
          <w:sz w:val="28"/>
          <w:szCs w:val="36"/>
        </w:rPr>
        <w:t>法定代表人或主要负责人（授权代表）：</w:t>
      </w:r>
    </w:p>
    <w:p w14:paraId="00AC67E2">
      <w:pPr>
        <w:rPr>
          <w:rFonts w:hint="eastAsia" w:ascii="宋体" w:hAnsi="宋体" w:eastAsia="宋体" w:cs="宋体"/>
          <w:sz w:val="28"/>
          <w:szCs w:val="36"/>
        </w:rPr>
      </w:pPr>
      <w:r>
        <w:rPr>
          <w:rFonts w:hint="eastAsia" w:ascii="宋体" w:hAnsi="宋体" w:eastAsia="宋体" w:cs="宋体"/>
          <w:sz w:val="28"/>
          <w:szCs w:val="36"/>
        </w:rPr>
        <w:t>地址：</w:t>
      </w:r>
    </w:p>
    <w:p w14:paraId="2AC19D57">
      <w:pPr>
        <w:rPr>
          <w:rFonts w:hint="eastAsia" w:ascii="宋体" w:hAnsi="宋体" w:eastAsia="宋体" w:cs="宋体"/>
          <w:sz w:val="28"/>
          <w:szCs w:val="36"/>
        </w:rPr>
      </w:pPr>
      <w:r>
        <w:rPr>
          <w:rFonts w:hint="eastAsia" w:ascii="宋体" w:hAnsi="宋体" w:eastAsia="宋体" w:cs="宋体"/>
          <w:sz w:val="28"/>
          <w:szCs w:val="36"/>
        </w:rPr>
        <w:t>开户银行：</w:t>
      </w:r>
    </w:p>
    <w:p w14:paraId="2F1273EB">
      <w:pPr>
        <w:rPr>
          <w:rFonts w:hint="eastAsia" w:ascii="宋体" w:hAnsi="宋体" w:eastAsia="宋体" w:cs="宋体"/>
          <w:sz w:val="28"/>
          <w:szCs w:val="36"/>
        </w:rPr>
      </w:pPr>
      <w:r>
        <w:rPr>
          <w:rFonts w:hint="eastAsia" w:ascii="宋体" w:hAnsi="宋体" w:eastAsia="宋体" w:cs="宋体"/>
          <w:sz w:val="28"/>
          <w:szCs w:val="36"/>
        </w:rPr>
        <w:t>账号：</w:t>
      </w:r>
    </w:p>
    <w:p w14:paraId="6ADF2C70">
      <w:pPr>
        <w:rPr>
          <w:rFonts w:hint="eastAsia" w:ascii="宋体" w:hAnsi="宋体" w:eastAsia="宋体" w:cs="宋体"/>
          <w:sz w:val="28"/>
          <w:szCs w:val="36"/>
        </w:rPr>
      </w:pPr>
      <w:r>
        <w:rPr>
          <w:rFonts w:hint="eastAsia" w:ascii="宋体" w:hAnsi="宋体" w:eastAsia="宋体" w:cs="宋体"/>
          <w:sz w:val="28"/>
          <w:szCs w:val="36"/>
        </w:rPr>
        <w:t>签订时间：____年__月__日</w:t>
      </w:r>
    </w:p>
    <w:p w14:paraId="74CDB8A5">
      <w:pPr>
        <w:rPr>
          <w:rFonts w:hint="eastAsia"/>
        </w:rPr>
      </w:pPr>
    </w:p>
    <w:p w14:paraId="7257E09A">
      <w:pPr>
        <w:rPr>
          <w:rFonts w:hint="eastAsia"/>
        </w:rPr>
      </w:pPr>
    </w:p>
    <w:p w14:paraId="05C42C65">
      <w:pPr>
        <w:rPr>
          <w:rFonts w:hint="eastAsia"/>
        </w:rPr>
      </w:pPr>
    </w:p>
    <w:p w14:paraId="4AF465C1">
      <w:pPr>
        <w:rPr>
          <w:rFonts w:hint="eastAsia"/>
        </w:rPr>
      </w:pPr>
    </w:p>
    <w:p w14:paraId="12509E7A">
      <w:pPr>
        <w:rPr>
          <w:rFonts w:hint="eastAsia"/>
        </w:rPr>
      </w:pPr>
    </w:p>
    <w:p w14:paraId="4A8DC3F8">
      <w:pPr>
        <w:rPr>
          <w:rFonts w:hint="eastAsia" w:ascii="宋体" w:hAnsi="宋体" w:eastAsia="宋体" w:cs="宋体"/>
          <w:sz w:val="32"/>
          <w:szCs w:val="40"/>
        </w:rPr>
      </w:pPr>
      <w:r>
        <w:rPr>
          <w:rFonts w:hint="eastAsia" w:ascii="宋体" w:hAnsi="宋体" w:eastAsia="宋体" w:cs="宋体"/>
          <w:sz w:val="32"/>
          <w:szCs w:val="40"/>
        </w:rPr>
        <w:t>附件1：</w:t>
      </w:r>
    </w:p>
    <w:p w14:paraId="4882C34D">
      <w:pPr>
        <w:ind w:firstLine="440" w:firstLineChars="100"/>
        <w:jc w:val="center"/>
        <w:rPr>
          <w:rFonts w:hint="eastAsia"/>
          <w:sz w:val="44"/>
          <w:szCs w:val="44"/>
        </w:rPr>
      </w:pPr>
      <w:r>
        <w:rPr>
          <w:rFonts w:hint="eastAsia"/>
          <w:sz w:val="44"/>
          <w:szCs w:val="44"/>
        </w:rPr>
        <w:t>买卖廉洁协议书</w:t>
      </w:r>
    </w:p>
    <w:p w14:paraId="0BC1A6E3">
      <w:pPr>
        <w:rPr>
          <w:rFonts w:hint="eastAsia"/>
        </w:rPr>
      </w:pPr>
    </w:p>
    <w:p w14:paraId="2012A1B5">
      <w:pPr>
        <w:rPr>
          <w:rFonts w:hint="eastAsia" w:ascii="宋体" w:hAnsi="宋体" w:eastAsia="宋体" w:cs="宋体"/>
          <w:sz w:val="28"/>
          <w:szCs w:val="36"/>
        </w:rPr>
      </w:pPr>
      <w:r>
        <w:rPr>
          <w:rFonts w:hint="eastAsia" w:ascii="宋体" w:hAnsi="宋体" w:eastAsia="宋体" w:cs="宋体"/>
          <w:sz w:val="28"/>
          <w:szCs w:val="36"/>
        </w:rPr>
        <w:t>项目：医用气体配送服务买卖合同</w:t>
      </w:r>
    </w:p>
    <w:p w14:paraId="4D4ADE0D">
      <w:pPr>
        <w:rPr>
          <w:rFonts w:hint="eastAsia" w:ascii="宋体" w:hAnsi="宋体" w:eastAsia="宋体" w:cs="宋体"/>
          <w:sz w:val="28"/>
          <w:szCs w:val="36"/>
        </w:rPr>
      </w:pPr>
      <w:r>
        <w:rPr>
          <w:rFonts w:hint="eastAsia" w:ascii="宋体" w:hAnsi="宋体" w:eastAsia="宋体" w:cs="宋体"/>
          <w:sz w:val="28"/>
          <w:szCs w:val="36"/>
        </w:rPr>
        <w:t>甲方：__________</w:t>
      </w:r>
    </w:p>
    <w:p w14:paraId="4488A5A8">
      <w:pPr>
        <w:rPr>
          <w:rFonts w:hint="eastAsia" w:ascii="宋体" w:hAnsi="宋体" w:eastAsia="宋体" w:cs="宋体"/>
          <w:sz w:val="28"/>
          <w:szCs w:val="36"/>
        </w:rPr>
      </w:pPr>
      <w:r>
        <w:rPr>
          <w:rFonts w:hint="eastAsia" w:ascii="宋体" w:hAnsi="宋体" w:eastAsia="宋体" w:cs="宋体"/>
          <w:sz w:val="28"/>
          <w:szCs w:val="36"/>
        </w:rPr>
        <w:t>乙方：__________</w:t>
      </w:r>
    </w:p>
    <w:p w14:paraId="3DBEB688">
      <w:pPr>
        <w:ind w:firstLine="560" w:firstLineChars="200"/>
        <w:rPr>
          <w:rFonts w:hint="eastAsia" w:ascii="宋体" w:hAnsi="宋体" w:eastAsia="宋体" w:cs="宋体"/>
          <w:sz w:val="28"/>
          <w:szCs w:val="36"/>
        </w:rPr>
      </w:pPr>
      <w:r>
        <w:rPr>
          <w:rFonts w:hint="eastAsia" w:ascii="宋体" w:hAnsi="宋体" w:eastAsia="宋体" w:cs="宋体"/>
          <w:sz w:val="28"/>
          <w:szCs w:val="36"/>
        </w:rPr>
        <w:t>为切实履行党风廉政建设“监督责任”，认真贯彻落实中央、省委省政府、市委市政府关于改进工作作风的各项规定，推进我院政风行风建设和作风常态化。加强我院廉政风险防控，强化对权利运行的制约和监督，进一步规范买卖行为（包括药品、医疗器械、医用耗材、物资、购买各类服务项目、工程建设项目等），自觉讲诚信，懂规矩，守纪律， 预防合同履约过程中违纪违法情况的发生，现经双方协商同意签订买卖廉洁协议书，自觉遵守协议规定：</w:t>
      </w:r>
    </w:p>
    <w:p w14:paraId="4BD61AA3">
      <w:pPr>
        <w:ind w:firstLine="560" w:firstLineChars="200"/>
        <w:rPr>
          <w:rFonts w:hint="eastAsia" w:ascii="宋体" w:hAnsi="宋体" w:eastAsia="宋体" w:cs="宋体"/>
          <w:sz w:val="28"/>
          <w:szCs w:val="36"/>
        </w:rPr>
      </w:pPr>
      <w:r>
        <w:rPr>
          <w:rFonts w:hint="eastAsia" w:ascii="宋体" w:hAnsi="宋体" w:eastAsia="宋体" w:cs="宋体"/>
          <w:sz w:val="28"/>
          <w:szCs w:val="36"/>
        </w:rPr>
        <w:t>一、买卖双方必须遵纪守法，严格执行上级纠正买卖行为中不正之风和治理商业贿赂的有关文件精神；严格执行招标采购制度及相关管理规定。</w:t>
      </w:r>
    </w:p>
    <w:p w14:paraId="5D868DC3">
      <w:pPr>
        <w:ind w:firstLine="560" w:firstLineChars="200"/>
        <w:rPr>
          <w:rFonts w:hint="eastAsia" w:ascii="宋体" w:hAnsi="宋体" w:eastAsia="宋体" w:cs="宋体"/>
          <w:sz w:val="28"/>
          <w:szCs w:val="36"/>
        </w:rPr>
      </w:pPr>
      <w:r>
        <w:rPr>
          <w:rFonts w:hint="eastAsia" w:ascii="宋体" w:hAnsi="宋体" w:eastAsia="宋体" w:cs="宋体"/>
          <w:sz w:val="28"/>
          <w:szCs w:val="36"/>
        </w:rPr>
        <w:t>二、甲方在买卖行为中，不得以任何方式向乙方索取回扣、提成、有价证券、购物卡等，或者索要、收受乙方产品发票价外的赞助，不得要求乙方代支任何费用开支。如甲方工作人员暗示或索要，乙方应拒绝，并有责任如实向甲方纪检监察部门反映情况。</w:t>
      </w:r>
    </w:p>
    <w:p w14:paraId="58F42C6E">
      <w:pPr>
        <w:ind w:firstLine="560" w:firstLineChars="200"/>
        <w:rPr>
          <w:rFonts w:hint="eastAsia" w:ascii="宋体" w:hAnsi="宋体" w:eastAsia="宋体" w:cs="宋体"/>
          <w:sz w:val="28"/>
          <w:szCs w:val="36"/>
        </w:rPr>
      </w:pPr>
      <w:r>
        <w:rPr>
          <w:rFonts w:hint="eastAsia" w:ascii="宋体" w:hAnsi="宋体" w:eastAsia="宋体" w:cs="宋体"/>
          <w:sz w:val="28"/>
          <w:szCs w:val="36"/>
        </w:rPr>
        <w:t>三、甲方工作人员不得替经销商非法统计销售药品和医用耗材使用量等有关信息。</w:t>
      </w:r>
    </w:p>
    <w:p w14:paraId="0DD70553">
      <w:pPr>
        <w:ind w:firstLine="560" w:firstLineChars="200"/>
        <w:rPr>
          <w:rFonts w:hint="eastAsia" w:ascii="宋体" w:hAnsi="宋体" w:eastAsia="宋体" w:cs="宋体"/>
          <w:sz w:val="28"/>
          <w:szCs w:val="36"/>
        </w:rPr>
      </w:pPr>
      <w:r>
        <w:rPr>
          <w:rFonts w:hint="eastAsia" w:ascii="宋体" w:hAnsi="宋体" w:eastAsia="宋体" w:cs="宋体"/>
          <w:sz w:val="28"/>
          <w:szCs w:val="36"/>
        </w:rPr>
        <w:t>四、乙方在销售活动中，要严格执行合同条款，不得以次充好或降低产品质量，做到诚信经营。</w:t>
      </w:r>
    </w:p>
    <w:p w14:paraId="0638E7DB">
      <w:pPr>
        <w:ind w:firstLine="560" w:firstLineChars="200"/>
        <w:rPr>
          <w:rFonts w:hint="eastAsia" w:ascii="宋体" w:hAnsi="宋体" w:eastAsia="宋体" w:cs="宋体"/>
          <w:sz w:val="28"/>
          <w:szCs w:val="36"/>
        </w:rPr>
      </w:pPr>
      <w:r>
        <w:rPr>
          <w:rFonts w:hint="eastAsia" w:ascii="宋体" w:hAnsi="宋体" w:eastAsia="宋体" w:cs="宋体"/>
          <w:sz w:val="28"/>
          <w:szCs w:val="36"/>
        </w:rPr>
        <w:t>五、乙方不得派代表到医院以各种名义和形式推销药品、医疗器械、医用耗材；不得暗中给予甲方回扣；不得以提成和赠送有价证券、现金、购物卡、宴请、娱乐及提供国内或境外学术活动等手段进行商业贿赂，影响甲方工作人员的选择权。</w:t>
      </w:r>
    </w:p>
    <w:p w14:paraId="621B49E0">
      <w:pPr>
        <w:ind w:firstLine="560" w:firstLineChars="200"/>
        <w:rPr>
          <w:rFonts w:hint="eastAsia" w:ascii="宋体" w:hAnsi="宋体" w:eastAsia="宋体" w:cs="宋体"/>
          <w:sz w:val="28"/>
          <w:szCs w:val="36"/>
        </w:rPr>
      </w:pPr>
      <w:r>
        <w:rPr>
          <w:rFonts w:hint="eastAsia" w:ascii="宋体" w:hAnsi="宋体" w:eastAsia="宋体" w:cs="宋体"/>
          <w:sz w:val="28"/>
          <w:szCs w:val="36"/>
        </w:rPr>
        <w:t>六、乙方洽谈业务，必须在工作时间到甲方指定科室或者办公室联系商洽，不得借故到甲方主管领导、部门负责人及相关工作人员家中访谈或向介绍人提供任何好处费。</w:t>
      </w:r>
    </w:p>
    <w:p w14:paraId="45F3C816">
      <w:pPr>
        <w:ind w:firstLine="560" w:firstLineChars="200"/>
        <w:rPr>
          <w:rFonts w:hint="eastAsia" w:ascii="宋体" w:hAnsi="宋体" w:eastAsia="宋体" w:cs="宋体"/>
          <w:sz w:val="28"/>
          <w:szCs w:val="36"/>
        </w:rPr>
      </w:pPr>
      <w:r>
        <w:rPr>
          <w:rFonts w:hint="eastAsia" w:ascii="宋体" w:hAnsi="宋体" w:eastAsia="宋体" w:cs="宋体"/>
          <w:sz w:val="28"/>
          <w:szCs w:val="36"/>
        </w:rPr>
        <w:t>七、甲方工作人员如违反以上条款的，甲方将按国家有关法律、法规规定和有关廉政制度规定给予处理，涉嫌违法的，由执法部门予以处理。</w:t>
      </w:r>
    </w:p>
    <w:p w14:paraId="3CC44694">
      <w:pPr>
        <w:ind w:firstLine="560" w:firstLineChars="200"/>
        <w:rPr>
          <w:rFonts w:hint="eastAsia" w:ascii="宋体" w:hAnsi="宋体" w:eastAsia="宋体" w:cs="宋体"/>
          <w:sz w:val="28"/>
          <w:szCs w:val="36"/>
        </w:rPr>
      </w:pPr>
      <w:r>
        <w:rPr>
          <w:rFonts w:hint="eastAsia" w:ascii="宋体" w:hAnsi="宋体" w:eastAsia="宋体" w:cs="宋体"/>
          <w:sz w:val="28"/>
          <w:szCs w:val="36"/>
        </w:rPr>
        <w:t>八、乙方如违反以上条款，经核实后，甲方有权终止买卖合同，列入“非诚信交易黑名单”。如涉嫌违法的，由执法部门予以处理。</w:t>
      </w:r>
    </w:p>
    <w:p w14:paraId="138F4F28">
      <w:pPr>
        <w:ind w:firstLine="560" w:firstLineChars="200"/>
        <w:rPr>
          <w:rFonts w:hint="eastAsia" w:ascii="宋体" w:hAnsi="宋体" w:eastAsia="宋体" w:cs="宋体"/>
          <w:sz w:val="28"/>
          <w:szCs w:val="36"/>
        </w:rPr>
      </w:pPr>
      <w:r>
        <w:rPr>
          <w:rFonts w:hint="eastAsia" w:ascii="宋体" w:hAnsi="宋体" w:eastAsia="宋体" w:cs="宋体"/>
          <w:sz w:val="28"/>
          <w:szCs w:val="36"/>
        </w:rPr>
        <w:t>九、本协议书作为合同附件，与合同具有同等的法律效力。</w:t>
      </w:r>
    </w:p>
    <w:p w14:paraId="0378F862">
      <w:pPr>
        <w:ind w:firstLine="560" w:firstLineChars="200"/>
        <w:rPr>
          <w:rFonts w:hint="eastAsia" w:ascii="宋体" w:hAnsi="宋体" w:eastAsia="宋体" w:cs="宋体"/>
          <w:sz w:val="28"/>
          <w:szCs w:val="36"/>
        </w:rPr>
      </w:pPr>
      <w:r>
        <w:rPr>
          <w:rFonts w:hint="eastAsia" w:ascii="宋体" w:hAnsi="宋体" w:eastAsia="宋体" w:cs="宋体"/>
          <w:sz w:val="28"/>
          <w:szCs w:val="36"/>
        </w:rPr>
        <w:t>十、本协议书自甲乙双方签字盖章之日起生效。</w:t>
      </w:r>
    </w:p>
    <w:p w14:paraId="6930DD07">
      <w:pPr>
        <w:rPr>
          <w:rFonts w:hint="eastAsia" w:ascii="宋体" w:hAnsi="宋体" w:eastAsia="宋体" w:cs="宋体"/>
          <w:sz w:val="28"/>
          <w:szCs w:val="36"/>
        </w:rPr>
      </w:pPr>
    </w:p>
    <w:p w14:paraId="63645EB5">
      <w:pPr>
        <w:rPr>
          <w:rFonts w:hint="eastAsia" w:ascii="宋体" w:hAnsi="宋体" w:eastAsia="宋体" w:cs="宋体"/>
          <w:sz w:val="28"/>
          <w:szCs w:val="36"/>
        </w:rPr>
      </w:pPr>
      <w:r>
        <w:rPr>
          <w:rFonts w:hint="eastAsia" w:ascii="宋体" w:hAnsi="宋体" w:eastAsia="宋体" w:cs="宋体"/>
          <w:sz w:val="28"/>
          <w:szCs w:val="36"/>
        </w:rPr>
        <w:t>甲方（盖章）:</w:t>
      </w:r>
      <w:r>
        <w:rPr>
          <w:rFonts w:hint="eastAsia" w:ascii="宋体" w:hAnsi="宋体" w:cs="宋体"/>
          <w:sz w:val="28"/>
          <w:szCs w:val="36"/>
          <w:lang w:val="en-US" w:eastAsia="zh-CN"/>
        </w:rPr>
        <w:t xml:space="preserve">                 </w:t>
      </w:r>
      <w:r>
        <w:rPr>
          <w:rFonts w:hint="eastAsia" w:ascii="宋体" w:hAnsi="宋体" w:eastAsia="宋体" w:cs="宋体"/>
          <w:sz w:val="28"/>
          <w:szCs w:val="36"/>
        </w:rPr>
        <w:t>乙方（盖章）：</w:t>
      </w:r>
    </w:p>
    <w:p w14:paraId="114D4A0D">
      <w:pPr>
        <w:rPr>
          <w:rFonts w:hint="eastAsia" w:ascii="宋体" w:hAnsi="宋体" w:eastAsia="宋体" w:cs="宋体"/>
          <w:sz w:val="28"/>
          <w:szCs w:val="36"/>
        </w:rPr>
      </w:pPr>
    </w:p>
    <w:p w14:paraId="670CDA32">
      <w:pPr>
        <w:rPr>
          <w:rFonts w:hint="eastAsia" w:ascii="宋体" w:hAnsi="宋体" w:eastAsia="宋体" w:cs="宋体"/>
          <w:sz w:val="28"/>
          <w:szCs w:val="36"/>
        </w:rPr>
      </w:pPr>
      <w:r>
        <w:rPr>
          <w:rFonts w:hint="eastAsia" w:ascii="宋体" w:hAnsi="宋体" w:eastAsia="宋体" w:cs="宋体"/>
          <w:sz w:val="28"/>
          <w:szCs w:val="36"/>
        </w:rPr>
        <w:t>负责人（签字）：</w:t>
      </w:r>
      <w:r>
        <w:rPr>
          <w:rFonts w:hint="eastAsia" w:ascii="宋体" w:hAnsi="宋体" w:cs="宋体"/>
          <w:sz w:val="28"/>
          <w:szCs w:val="36"/>
          <w:lang w:val="en-US" w:eastAsia="zh-CN"/>
        </w:rPr>
        <w:t xml:space="preserve">               </w:t>
      </w:r>
      <w:r>
        <w:rPr>
          <w:rFonts w:hint="eastAsia" w:ascii="宋体" w:hAnsi="宋体" w:eastAsia="宋体" w:cs="宋体"/>
          <w:sz w:val="28"/>
          <w:szCs w:val="36"/>
        </w:rPr>
        <w:t>负责人（签字）：</w:t>
      </w:r>
    </w:p>
    <w:p w14:paraId="2694D05D">
      <w:pPr>
        <w:rPr>
          <w:rFonts w:hint="eastAsia" w:ascii="宋体" w:hAnsi="宋体" w:eastAsia="宋体" w:cs="宋体"/>
          <w:sz w:val="28"/>
          <w:szCs w:val="36"/>
        </w:rPr>
      </w:pPr>
      <w:r>
        <w:rPr>
          <w:rFonts w:hint="eastAsia" w:ascii="宋体" w:hAnsi="宋体" w:eastAsia="宋体" w:cs="宋体"/>
          <w:sz w:val="28"/>
          <w:szCs w:val="36"/>
        </w:rPr>
        <w:t>经办人（签字）：</w:t>
      </w:r>
      <w:r>
        <w:rPr>
          <w:rFonts w:hint="eastAsia" w:ascii="宋体" w:hAnsi="宋体" w:cs="宋体"/>
          <w:sz w:val="28"/>
          <w:szCs w:val="36"/>
          <w:lang w:val="en-US" w:eastAsia="zh-CN"/>
        </w:rPr>
        <w:t xml:space="preserve">               </w:t>
      </w:r>
      <w:r>
        <w:rPr>
          <w:rFonts w:hint="eastAsia" w:ascii="宋体" w:hAnsi="宋体" w:eastAsia="宋体" w:cs="宋体"/>
          <w:sz w:val="28"/>
          <w:szCs w:val="36"/>
        </w:rPr>
        <w:t>经办人（签字）：</w:t>
      </w:r>
    </w:p>
    <w:p w14:paraId="408B218C">
      <w:pPr>
        <w:rPr>
          <w:rFonts w:hint="eastAsia" w:ascii="宋体" w:hAnsi="宋体" w:eastAsia="宋体" w:cs="宋体"/>
          <w:sz w:val="28"/>
          <w:szCs w:val="36"/>
        </w:rPr>
      </w:pPr>
    </w:p>
    <w:p w14:paraId="18A9A40C">
      <w:pPr>
        <w:rPr>
          <w:rFonts w:hint="eastAsia" w:ascii="宋体" w:hAnsi="宋体" w:eastAsia="宋体" w:cs="宋体"/>
          <w:sz w:val="28"/>
          <w:szCs w:val="36"/>
        </w:rPr>
      </w:pPr>
      <w:r>
        <w:rPr>
          <w:rFonts w:hint="eastAsia" w:ascii="宋体" w:hAnsi="宋体" w:cs="宋体"/>
          <w:sz w:val="28"/>
          <w:szCs w:val="36"/>
          <w:lang w:val="en-US" w:eastAsia="zh-CN"/>
        </w:rPr>
        <w:t xml:space="preserve">                </w:t>
      </w:r>
      <w:r>
        <w:rPr>
          <w:rFonts w:hint="eastAsia" w:ascii="宋体" w:hAnsi="宋体" w:eastAsia="宋体" w:cs="宋体"/>
          <w:sz w:val="28"/>
          <w:szCs w:val="36"/>
        </w:rPr>
        <w:t>签约时间：____年__月__日</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36"/>
      </w:tblGrid>
      <w:tr w14:paraId="20F14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4" w:type="dxa"/>
            <w:noWrap w:val="0"/>
            <w:vAlign w:val="top"/>
          </w:tcPr>
          <w:p w14:paraId="2D546974">
            <w:pPr>
              <w:pStyle w:val="5"/>
              <w:spacing w:before="105" w:after="105"/>
              <w:ind w:firstLine="560"/>
              <w:jc w:val="both"/>
            </w:pPr>
            <w:r>
              <w:rPr>
                <w:rFonts w:ascii="仿宋_GB2312" w:hAnsi="仿宋_GB2312" w:eastAsia="仿宋_GB2312" w:cs="仿宋_GB2312"/>
                <w:sz w:val="21"/>
              </w:rPr>
              <w:t>（二）考核表</w:t>
            </w:r>
          </w:p>
          <w:p w14:paraId="31C9750E">
            <w:pPr>
              <w:pStyle w:val="5"/>
              <w:spacing w:before="105" w:after="105"/>
              <w:ind w:firstLine="560"/>
              <w:jc w:val="both"/>
            </w:pPr>
            <w:r>
              <w:rPr>
                <w:rFonts w:ascii="仿宋_GB2312" w:hAnsi="仿宋_GB2312" w:eastAsia="仿宋_GB2312" w:cs="仿宋_GB2312"/>
                <w:sz w:val="21"/>
              </w:rPr>
              <w:t>1.月考核表</w:t>
            </w:r>
          </w:p>
          <w:tbl>
            <w:tblPr>
              <w:tblStyle w:val="3"/>
              <w:tblW w:w="8220" w:type="dxa"/>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58"/>
              <w:gridCol w:w="420"/>
              <w:gridCol w:w="654"/>
              <w:gridCol w:w="654"/>
              <w:gridCol w:w="654"/>
              <w:gridCol w:w="871"/>
              <w:gridCol w:w="1175"/>
              <w:gridCol w:w="2734"/>
            </w:tblGrid>
            <w:tr w14:paraId="214470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20" w:type="dxa"/>
                  <w:gridSpan w:val="8"/>
                  <w:tcBorders>
                    <w:top w:val="nil"/>
                    <w:left w:val="nil"/>
                    <w:bottom w:val="nil"/>
                    <w:right w:val="nil"/>
                  </w:tcBorders>
                  <w:noWrap w:val="0"/>
                  <w:tcMar>
                    <w:top w:w="0" w:type="dxa"/>
                    <w:left w:w="105" w:type="dxa"/>
                    <w:bottom w:w="0" w:type="dxa"/>
                    <w:right w:w="105" w:type="dxa"/>
                  </w:tcMar>
                  <w:vAlign w:val="top"/>
                </w:tcPr>
                <w:p w14:paraId="001E3DBB">
                  <w:pPr>
                    <w:pStyle w:val="5"/>
                    <w:spacing w:before="105" w:after="105"/>
                    <w:jc w:val="center"/>
                  </w:pPr>
                  <w:r>
                    <w:rPr>
                      <w:rFonts w:ascii="仿宋_GB2312" w:hAnsi="仿宋_GB2312" w:eastAsia="仿宋_GB2312" w:cs="仿宋_GB2312"/>
                      <w:color w:val="000000"/>
                      <w:sz w:val="21"/>
                    </w:rPr>
                    <w:t>宜宾市第四人民医院医用气体（ ）月验收考核表</w:t>
                  </w:r>
                </w:p>
              </w:tc>
            </w:tr>
            <w:tr w14:paraId="7696A8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32" w:type="dxa"/>
                  <w:gridSpan w:val="3"/>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19767B2">
                  <w:pPr>
                    <w:pStyle w:val="5"/>
                    <w:spacing w:before="105" w:after="105"/>
                    <w:jc w:val="center"/>
                  </w:pPr>
                  <w:r>
                    <w:rPr>
                      <w:rFonts w:ascii="仿宋_GB2312" w:hAnsi="仿宋_GB2312" w:eastAsia="仿宋_GB2312" w:cs="仿宋_GB2312"/>
                      <w:color w:val="000000"/>
                      <w:sz w:val="21"/>
                    </w:rPr>
                    <w:t>项目名称</w:t>
                  </w:r>
                </w:p>
              </w:tc>
              <w:tc>
                <w:tcPr>
                  <w:tcW w:w="6088" w:type="dxa"/>
                  <w:gridSpan w:val="5"/>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571C1717">
                  <w:pPr>
                    <w:pStyle w:val="5"/>
                    <w:jc w:val="both"/>
                  </w:pPr>
                </w:p>
              </w:tc>
            </w:tr>
            <w:tr w14:paraId="602CD0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32" w:type="dxa"/>
                  <w:gridSpan w:val="3"/>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F74D8F3">
                  <w:pPr>
                    <w:pStyle w:val="5"/>
                    <w:jc w:val="center"/>
                  </w:pPr>
                  <w:r>
                    <w:rPr>
                      <w:rFonts w:ascii="仿宋_GB2312" w:hAnsi="仿宋_GB2312" w:eastAsia="仿宋_GB2312" w:cs="仿宋_GB2312"/>
                      <w:color w:val="000000"/>
                      <w:sz w:val="21"/>
                    </w:rPr>
                    <w:t>供应商名称</w:t>
                  </w:r>
                </w:p>
              </w:tc>
              <w:tc>
                <w:tcPr>
                  <w:tcW w:w="6088" w:type="dxa"/>
                  <w:gridSpan w:val="5"/>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25F6548">
                  <w:pPr>
                    <w:pStyle w:val="5"/>
                    <w:jc w:val="both"/>
                  </w:pPr>
                </w:p>
              </w:tc>
            </w:tr>
            <w:tr w14:paraId="760186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A417128">
                  <w:pPr>
                    <w:pStyle w:val="5"/>
                    <w:jc w:val="center"/>
                  </w:pPr>
                  <w:r>
                    <w:rPr>
                      <w:rFonts w:ascii="仿宋_GB2312" w:hAnsi="仿宋_GB2312" w:eastAsia="仿宋_GB2312" w:cs="仿宋_GB2312"/>
                      <w:color w:val="000000"/>
                      <w:sz w:val="21"/>
                    </w:rPr>
                    <w:t>序号</w:t>
                  </w:r>
                </w:p>
              </w:tc>
              <w:tc>
                <w:tcPr>
                  <w:tcW w:w="1074"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73E9643">
                  <w:pPr>
                    <w:pStyle w:val="5"/>
                    <w:spacing w:before="105" w:after="105"/>
                    <w:jc w:val="center"/>
                  </w:pPr>
                  <w:r>
                    <w:rPr>
                      <w:rFonts w:ascii="仿宋_GB2312" w:hAnsi="仿宋_GB2312" w:eastAsia="仿宋_GB2312" w:cs="仿宋_GB2312"/>
                      <w:color w:val="000000"/>
                      <w:sz w:val="21"/>
                    </w:rPr>
                    <w:t>货物名称</w:t>
                  </w:r>
                </w:p>
              </w:tc>
              <w:tc>
                <w:tcPr>
                  <w:tcW w:w="2179" w:type="dxa"/>
                  <w:gridSpan w:val="3"/>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3C30A1C1">
                  <w:pPr>
                    <w:pStyle w:val="5"/>
                    <w:spacing w:before="105" w:after="105"/>
                    <w:jc w:val="center"/>
                  </w:pPr>
                  <w:r>
                    <w:rPr>
                      <w:rFonts w:ascii="仿宋_GB2312" w:hAnsi="仿宋_GB2312" w:eastAsia="仿宋_GB2312" w:cs="仿宋_GB2312"/>
                      <w:color w:val="000000"/>
                      <w:sz w:val="21"/>
                    </w:rPr>
                    <w:t>品牌</w:t>
                  </w:r>
                </w:p>
              </w:tc>
              <w:tc>
                <w:tcPr>
                  <w:tcW w:w="1175"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1532EFDF">
                  <w:pPr>
                    <w:pStyle w:val="5"/>
                    <w:spacing w:before="105" w:after="105"/>
                    <w:jc w:val="center"/>
                  </w:pPr>
                  <w:r>
                    <w:rPr>
                      <w:rFonts w:ascii="仿宋_GB2312" w:hAnsi="仿宋_GB2312" w:eastAsia="仿宋_GB2312" w:cs="仿宋_GB2312"/>
                      <w:color w:val="000000"/>
                      <w:sz w:val="21"/>
                    </w:rPr>
                    <w:t>规格</w:t>
                  </w:r>
                </w:p>
              </w:tc>
              <w:tc>
                <w:tcPr>
                  <w:tcW w:w="2734"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27649891">
                  <w:pPr>
                    <w:pStyle w:val="5"/>
                    <w:spacing w:before="105" w:after="105"/>
                    <w:jc w:val="center"/>
                  </w:pPr>
                  <w:r>
                    <w:rPr>
                      <w:rFonts w:ascii="仿宋_GB2312" w:hAnsi="仿宋_GB2312" w:eastAsia="仿宋_GB2312" w:cs="仿宋_GB2312"/>
                      <w:color w:val="000000"/>
                      <w:sz w:val="21"/>
                    </w:rPr>
                    <w:t>单位</w:t>
                  </w:r>
                </w:p>
              </w:tc>
            </w:tr>
            <w:tr w14:paraId="45C3E7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F339B4C">
                  <w:pPr>
                    <w:pStyle w:val="5"/>
                    <w:jc w:val="both"/>
                  </w:pPr>
                </w:p>
              </w:tc>
              <w:tc>
                <w:tcPr>
                  <w:tcW w:w="1074"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A210FFA"/>
              </w:tc>
              <w:tc>
                <w:tcPr>
                  <w:tcW w:w="2179"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F6FD7BB"/>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269C61E"/>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228E4AA"/>
              </w:tc>
            </w:tr>
            <w:tr w14:paraId="6D5375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restart"/>
                  <w:tcBorders>
                    <w:top w:val="nil"/>
                    <w:left w:val="single" w:color="000000" w:sz="4" w:space="0"/>
                    <w:bottom w:val="nil"/>
                    <w:right w:val="single" w:color="000000" w:sz="4" w:space="0"/>
                  </w:tcBorders>
                  <w:noWrap w:val="0"/>
                  <w:tcMar>
                    <w:top w:w="0" w:type="dxa"/>
                    <w:left w:w="105" w:type="dxa"/>
                    <w:bottom w:w="0" w:type="dxa"/>
                    <w:right w:w="105" w:type="dxa"/>
                  </w:tcMar>
                  <w:vAlign w:val="top"/>
                </w:tcPr>
                <w:p w14:paraId="2ED33F9D">
                  <w:pPr>
                    <w:pStyle w:val="5"/>
                    <w:jc w:val="center"/>
                  </w:pPr>
                  <w:r>
                    <w:rPr>
                      <w:rFonts w:ascii="仿宋_GB2312" w:hAnsi="仿宋_GB2312" w:eastAsia="仿宋_GB2312" w:cs="仿宋_GB2312"/>
                      <w:color w:val="000000"/>
                      <w:sz w:val="21"/>
                    </w:rPr>
                    <w:t>验收考核内容</w:t>
                  </w:r>
                </w:p>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5AD421A">
                  <w:pPr>
                    <w:pStyle w:val="5"/>
                    <w:spacing w:before="105" w:after="105"/>
                    <w:jc w:val="center"/>
                  </w:pPr>
                  <w:r>
                    <w:rPr>
                      <w:rFonts w:ascii="仿宋_GB2312" w:hAnsi="仿宋_GB2312" w:eastAsia="仿宋_GB2312" w:cs="仿宋_GB2312"/>
                      <w:color w:val="000000"/>
                      <w:sz w:val="21"/>
                    </w:rPr>
                    <w:t>序号</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1E13EE7">
                  <w:pPr>
                    <w:pStyle w:val="5"/>
                    <w:spacing w:before="105" w:after="105"/>
                    <w:jc w:val="center"/>
                  </w:pPr>
                  <w:r>
                    <w:rPr>
                      <w:rFonts w:ascii="仿宋_GB2312" w:hAnsi="仿宋_GB2312" w:eastAsia="仿宋_GB2312" w:cs="仿宋_GB2312"/>
                      <w:color w:val="000000"/>
                      <w:sz w:val="21"/>
                    </w:rPr>
                    <w:t>内容</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A15CA37">
                  <w:pPr>
                    <w:pStyle w:val="5"/>
                    <w:spacing w:before="105" w:after="105"/>
                    <w:jc w:val="center"/>
                  </w:pPr>
                  <w:r>
                    <w:rPr>
                      <w:rFonts w:ascii="仿宋_GB2312" w:hAnsi="仿宋_GB2312" w:eastAsia="仿宋_GB2312" w:cs="仿宋_GB2312"/>
                      <w:color w:val="000000"/>
                      <w:sz w:val="21"/>
                    </w:rPr>
                    <w:t>分值</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8C32F2F">
                  <w:pPr>
                    <w:pStyle w:val="5"/>
                    <w:spacing w:before="105" w:after="105"/>
                    <w:jc w:val="center"/>
                  </w:pPr>
                  <w:r>
                    <w:rPr>
                      <w:rFonts w:ascii="仿宋_GB2312" w:hAnsi="仿宋_GB2312" w:eastAsia="仿宋_GB2312" w:cs="仿宋_GB2312"/>
                      <w:color w:val="000000"/>
                      <w:sz w:val="21"/>
                    </w:rPr>
                    <w:t>得分</w:t>
                  </w:r>
                </w:p>
              </w:tc>
              <w:tc>
                <w:tcPr>
                  <w:tcW w:w="2734"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2A834369">
                  <w:pPr>
                    <w:pStyle w:val="5"/>
                    <w:spacing w:before="105" w:after="105"/>
                    <w:jc w:val="center"/>
                  </w:pPr>
                  <w:r>
                    <w:rPr>
                      <w:rFonts w:ascii="仿宋_GB2312" w:hAnsi="仿宋_GB2312" w:eastAsia="仿宋_GB2312" w:cs="仿宋_GB2312"/>
                      <w:color w:val="000000"/>
                      <w:sz w:val="21"/>
                    </w:rPr>
                    <w:t>备注</w:t>
                  </w:r>
                </w:p>
              </w:tc>
            </w:tr>
            <w:tr w14:paraId="05FB2D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22F7111B"/>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2499CCC">
                  <w:pPr>
                    <w:pStyle w:val="5"/>
                    <w:spacing w:before="105" w:after="105"/>
                    <w:jc w:val="center"/>
                  </w:pPr>
                  <w:r>
                    <w:rPr>
                      <w:rFonts w:ascii="仿宋_GB2312" w:hAnsi="仿宋_GB2312" w:eastAsia="仿宋_GB2312" w:cs="仿宋_GB2312"/>
                      <w:color w:val="000000"/>
                      <w:sz w:val="21"/>
                    </w:rPr>
                    <w:t>1</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68001FF">
                  <w:pPr>
                    <w:pStyle w:val="5"/>
                    <w:spacing w:before="105" w:after="105"/>
                    <w:jc w:val="center"/>
                  </w:pPr>
                  <w:r>
                    <w:rPr>
                      <w:rFonts w:ascii="仿宋_GB2312" w:hAnsi="仿宋_GB2312" w:eastAsia="仿宋_GB2312" w:cs="仿宋_GB2312"/>
                      <w:color w:val="000000"/>
                      <w:sz w:val="21"/>
                    </w:rPr>
                    <w:t>以上抽查货物外观完好度</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D016DE">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8168E3E">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98428DC"/>
              </w:tc>
            </w:tr>
            <w:tr w14:paraId="3CD6CE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437E5AA1"/>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0B2976">
                  <w:pPr>
                    <w:pStyle w:val="5"/>
                    <w:jc w:val="center"/>
                  </w:pPr>
                  <w:r>
                    <w:rPr>
                      <w:rFonts w:ascii="仿宋_GB2312" w:hAnsi="仿宋_GB2312" w:eastAsia="仿宋_GB2312" w:cs="仿宋_GB2312"/>
                      <w:color w:val="000000"/>
                      <w:sz w:val="21"/>
                    </w:rPr>
                    <w:t>2</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645F62B">
                  <w:pPr>
                    <w:pStyle w:val="5"/>
                    <w:spacing w:before="105" w:after="105"/>
                    <w:jc w:val="center"/>
                  </w:pPr>
                  <w:r>
                    <w:rPr>
                      <w:rFonts w:ascii="仿宋_GB2312" w:hAnsi="仿宋_GB2312" w:eastAsia="仿宋_GB2312" w:cs="仿宋_GB2312"/>
                      <w:color w:val="000000"/>
                      <w:sz w:val="21"/>
                    </w:rPr>
                    <w:t>名称品牌型号是否与合同一致（一票否决扣满分）</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27352A9">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255234B">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8F93E7"/>
              </w:tc>
            </w:tr>
            <w:tr w14:paraId="43C0AD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68248E15"/>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A6B976C">
                  <w:pPr>
                    <w:pStyle w:val="5"/>
                    <w:jc w:val="center"/>
                  </w:pPr>
                  <w:r>
                    <w:rPr>
                      <w:rFonts w:ascii="仿宋_GB2312" w:hAnsi="仿宋_GB2312" w:eastAsia="仿宋_GB2312" w:cs="仿宋_GB2312"/>
                      <w:color w:val="000000"/>
                      <w:sz w:val="21"/>
                    </w:rPr>
                    <w:t>3</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3A659C">
                  <w:pPr>
                    <w:pStyle w:val="5"/>
                    <w:spacing w:before="105" w:after="105"/>
                    <w:jc w:val="center"/>
                  </w:pPr>
                  <w:r>
                    <w:rPr>
                      <w:rFonts w:ascii="仿宋_GB2312" w:hAnsi="仿宋_GB2312" w:eastAsia="仿宋_GB2312" w:cs="仿宋_GB2312"/>
                      <w:color w:val="000000"/>
                      <w:sz w:val="21"/>
                    </w:rPr>
                    <w:t>设备维护情况以及罐体有无异常</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A460D7C">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0302145">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C1D32BD"/>
              </w:tc>
            </w:tr>
            <w:tr w14:paraId="30CA1D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79D8BF3D"/>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6B7293">
                  <w:pPr>
                    <w:pStyle w:val="5"/>
                    <w:jc w:val="center"/>
                  </w:pPr>
                  <w:r>
                    <w:rPr>
                      <w:rFonts w:ascii="仿宋_GB2312" w:hAnsi="仿宋_GB2312" w:eastAsia="仿宋_GB2312" w:cs="仿宋_GB2312"/>
                      <w:color w:val="000000"/>
                      <w:sz w:val="21"/>
                    </w:rPr>
                    <w:t>4</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EC559F3">
                  <w:pPr>
                    <w:pStyle w:val="5"/>
                    <w:spacing w:before="105" w:after="105"/>
                    <w:jc w:val="center"/>
                  </w:pPr>
                  <w:r>
                    <w:rPr>
                      <w:rFonts w:ascii="仿宋_GB2312" w:hAnsi="仿宋_GB2312" w:eastAsia="仿宋_GB2312" w:cs="仿宋_GB2312"/>
                      <w:color w:val="000000"/>
                      <w:sz w:val="21"/>
                    </w:rPr>
                    <w:t>有效期和检测报告等资料是否齐全</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7A257B2">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249A261">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F69AE94"/>
              </w:tc>
            </w:tr>
            <w:tr w14:paraId="4A27C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40F3FC43"/>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92CE9FD">
                  <w:pPr>
                    <w:pStyle w:val="5"/>
                    <w:jc w:val="center"/>
                  </w:pPr>
                  <w:r>
                    <w:rPr>
                      <w:rFonts w:ascii="仿宋_GB2312" w:hAnsi="仿宋_GB2312" w:eastAsia="仿宋_GB2312" w:cs="仿宋_GB2312"/>
                      <w:color w:val="000000"/>
                      <w:sz w:val="21"/>
                    </w:rPr>
                    <w:t>5</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D28043A">
                  <w:pPr>
                    <w:pStyle w:val="5"/>
                    <w:spacing w:before="105" w:after="105"/>
                    <w:jc w:val="center"/>
                  </w:pPr>
                  <w:r>
                    <w:rPr>
                      <w:rFonts w:ascii="仿宋_GB2312" w:hAnsi="仿宋_GB2312" w:eastAsia="仿宋_GB2312" w:cs="仿宋_GB2312"/>
                      <w:color w:val="000000"/>
                      <w:sz w:val="21"/>
                    </w:rPr>
                    <w:t>货物进场时效保障</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ABB0EFA">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5647A2">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6C34732"/>
              </w:tc>
            </w:tr>
            <w:tr w14:paraId="2AEC54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0C40AE4A"/>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D217FAE">
                  <w:pPr>
                    <w:pStyle w:val="5"/>
                    <w:jc w:val="center"/>
                  </w:pPr>
                  <w:r>
                    <w:rPr>
                      <w:rFonts w:ascii="仿宋_GB2312" w:hAnsi="仿宋_GB2312" w:eastAsia="仿宋_GB2312" w:cs="仿宋_GB2312"/>
                      <w:color w:val="000000"/>
                      <w:sz w:val="21"/>
                    </w:rPr>
                    <w:t>6</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0E4EF1D">
                  <w:pPr>
                    <w:pStyle w:val="5"/>
                    <w:spacing w:before="105" w:after="105"/>
                    <w:jc w:val="center"/>
                  </w:pPr>
                  <w:r>
                    <w:rPr>
                      <w:rFonts w:ascii="仿宋_GB2312" w:hAnsi="仿宋_GB2312" w:eastAsia="仿宋_GB2312" w:cs="仿宋_GB2312"/>
                      <w:color w:val="000000"/>
                      <w:sz w:val="21"/>
                    </w:rPr>
                    <w:t>定期开展氧气房间实施安全检查情况</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F74707">
                  <w:pPr>
                    <w:pStyle w:val="5"/>
                    <w:spacing w:before="105" w:after="105"/>
                    <w:jc w:val="center"/>
                  </w:pPr>
                  <w:r>
                    <w:rPr>
                      <w:rFonts w:ascii="仿宋_GB2312" w:hAnsi="仿宋_GB2312" w:eastAsia="仿宋_GB2312" w:cs="仿宋_GB2312"/>
                      <w:color w:val="000000"/>
                      <w:sz w:val="21"/>
                    </w:rPr>
                    <w:t>15分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3851FF6">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3FAF2EE"/>
              </w:tc>
            </w:tr>
            <w:tr w14:paraId="60A856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61BEACCD"/>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6B999FE">
                  <w:pPr>
                    <w:pStyle w:val="5"/>
                    <w:jc w:val="center"/>
                  </w:pPr>
                  <w:r>
                    <w:rPr>
                      <w:rFonts w:ascii="仿宋_GB2312" w:hAnsi="仿宋_GB2312" w:eastAsia="仿宋_GB2312" w:cs="仿宋_GB2312"/>
                      <w:color w:val="000000"/>
                      <w:sz w:val="21"/>
                    </w:rPr>
                    <w:t>7</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45F9E1E">
                  <w:pPr>
                    <w:pStyle w:val="5"/>
                    <w:spacing w:before="105" w:after="105"/>
                    <w:jc w:val="center"/>
                  </w:pPr>
                  <w:r>
                    <w:rPr>
                      <w:rFonts w:ascii="仿宋_GB2312" w:hAnsi="仿宋_GB2312" w:eastAsia="仿宋_GB2312" w:cs="仿宋_GB2312"/>
                      <w:color w:val="000000"/>
                      <w:sz w:val="21"/>
                    </w:rPr>
                    <w:t>运输搬运过程安全管理规范情况</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97DCD01">
                  <w:pPr>
                    <w:pStyle w:val="5"/>
                    <w:spacing w:before="105" w:after="105"/>
                    <w:jc w:val="center"/>
                  </w:pPr>
                  <w:r>
                    <w:rPr>
                      <w:rFonts w:ascii="仿宋_GB2312" w:hAnsi="仿宋_GB2312" w:eastAsia="仿宋_GB2312" w:cs="仿宋_GB2312"/>
                      <w:color w:val="000000"/>
                      <w:sz w:val="21"/>
                    </w:rPr>
                    <w:t>15分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A2423EF">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09AB744"/>
              </w:tc>
            </w:tr>
            <w:tr w14:paraId="044D64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215C0984"/>
              </w:tc>
              <w:tc>
                <w:tcPr>
                  <w:tcW w:w="42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EAF102">
                  <w:pPr>
                    <w:pStyle w:val="5"/>
                    <w:jc w:val="center"/>
                  </w:pPr>
                  <w:r>
                    <w:rPr>
                      <w:rFonts w:ascii="仿宋_GB2312" w:hAnsi="仿宋_GB2312" w:eastAsia="仿宋_GB2312" w:cs="仿宋_GB2312"/>
                      <w:color w:val="000000"/>
                      <w:sz w:val="21"/>
                    </w:rPr>
                    <w:t>8</w:t>
                  </w:r>
                </w:p>
              </w:tc>
              <w:tc>
                <w:tcPr>
                  <w:tcW w:w="1962"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11DB4B2">
                  <w:pPr>
                    <w:pStyle w:val="5"/>
                    <w:spacing w:before="105" w:after="105"/>
                    <w:jc w:val="center"/>
                  </w:pPr>
                  <w:r>
                    <w:rPr>
                      <w:rFonts w:ascii="仿宋_GB2312" w:hAnsi="仿宋_GB2312" w:eastAsia="仿宋_GB2312" w:cs="仿宋_GB2312"/>
                      <w:color w:val="000000"/>
                      <w:sz w:val="21"/>
                    </w:rPr>
                    <w:t>每次送货是否邀请经办人员规范验收</w:t>
                  </w:r>
                </w:p>
              </w:tc>
              <w:tc>
                <w:tcPr>
                  <w:tcW w:w="871"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46EFB2B">
                  <w:pPr>
                    <w:pStyle w:val="5"/>
                    <w:spacing w:before="105" w:after="105"/>
                    <w:jc w:val="center"/>
                  </w:pPr>
                  <w:r>
                    <w:rPr>
                      <w:rFonts w:ascii="仿宋_GB2312" w:hAnsi="仿宋_GB2312" w:eastAsia="仿宋_GB2312" w:cs="仿宋_GB2312"/>
                      <w:color w:val="000000"/>
                      <w:sz w:val="21"/>
                    </w:rPr>
                    <w:t>10分</w:t>
                  </w:r>
                </w:p>
              </w:tc>
              <w:tc>
                <w:tcPr>
                  <w:tcW w:w="117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C8DC5BC">
                  <w:pPr>
                    <w:pStyle w:val="5"/>
                    <w:jc w:val="both"/>
                  </w:pPr>
                </w:p>
              </w:tc>
              <w:tc>
                <w:tcPr>
                  <w:tcW w:w="27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C154BC9"/>
              </w:tc>
            </w:tr>
            <w:tr w14:paraId="039B46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1F497E21"/>
              </w:tc>
              <w:tc>
                <w:tcPr>
                  <w:tcW w:w="1728" w:type="dxa"/>
                  <w:gridSpan w:val="3"/>
                  <w:vMerge w:val="restart"/>
                  <w:tcBorders>
                    <w:top w:val="nil"/>
                    <w:left w:val="nil"/>
                    <w:bottom w:val="nil"/>
                    <w:right w:val="single" w:color="000000" w:sz="4" w:space="0"/>
                  </w:tcBorders>
                  <w:noWrap w:val="0"/>
                  <w:tcMar>
                    <w:top w:w="0" w:type="dxa"/>
                    <w:left w:w="105" w:type="dxa"/>
                    <w:bottom w:w="0" w:type="dxa"/>
                    <w:right w:w="105" w:type="dxa"/>
                  </w:tcMar>
                  <w:vAlign w:val="bottom"/>
                </w:tcPr>
                <w:p w14:paraId="2FF1B000">
                  <w:pPr>
                    <w:pStyle w:val="5"/>
                    <w:jc w:val="center"/>
                  </w:pPr>
                  <w:r>
                    <w:rPr>
                      <w:rFonts w:ascii="仿宋_GB2312" w:hAnsi="仿宋_GB2312" w:eastAsia="仿宋_GB2312" w:cs="仿宋_GB2312"/>
                      <w:color w:val="000000"/>
                      <w:sz w:val="21"/>
                    </w:rPr>
                    <w:t>合计得分</w:t>
                  </w:r>
                </w:p>
              </w:tc>
              <w:tc>
                <w:tcPr>
                  <w:tcW w:w="5434" w:type="dxa"/>
                  <w:gridSpan w:val="4"/>
                  <w:vMerge w:val="restart"/>
                  <w:tcBorders>
                    <w:top w:val="nil"/>
                    <w:left w:val="nil"/>
                    <w:bottom w:val="nil"/>
                    <w:right w:val="single" w:color="000000" w:sz="4" w:space="0"/>
                  </w:tcBorders>
                  <w:noWrap w:val="0"/>
                  <w:tcMar>
                    <w:top w:w="0" w:type="dxa"/>
                    <w:left w:w="105" w:type="dxa"/>
                    <w:bottom w:w="0" w:type="dxa"/>
                    <w:right w:w="105" w:type="dxa"/>
                  </w:tcMar>
                  <w:vAlign w:val="bottom"/>
                </w:tcPr>
                <w:p w14:paraId="70408936">
                  <w:pPr>
                    <w:pStyle w:val="5"/>
                    <w:jc w:val="both"/>
                  </w:pPr>
                </w:p>
              </w:tc>
            </w:tr>
            <w:tr w14:paraId="5D43F8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vMerge w:val="continue"/>
                  <w:tcBorders>
                    <w:top w:val="nil"/>
                    <w:left w:val="single" w:color="000000" w:sz="4" w:space="0"/>
                    <w:bottom w:val="nil"/>
                    <w:right w:val="single" w:color="000000" w:sz="4" w:space="0"/>
                  </w:tcBorders>
                  <w:noWrap w:val="0"/>
                  <w:vAlign w:val="top"/>
                </w:tcPr>
                <w:p w14:paraId="49ABDCB3"/>
              </w:tc>
              <w:tc>
                <w:tcPr>
                  <w:tcW w:w="1728" w:type="dxa"/>
                  <w:gridSpan w:val="3"/>
                  <w:vMerge w:val="continue"/>
                  <w:tcBorders>
                    <w:top w:val="nil"/>
                    <w:left w:val="nil"/>
                    <w:bottom w:val="nil"/>
                    <w:right w:val="single" w:color="000000" w:sz="4" w:space="0"/>
                  </w:tcBorders>
                  <w:noWrap w:val="0"/>
                  <w:vAlign w:val="top"/>
                </w:tcPr>
                <w:p w14:paraId="3A03F42F"/>
              </w:tc>
              <w:tc>
                <w:tcPr>
                  <w:tcW w:w="5434" w:type="dxa"/>
                  <w:gridSpan w:val="4"/>
                  <w:vMerge w:val="continue"/>
                  <w:tcBorders>
                    <w:top w:val="nil"/>
                    <w:left w:val="nil"/>
                    <w:bottom w:val="nil"/>
                    <w:right w:val="single" w:color="000000" w:sz="4" w:space="0"/>
                  </w:tcBorders>
                  <w:noWrap w:val="0"/>
                  <w:vAlign w:val="top"/>
                </w:tcPr>
                <w:p w14:paraId="05A2281B"/>
              </w:tc>
            </w:tr>
            <w:tr w14:paraId="18DFD4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20" w:type="dxa"/>
                  <w:gridSpan w:val="8"/>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CDA2B72">
                  <w:pPr>
                    <w:pStyle w:val="5"/>
                    <w:jc w:val="both"/>
                  </w:pPr>
                  <w:r>
                    <w:rPr>
                      <w:rFonts w:ascii="仿宋_GB2312" w:hAnsi="仿宋_GB2312" w:eastAsia="仿宋_GB2312" w:cs="仿宋_GB2312"/>
                      <w:color w:val="000000"/>
                      <w:sz w:val="21"/>
                    </w:rPr>
                    <w:t>其它未按照合同约定履行服务的直接扣款事宜：</w:t>
                  </w:r>
                  <w:r>
                    <w:rPr>
                      <w:rFonts w:ascii="仿宋_GB2312" w:hAnsi="仿宋_GB2312" w:eastAsia="仿宋_GB2312" w:cs="仿宋_GB2312"/>
                      <w:sz w:val="21"/>
                    </w:rPr>
                    <w:t xml:space="preserve">       </w:t>
                  </w:r>
                </w:p>
                <w:p w14:paraId="415A50BE">
                  <w:pPr>
                    <w:pStyle w:val="5"/>
                    <w:spacing w:before="105" w:after="105"/>
                    <w:jc w:val="both"/>
                  </w:pPr>
                  <w:r>
                    <w:rPr>
                      <w:rFonts w:ascii="仿宋_GB2312" w:hAnsi="仿宋_GB2312" w:eastAsia="仿宋_GB2312" w:cs="仿宋_GB2312"/>
                      <w:color w:val="000000"/>
                      <w:sz w:val="21"/>
                    </w:rPr>
                    <w:t>扣款金额：</w:t>
                  </w:r>
                </w:p>
              </w:tc>
            </w:tr>
            <w:tr w14:paraId="3AE25A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58"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41D623">
                  <w:pPr>
                    <w:pStyle w:val="5"/>
                    <w:spacing w:before="105" w:after="105"/>
                    <w:jc w:val="both"/>
                  </w:pPr>
                  <w:r>
                    <w:rPr>
                      <w:rFonts w:ascii="仿宋_GB2312" w:hAnsi="仿宋_GB2312" w:eastAsia="仿宋_GB2312" w:cs="仿宋_GB2312"/>
                      <w:color w:val="000000"/>
                      <w:sz w:val="21"/>
                    </w:rPr>
                    <w:t>考核结果</w:t>
                  </w:r>
                </w:p>
              </w:tc>
              <w:tc>
                <w:tcPr>
                  <w:tcW w:w="7162" w:type="dxa"/>
                  <w:gridSpan w:val="7"/>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bottom"/>
                </w:tcPr>
                <w:p w14:paraId="686B65BC">
                  <w:pPr>
                    <w:pStyle w:val="5"/>
                    <w:spacing w:before="105" w:after="105"/>
                    <w:jc w:val="both"/>
                  </w:pPr>
                  <w:r>
                    <w:rPr>
                      <w:rFonts w:hint="eastAsia" w:ascii="仿宋_GB2312" w:hAnsi="仿宋_GB2312" w:eastAsia="仿宋_GB2312" w:cs="仿宋_GB2312"/>
                      <w:color w:val="000000"/>
                      <w:sz w:val="21"/>
                      <w:lang w:eastAsia="zh-CN"/>
                    </w:rPr>
                    <w:t>良好</w:t>
                  </w:r>
                  <w:r>
                    <w:rPr>
                      <w:rFonts w:hint="eastAsia" w:ascii="仿宋_GB2312" w:hAnsi="仿宋_GB2312" w:eastAsia="仿宋_GB2312" w:cs="仿宋_GB2312"/>
                      <w:color w:val="000000"/>
                      <w:sz w:val="21"/>
                    </w:rPr>
                    <w:t>≥9</w:t>
                  </w:r>
                  <w:r>
                    <w:rPr>
                      <w:rFonts w:hint="eastAsia" w:ascii="仿宋_GB2312" w:hAnsi="仿宋_GB2312" w:eastAsia="仿宋_GB2312" w:cs="仿宋_GB2312"/>
                      <w:color w:val="000000"/>
                      <w:sz w:val="21"/>
                      <w:lang w:val="en-US" w:eastAsia="zh-CN"/>
                    </w:rPr>
                    <w:t>0</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r>
                    <w:rPr>
                      <w:rFonts w:hint="eastAsia" w:ascii="仿宋_GB2312" w:hAnsi="仿宋_GB2312" w:eastAsia="仿宋_GB2312" w:cs="仿宋_GB2312"/>
                      <w:color w:val="000000"/>
                      <w:sz w:val="21"/>
                      <w:lang w:val="en-US" w:eastAsia="zh-CN"/>
                    </w:rPr>
                    <w:t xml:space="preserve">          </w:t>
                  </w:r>
                  <w:r>
                    <w:rPr>
                      <w:rFonts w:hint="eastAsia" w:ascii="仿宋_GB2312" w:hAnsi="仿宋_GB2312" w:eastAsia="仿宋_GB2312" w:cs="仿宋_GB2312"/>
                      <w:color w:val="000000"/>
                      <w:sz w:val="21"/>
                    </w:rPr>
                    <w:t>合格≥</w:t>
                  </w:r>
                  <w:r>
                    <w:rPr>
                      <w:rFonts w:hint="eastAsia" w:ascii="仿宋_GB2312" w:hAnsi="仿宋_GB2312" w:eastAsia="仿宋_GB2312" w:cs="仿宋_GB2312"/>
                      <w:color w:val="000000"/>
                      <w:sz w:val="21"/>
                      <w:lang w:val="en-US" w:eastAsia="zh-CN"/>
                    </w:rPr>
                    <w:t>85</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r>
                    <w:rPr>
                      <w:rFonts w:hint="eastAsia" w:ascii="仿宋_GB2312" w:hAnsi="仿宋_GB2312" w:eastAsia="仿宋_GB2312" w:cs="仿宋_GB2312"/>
                      <w:color w:val="000000"/>
                      <w:sz w:val="21"/>
                      <w:lang w:val="en-US" w:eastAsia="zh-CN"/>
                    </w:rPr>
                    <w:t xml:space="preserve">       不合格</w:t>
                  </w:r>
                  <w:r>
                    <w:rPr>
                      <w:rFonts w:ascii="仿宋_GB2312" w:hAnsi="仿宋_GB2312" w:eastAsia="仿宋_GB2312" w:cs="仿宋_GB2312"/>
                      <w:color w:val="000000"/>
                      <w:sz w:val="21"/>
                    </w:rPr>
                    <w:t>＜</w:t>
                  </w:r>
                  <w:r>
                    <w:rPr>
                      <w:rFonts w:hint="eastAsia" w:ascii="仿宋_GB2312" w:hAnsi="仿宋_GB2312" w:eastAsia="仿宋_GB2312" w:cs="仿宋_GB2312"/>
                      <w:color w:val="000000"/>
                      <w:sz w:val="21"/>
                    </w:rPr>
                    <w:t>8</w:t>
                  </w:r>
                  <w:r>
                    <w:rPr>
                      <w:rFonts w:hint="eastAsia" w:ascii="仿宋_GB2312" w:hAnsi="仿宋_GB2312" w:eastAsia="仿宋_GB2312" w:cs="仿宋_GB2312"/>
                      <w:color w:val="000000"/>
                      <w:sz w:val="21"/>
                      <w:lang w:val="en-US" w:eastAsia="zh-CN"/>
                    </w:rPr>
                    <w:t>5</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p>
              </w:tc>
            </w:tr>
            <w:tr w14:paraId="2E9F9A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20" w:type="dxa"/>
                  <w:gridSpan w:val="8"/>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C338416">
                  <w:pPr>
                    <w:pStyle w:val="5"/>
                    <w:spacing w:before="105" w:after="105"/>
                    <w:jc w:val="both"/>
                  </w:pPr>
                  <w:r>
                    <w:rPr>
                      <w:rFonts w:ascii="仿宋_GB2312" w:hAnsi="仿宋_GB2312" w:eastAsia="仿宋_GB2312" w:cs="仿宋_GB2312"/>
                      <w:color w:val="000000"/>
                      <w:sz w:val="21"/>
                    </w:rPr>
                    <w:t>考核人员（小组）签字：</w:t>
                  </w:r>
                </w:p>
              </w:tc>
            </w:tr>
          </w:tbl>
          <w:p w14:paraId="0D346565">
            <w:pPr>
              <w:pStyle w:val="5"/>
              <w:spacing w:before="105" w:after="105"/>
              <w:ind w:firstLine="560"/>
              <w:jc w:val="both"/>
            </w:pPr>
            <w:r>
              <w:rPr>
                <w:rFonts w:ascii="仿宋_GB2312" w:hAnsi="仿宋_GB2312" w:eastAsia="仿宋_GB2312" w:cs="仿宋_GB2312"/>
                <w:sz w:val="21"/>
              </w:rPr>
              <w:t>2.年终考核表</w:t>
            </w:r>
          </w:p>
          <w:tbl>
            <w:tblPr>
              <w:tblStyle w:val="3"/>
              <w:tblW w:w="8220" w:type="dxa"/>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44"/>
              <w:gridCol w:w="626"/>
              <w:gridCol w:w="943"/>
              <w:gridCol w:w="956"/>
              <w:gridCol w:w="954"/>
              <w:gridCol w:w="867"/>
              <w:gridCol w:w="1134"/>
              <w:gridCol w:w="1196"/>
            </w:tblGrid>
            <w:tr w14:paraId="6DB97B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8220" w:type="dxa"/>
                  <w:gridSpan w:val="8"/>
                  <w:tcBorders>
                    <w:top w:val="nil"/>
                    <w:left w:val="nil"/>
                    <w:bottom w:val="nil"/>
                    <w:right w:val="nil"/>
                  </w:tcBorders>
                  <w:noWrap w:val="0"/>
                  <w:tcMar>
                    <w:top w:w="0" w:type="dxa"/>
                    <w:left w:w="105" w:type="dxa"/>
                    <w:bottom w:w="0" w:type="dxa"/>
                    <w:right w:w="105" w:type="dxa"/>
                  </w:tcMar>
                  <w:vAlign w:val="top"/>
                </w:tcPr>
                <w:p w14:paraId="6565F2C9">
                  <w:pPr>
                    <w:pStyle w:val="5"/>
                    <w:spacing w:before="105" w:after="105"/>
                    <w:jc w:val="center"/>
                  </w:pPr>
                  <w:r>
                    <w:rPr>
                      <w:rFonts w:ascii="仿宋_GB2312" w:hAnsi="仿宋_GB2312" w:eastAsia="仿宋_GB2312" w:cs="仿宋_GB2312"/>
                      <w:color w:val="000000"/>
                      <w:sz w:val="21"/>
                    </w:rPr>
                    <w:t>宜宾市第四人民医院医用气体年年终考核表</w:t>
                  </w:r>
                </w:p>
              </w:tc>
            </w:tr>
            <w:tr w14:paraId="62BD48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3113" w:type="dxa"/>
                  <w:gridSpan w:val="3"/>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121C69">
                  <w:pPr>
                    <w:pStyle w:val="5"/>
                    <w:spacing w:before="105" w:after="105"/>
                    <w:jc w:val="center"/>
                  </w:pPr>
                  <w:r>
                    <w:rPr>
                      <w:rFonts w:ascii="仿宋_GB2312" w:hAnsi="仿宋_GB2312" w:eastAsia="仿宋_GB2312" w:cs="仿宋_GB2312"/>
                      <w:color w:val="000000"/>
                      <w:sz w:val="21"/>
                    </w:rPr>
                    <w:t>项目名称</w:t>
                  </w:r>
                </w:p>
              </w:tc>
              <w:tc>
                <w:tcPr>
                  <w:tcW w:w="5107" w:type="dxa"/>
                  <w:gridSpan w:val="5"/>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577074B8">
                  <w:pPr>
                    <w:pStyle w:val="5"/>
                    <w:jc w:val="both"/>
                  </w:pPr>
                </w:p>
              </w:tc>
            </w:tr>
            <w:tr w14:paraId="578E3C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113" w:type="dxa"/>
                  <w:gridSpan w:val="3"/>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5738130">
                  <w:pPr>
                    <w:pStyle w:val="5"/>
                    <w:jc w:val="center"/>
                  </w:pPr>
                  <w:r>
                    <w:rPr>
                      <w:rFonts w:ascii="仿宋_GB2312" w:hAnsi="仿宋_GB2312" w:eastAsia="仿宋_GB2312" w:cs="仿宋_GB2312"/>
                      <w:color w:val="000000"/>
                      <w:sz w:val="21"/>
                    </w:rPr>
                    <w:t>供应商名称</w:t>
                  </w:r>
                </w:p>
              </w:tc>
              <w:tc>
                <w:tcPr>
                  <w:tcW w:w="5107" w:type="dxa"/>
                  <w:gridSpan w:val="5"/>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E921576">
                  <w:pPr>
                    <w:pStyle w:val="5"/>
                    <w:jc w:val="both"/>
                  </w:pPr>
                </w:p>
              </w:tc>
            </w:tr>
            <w:tr w14:paraId="3218D9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restart"/>
                  <w:tcBorders>
                    <w:top w:val="nil"/>
                    <w:left w:val="single" w:color="000000" w:sz="4" w:space="0"/>
                    <w:bottom w:val="nil"/>
                    <w:right w:val="single" w:color="000000" w:sz="4" w:space="0"/>
                  </w:tcBorders>
                  <w:noWrap w:val="0"/>
                  <w:tcMar>
                    <w:top w:w="0" w:type="dxa"/>
                    <w:left w:w="105" w:type="dxa"/>
                    <w:bottom w:w="0" w:type="dxa"/>
                    <w:right w:w="105" w:type="dxa"/>
                  </w:tcMar>
                  <w:vAlign w:val="top"/>
                </w:tcPr>
                <w:p w14:paraId="23A5747E">
                  <w:pPr>
                    <w:pStyle w:val="5"/>
                    <w:jc w:val="center"/>
                  </w:pPr>
                  <w:r>
                    <w:rPr>
                      <w:rFonts w:ascii="仿宋_GB2312" w:hAnsi="仿宋_GB2312" w:eastAsia="仿宋_GB2312" w:cs="仿宋_GB2312"/>
                      <w:color w:val="000000"/>
                      <w:sz w:val="21"/>
                    </w:rPr>
                    <w:t>月考核</w:t>
                  </w:r>
                </w:p>
              </w:tc>
              <w:tc>
                <w:tcPr>
                  <w:tcW w:w="1569"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84CB62">
                  <w:pPr>
                    <w:pStyle w:val="5"/>
                    <w:spacing w:before="105" w:after="105"/>
                    <w:jc w:val="center"/>
                  </w:pPr>
                  <w:r>
                    <w:rPr>
                      <w:rFonts w:ascii="仿宋_GB2312" w:hAnsi="仿宋_GB2312" w:eastAsia="仿宋_GB2312" w:cs="仿宋_GB2312"/>
                      <w:color w:val="000000"/>
                      <w:sz w:val="21"/>
                    </w:rPr>
                    <w:t>总得分</w:t>
                  </w:r>
                </w:p>
              </w:tc>
              <w:tc>
                <w:tcPr>
                  <w:tcW w:w="2777" w:type="dxa"/>
                  <w:gridSpan w:val="3"/>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5E84619C">
                  <w:pPr>
                    <w:pStyle w:val="5"/>
                    <w:spacing w:before="105" w:after="105"/>
                    <w:ind w:firstLine="720"/>
                    <w:jc w:val="both"/>
                  </w:pPr>
                  <w:r>
                    <w:rPr>
                      <w:rFonts w:ascii="仿宋_GB2312" w:hAnsi="仿宋_GB2312" w:eastAsia="仿宋_GB2312" w:cs="仿宋_GB2312"/>
                      <w:color w:val="000000"/>
                      <w:sz w:val="21"/>
                    </w:rPr>
                    <w:t>平均得分</w:t>
                  </w:r>
                </w:p>
              </w:tc>
              <w:tc>
                <w:tcPr>
                  <w:tcW w:w="2330" w:type="dxa"/>
                  <w:gridSpan w:val="2"/>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31BDE21B">
                  <w:pPr>
                    <w:pStyle w:val="5"/>
                    <w:spacing w:before="105" w:after="105"/>
                    <w:jc w:val="center"/>
                  </w:pPr>
                  <w:r>
                    <w:rPr>
                      <w:rFonts w:ascii="仿宋_GB2312" w:hAnsi="仿宋_GB2312" w:eastAsia="仿宋_GB2312" w:cs="仿宋_GB2312"/>
                      <w:color w:val="000000"/>
                      <w:sz w:val="21"/>
                    </w:rPr>
                    <w:t>计入年考核得分</w:t>
                  </w:r>
                </w:p>
              </w:tc>
            </w:tr>
            <w:tr w14:paraId="56EAFD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4" w:type="dxa"/>
                  <w:vMerge w:val="continue"/>
                  <w:tcBorders>
                    <w:top w:val="nil"/>
                    <w:left w:val="single" w:color="000000" w:sz="4" w:space="0"/>
                    <w:bottom w:val="nil"/>
                    <w:right w:val="single" w:color="000000" w:sz="4" w:space="0"/>
                  </w:tcBorders>
                  <w:noWrap w:val="0"/>
                  <w:vAlign w:val="top"/>
                </w:tcPr>
                <w:p w14:paraId="054040D1"/>
              </w:tc>
              <w:tc>
                <w:tcPr>
                  <w:tcW w:w="1569"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B9C6B4B">
                  <w:pPr>
                    <w:pStyle w:val="5"/>
                    <w:jc w:val="both"/>
                  </w:pPr>
                </w:p>
              </w:tc>
              <w:tc>
                <w:tcPr>
                  <w:tcW w:w="2777"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691BC21"/>
              </w:tc>
              <w:tc>
                <w:tcPr>
                  <w:tcW w:w="2330" w:type="dxa"/>
                  <w:gridSpan w:val="2"/>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44283F7"/>
              </w:tc>
            </w:tr>
            <w:tr w14:paraId="5E6B23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restart"/>
                  <w:tcBorders>
                    <w:top w:val="nil"/>
                    <w:left w:val="single" w:color="000000" w:sz="4" w:space="0"/>
                    <w:bottom w:val="nil"/>
                    <w:right w:val="single" w:color="000000" w:sz="4" w:space="0"/>
                  </w:tcBorders>
                  <w:noWrap w:val="0"/>
                  <w:tcMar>
                    <w:top w:w="0" w:type="dxa"/>
                    <w:left w:w="105" w:type="dxa"/>
                    <w:bottom w:w="0" w:type="dxa"/>
                    <w:right w:w="105" w:type="dxa"/>
                  </w:tcMar>
                  <w:vAlign w:val="top"/>
                </w:tcPr>
                <w:p w14:paraId="0E155D4E">
                  <w:pPr>
                    <w:pStyle w:val="5"/>
                    <w:jc w:val="center"/>
                  </w:pPr>
                  <w:r>
                    <w:rPr>
                      <w:rFonts w:ascii="仿宋_GB2312" w:hAnsi="仿宋_GB2312" w:eastAsia="仿宋_GB2312" w:cs="仿宋_GB2312"/>
                      <w:color w:val="000000"/>
                      <w:sz w:val="21"/>
                    </w:rPr>
                    <w:t>年终验收考核内容</w:t>
                  </w:r>
                </w:p>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3228101">
                  <w:pPr>
                    <w:pStyle w:val="5"/>
                    <w:spacing w:before="105" w:after="105"/>
                    <w:jc w:val="center"/>
                  </w:pPr>
                  <w:r>
                    <w:rPr>
                      <w:rFonts w:ascii="仿宋_GB2312" w:hAnsi="仿宋_GB2312" w:eastAsia="仿宋_GB2312" w:cs="仿宋_GB2312"/>
                      <w:color w:val="000000"/>
                      <w:sz w:val="21"/>
                    </w:rPr>
                    <w:t>序号</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BBCC4BB">
                  <w:pPr>
                    <w:pStyle w:val="5"/>
                    <w:spacing w:before="105" w:after="105"/>
                    <w:jc w:val="center"/>
                  </w:pPr>
                  <w:r>
                    <w:rPr>
                      <w:rFonts w:ascii="仿宋_GB2312" w:hAnsi="仿宋_GB2312" w:eastAsia="仿宋_GB2312" w:cs="仿宋_GB2312"/>
                      <w:color w:val="000000"/>
                      <w:sz w:val="21"/>
                    </w:rPr>
                    <w:t>内容</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E015CED">
                  <w:pPr>
                    <w:pStyle w:val="5"/>
                    <w:spacing w:before="105" w:after="105"/>
                    <w:jc w:val="center"/>
                  </w:pPr>
                  <w:r>
                    <w:rPr>
                      <w:rFonts w:ascii="仿宋_GB2312" w:hAnsi="仿宋_GB2312" w:eastAsia="仿宋_GB2312" w:cs="仿宋_GB2312"/>
                      <w:color w:val="000000"/>
                      <w:sz w:val="21"/>
                    </w:rPr>
                    <w:t>分值</w:t>
                  </w:r>
                </w:p>
              </w:tc>
              <w:tc>
                <w:tcPr>
                  <w:tcW w:w="1134"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799D2DB8">
                  <w:pPr>
                    <w:pStyle w:val="5"/>
                    <w:spacing w:before="105" w:after="105"/>
                    <w:jc w:val="center"/>
                  </w:pPr>
                  <w:r>
                    <w:rPr>
                      <w:rFonts w:ascii="仿宋_GB2312" w:hAnsi="仿宋_GB2312" w:eastAsia="仿宋_GB2312" w:cs="仿宋_GB2312"/>
                      <w:color w:val="000000"/>
                      <w:sz w:val="21"/>
                    </w:rPr>
                    <w:t>得分</w:t>
                  </w:r>
                </w:p>
              </w:tc>
              <w:tc>
                <w:tcPr>
                  <w:tcW w:w="1196"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069ED768">
                  <w:pPr>
                    <w:pStyle w:val="5"/>
                    <w:spacing w:before="105" w:after="105"/>
                    <w:jc w:val="center"/>
                  </w:pPr>
                  <w:r>
                    <w:rPr>
                      <w:rFonts w:ascii="仿宋_GB2312" w:hAnsi="仿宋_GB2312" w:eastAsia="仿宋_GB2312" w:cs="仿宋_GB2312"/>
                      <w:color w:val="000000"/>
                      <w:sz w:val="21"/>
                    </w:rPr>
                    <w:t>备注</w:t>
                  </w:r>
                </w:p>
              </w:tc>
            </w:tr>
            <w:tr w14:paraId="21B9DE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0D7B3D16"/>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E45F38A">
                  <w:pPr>
                    <w:pStyle w:val="5"/>
                    <w:spacing w:before="105" w:after="105"/>
                    <w:jc w:val="center"/>
                  </w:pPr>
                  <w:r>
                    <w:rPr>
                      <w:rFonts w:ascii="仿宋_GB2312" w:hAnsi="仿宋_GB2312" w:eastAsia="仿宋_GB2312" w:cs="仿宋_GB2312"/>
                      <w:color w:val="000000"/>
                      <w:sz w:val="21"/>
                    </w:rPr>
                    <w:t>1</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455B796">
                  <w:pPr>
                    <w:pStyle w:val="5"/>
                    <w:spacing w:before="105" w:after="105"/>
                    <w:jc w:val="center"/>
                  </w:pPr>
                  <w:r>
                    <w:rPr>
                      <w:rFonts w:ascii="仿宋_GB2312" w:hAnsi="仿宋_GB2312" w:eastAsia="仿宋_GB2312" w:cs="仿宋_GB2312"/>
                      <w:color w:val="000000"/>
                      <w:sz w:val="21"/>
                    </w:rPr>
                    <w:t>全年配送服务规范</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5C3F3D8">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F7E7672">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E9A5C52"/>
              </w:tc>
            </w:tr>
            <w:tr w14:paraId="5B2EE3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48B2691A"/>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1358B35">
                  <w:pPr>
                    <w:pStyle w:val="5"/>
                    <w:jc w:val="center"/>
                  </w:pPr>
                  <w:r>
                    <w:rPr>
                      <w:rFonts w:ascii="仿宋_GB2312" w:hAnsi="仿宋_GB2312" w:eastAsia="仿宋_GB2312" w:cs="仿宋_GB2312"/>
                      <w:color w:val="000000"/>
                      <w:sz w:val="21"/>
                    </w:rPr>
                    <w:t>2</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54D9D4D">
                  <w:pPr>
                    <w:pStyle w:val="5"/>
                    <w:spacing w:before="105" w:after="105"/>
                    <w:jc w:val="center"/>
                  </w:pPr>
                  <w:r>
                    <w:rPr>
                      <w:rFonts w:ascii="仿宋_GB2312" w:hAnsi="仿宋_GB2312" w:eastAsia="仿宋_GB2312" w:cs="仿宋_GB2312"/>
                      <w:color w:val="000000"/>
                      <w:sz w:val="21"/>
                    </w:rPr>
                    <w:t>全年服务人员的服务情况</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C57EB1B">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7EC0E75">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1F4A2C"/>
              </w:tc>
            </w:tr>
            <w:tr w14:paraId="50826D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21" w:hRule="atLeast"/>
              </w:trPr>
              <w:tc>
                <w:tcPr>
                  <w:tcW w:w="1544" w:type="dxa"/>
                  <w:vMerge w:val="continue"/>
                  <w:tcBorders>
                    <w:top w:val="nil"/>
                    <w:left w:val="single" w:color="000000" w:sz="4" w:space="0"/>
                    <w:bottom w:val="nil"/>
                    <w:right w:val="single" w:color="000000" w:sz="4" w:space="0"/>
                  </w:tcBorders>
                  <w:noWrap w:val="0"/>
                  <w:vAlign w:val="top"/>
                </w:tcPr>
                <w:p w14:paraId="1549EACE"/>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33ADE7D">
                  <w:pPr>
                    <w:pStyle w:val="5"/>
                    <w:jc w:val="center"/>
                  </w:pPr>
                  <w:r>
                    <w:rPr>
                      <w:rFonts w:ascii="仿宋_GB2312" w:hAnsi="仿宋_GB2312" w:eastAsia="仿宋_GB2312" w:cs="仿宋_GB2312"/>
                      <w:color w:val="000000"/>
                      <w:sz w:val="21"/>
                    </w:rPr>
                    <w:t>3</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E851D79">
                  <w:pPr>
                    <w:pStyle w:val="5"/>
                    <w:spacing w:before="105" w:after="105"/>
                    <w:jc w:val="center"/>
                  </w:pPr>
                  <w:r>
                    <w:rPr>
                      <w:rFonts w:ascii="仿宋_GB2312" w:hAnsi="仿宋_GB2312" w:eastAsia="仿宋_GB2312" w:cs="仿宋_GB2312"/>
                      <w:color w:val="000000"/>
                      <w:sz w:val="21"/>
                    </w:rPr>
                    <w:t>全年开展设备维护情况以及罐体有无异常</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0B93C08">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8873EAA">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88D706"/>
              </w:tc>
            </w:tr>
            <w:tr w14:paraId="322DE8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21" w:hRule="atLeast"/>
              </w:trPr>
              <w:tc>
                <w:tcPr>
                  <w:tcW w:w="1544" w:type="dxa"/>
                  <w:vMerge w:val="continue"/>
                  <w:tcBorders>
                    <w:top w:val="nil"/>
                    <w:left w:val="single" w:color="000000" w:sz="4" w:space="0"/>
                    <w:bottom w:val="nil"/>
                    <w:right w:val="single" w:color="000000" w:sz="4" w:space="0"/>
                  </w:tcBorders>
                  <w:noWrap w:val="0"/>
                  <w:vAlign w:val="top"/>
                </w:tcPr>
                <w:p w14:paraId="0A715057"/>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9B01B0B">
                  <w:pPr>
                    <w:pStyle w:val="5"/>
                    <w:jc w:val="center"/>
                  </w:pPr>
                  <w:r>
                    <w:rPr>
                      <w:rFonts w:ascii="仿宋_GB2312" w:hAnsi="仿宋_GB2312" w:eastAsia="仿宋_GB2312" w:cs="仿宋_GB2312"/>
                      <w:color w:val="000000"/>
                      <w:sz w:val="21"/>
                    </w:rPr>
                    <w:t>4</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C33BF40">
                  <w:pPr>
                    <w:pStyle w:val="5"/>
                    <w:spacing w:before="105" w:after="105"/>
                    <w:jc w:val="center"/>
                  </w:pPr>
                  <w:r>
                    <w:rPr>
                      <w:rFonts w:ascii="仿宋_GB2312" w:hAnsi="仿宋_GB2312" w:eastAsia="仿宋_GB2312" w:cs="仿宋_GB2312"/>
                      <w:color w:val="000000"/>
                      <w:sz w:val="21"/>
                    </w:rPr>
                    <w:t>全年有效期和检测报告等资料是否齐全</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C261804">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3F1EA17">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49287DF"/>
              </w:tc>
            </w:tr>
            <w:tr w14:paraId="0B7720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038531CB"/>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1C59CD1">
                  <w:pPr>
                    <w:pStyle w:val="5"/>
                    <w:jc w:val="center"/>
                  </w:pPr>
                  <w:r>
                    <w:rPr>
                      <w:rFonts w:ascii="仿宋_GB2312" w:hAnsi="仿宋_GB2312" w:eastAsia="仿宋_GB2312" w:cs="仿宋_GB2312"/>
                      <w:color w:val="000000"/>
                      <w:sz w:val="21"/>
                    </w:rPr>
                    <w:t>5</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D1569C9">
                  <w:pPr>
                    <w:pStyle w:val="5"/>
                    <w:spacing w:before="105" w:after="105"/>
                    <w:jc w:val="center"/>
                  </w:pPr>
                  <w:r>
                    <w:rPr>
                      <w:rFonts w:ascii="仿宋_GB2312" w:hAnsi="仿宋_GB2312" w:eastAsia="仿宋_GB2312" w:cs="仿宋_GB2312"/>
                      <w:color w:val="000000"/>
                      <w:sz w:val="21"/>
                    </w:rPr>
                    <w:t>货物进场时效保障</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5FA4938">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46E6D7B">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2554C2D"/>
              </w:tc>
            </w:tr>
            <w:tr w14:paraId="79F75F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6EF5FC6D"/>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213228A">
                  <w:pPr>
                    <w:pStyle w:val="5"/>
                    <w:jc w:val="center"/>
                  </w:pPr>
                  <w:r>
                    <w:rPr>
                      <w:rFonts w:ascii="仿宋_GB2312" w:hAnsi="仿宋_GB2312" w:eastAsia="仿宋_GB2312" w:cs="仿宋_GB2312"/>
                      <w:color w:val="000000"/>
                      <w:sz w:val="21"/>
                    </w:rPr>
                    <w:t>6</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AEBAB78">
                  <w:pPr>
                    <w:pStyle w:val="5"/>
                    <w:spacing w:before="105" w:after="105"/>
                    <w:jc w:val="center"/>
                  </w:pPr>
                  <w:r>
                    <w:rPr>
                      <w:rFonts w:ascii="仿宋_GB2312" w:hAnsi="仿宋_GB2312" w:eastAsia="仿宋_GB2312" w:cs="仿宋_GB2312"/>
                      <w:color w:val="000000"/>
                      <w:sz w:val="21"/>
                    </w:rPr>
                    <w:t>定期开展氧气房间实施安全检查情况</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5996FC4">
                  <w:pPr>
                    <w:pStyle w:val="5"/>
                    <w:spacing w:before="105" w:after="105"/>
                    <w:jc w:val="center"/>
                  </w:pPr>
                  <w:r>
                    <w:rPr>
                      <w:rFonts w:ascii="仿宋_GB2312" w:hAnsi="仿宋_GB2312" w:eastAsia="仿宋_GB2312" w:cs="仿宋_GB2312"/>
                      <w:color w:val="000000"/>
                      <w:sz w:val="21"/>
                    </w:rPr>
                    <w:t>15分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0E5E7D">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16914BB"/>
              </w:tc>
            </w:tr>
            <w:tr w14:paraId="7B052F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74670818"/>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2DB9BE4">
                  <w:pPr>
                    <w:pStyle w:val="5"/>
                    <w:jc w:val="center"/>
                  </w:pPr>
                  <w:r>
                    <w:rPr>
                      <w:rFonts w:ascii="仿宋_GB2312" w:hAnsi="仿宋_GB2312" w:eastAsia="仿宋_GB2312" w:cs="仿宋_GB2312"/>
                      <w:color w:val="000000"/>
                      <w:sz w:val="21"/>
                    </w:rPr>
                    <w:t>7</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A6EE3F5">
                  <w:pPr>
                    <w:pStyle w:val="5"/>
                    <w:spacing w:before="105" w:after="105"/>
                    <w:jc w:val="center"/>
                  </w:pPr>
                  <w:r>
                    <w:rPr>
                      <w:rFonts w:ascii="仿宋_GB2312" w:hAnsi="仿宋_GB2312" w:eastAsia="仿宋_GB2312" w:cs="仿宋_GB2312"/>
                      <w:color w:val="000000"/>
                      <w:sz w:val="21"/>
                    </w:rPr>
                    <w:t>运输搬运过程安全管理规范情况</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7BCB2A4">
                  <w:pPr>
                    <w:pStyle w:val="5"/>
                    <w:spacing w:before="105" w:after="105"/>
                    <w:jc w:val="center"/>
                  </w:pPr>
                  <w:r>
                    <w:rPr>
                      <w:rFonts w:ascii="仿宋_GB2312" w:hAnsi="仿宋_GB2312" w:eastAsia="仿宋_GB2312" w:cs="仿宋_GB2312"/>
                      <w:color w:val="000000"/>
                      <w:sz w:val="21"/>
                    </w:rPr>
                    <w:t>15分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260720">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8300B79"/>
              </w:tc>
            </w:tr>
            <w:tr w14:paraId="3921D4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1544" w:type="dxa"/>
                  <w:vMerge w:val="continue"/>
                  <w:tcBorders>
                    <w:top w:val="nil"/>
                    <w:left w:val="single" w:color="000000" w:sz="4" w:space="0"/>
                    <w:bottom w:val="nil"/>
                    <w:right w:val="single" w:color="000000" w:sz="4" w:space="0"/>
                  </w:tcBorders>
                  <w:noWrap w:val="0"/>
                  <w:vAlign w:val="top"/>
                </w:tcPr>
                <w:p w14:paraId="0225B3E0"/>
              </w:tc>
              <w:tc>
                <w:tcPr>
                  <w:tcW w:w="62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C8F04F3">
                  <w:pPr>
                    <w:pStyle w:val="5"/>
                    <w:jc w:val="center"/>
                  </w:pPr>
                  <w:r>
                    <w:rPr>
                      <w:rFonts w:ascii="仿宋_GB2312" w:hAnsi="仿宋_GB2312" w:eastAsia="仿宋_GB2312" w:cs="仿宋_GB2312"/>
                      <w:color w:val="000000"/>
                      <w:sz w:val="21"/>
                    </w:rPr>
                    <w:t>8</w:t>
                  </w:r>
                </w:p>
              </w:tc>
              <w:tc>
                <w:tcPr>
                  <w:tcW w:w="2853" w:type="dxa"/>
                  <w:gridSpan w:val="3"/>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972CEEF">
                  <w:pPr>
                    <w:pStyle w:val="5"/>
                    <w:spacing w:before="105" w:after="105"/>
                    <w:jc w:val="center"/>
                  </w:pPr>
                  <w:r>
                    <w:rPr>
                      <w:rFonts w:ascii="仿宋_GB2312" w:hAnsi="仿宋_GB2312" w:eastAsia="仿宋_GB2312" w:cs="仿宋_GB2312"/>
                      <w:color w:val="000000"/>
                      <w:sz w:val="21"/>
                    </w:rPr>
                    <w:t>全年送货邀请经办人员规范验收情况</w:t>
                  </w:r>
                </w:p>
              </w:tc>
              <w:tc>
                <w:tcPr>
                  <w:tcW w:w="8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69D200">
                  <w:pPr>
                    <w:pStyle w:val="5"/>
                    <w:spacing w:before="105" w:after="105"/>
                    <w:jc w:val="center"/>
                  </w:pPr>
                  <w:r>
                    <w:rPr>
                      <w:rFonts w:ascii="仿宋_GB2312" w:hAnsi="仿宋_GB2312" w:eastAsia="仿宋_GB2312" w:cs="仿宋_GB2312"/>
                      <w:color w:val="000000"/>
                      <w:sz w:val="21"/>
                    </w:rPr>
                    <w:t>10分</w:t>
                  </w:r>
                </w:p>
              </w:tc>
              <w:tc>
                <w:tcPr>
                  <w:tcW w:w="113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5BB8FD6">
                  <w:pPr>
                    <w:pStyle w:val="5"/>
                    <w:jc w:val="both"/>
                  </w:pPr>
                </w:p>
              </w:tc>
              <w:tc>
                <w:tcPr>
                  <w:tcW w:w="1196"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976B921"/>
              </w:tc>
            </w:tr>
            <w:tr w14:paraId="698786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44" w:type="dxa"/>
                  <w:vMerge w:val="continue"/>
                  <w:tcBorders>
                    <w:top w:val="nil"/>
                    <w:left w:val="single" w:color="000000" w:sz="4" w:space="0"/>
                    <w:bottom w:val="nil"/>
                    <w:right w:val="single" w:color="000000" w:sz="4" w:space="0"/>
                  </w:tcBorders>
                  <w:noWrap w:val="0"/>
                  <w:vAlign w:val="top"/>
                </w:tcPr>
                <w:p w14:paraId="3194CE86"/>
              </w:tc>
              <w:tc>
                <w:tcPr>
                  <w:tcW w:w="2525" w:type="dxa"/>
                  <w:gridSpan w:val="3"/>
                  <w:vMerge w:val="restart"/>
                  <w:tcBorders>
                    <w:top w:val="nil"/>
                    <w:left w:val="nil"/>
                    <w:bottom w:val="nil"/>
                    <w:right w:val="single" w:color="000000" w:sz="4" w:space="0"/>
                  </w:tcBorders>
                  <w:noWrap w:val="0"/>
                  <w:tcMar>
                    <w:top w:w="0" w:type="dxa"/>
                    <w:left w:w="105" w:type="dxa"/>
                    <w:bottom w:w="0" w:type="dxa"/>
                    <w:right w:w="105" w:type="dxa"/>
                  </w:tcMar>
                  <w:vAlign w:val="bottom"/>
                </w:tcPr>
                <w:p w14:paraId="1F5719E4">
                  <w:pPr>
                    <w:pStyle w:val="5"/>
                    <w:jc w:val="center"/>
                  </w:pPr>
                  <w:r>
                    <w:rPr>
                      <w:rFonts w:ascii="仿宋_GB2312" w:hAnsi="仿宋_GB2312" w:eastAsia="仿宋_GB2312" w:cs="仿宋_GB2312"/>
                      <w:color w:val="000000"/>
                      <w:sz w:val="21"/>
                    </w:rPr>
                    <w:t>合计得分</w:t>
                  </w:r>
                </w:p>
              </w:tc>
              <w:tc>
                <w:tcPr>
                  <w:tcW w:w="4151" w:type="dxa"/>
                  <w:gridSpan w:val="4"/>
                  <w:vMerge w:val="restart"/>
                  <w:tcBorders>
                    <w:top w:val="nil"/>
                    <w:left w:val="nil"/>
                    <w:bottom w:val="nil"/>
                    <w:right w:val="single" w:color="000000" w:sz="4" w:space="0"/>
                  </w:tcBorders>
                  <w:noWrap w:val="0"/>
                  <w:tcMar>
                    <w:top w:w="0" w:type="dxa"/>
                    <w:left w:w="105" w:type="dxa"/>
                    <w:bottom w:w="0" w:type="dxa"/>
                    <w:right w:w="105" w:type="dxa"/>
                  </w:tcMar>
                  <w:vAlign w:val="bottom"/>
                </w:tcPr>
                <w:p w14:paraId="355E414D">
                  <w:pPr>
                    <w:pStyle w:val="5"/>
                    <w:jc w:val="both"/>
                  </w:pPr>
                </w:p>
              </w:tc>
            </w:tr>
            <w:tr w14:paraId="727D78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4" w:type="dxa"/>
                  <w:vMerge w:val="continue"/>
                  <w:tcBorders>
                    <w:top w:val="nil"/>
                    <w:left w:val="single" w:color="000000" w:sz="4" w:space="0"/>
                    <w:bottom w:val="nil"/>
                    <w:right w:val="single" w:color="000000" w:sz="4" w:space="0"/>
                  </w:tcBorders>
                  <w:noWrap w:val="0"/>
                  <w:vAlign w:val="top"/>
                </w:tcPr>
                <w:p w14:paraId="736955BC"/>
              </w:tc>
              <w:tc>
                <w:tcPr>
                  <w:tcW w:w="2525" w:type="dxa"/>
                  <w:gridSpan w:val="3"/>
                  <w:vMerge w:val="continue"/>
                  <w:tcBorders>
                    <w:top w:val="nil"/>
                    <w:left w:val="nil"/>
                    <w:bottom w:val="nil"/>
                    <w:right w:val="single" w:color="000000" w:sz="4" w:space="0"/>
                  </w:tcBorders>
                  <w:noWrap w:val="0"/>
                  <w:vAlign w:val="top"/>
                </w:tcPr>
                <w:p w14:paraId="6C4173DD"/>
              </w:tc>
              <w:tc>
                <w:tcPr>
                  <w:tcW w:w="4151" w:type="dxa"/>
                  <w:gridSpan w:val="4"/>
                  <w:vMerge w:val="continue"/>
                  <w:tcBorders>
                    <w:top w:val="nil"/>
                    <w:left w:val="nil"/>
                    <w:bottom w:val="nil"/>
                    <w:right w:val="single" w:color="000000" w:sz="4" w:space="0"/>
                  </w:tcBorders>
                  <w:noWrap w:val="0"/>
                  <w:vAlign w:val="top"/>
                </w:tcPr>
                <w:p w14:paraId="4E0AAF6D"/>
              </w:tc>
            </w:tr>
            <w:tr w14:paraId="283EEC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8220" w:type="dxa"/>
                  <w:gridSpan w:val="8"/>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82C9D52"/>
              </w:tc>
            </w:tr>
            <w:tr w14:paraId="1D7186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1544"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F2BEEE5">
                  <w:pPr>
                    <w:pStyle w:val="5"/>
                    <w:jc w:val="both"/>
                  </w:pPr>
                  <w:r>
                    <w:rPr>
                      <w:rFonts w:ascii="仿宋_GB2312" w:hAnsi="仿宋_GB2312" w:eastAsia="仿宋_GB2312" w:cs="仿宋_GB2312"/>
                      <w:color w:val="000000"/>
                      <w:sz w:val="21"/>
                    </w:rPr>
                    <w:t>年终考核结果</w:t>
                  </w:r>
                </w:p>
              </w:tc>
              <w:tc>
                <w:tcPr>
                  <w:tcW w:w="6676" w:type="dxa"/>
                  <w:gridSpan w:val="7"/>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bottom"/>
                </w:tcPr>
                <w:p w14:paraId="22A3E9C5">
                  <w:pPr>
                    <w:pStyle w:val="5"/>
                    <w:spacing w:before="105" w:after="105"/>
                    <w:jc w:val="both"/>
                  </w:pPr>
                  <w:r>
                    <w:rPr>
                      <w:rFonts w:hint="eastAsia" w:ascii="仿宋_GB2312" w:hAnsi="仿宋_GB2312" w:eastAsia="仿宋_GB2312" w:cs="仿宋_GB2312"/>
                      <w:color w:val="000000"/>
                      <w:sz w:val="21"/>
                      <w:lang w:eastAsia="zh-CN"/>
                    </w:rPr>
                    <w:t>良好</w:t>
                  </w:r>
                  <w:r>
                    <w:rPr>
                      <w:rFonts w:hint="eastAsia" w:ascii="仿宋_GB2312" w:hAnsi="仿宋_GB2312" w:eastAsia="仿宋_GB2312" w:cs="仿宋_GB2312"/>
                      <w:color w:val="000000"/>
                      <w:sz w:val="21"/>
                    </w:rPr>
                    <w:t>≥9</w:t>
                  </w:r>
                  <w:r>
                    <w:rPr>
                      <w:rFonts w:hint="eastAsia" w:ascii="仿宋_GB2312" w:hAnsi="仿宋_GB2312" w:eastAsia="仿宋_GB2312" w:cs="仿宋_GB2312"/>
                      <w:color w:val="000000"/>
                      <w:sz w:val="21"/>
                      <w:lang w:val="en-US" w:eastAsia="zh-CN"/>
                    </w:rPr>
                    <w:t>0</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r>
                    <w:rPr>
                      <w:rFonts w:hint="eastAsia" w:ascii="仿宋_GB2312" w:hAnsi="仿宋_GB2312" w:eastAsia="仿宋_GB2312" w:cs="仿宋_GB2312"/>
                      <w:color w:val="000000"/>
                      <w:sz w:val="21"/>
                      <w:lang w:val="en-US" w:eastAsia="zh-CN"/>
                    </w:rPr>
                    <w:t xml:space="preserve">          </w:t>
                  </w:r>
                  <w:r>
                    <w:rPr>
                      <w:rFonts w:hint="eastAsia" w:ascii="仿宋_GB2312" w:hAnsi="仿宋_GB2312" w:eastAsia="仿宋_GB2312" w:cs="仿宋_GB2312"/>
                      <w:color w:val="000000"/>
                      <w:sz w:val="21"/>
                    </w:rPr>
                    <w:t>合格≥</w:t>
                  </w:r>
                  <w:r>
                    <w:rPr>
                      <w:rFonts w:hint="eastAsia" w:ascii="仿宋_GB2312" w:hAnsi="仿宋_GB2312" w:eastAsia="仿宋_GB2312" w:cs="仿宋_GB2312"/>
                      <w:color w:val="000000"/>
                      <w:sz w:val="21"/>
                      <w:lang w:val="en-US" w:eastAsia="zh-CN"/>
                    </w:rPr>
                    <w:t>85</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r>
                    <w:rPr>
                      <w:rFonts w:hint="eastAsia" w:ascii="仿宋_GB2312" w:hAnsi="仿宋_GB2312" w:eastAsia="仿宋_GB2312" w:cs="仿宋_GB2312"/>
                      <w:color w:val="000000"/>
                      <w:sz w:val="21"/>
                      <w:lang w:val="en-US" w:eastAsia="zh-CN"/>
                    </w:rPr>
                    <w:t xml:space="preserve">    不合格</w:t>
                  </w:r>
                  <w:r>
                    <w:rPr>
                      <w:rFonts w:ascii="仿宋_GB2312" w:hAnsi="仿宋_GB2312" w:eastAsia="仿宋_GB2312" w:cs="仿宋_GB2312"/>
                      <w:color w:val="000000"/>
                      <w:sz w:val="21"/>
                    </w:rPr>
                    <w:t>＜</w:t>
                  </w:r>
                  <w:r>
                    <w:rPr>
                      <w:rFonts w:hint="eastAsia" w:ascii="仿宋_GB2312" w:hAnsi="仿宋_GB2312" w:eastAsia="仿宋_GB2312" w:cs="仿宋_GB2312"/>
                      <w:color w:val="000000"/>
                      <w:sz w:val="21"/>
                    </w:rPr>
                    <w:t>8</w:t>
                  </w:r>
                  <w:r>
                    <w:rPr>
                      <w:rFonts w:hint="eastAsia" w:ascii="仿宋_GB2312" w:hAnsi="仿宋_GB2312" w:eastAsia="仿宋_GB2312" w:cs="仿宋_GB2312"/>
                      <w:color w:val="000000"/>
                      <w:sz w:val="21"/>
                      <w:lang w:val="en-US" w:eastAsia="zh-CN"/>
                    </w:rPr>
                    <w:t>5</w:t>
                  </w:r>
                  <w:r>
                    <w:rPr>
                      <w:rFonts w:hint="eastAsia" w:ascii="仿宋_GB2312" w:hAnsi="仿宋_GB2312" w:eastAsia="仿宋_GB2312" w:cs="仿宋_GB2312"/>
                      <w:color w:val="000000"/>
                      <w:sz w:val="21"/>
                    </w:rPr>
                    <w:t>分</w:t>
                  </w:r>
                  <w:r>
                    <w:rPr>
                      <w:rFonts w:hint="eastAsia" w:ascii="仿宋_GB2312" w:hAnsi="仿宋_GB2312" w:eastAsia="仿宋_GB2312" w:cs="仿宋_GB2312"/>
                      <w:color w:val="000000"/>
                      <w:sz w:val="21"/>
                    </w:rPr>
                    <w:sym w:font="Wingdings 2" w:char="00A3"/>
                  </w:r>
                </w:p>
              </w:tc>
            </w:tr>
            <w:tr w14:paraId="7640C4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220" w:type="dxa"/>
                  <w:gridSpan w:val="8"/>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1224F7C">
                  <w:pPr>
                    <w:pStyle w:val="5"/>
                    <w:spacing w:before="105" w:after="105"/>
                    <w:jc w:val="both"/>
                  </w:pPr>
                  <w:r>
                    <w:rPr>
                      <w:rFonts w:ascii="仿宋_GB2312" w:hAnsi="仿宋_GB2312" w:eastAsia="仿宋_GB2312" w:cs="仿宋_GB2312"/>
                      <w:color w:val="000000"/>
                      <w:sz w:val="21"/>
                    </w:rPr>
                    <w:t xml:space="preserve">考核人员（小组）签字：                          </w:t>
                  </w:r>
                </w:p>
              </w:tc>
            </w:tr>
          </w:tbl>
          <w:p w14:paraId="492C8F17">
            <w:pPr>
              <w:pStyle w:val="5"/>
              <w:spacing w:before="105" w:after="105"/>
              <w:jc w:val="left"/>
            </w:pPr>
          </w:p>
        </w:tc>
      </w:tr>
    </w:tbl>
    <w:p w14:paraId="0556702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OTgwMmYzNmY2NzAyZDBhOWEzZDM5NTdhNTU5NjQifQ=="/>
  </w:docVars>
  <w:rsids>
    <w:rsidRoot w:val="00000000"/>
    <w:rsid w:val="1D743E4E"/>
    <w:rsid w:val="33511EAE"/>
    <w:rsid w:val="33801446"/>
    <w:rsid w:val="3E50254E"/>
    <w:rsid w:val="44E93B20"/>
    <w:rsid w:val="4CC94063"/>
    <w:rsid w:val="53670341"/>
    <w:rsid w:val="5F1468D6"/>
    <w:rsid w:val="614E274C"/>
    <w:rsid w:val="64DE604B"/>
    <w:rsid w:val="64F6322C"/>
    <w:rsid w:val="6AC873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annotation text"/>
    <w:basedOn w:val="1"/>
    <w:uiPriority w:val="0"/>
    <w:pPr>
      <w:jc w:val="left"/>
    </w:p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5636</Words>
  <Characters>5865</Characters>
  <Lines>0</Lines>
  <Paragraphs>0</Paragraphs>
  <TotalTime>0</TotalTime>
  <ScaleCrop>false</ScaleCrop>
  <LinksUpToDate>false</LinksUpToDate>
  <CharactersWithSpaces>6045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2025-08-21T08:34:00Z</dcterms:created>
  <dc:creator>maoke</dc:creator>
  <cp:lastModifiedBy>黄焰</cp:lastModifiedBy>
  <dcterms:modified xsi:type="dcterms:W3CDTF">2026-05-13T02:20:09Z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26E80B1E60BE41E0AC3CD603BFDA0EF6_13</vt:lpwstr>
  </property>
  <property fmtid="{D5CDD505-2E9C-101B-9397-08002B2CF9AE}" pid="4" name="KSOTemplateDocerSaveRecord">
    <vt:lpwstr>eyJoZGlkIjoiZTM1NjlmZWMyYWRlOTMyNGJhMTUxM2I4MmMzMjMzNjQiLCJ1c2VySWQiOiIxNzQ4MDc0MjA3In0=</vt:lpwstr>
  </property>
</Properties>
</file>