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版本号：N511501202600013820260520001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医用气体配送服务(二次)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N5115012026000138</w:t>
      </w:r>
    </w:p>
    <w:p>
      <w:pPr>
        <w:pStyle w:val="null3"/>
        <w:jc w:val="left"/>
        <w:outlineLvl w:val="2"/>
      </w:pPr>
      <w:r>
        <w:rPr>
          <w:rFonts w:ascii="仿宋_GB2312" w:hAnsi="仿宋_GB2312" w:cs="仿宋_GB2312" w:eastAsia="仿宋_GB2312"/>
          <w:sz w:val="28"/>
          <w:b/>
        </w:rPr>
        <w:t>宜宾市第四人民医院</w:t>
      </w:r>
    </w:p>
    <w:p>
      <w:pPr>
        <w:pStyle w:val="null3"/>
        <w:jc w:val="center"/>
        <w:outlineLvl w:val="2"/>
      </w:pPr>
      <w:r>
        <w:rPr>
          <w:rFonts w:ascii="仿宋_GB2312" w:hAnsi="仿宋_GB2312" w:cs="仿宋_GB2312" w:eastAsia="仿宋_GB2312"/>
          <w:sz w:val="28"/>
          <w:b/>
        </w:rPr>
        <w:t>宜宾市公服集团医疗健康产业发展有限公司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宜宾市第四人民医院</w:t>
      </w:r>
      <w:r>
        <w:rPr>
          <w:rFonts w:ascii="仿宋_GB2312" w:hAnsi="仿宋_GB2312" w:cs="仿宋_GB2312" w:eastAsia="仿宋_GB2312"/>
        </w:rPr>
        <w:t xml:space="preserve"> 委托，拟对 </w:t>
      </w:r>
      <w:r>
        <w:rPr>
          <w:rFonts w:ascii="仿宋_GB2312" w:hAnsi="仿宋_GB2312" w:cs="仿宋_GB2312" w:eastAsia="仿宋_GB2312"/>
        </w:rPr>
        <w:t>医用气体配送服务(二次)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N5115012026000138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医用气体配送服务(二次)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为保障医院临床医用气体的使用，拟采购一家供应商为医院提供医用气体配送服务，服务期限3年。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具备相关资质：《营业执照》、《药品生产许可证》、《危险化学品经营许可证》、《气瓶充装许可证》或《移动式压力容器充装许可证》、《药品（氧）注册批件》、《道路运输经营许可证》或（提供第三方的《道路运输经营许可证》以及双方签订的有效期合同）等必要的证件（提供证件的复印件）。（描述：投标人应具备相关资质：《营业执照》、《药品生产许可证》、《危险化学品经营许可证》、《气瓶充装许可证》或《移动式压力容器充装许可证》、《药品（氧）注册批件》、《道路运输经营许可证》或（提供第三方的《道路运输经营许可证》以及双方签订的有效期合同）等必要的证件（提供证件的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宜宾市第四人民医院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宜宾市叙州区外江路2号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颜女士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0831-2337489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宜宾市公服集团医疗健康产业发展有限公司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宜宾市叙州区南岸街道三江明珠2幢2单元6楼613室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0831-2370510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合同签订前中标人应缴纳中标金额的5%作为履约保证金，中标人完成合同约定的所有内容并经采购人验收合格，正常履约完毕且双方无权利义务争议后10日内，由采购人一次性无息退还至中标人。</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代理服务费收费标准：1.成本⽀出加合理利润原则确定。 以实际成交⾦额为计费基数(采⽤单价招标的以采购预算为计费基数)，计算标准为：100万元以下按成交⾦额的1.5%，100-500万按0.8%，代理服务费按差额定率累进法计算后下浮20%收取，下浮后不⾜4000元的按4000元计取。2.开户银行:工行宜宾南岸支行，开户名称:宜宾市公服集团医疗健康产业发展有限公司，账号:2314505119100135371</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宜宾市第四人民医院</w:t>
      </w:r>
      <w:r>
        <w:rPr>
          <w:rFonts w:ascii="仿宋_GB2312" w:hAnsi="仿宋_GB2312" w:cs="仿宋_GB2312" w:eastAsia="仿宋_GB2312"/>
        </w:rPr>
        <w:t xml:space="preserve"> 和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宜宾市第四人民医院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按送货批次验收，供应商提出验收申请组织验收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验收标准以招标文件技术参数及要求和行业标准为准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符合招标文件中验收要求的全部内容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宜宾市第四人民医院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联系电话：0831-2370510</w:t>
      </w:r>
    </w:p>
    <w:p>
      <w:pPr>
        <w:pStyle w:val="null3"/>
        <w:jc w:val="left"/>
      </w:pPr>
      <w:r>
        <w:rPr>
          <w:rFonts w:ascii="仿宋_GB2312" w:hAnsi="仿宋_GB2312" w:cs="仿宋_GB2312" w:eastAsia="仿宋_GB2312"/>
        </w:rPr>
        <w:t>地址：宜宾市叙州区南岸街道三江明珠2幢2单元6楼613室</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联系人：颜老师</w:t>
      </w:r>
    </w:p>
    <w:p>
      <w:pPr>
        <w:pStyle w:val="null3"/>
        <w:jc w:val="left"/>
      </w:pPr>
      <w:r>
        <w:rPr>
          <w:rFonts w:ascii="仿宋_GB2312" w:hAnsi="仿宋_GB2312" w:cs="仿宋_GB2312" w:eastAsia="仿宋_GB2312"/>
        </w:rPr>
        <w:t>联系电话：0831-2337489</w:t>
      </w:r>
    </w:p>
    <w:p>
      <w:pPr>
        <w:pStyle w:val="null3"/>
        <w:jc w:val="left"/>
      </w:pPr>
      <w:r>
        <w:rPr>
          <w:rFonts w:ascii="仿宋_GB2312" w:hAnsi="仿宋_GB2312" w:cs="仿宋_GB2312" w:eastAsia="仿宋_GB2312"/>
        </w:rPr>
        <w:t>地址：宜宾市叙州区外江路2号</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1,300,000.00</w:t>
      </w:r>
    </w:p>
    <w:p>
      <w:pPr>
        <w:pStyle w:val="null3"/>
        <w:jc w:val="left"/>
      </w:pPr>
      <w:r>
        <w:rPr>
          <w:rFonts w:ascii="仿宋_GB2312" w:hAnsi="仿宋_GB2312" w:cs="仿宋_GB2312" w:eastAsia="仿宋_GB2312"/>
        </w:rPr>
        <w:t>采购包最高限价（元）: 1,300,000.00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医用气体配送服务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医用气体配送服务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1.根据招标文件中“标的清单-单价最高限价”进行同比例百分比报价，最终按照成交价（百分比）据实进行结算（例如：投标人百分比报价为80%，结算金额为：单价最高限价×80%×配送数量），直至采购预算用完为止。2.实际供货单价保留2 位小数点，小数点第3 位及以后舍去。3.本项目预算金额为服务期一年预算金额。</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标的名称：医用气体配送服务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医用气体配送服务</w:t>
            </w:r>
          </w:p>
        </w:tc>
        <w:tc>
          <w:tcPr>
            <w:tcW w:type="dxa" w:w="5814"/>
          </w:tcPr>
          <w:p>
            <w:pPr>
              <w:pStyle w:val="null3"/>
              <w:spacing w:before="105" w:after="105"/>
              <w:jc w:val="left"/>
            </w:pPr>
            <w:r>
              <w:rPr>
                <w:rFonts w:ascii="仿宋_GB2312" w:hAnsi="仿宋_GB2312" w:cs="仿宋_GB2312" w:eastAsia="仿宋_GB2312"/>
                <w:sz w:val="21"/>
                <w:b/>
              </w:rPr>
              <w:t>一、标的清单</w:t>
            </w:r>
          </w:p>
          <w:tbl>
            <w:tblPr>
              <w:tblBorders>
                <w:top w:val="none" w:color="000000" w:sz="4"/>
                <w:left w:val="none" w:color="000000" w:sz="4"/>
                <w:bottom w:val="none" w:color="000000" w:sz="4"/>
                <w:right w:val="none" w:color="000000" w:sz="4"/>
                <w:insideH w:val="none"/>
                <w:insideV w:val="none"/>
              </w:tblBorders>
            </w:tblPr>
            <w:tblGrid>
              <w:gridCol w:w="359"/>
              <w:gridCol w:w="539"/>
              <w:gridCol w:w="312"/>
              <w:gridCol w:w="558"/>
              <w:gridCol w:w="483"/>
              <w:gridCol w:w="966"/>
              <w:gridCol w:w="1326"/>
            </w:tblGrid>
            <w:tr>
              <w:tc>
                <w:tcPr>
                  <w:tcW w:type="dxa" w:w="35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序号</w:t>
                  </w:r>
                </w:p>
              </w:tc>
              <w:tc>
                <w:tcPr>
                  <w:tcW w:type="dxa" w:w="539"/>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标的</w:t>
                  </w:r>
                </w:p>
                <w:p>
                  <w:pPr>
                    <w:pStyle w:val="null3"/>
                    <w:spacing w:before="105" w:after="105"/>
                    <w:jc w:val="center"/>
                  </w:pPr>
                  <w:r>
                    <w:rPr>
                      <w:rFonts w:ascii="仿宋_GB2312" w:hAnsi="仿宋_GB2312" w:cs="仿宋_GB2312" w:eastAsia="仿宋_GB2312"/>
                      <w:sz w:val="21"/>
                    </w:rPr>
                    <w:t>名称</w:t>
                  </w:r>
                </w:p>
              </w:tc>
              <w:tc>
                <w:tcPr>
                  <w:tcW w:type="dxa" w:w="31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单位</w:t>
                  </w:r>
                </w:p>
              </w:tc>
              <w:tc>
                <w:tcPr>
                  <w:tcW w:type="dxa" w:w="55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技术参数</w:t>
                  </w:r>
                </w:p>
              </w:tc>
              <w:tc>
                <w:tcPr>
                  <w:tcW w:type="dxa" w:w="48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预计年采购数量</w:t>
                  </w:r>
                </w:p>
              </w:tc>
              <w:tc>
                <w:tcPr>
                  <w:tcW w:type="dxa" w:w="96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单价</w:t>
                  </w:r>
                  <w:r>
                    <w:rPr>
                      <w:rFonts w:ascii="仿宋_GB2312" w:hAnsi="仿宋_GB2312" w:cs="仿宋_GB2312" w:eastAsia="仿宋_GB2312"/>
                      <w:sz w:val="21"/>
                    </w:rPr>
                    <w:t>最高</w:t>
                  </w:r>
                </w:p>
                <w:p>
                  <w:pPr>
                    <w:pStyle w:val="null3"/>
                    <w:spacing w:before="105" w:after="105"/>
                    <w:jc w:val="center"/>
                  </w:pPr>
                  <w:r>
                    <w:rPr>
                      <w:rFonts w:ascii="仿宋_GB2312" w:hAnsi="仿宋_GB2312" w:cs="仿宋_GB2312" w:eastAsia="仿宋_GB2312"/>
                      <w:sz w:val="21"/>
                    </w:rPr>
                    <w:t xml:space="preserve"> 限价（元）</w:t>
                  </w:r>
                </w:p>
              </w:tc>
              <w:tc>
                <w:tcPr>
                  <w:tcW w:type="dxa" w:w="132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备注</w:t>
                  </w:r>
                </w:p>
              </w:tc>
            </w:tr>
            <w:tr>
              <w:tc>
                <w:tcPr>
                  <w:tcW w:type="dxa" w:w="35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1</w:t>
                  </w:r>
                </w:p>
              </w:tc>
              <w:tc>
                <w:tcPr>
                  <w:tcW w:type="dxa" w:w="5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纯二氧化碳</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瓶</w:t>
                  </w:r>
                </w:p>
              </w:tc>
              <w:tc>
                <w:tcPr>
                  <w:tcW w:type="dxa" w:w="55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40L，纯度≥99.5%</w:t>
                  </w:r>
                </w:p>
              </w:tc>
              <w:tc>
                <w:tcPr>
                  <w:tcW w:type="dxa" w:w="48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20瓶/年</w:t>
                  </w:r>
                </w:p>
              </w:tc>
              <w:tc>
                <w:tcPr>
                  <w:tcW w:type="dxa" w:w="9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150元/瓶</w:t>
                  </w:r>
                </w:p>
              </w:tc>
              <w:tc>
                <w:tcPr>
                  <w:tcW w:type="dxa" w:w="132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left"/>
                  </w:pPr>
                  <w:r>
                    <w:rPr>
                      <w:rFonts w:ascii="仿宋_GB2312" w:hAnsi="仿宋_GB2312" w:cs="仿宋_GB2312" w:eastAsia="仿宋_GB2312"/>
                      <w:sz w:val="21"/>
                    </w:rPr>
                    <w:t>配送至总院</w:t>
                  </w:r>
                  <w:r>
                    <w:rPr>
                      <w:rFonts w:ascii="仿宋_GB2312" w:hAnsi="仿宋_GB2312" w:cs="仿宋_GB2312" w:eastAsia="仿宋_GB2312"/>
                      <w:sz w:val="21"/>
                    </w:rPr>
                    <w:t>1楼中心供氧室内，预计年采购数量仅供参考，以实际配送数量为准。</w:t>
                  </w:r>
                </w:p>
              </w:tc>
            </w:tr>
            <w:tr>
              <w:tc>
                <w:tcPr>
                  <w:tcW w:type="dxa" w:w="35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2</w:t>
                  </w:r>
                </w:p>
              </w:tc>
              <w:tc>
                <w:tcPr>
                  <w:tcW w:type="dxa" w:w="5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医用液氧</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罐</w:t>
                  </w:r>
                </w:p>
              </w:tc>
              <w:tc>
                <w:tcPr>
                  <w:tcW w:type="dxa" w:w="55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195L，纯度≥99.5%</w:t>
                  </w:r>
                </w:p>
              </w:tc>
              <w:tc>
                <w:tcPr>
                  <w:tcW w:type="dxa" w:w="48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1300罐/年</w:t>
                  </w:r>
                </w:p>
              </w:tc>
              <w:tc>
                <w:tcPr>
                  <w:tcW w:type="dxa" w:w="9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741元/罐</w:t>
                  </w:r>
                </w:p>
              </w:tc>
              <w:tc>
                <w:tcPr>
                  <w:tcW w:type="dxa" w:w="132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left"/>
                  </w:pPr>
                  <w:r>
                    <w:rPr>
                      <w:rFonts w:ascii="仿宋_GB2312" w:hAnsi="仿宋_GB2312" w:cs="仿宋_GB2312" w:eastAsia="仿宋_GB2312"/>
                      <w:sz w:val="21"/>
                    </w:rPr>
                    <w:t>配送至总院</w:t>
                  </w:r>
                  <w:r>
                    <w:rPr>
                      <w:rFonts w:ascii="仿宋_GB2312" w:hAnsi="仿宋_GB2312" w:cs="仿宋_GB2312" w:eastAsia="仿宋_GB2312"/>
                      <w:sz w:val="21"/>
                    </w:rPr>
                    <w:t>1楼中心供氧室内，预计年采购数量仅供参考，以实际配送数量为准。</w:t>
                  </w:r>
                </w:p>
              </w:tc>
            </w:tr>
            <w:tr>
              <w:tc>
                <w:tcPr>
                  <w:tcW w:type="dxa" w:w="35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3</w:t>
                  </w:r>
                </w:p>
              </w:tc>
              <w:tc>
                <w:tcPr>
                  <w:tcW w:type="dxa" w:w="5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医用氧</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瓶</w:t>
                  </w:r>
                </w:p>
              </w:tc>
              <w:tc>
                <w:tcPr>
                  <w:tcW w:type="dxa" w:w="55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40L，纯度≥99.5%</w:t>
                  </w:r>
                </w:p>
              </w:tc>
              <w:tc>
                <w:tcPr>
                  <w:tcW w:type="dxa" w:w="48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1180瓶/年</w:t>
                  </w:r>
                </w:p>
              </w:tc>
              <w:tc>
                <w:tcPr>
                  <w:tcW w:type="dxa" w:w="9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center"/>
                  </w:pPr>
                  <w:r>
                    <w:rPr>
                      <w:rFonts w:ascii="仿宋_GB2312" w:hAnsi="仿宋_GB2312" w:cs="仿宋_GB2312" w:eastAsia="仿宋_GB2312"/>
                      <w:sz w:val="21"/>
                    </w:rPr>
                    <w:t>52元/瓶</w:t>
                  </w:r>
                </w:p>
              </w:tc>
              <w:tc>
                <w:tcPr>
                  <w:tcW w:type="dxa" w:w="132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05" w:after="105"/>
                    <w:jc w:val="left"/>
                  </w:pPr>
                  <w:r>
                    <w:rPr>
                      <w:rFonts w:ascii="仿宋_GB2312" w:hAnsi="仿宋_GB2312" w:cs="仿宋_GB2312" w:eastAsia="仿宋_GB2312"/>
                      <w:sz w:val="21"/>
                    </w:rPr>
                    <w:t>配送至宜宾市第四人民医院总院、护理照护中心、南溪二院、南溪新院区</w:t>
                  </w:r>
                  <w:r>
                    <w:rPr>
                      <w:rFonts w:ascii="仿宋_GB2312" w:hAnsi="仿宋_GB2312" w:cs="仿宋_GB2312" w:eastAsia="仿宋_GB2312"/>
                      <w:sz w:val="21"/>
                    </w:rPr>
                    <w:t>1楼氧气房内，预计年采购数量仅供参考，以实际配送数量为准。</w:t>
                  </w:r>
                </w:p>
              </w:tc>
            </w:tr>
          </w:tbl>
          <w:p>
            <w:pPr>
              <w:pStyle w:val="null3"/>
              <w:spacing w:before="105" w:after="105"/>
              <w:jc w:val="left"/>
            </w:pPr>
            <w:r>
              <w:rPr>
                <w:rFonts w:ascii="仿宋_GB2312" w:hAnsi="仿宋_GB2312" w:cs="仿宋_GB2312" w:eastAsia="仿宋_GB2312"/>
                <w:sz w:val="21"/>
              </w:rPr>
              <w:t>注：单价包括医用液氧、医用氧及纯二氧化碳来回运输、下车搬运至采购人各院区（总院、南溪二院、南溪新院区、护理照护中心）集中存放点及采购人空瓶上车等所有产生费用的含税费用，采购人无需向</w:t>
            </w:r>
            <w:r>
              <w:rPr>
                <w:rFonts w:ascii="仿宋_GB2312" w:hAnsi="仿宋_GB2312" w:cs="仿宋_GB2312" w:eastAsia="仿宋_GB2312"/>
                <w:sz w:val="21"/>
              </w:rPr>
              <w:t>投标人</w:t>
            </w:r>
            <w:r>
              <w:rPr>
                <w:rFonts w:ascii="仿宋_GB2312" w:hAnsi="仿宋_GB2312" w:cs="仿宋_GB2312" w:eastAsia="仿宋_GB2312"/>
                <w:sz w:val="21"/>
              </w:rPr>
              <w:t>另行支付其他任何费用。</w:t>
            </w:r>
          </w:p>
          <w:p>
            <w:pPr>
              <w:pStyle w:val="null3"/>
              <w:spacing w:before="105" w:after="105"/>
              <w:jc w:val="left"/>
            </w:pPr>
            <w:r>
              <w:rPr>
                <w:rFonts w:ascii="仿宋_GB2312" w:hAnsi="仿宋_GB2312" w:cs="仿宋_GB2312" w:eastAsia="仿宋_GB2312"/>
                <w:sz w:val="21"/>
                <w:b/>
              </w:rPr>
              <w:t>二、服务要求</w:t>
            </w:r>
          </w:p>
          <w:p>
            <w:pPr>
              <w:pStyle w:val="null3"/>
              <w:spacing w:before="105" w:after="105"/>
              <w:ind w:firstLine="560"/>
              <w:jc w:val="both"/>
            </w:pPr>
            <w:r>
              <w:rPr>
                <w:rFonts w:ascii="仿宋_GB2312" w:hAnsi="仿宋_GB2312" w:cs="仿宋_GB2312" w:eastAsia="仿宋_GB2312"/>
                <w:sz w:val="21"/>
              </w:rPr>
              <w:t>1.</w:t>
            </w:r>
            <w:r>
              <w:rPr>
                <w:rFonts w:ascii="仿宋_GB2312" w:hAnsi="仿宋_GB2312" w:cs="仿宋_GB2312" w:eastAsia="仿宋_GB2312"/>
                <w:sz w:val="21"/>
              </w:rPr>
              <w:t>投标人</w:t>
            </w:r>
            <w:r>
              <w:rPr>
                <w:rFonts w:ascii="仿宋_GB2312" w:hAnsi="仿宋_GB2312" w:cs="仿宋_GB2312" w:eastAsia="仿宋_GB2312"/>
                <w:sz w:val="21"/>
              </w:rPr>
              <w:t>按上级有关管理部门关于医用液氧、医用氧、纯二氧化碳管理要求对罐体</w:t>
            </w:r>
            <w:r>
              <w:rPr>
                <w:rFonts w:ascii="仿宋_GB2312" w:hAnsi="仿宋_GB2312" w:cs="仿宋_GB2312" w:eastAsia="仿宋_GB2312"/>
                <w:sz w:val="21"/>
              </w:rPr>
              <w:t>配送时需提供效验报告</w:t>
            </w:r>
            <w:r>
              <w:rPr>
                <w:rFonts w:ascii="仿宋_GB2312" w:hAnsi="仿宋_GB2312" w:cs="仿宋_GB2312" w:eastAsia="仿宋_GB2312"/>
                <w:sz w:val="21"/>
              </w:rPr>
              <w:t>并张贴检验合格标识；</w:t>
            </w:r>
            <w:r>
              <w:rPr>
                <w:rFonts w:ascii="仿宋_GB2312" w:hAnsi="仿宋_GB2312" w:cs="仿宋_GB2312" w:eastAsia="仿宋_GB2312"/>
                <w:sz w:val="21"/>
              </w:rPr>
              <w:t>投标人</w:t>
            </w:r>
            <w:r>
              <w:rPr>
                <w:rFonts w:ascii="仿宋_GB2312" w:hAnsi="仿宋_GB2312" w:cs="仿宋_GB2312" w:eastAsia="仿宋_GB2312"/>
                <w:sz w:val="21"/>
              </w:rPr>
              <w:t>每季度</w:t>
            </w:r>
            <w:r>
              <w:rPr>
                <w:rFonts w:ascii="仿宋_GB2312" w:hAnsi="仿宋_GB2312" w:cs="仿宋_GB2312" w:eastAsia="仿宋_GB2312"/>
                <w:sz w:val="21"/>
              </w:rPr>
              <w:t>配合采购人开展中心供氧站的安全隐患排查，对气化器、氧气压力管道及压力表、安全阀等配件的维修、维护、校验、更换等。</w:t>
            </w:r>
          </w:p>
          <w:p>
            <w:pPr>
              <w:pStyle w:val="null3"/>
              <w:spacing w:before="105" w:after="105"/>
              <w:ind w:firstLine="560"/>
              <w:jc w:val="both"/>
            </w:pPr>
            <w:r>
              <w:rPr>
                <w:rFonts w:ascii="仿宋_GB2312" w:hAnsi="仿宋_GB2312" w:cs="仿宋_GB2312" w:eastAsia="仿宋_GB2312"/>
                <w:sz w:val="21"/>
              </w:rPr>
              <w:t>2.</w:t>
            </w:r>
            <w:r>
              <w:rPr>
                <w:rFonts w:ascii="仿宋_GB2312" w:hAnsi="仿宋_GB2312" w:cs="仿宋_GB2312" w:eastAsia="仿宋_GB2312"/>
                <w:sz w:val="21"/>
              </w:rPr>
              <w:t>投标人</w:t>
            </w:r>
            <w:r>
              <w:rPr>
                <w:rFonts w:ascii="仿宋_GB2312" w:hAnsi="仿宋_GB2312" w:cs="仿宋_GB2312" w:eastAsia="仿宋_GB2312"/>
                <w:sz w:val="21"/>
              </w:rPr>
              <w:t>按照国家对危化品的管理要求，做到安全生产、安全运输、安全送达采购人指定地点，保障医院医用气体的正常供应。</w:t>
            </w:r>
          </w:p>
          <w:p>
            <w:pPr>
              <w:pStyle w:val="null3"/>
              <w:spacing w:before="105" w:after="105"/>
              <w:ind w:firstLine="560"/>
              <w:jc w:val="both"/>
            </w:pPr>
            <w:r>
              <w:rPr>
                <w:rFonts w:ascii="仿宋_GB2312" w:hAnsi="仿宋_GB2312" w:cs="仿宋_GB2312" w:eastAsia="仿宋_GB2312"/>
                <w:sz w:val="21"/>
              </w:rPr>
              <w:t>3.</w:t>
            </w:r>
            <w:r>
              <w:rPr>
                <w:rFonts w:ascii="仿宋_GB2312" w:hAnsi="仿宋_GB2312" w:cs="仿宋_GB2312" w:eastAsia="仿宋_GB2312"/>
                <w:sz w:val="21"/>
              </w:rPr>
              <w:t>投标人</w:t>
            </w:r>
            <w:r>
              <w:rPr>
                <w:rFonts w:ascii="仿宋_GB2312" w:hAnsi="仿宋_GB2312" w:cs="仿宋_GB2312" w:eastAsia="仿宋_GB2312"/>
                <w:sz w:val="21"/>
              </w:rPr>
              <w:t>接到采购人需求后，对采购需求应第一时间响应，并作出及时供货，正常情况下</w:t>
            </w:r>
            <w:r>
              <w:rPr>
                <w:rFonts w:ascii="仿宋_GB2312" w:hAnsi="仿宋_GB2312" w:cs="仿宋_GB2312" w:eastAsia="仿宋_GB2312"/>
                <w:sz w:val="21"/>
              </w:rPr>
              <w:t>24小时内配送到位，紧急情况下6小时内配送到位。</w:t>
            </w:r>
          </w:p>
          <w:p>
            <w:pPr>
              <w:pStyle w:val="null3"/>
              <w:spacing w:before="105" w:after="105"/>
              <w:ind w:firstLine="560"/>
              <w:jc w:val="both"/>
            </w:pPr>
            <w:r>
              <w:rPr>
                <w:rFonts w:ascii="仿宋_GB2312" w:hAnsi="仿宋_GB2312" w:cs="仿宋_GB2312" w:eastAsia="仿宋_GB2312"/>
                <w:sz w:val="21"/>
              </w:rPr>
              <w:t>4.</w:t>
            </w:r>
            <w:r>
              <w:rPr>
                <w:rFonts w:ascii="仿宋_GB2312" w:hAnsi="仿宋_GB2312" w:cs="仿宋_GB2312" w:eastAsia="仿宋_GB2312"/>
                <w:sz w:val="21"/>
              </w:rPr>
              <w:t>投标人</w:t>
            </w:r>
            <w:r>
              <w:rPr>
                <w:rFonts w:ascii="仿宋_GB2312" w:hAnsi="仿宋_GB2312" w:cs="仿宋_GB2312" w:eastAsia="仿宋_GB2312"/>
                <w:sz w:val="21"/>
              </w:rPr>
              <w:t>提供的运输车辆和驾驶员、押运等人员均需按照国家对危化品管理的要求持证上岗，</w:t>
            </w:r>
            <w:r>
              <w:rPr>
                <w:rFonts w:ascii="仿宋_GB2312" w:hAnsi="仿宋_GB2312" w:cs="仿宋_GB2312" w:eastAsia="仿宋_GB2312"/>
                <w:sz w:val="21"/>
              </w:rPr>
              <w:t>投标人</w:t>
            </w:r>
            <w:r>
              <w:rPr>
                <w:rFonts w:ascii="仿宋_GB2312" w:hAnsi="仿宋_GB2312" w:cs="仿宋_GB2312" w:eastAsia="仿宋_GB2312"/>
                <w:sz w:val="21"/>
              </w:rPr>
              <w:t>保证上述人员资质证明在合同期限内持续有效，</w:t>
            </w:r>
            <w:r>
              <w:rPr>
                <w:rFonts w:ascii="仿宋_GB2312" w:hAnsi="仿宋_GB2312" w:cs="仿宋_GB2312" w:eastAsia="仿宋_GB2312"/>
                <w:sz w:val="21"/>
              </w:rPr>
              <w:t>投标人</w:t>
            </w:r>
            <w:r>
              <w:rPr>
                <w:rFonts w:ascii="仿宋_GB2312" w:hAnsi="仿宋_GB2312" w:cs="仿宋_GB2312" w:eastAsia="仿宋_GB2312"/>
                <w:sz w:val="21"/>
              </w:rPr>
              <w:t>自行承担来回运输途中和采购人签收前的一切安全风险和责任。</w:t>
            </w:r>
          </w:p>
          <w:p>
            <w:pPr>
              <w:pStyle w:val="null3"/>
              <w:spacing w:before="105" w:after="105"/>
              <w:ind w:firstLine="560"/>
              <w:jc w:val="both"/>
            </w:pPr>
            <w:r>
              <w:rPr>
                <w:rFonts w:ascii="仿宋_GB2312" w:hAnsi="仿宋_GB2312" w:cs="仿宋_GB2312" w:eastAsia="仿宋_GB2312"/>
                <w:sz w:val="21"/>
              </w:rPr>
              <w:t>5.若采购人供氧系统或设备发生故障，</w:t>
            </w:r>
            <w:r>
              <w:rPr>
                <w:rFonts w:ascii="仿宋_GB2312" w:hAnsi="仿宋_GB2312" w:cs="仿宋_GB2312" w:eastAsia="仿宋_GB2312"/>
                <w:sz w:val="21"/>
              </w:rPr>
              <w:t>投标人</w:t>
            </w:r>
            <w:r>
              <w:rPr>
                <w:rFonts w:ascii="仿宋_GB2312" w:hAnsi="仿宋_GB2312" w:cs="仿宋_GB2312" w:eastAsia="仿宋_GB2312"/>
                <w:sz w:val="21"/>
              </w:rPr>
              <w:t>接到采购人故障通知后，</w:t>
            </w:r>
            <w:r>
              <w:rPr>
                <w:rFonts w:ascii="仿宋_GB2312" w:hAnsi="仿宋_GB2312" w:cs="仿宋_GB2312" w:eastAsia="仿宋_GB2312"/>
                <w:sz w:val="21"/>
              </w:rPr>
              <w:t>4小时内响应，24小时内派人到现场协助采购人解决故障，保障设施设备正常运行，</w:t>
            </w:r>
            <w:r>
              <w:rPr>
                <w:rFonts w:ascii="仿宋_GB2312" w:hAnsi="仿宋_GB2312" w:cs="仿宋_GB2312" w:eastAsia="仿宋_GB2312"/>
                <w:sz w:val="21"/>
              </w:rPr>
              <w:t>投标人</w:t>
            </w:r>
            <w:r>
              <w:rPr>
                <w:rFonts w:ascii="仿宋_GB2312" w:hAnsi="仿宋_GB2312" w:cs="仿宋_GB2312" w:eastAsia="仿宋_GB2312"/>
                <w:sz w:val="21"/>
              </w:rPr>
              <w:t>未按时进场维修的，采购人有权委托第三方进场维修，因此产生的一切维修成本由</w:t>
            </w:r>
            <w:r>
              <w:rPr>
                <w:rFonts w:ascii="仿宋_GB2312" w:hAnsi="仿宋_GB2312" w:cs="仿宋_GB2312" w:eastAsia="仿宋_GB2312"/>
                <w:sz w:val="21"/>
              </w:rPr>
              <w:t>投标人</w:t>
            </w:r>
            <w:r>
              <w:rPr>
                <w:rFonts w:ascii="仿宋_GB2312" w:hAnsi="仿宋_GB2312" w:cs="仿宋_GB2312" w:eastAsia="仿宋_GB2312"/>
                <w:sz w:val="21"/>
              </w:rPr>
              <w:t>承担。</w:t>
            </w:r>
          </w:p>
          <w:p>
            <w:pPr>
              <w:pStyle w:val="null3"/>
              <w:spacing w:before="105" w:after="105"/>
              <w:ind w:firstLine="560"/>
              <w:jc w:val="both"/>
            </w:pPr>
            <w:r>
              <w:rPr>
                <w:rFonts w:ascii="仿宋_GB2312" w:hAnsi="仿宋_GB2312" w:cs="仿宋_GB2312" w:eastAsia="仿宋_GB2312"/>
                <w:sz w:val="21"/>
              </w:rPr>
              <w:t>6.</w:t>
            </w:r>
            <w:r>
              <w:rPr>
                <w:rFonts w:ascii="仿宋_GB2312" w:hAnsi="仿宋_GB2312" w:cs="仿宋_GB2312" w:eastAsia="仿宋_GB2312"/>
                <w:sz w:val="21"/>
              </w:rPr>
              <w:t>投标人</w:t>
            </w:r>
            <w:r>
              <w:rPr>
                <w:rFonts w:ascii="仿宋_GB2312" w:hAnsi="仿宋_GB2312" w:cs="仿宋_GB2312" w:eastAsia="仿宋_GB2312"/>
                <w:sz w:val="21"/>
              </w:rPr>
              <w:t>提供的医用液氧、医用氧、纯二氧化碳必须按国家、行业最新使用标准规范足量充装。</w:t>
            </w:r>
          </w:p>
          <w:p>
            <w:pPr>
              <w:pStyle w:val="null3"/>
              <w:spacing w:before="105" w:after="105"/>
              <w:ind w:firstLine="560"/>
              <w:jc w:val="both"/>
            </w:pPr>
            <w:r>
              <w:rPr>
                <w:rFonts w:ascii="仿宋_GB2312" w:hAnsi="仿宋_GB2312" w:cs="仿宋_GB2312" w:eastAsia="仿宋_GB2312"/>
                <w:sz w:val="21"/>
              </w:rPr>
              <w:t>7.</w:t>
            </w:r>
            <w:r>
              <w:rPr>
                <w:rFonts w:ascii="仿宋_GB2312" w:hAnsi="仿宋_GB2312" w:cs="仿宋_GB2312" w:eastAsia="仿宋_GB2312"/>
                <w:sz w:val="21"/>
              </w:rPr>
              <w:t>投标人</w:t>
            </w:r>
            <w:r>
              <w:rPr>
                <w:rFonts w:ascii="仿宋_GB2312" w:hAnsi="仿宋_GB2312" w:cs="仿宋_GB2312" w:eastAsia="仿宋_GB2312"/>
                <w:sz w:val="21"/>
              </w:rPr>
              <w:t>每次送货时须提供货物清单；根据罐体安全检测要求，</w:t>
            </w:r>
            <w:r>
              <w:rPr>
                <w:rFonts w:ascii="仿宋_GB2312" w:hAnsi="仿宋_GB2312" w:cs="仿宋_GB2312" w:eastAsia="仿宋_GB2312"/>
                <w:sz w:val="21"/>
              </w:rPr>
              <w:t>日常配送时需</w:t>
            </w:r>
            <w:r>
              <w:rPr>
                <w:rFonts w:ascii="仿宋_GB2312" w:hAnsi="仿宋_GB2312" w:cs="仿宋_GB2312" w:eastAsia="仿宋_GB2312"/>
                <w:sz w:val="21"/>
              </w:rPr>
              <w:t>提供罐体安全检测报告，保证罐体在安全检测有效期内。</w:t>
            </w:r>
          </w:p>
          <w:p>
            <w:pPr>
              <w:pStyle w:val="null3"/>
              <w:spacing w:before="105" w:after="105"/>
              <w:ind w:firstLine="560"/>
              <w:jc w:val="both"/>
            </w:pPr>
            <w:r>
              <w:rPr>
                <w:rFonts w:ascii="仿宋_GB2312" w:hAnsi="仿宋_GB2312" w:cs="仿宋_GB2312" w:eastAsia="仿宋_GB2312"/>
                <w:sz w:val="21"/>
                <w:b/>
              </w:rPr>
              <w:t>三、考核要求及内容</w:t>
            </w:r>
          </w:p>
          <w:p>
            <w:pPr>
              <w:pStyle w:val="null3"/>
              <w:spacing w:before="105" w:after="105"/>
              <w:ind w:firstLine="560"/>
              <w:jc w:val="both"/>
            </w:pPr>
            <w:r>
              <w:rPr>
                <w:rFonts w:ascii="仿宋_GB2312" w:hAnsi="仿宋_GB2312" w:cs="仿宋_GB2312" w:eastAsia="仿宋_GB2312"/>
                <w:sz w:val="21"/>
              </w:rPr>
              <w:t>（一）考核内容</w:t>
            </w:r>
          </w:p>
          <w:p>
            <w:pPr>
              <w:pStyle w:val="null3"/>
              <w:spacing w:before="105" w:after="105"/>
              <w:ind w:firstLine="560"/>
              <w:jc w:val="both"/>
            </w:pPr>
            <w:r>
              <w:rPr>
                <w:rFonts w:ascii="仿宋_GB2312" w:hAnsi="仿宋_GB2312" w:cs="仿宋_GB2312" w:eastAsia="仿宋_GB2312"/>
                <w:sz w:val="21"/>
              </w:rPr>
              <w:t>1.供货时效性：</w:t>
            </w:r>
            <w:r>
              <w:rPr>
                <w:rFonts w:ascii="仿宋_GB2312" w:hAnsi="仿宋_GB2312" w:cs="仿宋_GB2312" w:eastAsia="仿宋_GB2312"/>
                <w:sz w:val="21"/>
              </w:rPr>
              <w:t>投标人</w:t>
            </w:r>
            <w:r>
              <w:rPr>
                <w:rFonts w:ascii="仿宋_GB2312" w:hAnsi="仿宋_GB2312" w:cs="仿宋_GB2312" w:eastAsia="仿宋_GB2312"/>
                <w:sz w:val="21"/>
              </w:rPr>
              <w:t>接到采购人需求在</w:t>
            </w:r>
            <w:r>
              <w:rPr>
                <w:rFonts w:ascii="仿宋_GB2312" w:hAnsi="仿宋_GB2312" w:cs="仿宋_GB2312" w:eastAsia="仿宋_GB2312"/>
                <w:sz w:val="21"/>
              </w:rPr>
              <w:t xml:space="preserve">24小时内配送和紧急情况下6小时内配送,到货时间每逾期一次,采购人将在当月货款中扣除500元。一月内逾期达到2次及以上的，采购人将在当月货款中扣除总金额的5％。 </w:t>
            </w:r>
          </w:p>
          <w:p>
            <w:pPr>
              <w:pStyle w:val="null3"/>
              <w:spacing w:before="105" w:after="105"/>
              <w:ind w:firstLine="560"/>
              <w:jc w:val="both"/>
            </w:pPr>
            <w:r>
              <w:rPr>
                <w:rFonts w:ascii="仿宋_GB2312" w:hAnsi="仿宋_GB2312" w:cs="仿宋_GB2312" w:eastAsia="仿宋_GB2312"/>
                <w:sz w:val="21"/>
              </w:rPr>
              <w:t>2.货物质量：</w:t>
            </w:r>
            <w:r>
              <w:rPr>
                <w:rFonts w:ascii="仿宋_GB2312" w:hAnsi="仿宋_GB2312" w:cs="仿宋_GB2312" w:eastAsia="仿宋_GB2312"/>
                <w:sz w:val="21"/>
              </w:rPr>
              <w:t>投标人</w:t>
            </w:r>
            <w:r>
              <w:rPr>
                <w:rFonts w:ascii="仿宋_GB2312" w:hAnsi="仿宋_GB2312" w:cs="仿宋_GB2312" w:eastAsia="仿宋_GB2312"/>
                <w:sz w:val="21"/>
              </w:rPr>
              <w:t>交付的货物质量不符合质量标准或合同约定的，采购人有权要求</w:t>
            </w:r>
            <w:r>
              <w:rPr>
                <w:rFonts w:ascii="仿宋_GB2312" w:hAnsi="仿宋_GB2312" w:cs="仿宋_GB2312" w:eastAsia="仿宋_GB2312"/>
                <w:sz w:val="21"/>
              </w:rPr>
              <w:t>投标人</w:t>
            </w:r>
            <w:r>
              <w:rPr>
                <w:rFonts w:ascii="仿宋_GB2312" w:hAnsi="仿宋_GB2312" w:cs="仿宋_GB2312" w:eastAsia="仿宋_GB2312"/>
                <w:sz w:val="21"/>
              </w:rPr>
              <w:t>对不符合质量标准或无证的不合格产品予以退货。</w:t>
            </w:r>
          </w:p>
          <w:p>
            <w:pPr>
              <w:pStyle w:val="null3"/>
              <w:spacing w:before="105" w:after="105"/>
              <w:ind w:firstLine="560"/>
              <w:jc w:val="both"/>
            </w:pPr>
            <w:r>
              <w:rPr>
                <w:rFonts w:ascii="仿宋_GB2312" w:hAnsi="仿宋_GB2312" w:cs="仿宋_GB2312" w:eastAsia="仿宋_GB2312"/>
                <w:sz w:val="21"/>
              </w:rPr>
              <w:t>3.设备维护、巡查：</w:t>
            </w:r>
            <w:r>
              <w:rPr>
                <w:rFonts w:ascii="仿宋_GB2312" w:hAnsi="仿宋_GB2312" w:cs="仿宋_GB2312" w:eastAsia="仿宋_GB2312"/>
                <w:sz w:val="21"/>
              </w:rPr>
              <w:t>投标人</w:t>
            </w:r>
            <w:r>
              <w:rPr>
                <w:rFonts w:ascii="仿宋_GB2312" w:hAnsi="仿宋_GB2312" w:cs="仿宋_GB2312" w:eastAsia="仿宋_GB2312"/>
                <w:sz w:val="21"/>
              </w:rPr>
              <w:t>应每月配合采购人开展中心供氧站的设备进行维护巡查，其中包括对气化器、氧气压力管道及压力表、安全阀等配件的维修、维护、校验、更换等。并做好记录。当月未进行维护、巡查的扣除</w:t>
            </w:r>
            <w:r>
              <w:rPr>
                <w:rFonts w:ascii="仿宋_GB2312" w:hAnsi="仿宋_GB2312" w:cs="仿宋_GB2312" w:eastAsia="仿宋_GB2312"/>
                <w:sz w:val="21"/>
              </w:rPr>
              <w:t>400元。</w:t>
            </w:r>
          </w:p>
          <w:p>
            <w:pPr>
              <w:pStyle w:val="null3"/>
              <w:spacing w:before="105" w:after="105"/>
              <w:ind w:firstLine="560"/>
              <w:jc w:val="both"/>
            </w:pPr>
            <w:r>
              <w:rPr>
                <w:rFonts w:ascii="仿宋_GB2312" w:hAnsi="仿宋_GB2312" w:cs="仿宋_GB2312" w:eastAsia="仿宋_GB2312"/>
                <w:sz w:val="21"/>
              </w:rPr>
              <w:t>4.年度考核：采购方结合需求和对</w:t>
            </w:r>
            <w:r>
              <w:rPr>
                <w:rFonts w:ascii="仿宋_GB2312" w:hAnsi="仿宋_GB2312" w:cs="仿宋_GB2312" w:eastAsia="仿宋_GB2312"/>
                <w:sz w:val="21"/>
              </w:rPr>
              <w:t>投标人</w:t>
            </w:r>
            <w:r>
              <w:rPr>
                <w:rFonts w:ascii="仿宋_GB2312" w:hAnsi="仿宋_GB2312" w:cs="仿宋_GB2312" w:eastAsia="仿宋_GB2312"/>
                <w:sz w:val="21"/>
              </w:rPr>
              <w:t>考核管理内容确定考核内容进行考核。</w:t>
            </w:r>
          </w:p>
          <w:p>
            <w:pPr>
              <w:pStyle w:val="null3"/>
              <w:spacing w:before="105" w:after="105"/>
              <w:ind w:firstLine="560"/>
              <w:jc w:val="both"/>
            </w:pPr>
            <w:r>
              <w:rPr>
                <w:rFonts w:ascii="仿宋_GB2312" w:hAnsi="仿宋_GB2312" w:cs="仿宋_GB2312" w:eastAsia="仿宋_GB2312"/>
                <w:sz w:val="21"/>
              </w:rPr>
              <w:t>5.考核方式：将月考核结果纳入年度考核标准，占年终考核结果的50%（若提前考核，实际服务时间不到1年，取已发生月份总得分的平均分数作为年度考核50%的考核指标），剩余50%结合月考核内容以及其他需求和约定条款履约情况进行年终考核，附年终考核表（考核内容科根据实际需求和约定进行更改）。</w:t>
            </w:r>
          </w:p>
          <w:p>
            <w:pPr>
              <w:pStyle w:val="null3"/>
              <w:spacing w:before="105" w:after="105"/>
              <w:ind w:firstLine="560"/>
              <w:jc w:val="both"/>
            </w:pPr>
            <w:r>
              <w:rPr>
                <w:rFonts w:ascii="仿宋_GB2312" w:hAnsi="仿宋_GB2312" w:cs="仿宋_GB2312" w:eastAsia="仿宋_GB2312"/>
                <w:sz w:val="21"/>
              </w:rPr>
              <w:t>6.经采购人考核合格（总考核结果≧85分）后，双方协商一致同意可续签第二年合同。</w:t>
            </w:r>
          </w:p>
          <w:p>
            <w:pPr>
              <w:pStyle w:val="null3"/>
              <w:spacing w:before="105" w:after="105"/>
              <w:ind w:firstLine="560"/>
              <w:jc w:val="both"/>
            </w:pPr>
            <w:r>
              <w:rPr>
                <w:rFonts w:ascii="仿宋_GB2312" w:hAnsi="仿宋_GB2312" w:cs="仿宋_GB2312" w:eastAsia="仿宋_GB2312"/>
                <w:sz w:val="21"/>
              </w:rPr>
              <w:t>（二）考核表</w:t>
            </w:r>
          </w:p>
          <w:p>
            <w:pPr>
              <w:pStyle w:val="null3"/>
              <w:spacing w:before="105" w:after="105"/>
              <w:ind w:firstLine="560"/>
              <w:jc w:val="both"/>
            </w:pPr>
            <w:r>
              <w:rPr>
                <w:rFonts w:ascii="仿宋_GB2312" w:hAnsi="仿宋_GB2312" w:cs="仿宋_GB2312" w:eastAsia="仿宋_GB2312"/>
                <w:sz w:val="21"/>
              </w:rPr>
              <w:t>1.月考核表</w:t>
            </w:r>
          </w:p>
          <w:tbl>
            <w:tblPr>
              <w:tblInd w:type="dxa" w:w="90"/>
              <w:tblBorders>
                <w:top w:val="none" w:color="000000" w:sz="4"/>
                <w:left w:val="none" w:color="000000" w:sz="4"/>
                <w:bottom w:val="none" w:color="000000" w:sz="4"/>
                <w:right w:val="none" w:color="000000" w:sz="4"/>
                <w:insideH w:val="none"/>
                <w:insideV w:val="none"/>
              </w:tblBorders>
            </w:tblPr>
            <w:tblGrid>
              <w:gridCol w:w="1058"/>
              <w:gridCol w:w="396"/>
              <w:gridCol w:w="654"/>
              <w:gridCol w:w="654"/>
              <w:gridCol w:w="654"/>
              <w:gridCol w:w="580"/>
              <w:gridCol w:w="773"/>
              <w:gridCol w:w="814"/>
            </w:tblGrid>
            <w:tr>
              <w:tc>
                <w:tcPr>
                  <w:tcW w:type="dxa" w:w="558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宜宾市第四人民医院医用气体（</w:t>
                  </w:r>
                  <w:r>
                    <w:rPr>
                      <w:rFonts w:ascii="仿宋_GB2312" w:hAnsi="仿宋_GB2312" w:cs="仿宋_GB2312" w:eastAsia="仿宋_GB2312"/>
                      <w:sz w:val="21"/>
                      <w:color w:val="000000"/>
                    </w:rPr>
                    <w:t xml:space="preserve"> ）月验收考核表</w:t>
                  </w:r>
                </w:p>
              </w:tc>
            </w:tr>
            <w:tr>
              <w:tc>
                <w:tcPr>
                  <w:tcW w:type="dxa" w:w="210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项目名称</w:t>
                  </w:r>
                </w:p>
              </w:tc>
              <w:tc>
                <w:tcPr>
                  <w:tcW w:type="dxa" w:w="347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0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名称</w:t>
                  </w:r>
                </w:p>
              </w:tc>
              <w:tc>
                <w:tcPr>
                  <w:tcW w:type="dxa" w:w="347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货物名称</w:t>
                  </w:r>
                </w:p>
              </w:tc>
              <w:tc>
                <w:tcPr>
                  <w:tcW w:type="dxa" w:w="188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品牌</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规格</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单位</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验收考核内容</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序号</w:t>
                  </w:r>
                </w:p>
              </w:tc>
              <w:tc>
                <w:tcPr>
                  <w:tcW w:type="dxa" w:w="19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内容</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分值</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得分</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备注</w:t>
                  </w:r>
                </w:p>
              </w:tc>
            </w:tr>
            <w:tr>
              <w:tc>
                <w:tcPr>
                  <w:tcW w:type="dxa" w:w="1058"/>
                  <w:vMerge/>
                  <w:tcBorders>
                    <w:top w:val="none" w:color="000000" w:sz="4"/>
                    <w:left w:val="singl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9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以上抽查货物外观完好度</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8"/>
                  <w:vMerge/>
                  <w:tcBorders>
                    <w:top w:val="none" w:color="000000" w:sz="4"/>
                    <w:left w:val="singl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名称品牌型号是否与合同一致（一票否决扣满分）</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8"/>
                  <w:vMerge/>
                  <w:tcBorders>
                    <w:top w:val="none" w:color="000000" w:sz="4"/>
                    <w:left w:val="singl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设备维护情况以及罐体有无异常</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8"/>
                  <w:vMerge/>
                  <w:tcBorders>
                    <w:top w:val="none" w:color="000000" w:sz="4"/>
                    <w:left w:val="singl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有效期和检测报告等资料是否齐全</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8"/>
                  <w:vMerge/>
                  <w:tcBorders>
                    <w:top w:val="none" w:color="000000" w:sz="4"/>
                    <w:left w:val="singl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货物进场时效保障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8"/>
                  <w:vMerge/>
                  <w:tcBorders>
                    <w:top w:val="none" w:color="000000" w:sz="4"/>
                    <w:left w:val="singl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每月</w:t>
                  </w:r>
                  <w:r>
                    <w:rPr>
                      <w:rFonts w:ascii="仿宋_GB2312" w:hAnsi="仿宋_GB2312" w:cs="仿宋_GB2312" w:eastAsia="仿宋_GB2312"/>
                      <w:sz w:val="21"/>
                      <w:color w:val="000000"/>
                    </w:rPr>
                    <w:t>开展氧气房间实施安全检查情况</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8"/>
                  <w:vMerge/>
                  <w:tcBorders>
                    <w:top w:val="none" w:color="000000" w:sz="4"/>
                    <w:left w:val="singl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运输搬运过程安全管理规范情况</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8"/>
                  <w:vMerge/>
                  <w:tcBorders>
                    <w:top w:val="none" w:color="000000" w:sz="4"/>
                    <w:left w:val="single" w:color="000000" w:sz="4"/>
                    <w:bottom w:val="non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6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每次送货是否邀请经办人员规范验收</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8"/>
                  <w:vMerge/>
                  <w:tcBorders>
                    <w:top w:val="none" w:color="000000" w:sz="4"/>
                    <w:left w:val="single" w:color="000000" w:sz="4"/>
                    <w:bottom w:val="none" w:color="000000" w:sz="4"/>
                    <w:right w:val="single" w:color="000000" w:sz="4"/>
                  </w:tcBorders>
                </w:tcPr>
                <w:p/>
              </w:tc>
              <w:tc>
                <w:tcPr>
                  <w:tcW w:type="dxa" w:w="1704"/>
                  <w:gridSpan w:val="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合计得分</w:t>
                  </w:r>
                </w:p>
              </w:tc>
              <w:tc>
                <w:tcPr>
                  <w:tcW w:type="dxa" w:w="2821"/>
                  <w:gridSpan w:val="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both"/>
                  </w:pPr>
                </w:p>
              </w:tc>
            </w:tr>
            <w:tr>
              <w:tc>
                <w:tcPr>
                  <w:tcW w:type="dxa" w:w="1058"/>
                  <w:vMerge/>
                  <w:tcBorders>
                    <w:top w:val="none" w:color="000000" w:sz="4"/>
                    <w:left w:val="single" w:color="000000" w:sz="4"/>
                    <w:bottom w:val="none" w:color="000000" w:sz="4"/>
                    <w:right w:val="single" w:color="000000" w:sz="4"/>
                  </w:tcBorders>
                </w:tcPr>
                <w:p/>
              </w:tc>
              <w:tc>
                <w:tcPr>
                  <w:tcW w:type="dxa" w:w="1704"/>
                  <w:gridSpan w:val="3"/>
                  <w:vMerge/>
                  <w:tcBorders>
                    <w:top w:val="none" w:color="000000" w:sz="4"/>
                    <w:left w:val="none" w:color="000000" w:sz="4"/>
                    <w:bottom w:val="none" w:color="000000" w:sz="4"/>
                    <w:right w:val="single" w:color="000000" w:sz="4"/>
                  </w:tcBorders>
                </w:tcPr>
                <w:p/>
              </w:tc>
              <w:tc>
                <w:tcPr>
                  <w:tcW w:type="dxa" w:w="2821"/>
                  <w:gridSpan w:val="4"/>
                  <w:vMerge/>
                  <w:tcBorders>
                    <w:top w:val="none" w:color="000000" w:sz="4"/>
                    <w:left w:val="none" w:color="000000" w:sz="4"/>
                    <w:bottom w:val="none" w:color="000000" w:sz="4"/>
                    <w:right w:val="single" w:color="000000" w:sz="4"/>
                  </w:tcBorders>
                </w:tcPr>
                <w:p/>
              </w:tc>
            </w:tr>
            <w:tr>
              <w:tc>
                <w:tcPr>
                  <w:tcW w:type="dxa" w:w="558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其它未按照合同约定履行服务的直接扣款事宜：</w:t>
                  </w:r>
                  <w:r>
                    <w:rPr>
                      <w:rFonts w:ascii="仿宋_GB2312" w:hAnsi="仿宋_GB2312" w:cs="仿宋_GB2312" w:eastAsia="仿宋_GB2312"/>
                      <w:sz w:val="21"/>
                    </w:rPr>
                    <w:t xml:space="preserve">       </w:t>
                  </w:r>
                </w:p>
                <w:p>
                  <w:pPr>
                    <w:pStyle w:val="null3"/>
                    <w:spacing w:before="105" w:after="105"/>
                    <w:jc w:val="both"/>
                  </w:pPr>
                  <w:r>
                    <w:rPr>
                      <w:rFonts w:ascii="仿宋_GB2312" w:hAnsi="仿宋_GB2312" w:cs="仿宋_GB2312" w:eastAsia="仿宋_GB2312"/>
                      <w:sz w:val="21"/>
                      <w:color w:val="000000"/>
                    </w:rPr>
                    <w:t>扣款金额：</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考核结果</w:t>
                  </w:r>
                </w:p>
              </w:tc>
              <w:tc>
                <w:tcPr>
                  <w:tcW w:type="dxa" w:w="4525"/>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both"/>
                  </w:pPr>
                  <w:r>
                    <w:rPr>
                      <w:rFonts w:ascii="仿宋_GB2312" w:hAnsi="仿宋_GB2312" w:cs="仿宋_GB2312" w:eastAsia="仿宋_GB2312"/>
                      <w:sz w:val="21"/>
                      <w:color w:val="000000"/>
                    </w:rPr>
                    <w:t>良好</w:t>
                  </w:r>
                  <w:r>
                    <w:rPr>
                      <w:rFonts w:ascii="仿宋_GB2312" w:hAnsi="仿宋_GB2312" w:cs="仿宋_GB2312" w:eastAsia="仿宋_GB2312"/>
                      <w:sz w:val="21"/>
                      <w:color w:val="000000"/>
                    </w:rPr>
                    <w:t>≥90分</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合格</w:t>
                  </w:r>
                  <w:r>
                    <w:rPr>
                      <w:rFonts w:ascii="仿宋_GB2312" w:hAnsi="仿宋_GB2312" w:cs="仿宋_GB2312" w:eastAsia="仿宋_GB2312"/>
                      <w:sz w:val="21"/>
                      <w:color w:val="000000"/>
                    </w:rPr>
                    <w:t>≥85分</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不合格＜85分</w:t>
                  </w:r>
                  <w:r>
                    <w:rPr>
                      <w:rFonts w:ascii="仿宋_GB2312" w:hAnsi="仿宋_GB2312" w:cs="仿宋_GB2312" w:eastAsia="仿宋_GB2312"/>
                      <w:sz w:val="21"/>
                      <w:color w:val="000000"/>
                    </w:rPr>
                    <w:t>□</w:t>
                  </w:r>
                </w:p>
              </w:tc>
            </w:tr>
            <w:tr>
              <w:tc>
                <w:tcPr>
                  <w:tcW w:type="dxa" w:w="558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考核人员（小组）签字：</w:t>
                  </w:r>
                </w:p>
              </w:tc>
            </w:tr>
          </w:tbl>
          <w:p>
            <w:pPr>
              <w:pStyle w:val="null3"/>
              <w:spacing w:before="105" w:after="105"/>
              <w:ind w:firstLine="560"/>
              <w:jc w:val="both"/>
            </w:pPr>
            <w:r>
              <w:rPr>
                <w:rFonts w:ascii="仿宋_GB2312" w:hAnsi="仿宋_GB2312" w:cs="仿宋_GB2312" w:eastAsia="仿宋_GB2312"/>
                <w:sz w:val="21"/>
              </w:rPr>
              <w:t>2.年终考核表</w:t>
            </w:r>
          </w:p>
          <w:tbl>
            <w:tblPr>
              <w:tblInd w:type="dxa" w:w="90"/>
              <w:tblBorders>
                <w:top w:val="none" w:color="000000" w:sz="4"/>
                <w:left w:val="none" w:color="000000" w:sz="4"/>
                <w:bottom w:val="none" w:color="000000" w:sz="4"/>
                <w:right w:val="none" w:color="000000" w:sz="4"/>
                <w:insideH w:val="none"/>
                <w:insideV w:val="none"/>
              </w:tblBorders>
            </w:tblPr>
            <w:tblGrid>
              <w:gridCol w:w="1041"/>
              <w:gridCol w:w="418"/>
              <w:gridCol w:w="660"/>
              <w:gridCol w:w="660"/>
              <w:gridCol w:w="660"/>
              <w:gridCol w:w="582"/>
              <w:gridCol w:w="766"/>
              <w:gridCol w:w="807"/>
            </w:tblGrid>
            <w:tr>
              <w:tc>
                <w:tcPr>
                  <w:tcW w:type="dxa" w:w="5594"/>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宜宾市第四人民医院医用气体年年终考核表</w:t>
                  </w:r>
                </w:p>
              </w:tc>
            </w:tr>
            <w:tr>
              <w:tc>
                <w:tcPr>
                  <w:tcW w:type="dxa" w:w="21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项目名称</w:t>
                  </w:r>
                </w:p>
              </w:tc>
              <w:tc>
                <w:tcPr>
                  <w:tcW w:type="dxa" w:w="347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名称</w:t>
                  </w:r>
                </w:p>
              </w:tc>
              <w:tc>
                <w:tcPr>
                  <w:tcW w:type="dxa" w:w="347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c>
                <w:tcPr>
                  <w:tcW w:type="dxa" w:w="10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总得分</w:t>
                  </w:r>
                </w:p>
              </w:tc>
              <w:tc>
                <w:tcPr>
                  <w:tcW w:type="dxa" w:w="190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720"/>
                    <w:jc w:val="both"/>
                  </w:pPr>
                  <w:r>
                    <w:rPr>
                      <w:rFonts w:ascii="仿宋_GB2312" w:hAnsi="仿宋_GB2312" w:cs="仿宋_GB2312" w:eastAsia="仿宋_GB2312"/>
                      <w:sz w:val="21"/>
                      <w:color w:val="000000"/>
                    </w:rPr>
                    <w:t>平均得分</w:t>
                  </w:r>
                </w:p>
              </w:tc>
              <w:tc>
                <w:tcPr>
                  <w:tcW w:type="dxa" w:w="157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计入年考核得分</w:t>
                  </w:r>
                </w:p>
              </w:tc>
            </w:tr>
            <w:tr>
              <w:tc>
                <w:tcPr>
                  <w:tcW w:type="dxa" w:w="1041"/>
                  <w:vMerge/>
                  <w:tcBorders>
                    <w:top w:val="none" w:color="000000" w:sz="4"/>
                    <w:left w:val="single" w:color="000000" w:sz="4"/>
                    <w:bottom w:val="single" w:color="000000" w:sz="4"/>
                    <w:right w:val="single" w:color="000000" w:sz="4"/>
                  </w:tcBorders>
                </w:tcPr>
                <w:p/>
              </w:tc>
              <w:tc>
                <w:tcPr>
                  <w:tcW w:type="dxa" w:w="10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年终验收考核内容</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序号</w:t>
                  </w:r>
                </w:p>
              </w:tc>
              <w:tc>
                <w:tcPr>
                  <w:tcW w:type="dxa" w:w="19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内容</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分值</w:t>
                  </w:r>
                </w:p>
              </w:tc>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得分</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备注</w:t>
                  </w:r>
                </w:p>
              </w:tc>
            </w:tr>
            <w:tr>
              <w:tc>
                <w:tcPr>
                  <w:tcW w:type="dxa" w:w="1041"/>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9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全年配送服务规范</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1"/>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全年服务人员的服务情况</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1"/>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全年开展设备维护情况以及罐体有无异常</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1"/>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全年有效期和检测报告等资料是否齐全</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1"/>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货物进场时效保障</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1"/>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每月</w:t>
                  </w:r>
                  <w:r>
                    <w:rPr>
                      <w:rFonts w:ascii="仿宋_GB2312" w:hAnsi="仿宋_GB2312" w:cs="仿宋_GB2312" w:eastAsia="仿宋_GB2312"/>
                      <w:sz w:val="21"/>
                      <w:color w:val="000000"/>
                    </w:rPr>
                    <w:t>开展氧气房间实施安全检查情况</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1"/>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运输搬运过程安全管理规范情况</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1"/>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全年送货邀请经办人员规范验收情况</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1"/>
                  <w:vMerge/>
                  <w:tcBorders>
                    <w:top w:val="none" w:color="000000" w:sz="4"/>
                    <w:left w:val="single" w:color="000000" w:sz="4"/>
                    <w:bottom w:val="single" w:color="000000" w:sz="4"/>
                    <w:right w:val="single" w:color="000000" w:sz="4"/>
                  </w:tcBorders>
                </w:tcPr>
                <w:p/>
              </w:tc>
              <w:tc>
                <w:tcPr>
                  <w:tcW w:type="dxa" w:w="1738"/>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合计得分</w:t>
                  </w:r>
                </w:p>
              </w:tc>
              <w:tc>
                <w:tcPr>
                  <w:tcW w:type="dxa" w:w="2815"/>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1041"/>
                  <w:vMerge/>
                  <w:tcBorders>
                    <w:top w:val="none" w:color="000000" w:sz="4"/>
                    <w:left w:val="single" w:color="000000" w:sz="4"/>
                    <w:bottom w:val="single" w:color="000000" w:sz="4"/>
                    <w:right w:val="single" w:color="000000" w:sz="4"/>
                  </w:tcBorders>
                </w:tcPr>
                <w:p/>
              </w:tc>
              <w:tc>
                <w:tcPr>
                  <w:tcW w:type="dxa" w:w="1738"/>
                  <w:gridSpan w:val="3"/>
                  <w:vMerge/>
                  <w:tcBorders>
                    <w:top w:val="none" w:color="000000" w:sz="4"/>
                    <w:left w:val="single" w:color="000000" w:sz="4"/>
                    <w:bottom w:val="single" w:color="000000" w:sz="4"/>
                    <w:right w:val="single" w:color="000000" w:sz="4"/>
                  </w:tcBorders>
                </w:tcPr>
                <w:p/>
              </w:tc>
              <w:tc>
                <w:tcPr>
                  <w:tcW w:type="dxa" w:w="2815"/>
                  <w:gridSpan w:val="4"/>
                  <w:vMerge/>
                  <w:tcBorders>
                    <w:top w:val="none" w:color="000000" w:sz="4"/>
                    <w:left w:val="single" w:color="000000" w:sz="4"/>
                    <w:bottom w:val="single" w:color="000000" w:sz="4"/>
                    <w:right w:val="single" w:color="000000" w:sz="4"/>
                  </w:tcBorders>
                </w:tcPr>
                <w:p/>
              </w:tc>
            </w:tr>
            <w:tr>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年终考核结果</w:t>
                  </w:r>
                </w:p>
              </w:tc>
              <w:tc>
                <w:tcPr>
                  <w:tcW w:type="dxa" w:w="4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both"/>
                  </w:pPr>
                  <w:r>
                    <w:rPr>
                      <w:rFonts w:ascii="仿宋_GB2312" w:hAnsi="仿宋_GB2312" w:cs="仿宋_GB2312" w:eastAsia="仿宋_GB2312"/>
                      <w:sz w:val="21"/>
                      <w:color w:val="000000"/>
                    </w:rPr>
                    <w:t>良好</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r>
                    <w:rPr>
                      <w:rFonts w:ascii="仿宋_GB2312" w:hAnsi="仿宋_GB2312" w:cs="仿宋_GB2312" w:eastAsia="仿宋_GB2312"/>
                      <w:sz w:val="21"/>
                      <w:color w:val="000000"/>
                    </w:rPr>
                    <w:t>分</w:t>
                  </w:r>
                  <w:r>
                    <w:rPr>
                      <w:rFonts w:ascii="仿宋_GB2312" w:hAnsi="仿宋_GB2312" w:cs="仿宋_GB2312" w:eastAsia="仿宋_GB2312"/>
                      <w:sz w:val="21"/>
                      <w:color w:val="000000"/>
                    </w:rPr>
                    <w:t>□</w:t>
                  </w:r>
                  <w:r>
                    <w:rPr>
                      <w:rFonts w:ascii="仿宋_GB2312" w:hAnsi="仿宋_GB2312" w:cs="仿宋_GB2312" w:eastAsia="仿宋_GB2312"/>
                      <w:sz w:val="19"/>
                    </w:rPr>
                    <w:t xml:space="preserve">          </w:t>
                  </w:r>
                  <w:r>
                    <w:rPr>
                      <w:rFonts w:ascii="仿宋_GB2312" w:hAnsi="仿宋_GB2312" w:cs="仿宋_GB2312" w:eastAsia="仿宋_GB2312"/>
                      <w:sz w:val="21"/>
                      <w:color w:val="000000"/>
                    </w:rPr>
                    <w:t>合格</w:t>
                  </w:r>
                  <w:r>
                    <w:rPr>
                      <w:rFonts w:ascii="仿宋_GB2312" w:hAnsi="仿宋_GB2312" w:cs="仿宋_GB2312" w:eastAsia="仿宋_GB2312"/>
                      <w:sz w:val="21"/>
                      <w:color w:val="000000"/>
                    </w:rPr>
                    <w:t>≥</w:t>
                  </w:r>
                  <w:r>
                    <w:rPr>
                      <w:rFonts w:ascii="仿宋_GB2312" w:hAnsi="仿宋_GB2312" w:cs="仿宋_GB2312" w:eastAsia="仿宋_GB2312"/>
                      <w:sz w:val="21"/>
                      <w:color w:val="000000"/>
                    </w:rPr>
                    <w:t>85</w:t>
                  </w:r>
                  <w:r>
                    <w:rPr>
                      <w:rFonts w:ascii="仿宋_GB2312" w:hAnsi="仿宋_GB2312" w:cs="仿宋_GB2312" w:eastAsia="仿宋_GB2312"/>
                      <w:sz w:val="21"/>
                      <w:color w:val="000000"/>
                    </w:rPr>
                    <w:t>分</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不合格</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5</w:t>
                  </w:r>
                  <w:r>
                    <w:rPr>
                      <w:rFonts w:ascii="仿宋_GB2312" w:hAnsi="仿宋_GB2312" w:cs="仿宋_GB2312" w:eastAsia="仿宋_GB2312"/>
                      <w:sz w:val="21"/>
                      <w:color w:val="000000"/>
                    </w:rPr>
                    <w:t>分</w:t>
                  </w:r>
                  <w:r>
                    <w:rPr>
                      <w:rFonts w:ascii="仿宋_GB2312" w:hAnsi="仿宋_GB2312" w:cs="仿宋_GB2312" w:eastAsia="仿宋_GB2312"/>
                      <w:sz w:val="21"/>
                      <w:color w:val="000000"/>
                    </w:rPr>
                    <w:t>□</w:t>
                  </w:r>
                </w:p>
              </w:tc>
            </w:tr>
            <w:tr>
              <w:tc>
                <w:tcPr>
                  <w:tcW w:type="dxa" w:w="559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考核人员（小组）签字：</w:t>
                  </w:r>
                  <w:r>
                    <w:rPr>
                      <w:rFonts w:ascii="仿宋_GB2312" w:hAnsi="仿宋_GB2312" w:cs="仿宋_GB2312" w:eastAsia="仿宋_GB2312"/>
                      <w:sz w:val="21"/>
                      <w:color w:val="000000"/>
                    </w:rPr>
                    <w:t xml:space="preserve">                          </w:t>
                  </w:r>
                </w:p>
              </w:tc>
            </w:tr>
          </w:tbl>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合同总有效期三年，合同一年一签。合同自签订之日起生效，履约时间或预算金额（130万元/年）两个条件任意一项达到，当年合同终止，经采购方考核合格后方可续签下一年度合同。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宜宾市第四人民医院及各院区（总院、南溪二院、南溪新院区、护理照护中心）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1.日常供应服务验收标准： 1.1投标人所供医用液氧、医用氧须符合《中华人民共和国药典》(2025版)以及最新相关质量标准要求，具有行政主管部门颁发的医用液氧、医用氧《药品生产许可证》、《药品注册批件》或《药品经营许可证》。 1.2医用液氧包装要求：采用符合标准规范的低温绝热液氧容器盛装，液氧输出接口须与医院现有管道匹配，保证安全有效连接。 1.3医用氧和纯二氧化碳包装要求：采用专用医用氧和纯二氧化碳气瓶容器盛装。 1.4医用液氧、医用氧及纯二氧化碳纯度要求：≥99.5%。 1.5具有生产合格证明。 2.验收方法： 2.1对照随货同行单清点货物实际数量； 2.2检查罐体或气瓶有无异常； 2.3安全排气阀是否在检测有效期内； 2.4查看出厂检验报告是否合格； 2.5检查是否张贴合格证； 2.6检查有效期是否达到总有效期的2/3及以上； 2.7采购人、投标人双方交接签字确认。 2.8采购人的验收行为不作为投标人提供的货物隐蔽瑕疵质量问题合格的依据，不影响投标人因质量问题承担违约责任。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一次性款项，按月支付，达到付款条件起10日内，据实结算说明为：甲乙双方核对上月度采购清单和金额无误后，且采购人收到中标人开具准确、完整发票、票据和相关资料后付款至中标人指定账户，中标人未出具发票或出具的发票不合格的，采购人有权拒绝付款并不承担任何违约责任，而中标人不免除继续履行服务的义务。</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质量违约:投标人交付的货物质量不符合质量标准或合同约定的，采购人有权要求投标人对不符合质量标准或无证的不合格产品予以退货，投标人拒绝退货或投标人未在4小时内更换合格的货物给采购人的或更换一次后仍不合格的，采购人有权视情况单方解除合同并要求投标人支付合同总金额20%的违约金，违约金不足以弥补损失的投标人应全额弥补。 2.给采购人造成医疗事故或其他损失的，投标人应承担全部经济赔偿责任和法律责任，采购人有权要求投标人支付合同总价款20%的违约金，违约金不足以弥补损失的，投标人应全额弥补。采购人因此遭受罚款或第三方索赔的，有权向投标人全额追偿，追偿产生的一切成本费用包括但不限于律师费、诉讼费、交通费、保全费等均由投标人承担。 3.供货不及时违约:投标人接到采购人需求在24小时内配送和紧急情况下6小时内配送,到货时间每逾期一次,采购人将在当月货款中扣除500元。一月内逾期达到2次及以上的，采购人将在当月货款中扣除总金额的5％。 合同期内累计逾期达到3次及以上的，采购人有权视情况单方解除本合同并要求投标人支付合同总价款20%的违约金，违约金不足以弥补损失的，投标人应全额弥补。 4.供应商如遇特殊原因，出现库存不足时，应优先无条件保障采购人用氧需求与供应，若发生1次未能保障时，采购人有权另行寻找其他供应商配送，并扣除履约保证金总金额的50％不予以退还或给予当批次货款相同金额的扣款。 5.存在安全问题违约:如投标人违反国家对危化品管理、特种设备管理要求生产、运输或人员未持证上岗等造成安全事故给采购人或第三方造成财产损失或人身损害的，投标人应承担全部经济赔偿责任和法律责任，履约约金不足以弥补损失的，投标人应全额弥补。采购人因此遭受罚款或第三方索赔的，有权向投标人全额追偿，追偿产生的一切成本费用包括但不限于律师费、诉讼费、交通费、保全费等均由投标人承担。 6.投标人拒绝承担违约责任的，采购人有权通过法律途径向投标人追偿，追偿产生的费用包括但不限于律师费、诉讼费等均由投标人承担。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应具备相关资质：《营业执照》、《药品生产许可证》、《危险化学品经营许可证》、《气瓶充装许可证》或《移动式压力容器充装许可证》、《药品（氧）注册批件》、《道路运输经营许可证》或（提供第三方的《道路运输经营许可证》以及双方签订的有效期合同）等必要的证件（提供证件的复印件）。</w:t>
            </w:r>
          </w:p>
        </w:tc>
        <w:tc>
          <w:tcPr>
            <w:tcW w:type="dxa" w:w="3322"/>
          </w:tcPr>
          <w:p>
            <w:pPr>
              <w:pStyle w:val="null3"/>
              <w:jc w:val="left"/>
            </w:pPr>
            <w:r>
              <w:rPr>
                <w:rFonts w:ascii="仿宋_GB2312" w:hAnsi="仿宋_GB2312" w:cs="仿宋_GB2312" w:eastAsia="仿宋_GB2312"/>
              </w:rPr>
              <w:t>投标人应具备相关资质：《营业执照》、《药品生产许可证》、《危险化学品经营许可证》、《气瓶充装许可证》或《移动式压力容器充装许可证》、《药品（氧）注册批件》、《道路运输经营许可证》或（提供第三方的《道路运输经营许可证》以及双方签订的有效期合同）等必要的证件（提供证件的复印件）。</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投标人响应招标文件实质性要求</w:t>
            </w:r>
          </w:p>
        </w:tc>
        <w:tc>
          <w:tcPr>
            <w:tcW w:type="dxa" w:w="1661"/>
          </w:tcPr>
          <w:p>
            <w:pPr>
              <w:pStyle w:val="null3"/>
              <w:jc w:val="left"/>
            </w:pPr>
            <w:r>
              <w:rPr>
                <w:rFonts w:ascii="仿宋_GB2312" w:hAnsi="仿宋_GB2312" w:cs="仿宋_GB2312" w:eastAsia="仿宋_GB2312"/>
              </w:rPr>
              <w:t>服务要求应答表.docx,技术要求响应表（服务）.docx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医用气体配送服务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详见附件：技术要求响应表（服务）.docx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详见附件：合同草案（四医院定稿).docx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